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F3" w:rsidRPr="002E2327" w:rsidRDefault="00382C47">
      <w:r w:rsidRPr="002E2327">
        <w:rPr>
          <w:noProof/>
          <w:lang w:eastAsia="en-CA"/>
        </w:rPr>
        <w:drawing>
          <wp:anchor distT="57150" distB="57150" distL="57150" distR="57150" simplePos="0" relativeHeight="251659264" behindDoc="0" locked="0" layoutInCell="0" allowOverlap="1" wp14:anchorId="4395F807" wp14:editId="6B58F29E">
            <wp:simplePos x="0" y="0"/>
            <wp:positionH relativeFrom="margin">
              <wp:align>center</wp:align>
            </wp:positionH>
            <wp:positionV relativeFrom="margin">
              <wp:posOffset>132080</wp:posOffset>
            </wp:positionV>
            <wp:extent cx="1200150" cy="1666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srcRect l="5970"/>
                    <a:stretch/>
                  </pic:blipFill>
                  <pic:spPr bwMode="auto">
                    <a:xfrm>
                      <a:off x="0" y="0"/>
                      <a:ext cx="1200150" cy="1666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384384" w:rsidP="00BF25F3">
      <w:pPr>
        <w:tabs>
          <w:tab w:val="left" w:pos="607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FB4A2E"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FB4A2E"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FB4A2E" w:rsidTr="002E5576">
        <w:tc>
          <w:tcPr>
            <w:tcW w:w="4518" w:type="dxa"/>
          </w:tcPr>
          <w:p w:rsidR="00BF25F3" w:rsidRPr="002E2327" w:rsidRDefault="00BF25F3" w:rsidP="009F3024">
            <w:pPr>
              <w:tabs>
                <w:tab w:val="left" w:pos="6075"/>
              </w:tabs>
              <w:jc w:val="both"/>
              <w:rPr>
                <w:rFonts w:ascii="Arial" w:hAnsi="Arial" w:cs="Arial"/>
                <w:i/>
                <w:sz w:val="20"/>
                <w:szCs w:val="20"/>
              </w:rPr>
            </w:pPr>
            <w:r w:rsidRPr="002E2327">
              <w:rPr>
                <w:rFonts w:ascii="Arial" w:hAnsi="Arial" w:cs="Arial"/>
                <w:i/>
                <w:sz w:val="20"/>
                <w:szCs w:val="20"/>
              </w:rPr>
              <w:t xml:space="preserve">During Court sessions </w:t>
            </w:r>
            <w:r w:rsidR="009F3024">
              <w:rPr>
                <w:rFonts w:ascii="Arial" w:hAnsi="Arial" w:cs="Arial"/>
                <w:i/>
                <w:sz w:val="20"/>
                <w:szCs w:val="20"/>
              </w:rPr>
              <w:t xml:space="preserve">the Bulletin </w:t>
            </w:r>
            <w:r w:rsidRPr="002E2327">
              <w:rPr>
                <w:rFonts w:ascii="Arial" w:hAnsi="Arial" w:cs="Arial"/>
                <w:i/>
                <w:sz w:val="20"/>
                <w:szCs w:val="20"/>
              </w:rPr>
              <w:t>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Bulletin paraît en principe toutes les semaines pendant les sessions de la Cour.</w:t>
            </w:r>
          </w:p>
        </w:tc>
      </w:tr>
      <w:tr w:rsidR="00BF25F3" w:rsidRPr="00FB4A2E"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FB4A2E" w:rsidTr="002E5576">
        <w:tc>
          <w:tcPr>
            <w:tcW w:w="4518" w:type="dxa"/>
          </w:tcPr>
          <w:p w:rsidR="00BF25F3" w:rsidRPr="002E2327" w:rsidRDefault="000E27A5"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0E27A5"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FB4A2E" w:rsidTr="002E5576">
        <w:tc>
          <w:tcPr>
            <w:tcW w:w="4518" w:type="dxa"/>
          </w:tcPr>
          <w:p w:rsidR="009F3024" w:rsidRPr="00091FA6" w:rsidRDefault="009F3024" w:rsidP="009F3024">
            <w:pPr>
              <w:tabs>
                <w:tab w:val="left" w:pos="6075"/>
              </w:tabs>
              <w:rPr>
                <w:rFonts w:cs="Times New Roman"/>
                <w:szCs w:val="24"/>
                <w:lang w:val="fr-CA"/>
              </w:rPr>
            </w:pPr>
          </w:p>
          <w:p w:rsidR="009F3024" w:rsidRPr="00091FA6" w:rsidRDefault="009F3024" w:rsidP="009F3024">
            <w:pPr>
              <w:tabs>
                <w:tab w:val="left" w:pos="6075"/>
              </w:tabs>
              <w:rPr>
                <w:rFonts w:cs="Times New Roman"/>
                <w:szCs w:val="24"/>
                <w:lang w:val="fr-CA"/>
              </w:rPr>
            </w:pPr>
          </w:p>
        </w:tc>
        <w:tc>
          <w:tcPr>
            <w:tcW w:w="630" w:type="dxa"/>
          </w:tcPr>
          <w:p w:rsidR="009F3024" w:rsidRPr="00091FA6" w:rsidRDefault="009F3024" w:rsidP="009F3024">
            <w:pPr>
              <w:tabs>
                <w:tab w:val="left" w:pos="6075"/>
              </w:tabs>
              <w:rPr>
                <w:rFonts w:cs="Times New Roman"/>
                <w:szCs w:val="24"/>
                <w:lang w:val="fr-CA"/>
              </w:rPr>
            </w:pPr>
          </w:p>
        </w:tc>
        <w:tc>
          <w:tcPr>
            <w:tcW w:w="4428" w:type="dxa"/>
          </w:tcPr>
          <w:p w:rsidR="009F3024" w:rsidRPr="009F3024" w:rsidRDefault="009F3024" w:rsidP="009F3024">
            <w:pPr>
              <w:tabs>
                <w:tab w:val="left" w:pos="6075"/>
              </w:tabs>
              <w:rPr>
                <w:rFonts w:cs="Times New Roman"/>
                <w:szCs w:val="24"/>
                <w:lang w:val="fr-CA"/>
              </w:rPr>
            </w:pPr>
          </w:p>
        </w:tc>
      </w:tr>
      <w:tr w:rsidR="009F3024" w:rsidRPr="00FB4A2E" w:rsidTr="002E5576">
        <w:tc>
          <w:tcPr>
            <w:tcW w:w="4518" w:type="dxa"/>
          </w:tcPr>
          <w:p w:rsidR="009F3024" w:rsidRPr="002E2327" w:rsidRDefault="009F3024" w:rsidP="00E414CA">
            <w:pPr>
              <w:tabs>
                <w:tab w:val="left" w:pos="6075"/>
              </w:tabs>
              <w:jc w:val="both"/>
              <w:rPr>
                <w:rFonts w:ascii="Arial" w:hAnsi="Arial" w:cs="Arial"/>
                <w:i/>
                <w:sz w:val="20"/>
                <w:szCs w:val="20"/>
              </w:rPr>
            </w:pPr>
            <w:r>
              <w:rPr>
                <w:rFonts w:ascii="Arial" w:hAnsi="Arial" w:cs="Arial"/>
                <w:i/>
                <w:sz w:val="20"/>
                <w:szCs w:val="20"/>
              </w:rPr>
              <w:t xml:space="preserve">Consult the Supreme Court of Canada website at </w:t>
            </w:r>
            <w:hyperlink r:id="rId8" w:history="1">
              <w:r w:rsidR="00E414CA" w:rsidRPr="00DB53DA">
                <w:rPr>
                  <w:rStyle w:val="Hyperlink"/>
                  <w:rFonts w:ascii="Arial" w:hAnsi="Arial" w:cs="Arial"/>
                  <w:i/>
                  <w:sz w:val="20"/>
                  <w:szCs w:val="20"/>
                </w:rPr>
                <w:t>www.scc-csc.ca</w:t>
              </w:r>
            </w:hyperlink>
            <w:r>
              <w:rPr>
                <w:rFonts w:ascii="Arial" w:hAnsi="Arial" w:cs="Arial"/>
                <w:i/>
                <w:sz w:val="20"/>
                <w:szCs w:val="20"/>
              </w:rPr>
              <w:t xml:space="preserve"> for more information.</w:t>
            </w:r>
          </w:p>
        </w:tc>
        <w:tc>
          <w:tcPr>
            <w:tcW w:w="630" w:type="dxa"/>
          </w:tcPr>
          <w:p w:rsidR="009F3024" w:rsidRPr="002E2327" w:rsidRDefault="009F3024" w:rsidP="00BF25F3">
            <w:pPr>
              <w:tabs>
                <w:tab w:val="left" w:pos="6075"/>
              </w:tabs>
              <w:jc w:val="both"/>
              <w:rPr>
                <w:rFonts w:ascii="Arial" w:hAnsi="Arial" w:cs="Arial"/>
                <w:i/>
                <w:sz w:val="20"/>
                <w:szCs w:val="20"/>
              </w:rPr>
            </w:pPr>
          </w:p>
        </w:tc>
        <w:tc>
          <w:tcPr>
            <w:tcW w:w="4428" w:type="dxa"/>
          </w:tcPr>
          <w:p w:rsidR="009F3024" w:rsidRPr="009F3024" w:rsidRDefault="009F3024" w:rsidP="00E414CA">
            <w:pPr>
              <w:tabs>
                <w:tab w:val="left" w:pos="6075"/>
              </w:tabs>
              <w:jc w:val="both"/>
              <w:rPr>
                <w:rFonts w:ascii="Arial" w:hAnsi="Arial" w:cs="Arial"/>
                <w:i/>
                <w:sz w:val="20"/>
                <w:szCs w:val="20"/>
                <w:lang w:val="fr-CA"/>
              </w:rPr>
            </w:pPr>
            <w:r w:rsidRPr="009F3024">
              <w:rPr>
                <w:rFonts w:ascii="Arial" w:hAnsi="Arial" w:cs="Arial"/>
                <w:i/>
                <w:sz w:val="20"/>
                <w:szCs w:val="20"/>
                <w:lang w:val="fr-CA"/>
              </w:rPr>
              <w:t>Pour de plus amples informations, con</w:t>
            </w:r>
            <w:r>
              <w:rPr>
                <w:rFonts w:ascii="Arial" w:hAnsi="Arial" w:cs="Arial"/>
                <w:i/>
                <w:sz w:val="20"/>
                <w:szCs w:val="20"/>
                <w:lang w:val="fr-CA"/>
              </w:rPr>
              <w:t xml:space="preserve">sulter le site Web de la Cour suprême du Canada à l’adresse suivante : </w:t>
            </w:r>
            <w:hyperlink r:id="rId9" w:history="1">
              <w:r w:rsidR="0081473A" w:rsidRPr="00DB53DA">
                <w:rPr>
                  <w:rStyle w:val="Hyperlink"/>
                  <w:rFonts w:ascii="Arial" w:hAnsi="Arial" w:cs="Arial"/>
                  <w:i/>
                  <w:sz w:val="20"/>
                  <w:szCs w:val="20"/>
                  <w:lang w:val="fr-CA"/>
                </w:rPr>
                <w:t>www.scc-csc.ca</w:t>
              </w:r>
            </w:hyperlink>
            <w:r>
              <w:rPr>
                <w:rFonts w:ascii="Arial" w:hAnsi="Arial" w:cs="Arial"/>
                <w:i/>
                <w:sz w:val="20"/>
                <w:szCs w:val="20"/>
                <w:lang w:val="fr-CA"/>
              </w:rPr>
              <w:t xml:space="preserve"> </w:t>
            </w:r>
          </w:p>
        </w:tc>
      </w:tr>
    </w:tbl>
    <w:p w:rsidR="00BF25F3" w:rsidRPr="009F3024" w:rsidRDefault="00BF25F3" w:rsidP="00BF25F3">
      <w:pPr>
        <w:tabs>
          <w:tab w:val="left" w:pos="6075"/>
        </w:tabs>
        <w:rPr>
          <w:lang w:val="fr-CA"/>
        </w:rPr>
      </w:pPr>
    </w:p>
    <w:p w:rsidR="00440E24" w:rsidRPr="009F3024" w:rsidRDefault="00440E24" w:rsidP="00440E24">
      <w:pPr>
        <w:pBdr>
          <w:bottom w:val="single" w:sz="6" w:space="1" w:color="auto"/>
        </w:pBdr>
        <w:tabs>
          <w:tab w:val="left" w:pos="6075"/>
        </w:tabs>
        <w:rPr>
          <w:lang w:val="fr-CA"/>
        </w:rPr>
      </w:pPr>
    </w:p>
    <w:p w:rsidR="00440E24" w:rsidRPr="009F3024" w:rsidRDefault="00440E24" w:rsidP="00440E24">
      <w:pPr>
        <w:rPr>
          <w:lang w:val="fr-CA"/>
        </w:rPr>
      </w:pPr>
    </w:p>
    <w:p w:rsidR="00600252" w:rsidRPr="00675479" w:rsidRDefault="00C65377" w:rsidP="00F0068D">
      <w:pPr>
        <w:pBdr>
          <w:bottom w:val="single" w:sz="6" w:space="1" w:color="auto"/>
        </w:pBdr>
        <w:tabs>
          <w:tab w:val="center" w:pos="4680"/>
          <w:tab w:val="right" w:pos="9360"/>
        </w:tabs>
        <w:rPr>
          <w:lang w:val="fr-CA"/>
        </w:rPr>
      </w:pPr>
      <w:proofErr w:type="spellStart"/>
      <w:r>
        <w:rPr>
          <w:lang w:val="fr-CA"/>
        </w:rPr>
        <w:t>December</w:t>
      </w:r>
      <w:proofErr w:type="spellEnd"/>
      <w:r w:rsidR="00440E24" w:rsidRPr="00675479">
        <w:rPr>
          <w:lang w:val="fr-CA"/>
        </w:rPr>
        <w:t xml:space="preserve"> </w:t>
      </w:r>
      <w:r>
        <w:rPr>
          <w:lang w:val="fr-CA"/>
        </w:rPr>
        <w:t>4</w:t>
      </w:r>
      <w:r w:rsidR="00440E24" w:rsidRPr="00675479">
        <w:rPr>
          <w:lang w:val="fr-CA"/>
        </w:rPr>
        <w:t>, 201</w:t>
      </w:r>
      <w:r w:rsidR="00020DC3">
        <w:rPr>
          <w:lang w:val="fr-CA"/>
        </w:rPr>
        <w:t>5</w:t>
      </w:r>
      <w:r w:rsidR="00F0068D" w:rsidRPr="00675479">
        <w:rPr>
          <w:lang w:val="fr-CA"/>
        </w:rPr>
        <w:tab/>
        <w:t>1</w:t>
      </w:r>
      <w:r>
        <w:rPr>
          <w:lang w:val="fr-CA"/>
        </w:rPr>
        <w:t>803</w:t>
      </w:r>
      <w:r w:rsidR="00F0068D" w:rsidRPr="00675479">
        <w:rPr>
          <w:lang w:val="fr-CA"/>
        </w:rPr>
        <w:t xml:space="preserve"> - </w:t>
      </w:r>
      <w:r w:rsidR="00943712">
        <w:rPr>
          <w:lang w:val="fr-CA"/>
        </w:rPr>
        <w:t>18</w:t>
      </w:r>
      <w:r w:rsidR="00260B94">
        <w:rPr>
          <w:lang w:val="fr-CA"/>
        </w:rPr>
        <w:t>4</w:t>
      </w:r>
      <w:r w:rsidR="00943712">
        <w:rPr>
          <w:lang w:val="fr-CA"/>
        </w:rPr>
        <w:t>9</w:t>
      </w:r>
      <w:r w:rsidR="00440E24" w:rsidRPr="00675479">
        <w:rPr>
          <w:lang w:val="fr-CA"/>
        </w:rPr>
        <w:tab/>
      </w:r>
      <w:r w:rsidR="00440E24" w:rsidRPr="002E2327">
        <w:rPr>
          <w:lang w:val="fr-CA"/>
        </w:rPr>
        <w:t>Le</w:t>
      </w:r>
      <w:r w:rsidR="00C73D06">
        <w:rPr>
          <w:lang w:val="fr-CA"/>
        </w:rPr>
        <w:t xml:space="preserve"> </w:t>
      </w:r>
      <w:r>
        <w:rPr>
          <w:lang w:val="fr-CA"/>
        </w:rPr>
        <w:t>4</w:t>
      </w:r>
      <w:r w:rsidR="00C73D06">
        <w:rPr>
          <w:lang w:val="fr-CA"/>
        </w:rPr>
        <w:t xml:space="preserve"> </w:t>
      </w:r>
      <w:r>
        <w:rPr>
          <w:lang w:val="fr-CA"/>
        </w:rPr>
        <w:t>décembre</w:t>
      </w:r>
      <w:r w:rsidR="00440E24" w:rsidRPr="002E2327">
        <w:rPr>
          <w:lang w:val="fr-CA"/>
        </w:rPr>
        <w:t xml:space="preserve"> 201</w:t>
      </w:r>
      <w:r w:rsidR="00020DC3">
        <w:rPr>
          <w:lang w:val="fr-CA"/>
        </w:rPr>
        <w:t>5</w:t>
      </w:r>
    </w:p>
    <w:p w:rsidR="00440E24" w:rsidRPr="00675479" w:rsidRDefault="00440E24" w:rsidP="00440E24">
      <w:pPr>
        <w:pBdr>
          <w:bottom w:val="single" w:sz="6" w:space="1" w:color="auto"/>
        </w:pBdr>
        <w:tabs>
          <w:tab w:val="right" w:pos="9360"/>
        </w:tabs>
        <w:rPr>
          <w:lang w:val="fr-CA"/>
        </w:rPr>
      </w:pPr>
    </w:p>
    <w:p w:rsidR="00440E24" w:rsidRPr="00020DC3" w:rsidRDefault="00440E24" w:rsidP="00440E24">
      <w:pPr>
        <w:pBdr>
          <w:bottom w:val="single" w:sz="6" w:space="1" w:color="auto"/>
        </w:pBdr>
        <w:tabs>
          <w:tab w:val="right" w:pos="9360"/>
        </w:tabs>
        <w:rPr>
          <w:sz w:val="18"/>
          <w:szCs w:val="18"/>
        </w:rPr>
      </w:pPr>
      <w:r w:rsidRPr="00020DC3">
        <w:rPr>
          <w:sz w:val="18"/>
          <w:szCs w:val="18"/>
        </w:rPr>
        <w:t>© Supreme Court of Canada (201</w:t>
      </w:r>
      <w:r w:rsidR="00020DC3">
        <w:rPr>
          <w:sz w:val="18"/>
          <w:szCs w:val="18"/>
        </w:rPr>
        <w:t>5</w:t>
      </w:r>
      <w:r w:rsidRPr="00020DC3">
        <w:rPr>
          <w:sz w:val="18"/>
          <w:szCs w:val="18"/>
        </w:rPr>
        <w:t>)</w:t>
      </w:r>
      <w:r w:rsidRPr="00020DC3">
        <w:rPr>
          <w:sz w:val="18"/>
          <w:szCs w:val="18"/>
        </w:rPr>
        <w:tab/>
        <w:t xml:space="preserve">© </w:t>
      </w:r>
      <w:proofErr w:type="spellStart"/>
      <w:r w:rsidRPr="00020DC3">
        <w:rPr>
          <w:sz w:val="18"/>
          <w:szCs w:val="18"/>
        </w:rPr>
        <w:t>Cour</w:t>
      </w:r>
      <w:proofErr w:type="spellEnd"/>
      <w:r w:rsidRPr="00020DC3">
        <w:rPr>
          <w:sz w:val="18"/>
          <w:szCs w:val="18"/>
        </w:rPr>
        <w:t xml:space="preserve"> </w:t>
      </w:r>
      <w:proofErr w:type="spellStart"/>
      <w:r w:rsidRPr="00020DC3">
        <w:rPr>
          <w:sz w:val="18"/>
          <w:szCs w:val="18"/>
        </w:rPr>
        <w:t>suprême</w:t>
      </w:r>
      <w:proofErr w:type="spellEnd"/>
      <w:r w:rsidRPr="00020DC3">
        <w:rPr>
          <w:sz w:val="18"/>
          <w:szCs w:val="18"/>
        </w:rPr>
        <w:t xml:space="preserve"> du Canada (201</w:t>
      </w:r>
      <w:r w:rsidR="00020DC3">
        <w:rPr>
          <w:sz w:val="18"/>
          <w:szCs w:val="18"/>
        </w:rPr>
        <w:t>5</w:t>
      </w:r>
      <w:r w:rsidRPr="00020DC3">
        <w:rPr>
          <w:sz w:val="18"/>
          <w:szCs w:val="18"/>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980"/>
        <w:gridCol w:w="3888"/>
      </w:tblGrid>
      <w:tr w:rsidR="0095096B" w:rsidRPr="00F21162" w:rsidTr="00164E6D">
        <w:tc>
          <w:tcPr>
            <w:tcW w:w="3708" w:type="dxa"/>
          </w:tcPr>
          <w:p w:rsidR="0095096B" w:rsidRPr="00F21162" w:rsidRDefault="0095096B" w:rsidP="0095096B">
            <w:pPr>
              <w:tabs>
                <w:tab w:val="right" w:pos="9360"/>
              </w:tabs>
              <w:rPr>
                <w:rFonts w:cs="Times New Roman"/>
                <w:sz w:val="20"/>
                <w:szCs w:val="20"/>
              </w:rPr>
            </w:pPr>
            <w:r w:rsidRPr="00F21162">
              <w:rPr>
                <w:rFonts w:cs="Times New Roman"/>
                <w:sz w:val="20"/>
                <w:szCs w:val="20"/>
              </w:rPr>
              <w:t xml:space="preserve">Applications for leave to appeal </w:t>
            </w:r>
          </w:p>
          <w:p w:rsidR="0095096B" w:rsidRPr="00F21162" w:rsidRDefault="0095096B" w:rsidP="0095096B">
            <w:pPr>
              <w:tabs>
                <w:tab w:val="right" w:pos="9360"/>
              </w:tabs>
              <w:rPr>
                <w:rFonts w:cs="Times New Roman"/>
                <w:sz w:val="20"/>
                <w:szCs w:val="20"/>
              </w:rPr>
            </w:pPr>
            <w:r w:rsidRPr="00F21162">
              <w:rPr>
                <w:rFonts w:cs="Times New Roman"/>
                <w:sz w:val="20"/>
                <w:szCs w:val="20"/>
              </w:rPr>
              <w:t>filed</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 xml:space="preserve">Applications for leave submitted </w:t>
            </w:r>
          </w:p>
          <w:p w:rsidR="0095096B" w:rsidRPr="00F21162" w:rsidRDefault="0095096B" w:rsidP="0095096B">
            <w:pPr>
              <w:tabs>
                <w:tab w:val="right" w:pos="9360"/>
              </w:tabs>
              <w:rPr>
                <w:rFonts w:cs="Times New Roman"/>
                <w:sz w:val="20"/>
                <w:szCs w:val="20"/>
              </w:rPr>
            </w:pPr>
            <w:r w:rsidRPr="00F21162">
              <w:rPr>
                <w:rFonts w:cs="Times New Roman"/>
                <w:sz w:val="20"/>
                <w:szCs w:val="20"/>
              </w:rPr>
              <w:t>to Court since last issue</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 xml:space="preserve">Oral hearing on applications for </w:t>
            </w:r>
          </w:p>
          <w:p w:rsidR="0095096B" w:rsidRPr="00F21162" w:rsidRDefault="0095096B" w:rsidP="0095096B">
            <w:pPr>
              <w:tabs>
                <w:tab w:val="right" w:pos="9360"/>
              </w:tabs>
              <w:rPr>
                <w:rFonts w:cs="Times New Roman"/>
                <w:sz w:val="20"/>
                <w:szCs w:val="20"/>
              </w:rPr>
            </w:pPr>
            <w:r w:rsidRPr="00F21162">
              <w:rPr>
                <w:rFonts w:cs="Times New Roman"/>
                <w:sz w:val="20"/>
                <w:szCs w:val="20"/>
              </w:rPr>
              <w:t xml:space="preserve">leave </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 xml:space="preserve">Judgments on applications for </w:t>
            </w:r>
          </w:p>
          <w:p w:rsidR="0095096B" w:rsidRPr="00F21162" w:rsidRDefault="0095096B" w:rsidP="0095096B">
            <w:pPr>
              <w:tabs>
                <w:tab w:val="right" w:pos="9360"/>
              </w:tabs>
              <w:rPr>
                <w:rFonts w:cs="Times New Roman"/>
                <w:sz w:val="20"/>
                <w:szCs w:val="20"/>
              </w:rPr>
            </w:pPr>
            <w:r w:rsidRPr="00F21162">
              <w:rPr>
                <w:rFonts w:cs="Times New Roman"/>
                <w:sz w:val="20"/>
                <w:szCs w:val="20"/>
              </w:rPr>
              <w:t>leave</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Motions</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 xml:space="preserve">Notices of appeal filed since last </w:t>
            </w:r>
          </w:p>
          <w:p w:rsidR="0095096B" w:rsidRPr="00F21162" w:rsidRDefault="0095096B" w:rsidP="0095096B">
            <w:pPr>
              <w:tabs>
                <w:tab w:val="right" w:pos="9360"/>
              </w:tabs>
              <w:rPr>
                <w:rFonts w:cs="Times New Roman"/>
                <w:sz w:val="20"/>
                <w:szCs w:val="20"/>
              </w:rPr>
            </w:pPr>
            <w:r w:rsidRPr="00F21162">
              <w:rPr>
                <w:rFonts w:cs="Times New Roman"/>
                <w:sz w:val="20"/>
                <w:szCs w:val="20"/>
              </w:rPr>
              <w:t>issue</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 xml:space="preserve">Notices of discontinuance filed since </w:t>
            </w:r>
          </w:p>
          <w:p w:rsidR="0095096B" w:rsidRPr="00F21162" w:rsidRDefault="0095096B" w:rsidP="0095096B">
            <w:pPr>
              <w:tabs>
                <w:tab w:val="right" w:pos="9360"/>
              </w:tabs>
              <w:rPr>
                <w:rFonts w:cs="Times New Roman"/>
                <w:sz w:val="20"/>
                <w:szCs w:val="20"/>
              </w:rPr>
            </w:pPr>
            <w:r w:rsidRPr="00F21162">
              <w:rPr>
                <w:rFonts w:cs="Times New Roman"/>
                <w:sz w:val="20"/>
                <w:szCs w:val="20"/>
              </w:rPr>
              <w:t>last issue</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Appeals heard since last issue and disposition</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Pronouncements of appeals reserved</w:t>
            </w: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p>
          <w:p w:rsidR="0095096B" w:rsidRPr="00F21162" w:rsidRDefault="0095096B" w:rsidP="0095096B">
            <w:pPr>
              <w:tabs>
                <w:tab w:val="right" w:pos="9360"/>
              </w:tabs>
              <w:rPr>
                <w:rFonts w:cs="Times New Roman"/>
                <w:sz w:val="20"/>
                <w:szCs w:val="20"/>
              </w:rPr>
            </w:pPr>
            <w:r w:rsidRPr="00F21162">
              <w:rPr>
                <w:rFonts w:cs="Times New Roman"/>
                <w:sz w:val="20"/>
                <w:szCs w:val="20"/>
              </w:rPr>
              <w:t>Headnotes of recent judgments</w:t>
            </w:r>
          </w:p>
          <w:p w:rsidR="00A87207" w:rsidRPr="00F21162" w:rsidRDefault="00A87207" w:rsidP="000F5958">
            <w:pPr>
              <w:tabs>
                <w:tab w:val="right" w:pos="9360"/>
              </w:tabs>
              <w:rPr>
                <w:rFonts w:cs="Times New Roman"/>
                <w:sz w:val="20"/>
                <w:szCs w:val="20"/>
              </w:rPr>
            </w:pPr>
          </w:p>
        </w:tc>
        <w:tc>
          <w:tcPr>
            <w:tcW w:w="1980" w:type="dxa"/>
          </w:tcPr>
          <w:p w:rsidR="0095096B" w:rsidRPr="00F21162" w:rsidRDefault="00F90CD6" w:rsidP="0095096B">
            <w:pPr>
              <w:jc w:val="center"/>
              <w:rPr>
                <w:rFonts w:cs="Times New Roman"/>
                <w:sz w:val="20"/>
                <w:szCs w:val="20"/>
              </w:rPr>
            </w:pPr>
            <w:r w:rsidRPr="00F21162">
              <w:rPr>
                <w:rFonts w:cs="Times New Roman"/>
                <w:sz w:val="20"/>
                <w:szCs w:val="20"/>
              </w:rPr>
              <w:t>1803</w:t>
            </w:r>
            <w:r w:rsidR="000E27A5" w:rsidRPr="00F21162">
              <w:rPr>
                <w:rFonts w:cs="Times New Roman"/>
                <w:sz w:val="20"/>
                <w:szCs w:val="20"/>
              </w:rPr>
              <w:fldChar w:fldCharType="begin"/>
            </w:r>
            <w:r w:rsidR="0095096B" w:rsidRPr="00F21162">
              <w:rPr>
                <w:rFonts w:cs="Times New Roman"/>
                <w:sz w:val="20"/>
                <w:szCs w:val="20"/>
              </w:rPr>
              <w:instrText xml:space="preserve"> SEQ CHAPTER \h \r 1</w:instrText>
            </w:r>
            <w:r w:rsidR="000E27A5" w:rsidRPr="00F21162">
              <w:rPr>
                <w:rFonts w:cs="Times New Roman"/>
                <w:sz w:val="20"/>
                <w:szCs w:val="20"/>
              </w:rPr>
              <w:fldChar w:fldCharType="end"/>
            </w:r>
          </w:p>
          <w:p w:rsidR="0095096B" w:rsidRPr="00F21162" w:rsidRDefault="0095096B" w:rsidP="0095096B">
            <w:pPr>
              <w:jc w:val="center"/>
              <w:rPr>
                <w:rFonts w:cs="Times New Roman"/>
                <w:sz w:val="20"/>
                <w:szCs w:val="20"/>
              </w:rPr>
            </w:pPr>
          </w:p>
          <w:p w:rsidR="0095096B" w:rsidRPr="00F21162" w:rsidRDefault="0095096B" w:rsidP="0095096B">
            <w:pPr>
              <w:jc w:val="center"/>
              <w:rPr>
                <w:rFonts w:cs="Times New Roman"/>
                <w:sz w:val="20"/>
                <w:szCs w:val="20"/>
              </w:rPr>
            </w:pPr>
          </w:p>
          <w:p w:rsidR="0095096B" w:rsidRPr="00F21162" w:rsidRDefault="0068063D" w:rsidP="0095096B">
            <w:pPr>
              <w:jc w:val="center"/>
              <w:rPr>
                <w:rFonts w:cs="Times New Roman"/>
                <w:sz w:val="20"/>
                <w:szCs w:val="20"/>
              </w:rPr>
            </w:pPr>
            <w:r w:rsidRPr="00F21162">
              <w:rPr>
                <w:rFonts w:cs="Times New Roman"/>
                <w:sz w:val="20"/>
                <w:szCs w:val="20"/>
              </w:rPr>
              <w:t>1804</w:t>
            </w:r>
          </w:p>
          <w:p w:rsidR="0095096B" w:rsidRPr="00F21162" w:rsidRDefault="0095096B" w:rsidP="0095096B">
            <w:pPr>
              <w:jc w:val="center"/>
              <w:rPr>
                <w:rFonts w:cs="Times New Roman"/>
                <w:sz w:val="20"/>
                <w:szCs w:val="20"/>
              </w:rPr>
            </w:pPr>
          </w:p>
          <w:p w:rsidR="0095096B" w:rsidRPr="00F21162" w:rsidRDefault="0095096B" w:rsidP="0095096B">
            <w:pPr>
              <w:jc w:val="center"/>
              <w:rPr>
                <w:rFonts w:cs="Times New Roman"/>
                <w:sz w:val="20"/>
                <w:szCs w:val="20"/>
              </w:rPr>
            </w:pPr>
          </w:p>
          <w:p w:rsidR="0095096B" w:rsidRPr="00F21162" w:rsidRDefault="00106464" w:rsidP="0095096B">
            <w:pPr>
              <w:jc w:val="center"/>
              <w:rPr>
                <w:rFonts w:cs="Times New Roman"/>
                <w:sz w:val="20"/>
                <w:szCs w:val="20"/>
              </w:rPr>
            </w:pPr>
            <w:r w:rsidRPr="00F21162">
              <w:rPr>
                <w:rFonts w:cs="Times New Roman"/>
                <w:sz w:val="20"/>
                <w:szCs w:val="20"/>
              </w:rPr>
              <w:t xml:space="preserve">1805 </w:t>
            </w:r>
            <w:r w:rsidR="0095096B" w:rsidRPr="00F21162">
              <w:rPr>
                <w:rFonts w:cs="Times New Roman"/>
                <w:sz w:val="20"/>
                <w:szCs w:val="20"/>
              </w:rPr>
              <w:t>-</w:t>
            </w:r>
            <w:r w:rsidRPr="00F21162">
              <w:rPr>
                <w:rFonts w:cs="Times New Roman"/>
                <w:sz w:val="20"/>
                <w:szCs w:val="20"/>
              </w:rPr>
              <w:t xml:space="preserve"> </w:t>
            </w:r>
            <w:r w:rsidR="00D15E09" w:rsidRPr="00F21162">
              <w:rPr>
                <w:rFonts w:cs="Times New Roman"/>
                <w:sz w:val="20"/>
                <w:szCs w:val="20"/>
              </w:rPr>
              <w:t>180</w:t>
            </w:r>
            <w:r w:rsidR="00A10C4C" w:rsidRPr="00F21162">
              <w:rPr>
                <w:rFonts w:cs="Times New Roman"/>
                <w:sz w:val="20"/>
                <w:szCs w:val="20"/>
              </w:rPr>
              <w:t>6</w:t>
            </w:r>
          </w:p>
          <w:p w:rsidR="0095096B" w:rsidRPr="00F21162" w:rsidRDefault="0095096B" w:rsidP="0095096B">
            <w:pPr>
              <w:jc w:val="center"/>
              <w:rPr>
                <w:rFonts w:cs="Times New Roman"/>
                <w:sz w:val="20"/>
                <w:szCs w:val="20"/>
              </w:rPr>
            </w:pPr>
          </w:p>
          <w:p w:rsidR="00A12D17" w:rsidRPr="00F21162" w:rsidRDefault="00A12D17" w:rsidP="0095096B">
            <w:pPr>
              <w:jc w:val="center"/>
              <w:rPr>
                <w:rFonts w:cs="Times New Roman"/>
                <w:sz w:val="20"/>
                <w:szCs w:val="20"/>
              </w:rPr>
            </w:pPr>
          </w:p>
          <w:p w:rsidR="0095096B" w:rsidRPr="00F21162" w:rsidRDefault="00D15E09" w:rsidP="0095096B">
            <w:pPr>
              <w:jc w:val="center"/>
              <w:rPr>
                <w:rFonts w:cs="Times New Roman"/>
                <w:sz w:val="20"/>
                <w:szCs w:val="20"/>
              </w:rPr>
            </w:pPr>
            <w:r w:rsidRPr="00F21162">
              <w:rPr>
                <w:rFonts w:cs="Times New Roman"/>
                <w:sz w:val="20"/>
                <w:szCs w:val="20"/>
              </w:rPr>
              <w:t>180</w:t>
            </w:r>
            <w:r w:rsidR="00A10C4C" w:rsidRPr="00F21162">
              <w:rPr>
                <w:rFonts w:cs="Times New Roman"/>
                <w:sz w:val="20"/>
                <w:szCs w:val="20"/>
              </w:rPr>
              <w:t>7</w:t>
            </w:r>
            <w:r w:rsidRPr="00F21162">
              <w:rPr>
                <w:rFonts w:cs="Times New Roman"/>
                <w:sz w:val="20"/>
                <w:szCs w:val="20"/>
              </w:rPr>
              <w:t xml:space="preserve"> </w:t>
            </w:r>
            <w:r w:rsidR="0095096B" w:rsidRPr="00F21162">
              <w:rPr>
                <w:rFonts w:cs="Times New Roman"/>
                <w:sz w:val="20"/>
                <w:szCs w:val="20"/>
              </w:rPr>
              <w:t>-</w:t>
            </w:r>
            <w:r w:rsidRPr="00F21162">
              <w:rPr>
                <w:rFonts w:cs="Times New Roman"/>
                <w:sz w:val="20"/>
                <w:szCs w:val="20"/>
              </w:rPr>
              <w:t xml:space="preserve"> 182</w:t>
            </w:r>
            <w:r w:rsidR="00A10C4C" w:rsidRPr="00F21162">
              <w:rPr>
                <w:rFonts w:cs="Times New Roman"/>
                <w:sz w:val="20"/>
                <w:szCs w:val="20"/>
              </w:rPr>
              <w:t>3</w:t>
            </w:r>
          </w:p>
          <w:p w:rsidR="0095096B" w:rsidRPr="00F21162" w:rsidRDefault="0095096B" w:rsidP="0095096B">
            <w:pPr>
              <w:jc w:val="center"/>
              <w:rPr>
                <w:rFonts w:cs="Times New Roman"/>
                <w:sz w:val="20"/>
                <w:szCs w:val="20"/>
              </w:rPr>
            </w:pPr>
          </w:p>
          <w:p w:rsidR="0095096B" w:rsidRPr="00F21162" w:rsidRDefault="0095096B" w:rsidP="0095096B">
            <w:pPr>
              <w:jc w:val="center"/>
              <w:rPr>
                <w:rFonts w:cs="Times New Roman"/>
                <w:sz w:val="20"/>
                <w:szCs w:val="20"/>
              </w:rPr>
            </w:pPr>
          </w:p>
          <w:p w:rsidR="0095096B" w:rsidRPr="00F21162" w:rsidRDefault="00D15E09" w:rsidP="0095096B">
            <w:pPr>
              <w:jc w:val="center"/>
              <w:rPr>
                <w:rFonts w:cs="Times New Roman"/>
                <w:sz w:val="20"/>
                <w:szCs w:val="20"/>
              </w:rPr>
            </w:pPr>
            <w:r w:rsidRPr="00F21162">
              <w:rPr>
                <w:rFonts w:cs="Times New Roman"/>
                <w:sz w:val="20"/>
                <w:szCs w:val="20"/>
              </w:rPr>
              <w:t>182</w:t>
            </w:r>
            <w:r w:rsidR="00A10C4C" w:rsidRPr="00F21162">
              <w:rPr>
                <w:rFonts w:cs="Times New Roman"/>
                <w:sz w:val="20"/>
                <w:szCs w:val="20"/>
              </w:rPr>
              <w:t>4</w:t>
            </w:r>
            <w:r w:rsidRPr="00F21162">
              <w:rPr>
                <w:rFonts w:cs="Times New Roman"/>
                <w:sz w:val="20"/>
                <w:szCs w:val="20"/>
              </w:rPr>
              <w:t xml:space="preserve"> </w:t>
            </w:r>
            <w:r w:rsidR="0095096B" w:rsidRPr="00F21162">
              <w:rPr>
                <w:rFonts w:cs="Times New Roman"/>
                <w:sz w:val="20"/>
                <w:szCs w:val="20"/>
              </w:rPr>
              <w:t>-</w:t>
            </w:r>
            <w:r w:rsidRPr="00F21162">
              <w:rPr>
                <w:rFonts w:cs="Times New Roman"/>
                <w:sz w:val="20"/>
                <w:szCs w:val="20"/>
              </w:rPr>
              <w:t xml:space="preserve"> 182</w:t>
            </w:r>
            <w:r w:rsidR="00A10C4C" w:rsidRPr="00F21162">
              <w:rPr>
                <w:rFonts w:cs="Times New Roman"/>
                <w:sz w:val="20"/>
                <w:szCs w:val="20"/>
              </w:rPr>
              <w:t>7</w:t>
            </w:r>
          </w:p>
          <w:p w:rsidR="0095096B" w:rsidRPr="00F21162" w:rsidRDefault="0095096B" w:rsidP="0095096B">
            <w:pPr>
              <w:jc w:val="center"/>
              <w:rPr>
                <w:rFonts w:cs="Times New Roman"/>
                <w:sz w:val="20"/>
                <w:szCs w:val="20"/>
              </w:rPr>
            </w:pPr>
          </w:p>
          <w:p w:rsidR="0095096B" w:rsidRPr="00F21162" w:rsidRDefault="00D15E09" w:rsidP="0095096B">
            <w:pPr>
              <w:jc w:val="center"/>
              <w:rPr>
                <w:rFonts w:cs="Times New Roman"/>
                <w:sz w:val="20"/>
                <w:szCs w:val="20"/>
              </w:rPr>
            </w:pPr>
            <w:r w:rsidRPr="00F21162">
              <w:rPr>
                <w:rFonts w:cs="Times New Roman"/>
                <w:sz w:val="20"/>
                <w:szCs w:val="20"/>
              </w:rPr>
              <w:t>182</w:t>
            </w:r>
            <w:r w:rsidR="00A10C4C" w:rsidRPr="00F21162">
              <w:rPr>
                <w:rFonts w:cs="Times New Roman"/>
                <w:sz w:val="20"/>
                <w:szCs w:val="20"/>
              </w:rPr>
              <w:t>8</w:t>
            </w:r>
          </w:p>
          <w:p w:rsidR="00D15E09" w:rsidRPr="00F21162" w:rsidRDefault="00D15E09" w:rsidP="0095096B">
            <w:pPr>
              <w:jc w:val="center"/>
              <w:rPr>
                <w:rFonts w:cs="Times New Roman"/>
                <w:sz w:val="20"/>
                <w:szCs w:val="20"/>
              </w:rPr>
            </w:pPr>
          </w:p>
          <w:p w:rsidR="00A12D17" w:rsidRPr="00F21162" w:rsidRDefault="00A12D17" w:rsidP="0095096B">
            <w:pPr>
              <w:jc w:val="center"/>
              <w:rPr>
                <w:rFonts w:cs="Times New Roman"/>
                <w:sz w:val="20"/>
                <w:szCs w:val="20"/>
              </w:rPr>
            </w:pPr>
          </w:p>
          <w:p w:rsidR="0095096B" w:rsidRPr="00F21162" w:rsidRDefault="00D15E09" w:rsidP="0095096B">
            <w:pPr>
              <w:jc w:val="center"/>
              <w:rPr>
                <w:rFonts w:cs="Times New Roman"/>
                <w:sz w:val="20"/>
                <w:szCs w:val="20"/>
              </w:rPr>
            </w:pPr>
            <w:r w:rsidRPr="00F21162">
              <w:rPr>
                <w:rFonts w:cs="Times New Roman"/>
                <w:sz w:val="20"/>
                <w:szCs w:val="20"/>
              </w:rPr>
              <w:t>18</w:t>
            </w:r>
            <w:r w:rsidR="00A10C4C" w:rsidRPr="00F21162">
              <w:rPr>
                <w:rFonts w:cs="Times New Roman"/>
                <w:sz w:val="20"/>
                <w:szCs w:val="20"/>
              </w:rPr>
              <w:t>29</w:t>
            </w:r>
          </w:p>
          <w:p w:rsidR="0095096B" w:rsidRPr="00F21162" w:rsidRDefault="0095096B" w:rsidP="0095096B">
            <w:pPr>
              <w:jc w:val="center"/>
              <w:rPr>
                <w:rFonts w:cs="Times New Roman"/>
                <w:sz w:val="20"/>
                <w:szCs w:val="20"/>
              </w:rPr>
            </w:pPr>
          </w:p>
          <w:p w:rsidR="00F90CD6" w:rsidRPr="00F21162" w:rsidRDefault="00F90CD6" w:rsidP="0095096B">
            <w:pPr>
              <w:jc w:val="center"/>
              <w:rPr>
                <w:rFonts w:cs="Times New Roman"/>
                <w:sz w:val="20"/>
                <w:szCs w:val="20"/>
              </w:rPr>
            </w:pPr>
          </w:p>
          <w:p w:rsidR="0095096B" w:rsidRPr="00F21162" w:rsidRDefault="00D15E09" w:rsidP="0095096B">
            <w:pPr>
              <w:jc w:val="center"/>
              <w:rPr>
                <w:rFonts w:cs="Times New Roman"/>
                <w:sz w:val="20"/>
                <w:szCs w:val="20"/>
              </w:rPr>
            </w:pPr>
            <w:r w:rsidRPr="00F21162">
              <w:rPr>
                <w:rFonts w:cs="Times New Roman"/>
                <w:sz w:val="20"/>
                <w:szCs w:val="20"/>
              </w:rPr>
              <w:t>183</w:t>
            </w:r>
            <w:r w:rsidR="00A10C4C" w:rsidRPr="00F21162">
              <w:rPr>
                <w:rFonts w:cs="Times New Roman"/>
                <w:sz w:val="20"/>
                <w:szCs w:val="20"/>
              </w:rPr>
              <w:t>0</w:t>
            </w:r>
            <w:r w:rsidRPr="00F21162">
              <w:rPr>
                <w:rFonts w:cs="Times New Roman"/>
                <w:sz w:val="20"/>
                <w:szCs w:val="20"/>
              </w:rPr>
              <w:t xml:space="preserve"> </w:t>
            </w:r>
            <w:r w:rsidR="0095096B" w:rsidRPr="00F21162">
              <w:rPr>
                <w:rFonts w:cs="Times New Roman"/>
                <w:sz w:val="20"/>
                <w:szCs w:val="20"/>
              </w:rPr>
              <w:t>-</w:t>
            </w:r>
            <w:r w:rsidRPr="00F21162">
              <w:rPr>
                <w:rFonts w:cs="Times New Roman"/>
                <w:sz w:val="20"/>
                <w:szCs w:val="20"/>
              </w:rPr>
              <w:t xml:space="preserve"> 183</w:t>
            </w:r>
            <w:r w:rsidR="00A10C4C" w:rsidRPr="00F21162">
              <w:rPr>
                <w:rFonts w:cs="Times New Roman"/>
                <w:sz w:val="20"/>
                <w:szCs w:val="20"/>
              </w:rPr>
              <w:t>2</w:t>
            </w:r>
          </w:p>
          <w:p w:rsidR="0095096B" w:rsidRPr="00F21162" w:rsidRDefault="0095096B" w:rsidP="0095096B">
            <w:pPr>
              <w:jc w:val="center"/>
              <w:rPr>
                <w:rFonts w:cs="Times New Roman"/>
                <w:sz w:val="20"/>
                <w:szCs w:val="20"/>
              </w:rPr>
            </w:pPr>
          </w:p>
          <w:p w:rsidR="00F90CD6" w:rsidRPr="00F21162" w:rsidRDefault="00F90CD6" w:rsidP="0095096B">
            <w:pPr>
              <w:jc w:val="center"/>
              <w:rPr>
                <w:rFonts w:cs="Times New Roman"/>
                <w:sz w:val="20"/>
                <w:szCs w:val="20"/>
              </w:rPr>
            </w:pPr>
          </w:p>
          <w:p w:rsidR="0095096B" w:rsidRPr="00F21162" w:rsidRDefault="00D15E09" w:rsidP="0095096B">
            <w:pPr>
              <w:jc w:val="center"/>
              <w:rPr>
                <w:rFonts w:cs="Times New Roman"/>
                <w:sz w:val="20"/>
                <w:szCs w:val="20"/>
              </w:rPr>
            </w:pPr>
            <w:r w:rsidRPr="00F21162">
              <w:rPr>
                <w:rFonts w:cs="Times New Roman"/>
                <w:sz w:val="20"/>
                <w:szCs w:val="20"/>
              </w:rPr>
              <w:t>183</w:t>
            </w:r>
            <w:r w:rsidR="00A10C4C" w:rsidRPr="00F21162">
              <w:rPr>
                <w:rFonts w:cs="Times New Roman"/>
                <w:sz w:val="20"/>
                <w:szCs w:val="20"/>
              </w:rPr>
              <w:t>3</w:t>
            </w:r>
            <w:r w:rsidRPr="00F21162">
              <w:rPr>
                <w:rFonts w:cs="Times New Roman"/>
                <w:sz w:val="20"/>
                <w:szCs w:val="20"/>
              </w:rPr>
              <w:t xml:space="preserve"> </w:t>
            </w:r>
            <w:r w:rsidR="0095096B" w:rsidRPr="00F21162">
              <w:rPr>
                <w:rFonts w:cs="Times New Roman"/>
                <w:sz w:val="20"/>
                <w:szCs w:val="20"/>
              </w:rPr>
              <w:t>-</w:t>
            </w:r>
            <w:r w:rsidRPr="00F21162">
              <w:rPr>
                <w:rFonts w:cs="Times New Roman"/>
                <w:sz w:val="20"/>
                <w:szCs w:val="20"/>
              </w:rPr>
              <w:t xml:space="preserve"> 183</w:t>
            </w:r>
            <w:r w:rsidR="00A10C4C" w:rsidRPr="00F21162">
              <w:rPr>
                <w:rFonts w:cs="Times New Roman"/>
                <w:sz w:val="20"/>
                <w:szCs w:val="20"/>
              </w:rPr>
              <w:t>4</w:t>
            </w:r>
          </w:p>
          <w:p w:rsidR="0095096B" w:rsidRPr="00F21162" w:rsidRDefault="0095096B" w:rsidP="0095096B">
            <w:pPr>
              <w:jc w:val="center"/>
              <w:rPr>
                <w:rFonts w:cs="Times New Roman"/>
                <w:sz w:val="20"/>
                <w:szCs w:val="20"/>
              </w:rPr>
            </w:pPr>
          </w:p>
          <w:p w:rsidR="00F90CD6" w:rsidRPr="00F21162" w:rsidRDefault="00F90CD6" w:rsidP="0095096B">
            <w:pPr>
              <w:jc w:val="center"/>
              <w:rPr>
                <w:rFonts w:cs="Times New Roman"/>
                <w:sz w:val="20"/>
                <w:szCs w:val="20"/>
              </w:rPr>
            </w:pPr>
          </w:p>
          <w:p w:rsidR="0095096B" w:rsidRPr="00F21162" w:rsidRDefault="00D15E09" w:rsidP="0095096B">
            <w:pPr>
              <w:jc w:val="center"/>
              <w:rPr>
                <w:rFonts w:cs="Times New Roman"/>
                <w:sz w:val="20"/>
                <w:szCs w:val="20"/>
              </w:rPr>
            </w:pPr>
            <w:r w:rsidRPr="00F21162">
              <w:rPr>
                <w:rFonts w:cs="Times New Roman"/>
                <w:sz w:val="20"/>
                <w:szCs w:val="20"/>
              </w:rPr>
              <w:t>183</w:t>
            </w:r>
            <w:r w:rsidR="00A10C4C" w:rsidRPr="00F21162">
              <w:rPr>
                <w:rFonts w:cs="Times New Roman"/>
                <w:sz w:val="20"/>
                <w:szCs w:val="20"/>
              </w:rPr>
              <w:t>5</w:t>
            </w:r>
            <w:r w:rsidRPr="00F21162">
              <w:rPr>
                <w:rFonts w:cs="Times New Roman"/>
                <w:sz w:val="20"/>
                <w:szCs w:val="20"/>
              </w:rPr>
              <w:t xml:space="preserve"> </w:t>
            </w:r>
            <w:r w:rsidR="0095096B" w:rsidRPr="00F21162">
              <w:rPr>
                <w:rFonts w:cs="Times New Roman"/>
                <w:sz w:val="20"/>
                <w:szCs w:val="20"/>
              </w:rPr>
              <w:t>-</w:t>
            </w:r>
            <w:r w:rsidRPr="00F21162">
              <w:rPr>
                <w:rFonts w:cs="Times New Roman"/>
                <w:sz w:val="20"/>
                <w:szCs w:val="20"/>
              </w:rPr>
              <w:t xml:space="preserve"> 18</w:t>
            </w:r>
            <w:r w:rsidR="00260B94">
              <w:rPr>
                <w:rFonts w:cs="Times New Roman"/>
                <w:sz w:val="20"/>
                <w:szCs w:val="20"/>
              </w:rPr>
              <w:t>4</w:t>
            </w:r>
            <w:r w:rsidR="00A10C4C" w:rsidRPr="00F21162">
              <w:rPr>
                <w:rFonts w:cs="Times New Roman"/>
                <w:sz w:val="20"/>
                <w:szCs w:val="20"/>
              </w:rPr>
              <w:t>9</w:t>
            </w:r>
          </w:p>
          <w:p w:rsidR="00A87207" w:rsidRPr="00F21162" w:rsidRDefault="00A87207" w:rsidP="00AD11E1">
            <w:pPr>
              <w:jc w:val="center"/>
              <w:rPr>
                <w:rFonts w:cs="Times New Roman"/>
                <w:sz w:val="20"/>
                <w:szCs w:val="20"/>
              </w:rPr>
            </w:pPr>
          </w:p>
        </w:tc>
        <w:tc>
          <w:tcPr>
            <w:tcW w:w="3888" w:type="dxa"/>
          </w:tcPr>
          <w:p w:rsidR="0095096B" w:rsidRPr="00F21162" w:rsidRDefault="000E27A5" w:rsidP="0095096B">
            <w:pPr>
              <w:rPr>
                <w:rFonts w:cs="Times New Roman"/>
                <w:sz w:val="20"/>
                <w:szCs w:val="20"/>
                <w:lang w:val="fr-CA"/>
              </w:rPr>
            </w:pPr>
            <w:r w:rsidRPr="00F21162">
              <w:rPr>
                <w:rFonts w:cs="Times New Roman"/>
                <w:sz w:val="20"/>
                <w:szCs w:val="20"/>
                <w:lang w:val="fr-CA"/>
              </w:rPr>
              <w:fldChar w:fldCharType="begin"/>
            </w:r>
            <w:r w:rsidR="0095096B" w:rsidRPr="00F21162">
              <w:rPr>
                <w:rFonts w:cs="Times New Roman"/>
                <w:sz w:val="20"/>
                <w:szCs w:val="20"/>
                <w:lang w:val="fr-CA"/>
              </w:rPr>
              <w:instrText xml:space="preserve"> SEQ CHAPTER \h \r 1</w:instrText>
            </w:r>
            <w:r w:rsidRPr="00F21162">
              <w:rPr>
                <w:rFonts w:cs="Times New Roman"/>
                <w:sz w:val="20"/>
                <w:szCs w:val="20"/>
                <w:lang w:val="fr-CA"/>
              </w:rPr>
              <w:fldChar w:fldCharType="end"/>
            </w:r>
            <w:r w:rsidR="0095096B" w:rsidRPr="00F21162">
              <w:rPr>
                <w:rFonts w:cs="Times New Roman"/>
                <w:sz w:val="20"/>
                <w:szCs w:val="20"/>
                <w:lang w:val="fr-CA"/>
              </w:rPr>
              <w:t>Demandes d</w:t>
            </w:r>
            <w:r w:rsidR="004137A0" w:rsidRPr="00F21162">
              <w:rPr>
                <w:rFonts w:cs="Times New Roman"/>
                <w:sz w:val="20"/>
                <w:szCs w:val="20"/>
                <w:lang w:val="fr-CA"/>
              </w:rPr>
              <w:t>’</w:t>
            </w:r>
            <w:r w:rsidR="0095096B" w:rsidRPr="00F21162">
              <w:rPr>
                <w:rFonts w:cs="Times New Roman"/>
                <w:sz w:val="20"/>
                <w:szCs w:val="20"/>
                <w:lang w:val="fr-CA"/>
              </w:rPr>
              <w:t>autorisation d</w:t>
            </w:r>
            <w:r w:rsidR="004137A0" w:rsidRPr="00F21162">
              <w:rPr>
                <w:rFonts w:cs="Times New Roman"/>
                <w:sz w:val="20"/>
                <w:szCs w:val="20"/>
                <w:lang w:val="fr-CA"/>
              </w:rPr>
              <w:t>’</w:t>
            </w:r>
            <w:r w:rsidR="0095096B" w:rsidRPr="00F21162">
              <w:rPr>
                <w:rFonts w:cs="Times New Roman"/>
                <w:sz w:val="20"/>
                <w:szCs w:val="20"/>
                <w:lang w:val="fr-CA"/>
              </w:rPr>
              <w:t xml:space="preserve">appel </w:t>
            </w:r>
          </w:p>
          <w:p w:rsidR="0095096B" w:rsidRPr="00F21162" w:rsidRDefault="0095096B" w:rsidP="0095096B">
            <w:pPr>
              <w:rPr>
                <w:rFonts w:cs="Times New Roman"/>
                <w:sz w:val="20"/>
                <w:szCs w:val="20"/>
                <w:lang w:val="fr-CA"/>
              </w:rPr>
            </w:pPr>
            <w:r w:rsidRPr="00F21162">
              <w:rPr>
                <w:rFonts w:cs="Times New Roman"/>
                <w:sz w:val="20"/>
                <w:szCs w:val="20"/>
                <w:lang w:val="fr-CA"/>
              </w:rPr>
              <w:t>déposées</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 xml:space="preserve">Demandes soumises à la Cour depuis la </w:t>
            </w:r>
          </w:p>
          <w:p w:rsidR="0095096B" w:rsidRPr="00F21162" w:rsidRDefault="0095096B" w:rsidP="0095096B">
            <w:pPr>
              <w:rPr>
                <w:rFonts w:cs="Times New Roman"/>
                <w:sz w:val="20"/>
                <w:szCs w:val="20"/>
                <w:lang w:val="fr-CA"/>
              </w:rPr>
            </w:pPr>
            <w:r w:rsidRPr="00F21162">
              <w:rPr>
                <w:rFonts w:cs="Times New Roman"/>
                <w:sz w:val="20"/>
                <w:szCs w:val="20"/>
                <w:lang w:val="fr-CA"/>
              </w:rPr>
              <w:t>dernière parution</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Audience sur les demandes d</w:t>
            </w:r>
            <w:r w:rsidR="004137A0" w:rsidRPr="00F21162">
              <w:rPr>
                <w:rFonts w:cs="Times New Roman"/>
                <w:sz w:val="20"/>
                <w:szCs w:val="20"/>
                <w:lang w:val="fr-CA"/>
              </w:rPr>
              <w:t>’</w:t>
            </w:r>
            <w:r w:rsidRPr="00F21162">
              <w:rPr>
                <w:rFonts w:cs="Times New Roman"/>
                <w:sz w:val="20"/>
                <w:szCs w:val="20"/>
                <w:lang w:val="fr-CA"/>
              </w:rPr>
              <w:t>autorisation</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 xml:space="preserve">Jugements rendus sur les demandes </w:t>
            </w:r>
          </w:p>
          <w:p w:rsidR="0095096B" w:rsidRPr="00F21162" w:rsidRDefault="004137A0" w:rsidP="0095096B">
            <w:pPr>
              <w:rPr>
                <w:rFonts w:cs="Times New Roman"/>
                <w:sz w:val="20"/>
                <w:szCs w:val="20"/>
                <w:lang w:val="fr-CA"/>
              </w:rPr>
            </w:pPr>
            <w:r w:rsidRPr="00F21162">
              <w:rPr>
                <w:rFonts w:cs="Times New Roman"/>
                <w:sz w:val="20"/>
                <w:szCs w:val="20"/>
                <w:lang w:val="fr-CA"/>
              </w:rPr>
              <w:t>d’</w:t>
            </w:r>
            <w:r w:rsidR="0095096B" w:rsidRPr="00F21162">
              <w:rPr>
                <w:rFonts w:cs="Times New Roman"/>
                <w:sz w:val="20"/>
                <w:szCs w:val="20"/>
                <w:lang w:val="fr-CA"/>
              </w:rPr>
              <w:t>autorisation</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Requêtes</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Avis d</w:t>
            </w:r>
            <w:r w:rsidR="004137A0" w:rsidRPr="00F21162">
              <w:rPr>
                <w:rFonts w:cs="Times New Roman"/>
                <w:sz w:val="20"/>
                <w:szCs w:val="20"/>
                <w:lang w:val="fr-CA"/>
              </w:rPr>
              <w:t>’</w:t>
            </w:r>
            <w:r w:rsidRPr="00F21162">
              <w:rPr>
                <w:rFonts w:cs="Times New Roman"/>
                <w:sz w:val="20"/>
                <w:szCs w:val="20"/>
                <w:lang w:val="fr-CA"/>
              </w:rPr>
              <w:t xml:space="preserve">appel déposés depuis la dernière </w:t>
            </w:r>
          </w:p>
          <w:p w:rsidR="0095096B" w:rsidRPr="00F21162" w:rsidRDefault="0095096B" w:rsidP="0095096B">
            <w:pPr>
              <w:rPr>
                <w:rFonts w:cs="Times New Roman"/>
                <w:sz w:val="20"/>
                <w:szCs w:val="20"/>
                <w:lang w:val="fr-CA"/>
              </w:rPr>
            </w:pPr>
            <w:r w:rsidRPr="00F21162">
              <w:rPr>
                <w:rFonts w:cs="Times New Roman"/>
                <w:sz w:val="20"/>
                <w:szCs w:val="20"/>
                <w:lang w:val="fr-CA"/>
              </w:rPr>
              <w:t>parution</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Avis de désistement déposés depuis la dernière parution</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 xml:space="preserve">Appels entendus depuis la dernière </w:t>
            </w:r>
          </w:p>
          <w:p w:rsidR="0095096B" w:rsidRPr="00F21162" w:rsidRDefault="0095096B" w:rsidP="0095096B">
            <w:pPr>
              <w:rPr>
                <w:rFonts w:cs="Times New Roman"/>
                <w:sz w:val="20"/>
                <w:szCs w:val="20"/>
                <w:lang w:val="fr-CA"/>
              </w:rPr>
            </w:pPr>
            <w:r w:rsidRPr="00F21162">
              <w:rPr>
                <w:rFonts w:cs="Times New Roman"/>
                <w:sz w:val="20"/>
                <w:szCs w:val="20"/>
                <w:lang w:val="fr-CA"/>
              </w:rPr>
              <w:t>parution et résultat</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 xml:space="preserve">Jugements rendus sur les appels en </w:t>
            </w:r>
          </w:p>
          <w:p w:rsidR="0095096B" w:rsidRPr="00F21162" w:rsidRDefault="0095096B" w:rsidP="0095096B">
            <w:pPr>
              <w:rPr>
                <w:rFonts w:cs="Times New Roman"/>
                <w:sz w:val="20"/>
                <w:szCs w:val="20"/>
                <w:lang w:val="fr-CA"/>
              </w:rPr>
            </w:pPr>
            <w:r w:rsidRPr="00F21162">
              <w:rPr>
                <w:rFonts w:cs="Times New Roman"/>
                <w:sz w:val="20"/>
                <w:szCs w:val="20"/>
                <w:lang w:val="fr-CA"/>
              </w:rPr>
              <w:t>délibéré</w:t>
            </w:r>
          </w:p>
          <w:p w:rsidR="0095096B" w:rsidRPr="00F21162" w:rsidRDefault="0095096B" w:rsidP="0095096B">
            <w:pPr>
              <w:rPr>
                <w:rFonts w:cs="Times New Roman"/>
                <w:sz w:val="20"/>
                <w:szCs w:val="20"/>
                <w:lang w:val="fr-CA"/>
              </w:rPr>
            </w:pPr>
          </w:p>
          <w:p w:rsidR="0095096B" w:rsidRPr="00F21162" w:rsidRDefault="0095096B" w:rsidP="0095096B">
            <w:pPr>
              <w:rPr>
                <w:rFonts w:cs="Times New Roman"/>
                <w:sz w:val="20"/>
                <w:szCs w:val="20"/>
                <w:lang w:val="fr-CA"/>
              </w:rPr>
            </w:pPr>
            <w:r w:rsidRPr="00F21162">
              <w:rPr>
                <w:rFonts w:cs="Times New Roman"/>
                <w:sz w:val="20"/>
                <w:szCs w:val="20"/>
                <w:lang w:val="fr-CA"/>
              </w:rPr>
              <w:t xml:space="preserve">Sommaires de </w:t>
            </w:r>
            <w:r w:rsidR="00C50A5C" w:rsidRPr="00F21162">
              <w:rPr>
                <w:rFonts w:cs="Times New Roman"/>
                <w:sz w:val="20"/>
                <w:szCs w:val="20"/>
                <w:lang w:val="fr-CA"/>
              </w:rPr>
              <w:t>jugements récents</w:t>
            </w:r>
          </w:p>
          <w:p w:rsidR="00A87207" w:rsidRPr="00F21162" w:rsidRDefault="00A87207" w:rsidP="000F5958">
            <w:pPr>
              <w:tabs>
                <w:tab w:val="right" w:pos="9360"/>
              </w:tabs>
              <w:rPr>
                <w:rFonts w:cs="Times New Roman"/>
                <w:sz w:val="20"/>
                <w:szCs w:val="20"/>
                <w:lang w:val="fr-CA"/>
              </w:rPr>
            </w:pPr>
          </w:p>
        </w:tc>
      </w:tr>
    </w:tbl>
    <w:p w:rsidR="0095096B" w:rsidRPr="00F21162" w:rsidRDefault="0095096B" w:rsidP="0095096B">
      <w:pPr>
        <w:tabs>
          <w:tab w:val="right" w:pos="9360"/>
        </w:tabs>
      </w:pPr>
    </w:p>
    <w:tbl>
      <w:tblPr>
        <w:tblStyle w:val="TableGrid"/>
        <w:tblW w:w="0" w:type="auto"/>
        <w:tblLook w:val="04A0" w:firstRow="1" w:lastRow="0" w:firstColumn="1" w:lastColumn="0" w:noHBand="0" w:noVBand="1"/>
      </w:tblPr>
      <w:tblGrid>
        <w:gridCol w:w="9576"/>
      </w:tblGrid>
      <w:tr w:rsidR="0079724F" w:rsidRPr="00F21162" w:rsidTr="0079724F">
        <w:tc>
          <w:tcPr>
            <w:tcW w:w="9576" w:type="dxa"/>
          </w:tcPr>
          <w:p w:rsidR="0079724F" w:rsidRPr="00F21162" w:rsidRDefault="0079724F" w:rsidP="00215F7C">
            <w:pPr>
              <w:keepNext/>
              <w:tabs>
                <w:tab w:val="right" w:pos="9360"/>
              </w:tabs>
              <w:jc w:val="center"/>
              <w:rPr>
                <w:szCs w:val="24"/>
              </w:rPr>
            </w:pPr>
            <w:r w:rsidRPr="00F21162">
              <w:rPr>
                <w:szCs w:val="24"/>
              </w:rPr>
              <w:t>NOTICE</w:t>
            </w:r>
          </w:p>
          <w:p w:rsidR="0079724F" w:rsidRPr="00F21162" w:rsidRDefault="0079724F" w:rsidP="00215F7C">
            <w:pPr>
              <w:keepNext/>
              <w:tabs>
                <w:tab w:val="right" w:pos="9360"/>
              </w:tabs>
              <w:rPr>
                <w:szCs w:val="24"/>
              </w:rPr>
            </w:pPr>
          </w:p>
          <w:p w:rsidR="0079724F" w:rsidRPr="00F21162" w:rsidRDefault="0079724F" w:rsidP="00215F7C">
            <w:pPr>
              <w:keepNext/>
              <w:tabs>
                <w:tab w:val="right" w:pos="9360"/>
              </w:tabs>
              <w:jc w:val="both"/>
              <w:rPr>
                <w:szCs w:val="24"/>
              </w:rPr>
            </w:pPr>
            <w:r w:rsidRPr="00F21162">
              <w:rPr>
                <w:szCs w:val="24"/>
              </w:rPr>
              <w:t>Case summaries included in the Bulletin are prepared by the Office of the Registrar of the Supreme Court of Canada (Law Branch) for information purposes only.</w:t>
            </w:r>
          </w:p>
          <w:p w:rsidR="0079724F" w:rsidRPr="00F21162" w:rsidRDefault="0079724F" w:rsidP="00215F7C">
            <w:pPr>
              <w:keepNext/>
              <w:tabs>
                <w:tab w:val="right" w:pos="9360"/>
              </w:tabs>
              <w:rPr>
                <w:szCs w:val="24"/>
              </w:rPr>
            </w:pPr>
          </w:p>
          <w:p w:rsidR="0079724F" w:rsidRPr="00F21162" w:rsidRDefault="0079724F" w:rsidP="00215F7C">
            <w:pPr>
              <w:keepNext/>
              <w:tabs>
                <w:tab w:val="right" w:pos="9360"/>
              </w:tabs>
              <w:rPr>
                <w:szCs w:val="24"/>
              </w:rPr>
            </w:pPr>
          </w:p>
          <w:p w:rsidR="0079724F" w:rsidRPr="00F21162" w:rsidRDefault="0079724F" w:rsidP="00215F7C">
            <w:pPr>
              <w:keepNext/>
              <w:tabs>
                <w:tab w:val="right" w:pos="9360"/>
              </w:tabs>
              <w:jc w:val="center"/>
              <w:rPr>
                <w:szCs w:val="24"/>
                <w:lang w:val="fr-CA"/>
              </w:rPr>
            </w:pPr>
            <w:r w:rsidRPr="00F21162">
              <w:rPr>
                <w:szCs w:val="24"/>
                <w:lang w:val="fr-CA"/>
              </w:rPr>
              <w:t>AVIS</w:t>
            </w:r>
          </w:p>
          <w:p w:rsidR="0079724F" w:rsidRPr="00F21162" w:rsidRDefault="0079724F" w:rsidP="00215F7C">
            <w:pPr>
              <w:keepNext/>
              <w:tabs>
                <w:tab w:val="right" w:pos="9360"/>
              </w:tabs>
              <w:rPr>
                <w:szCs w:val="24"/>
                <w:lang w:val="fr-CA"/>
              </w:rPr>
            </w:pPr>
          </w:p>
          <w:p w:rsidR="0079724F" w:rsidRPr="00F21162" w:rsidRDefault="0079724F" w:rsidP="00215F7C">
            <w:pPr>
              <w:keepNext/>
              <w:tabs>
                <w:tab w:val="right" w:pos="9360"/>
              </w:tabs>
              <w:jc w:val="both"/>
              <w:rPr>
                <w:sz w:val="20"/>
                <w:szCs w:val="20"/>
                <w:lang w:val="fr-CA"/>
              </w:rPr>
            </w:pPr>
            <w:r w:rsidRPr="00F21162">
              <w:rPr>
                <w:szCs w:val="24"/>
                <w:lang w:val="fr-CA"/>
              </w:rPr>
              <w:t>Les résumés de dossiers publiés dans le bulletin sont préparés par le Bureau du registraire (Direction générale du droit) uniquement à titre d’information.</w:t>
            </w:r>
          </w:p>
        </w:tc>
      </w:tr>
    </w:tbl>
    <w:p w:rsidR="0095096B" w:rsidRPr="00F21162" w:rsidRDefault="0095096B" w:rsidP="0095096B">
      <w:pPr>
        <w:tabs>
          <w:tab w:val="right" w:pos="9360"/>
        </w:tabs>
        <w:rPr>
          <w:lang w:val="fr-CA"/>
        </w:rPr>
      </w:pPr>
    </w:p>
    <w:p w:rsidR="00A87207" w:rsidRPr="00F21162" w:rsidRDefault="00A87207" w:rsidP="0095096B">
      <w:pPr>
        <w:tabs>
          <w:tab w:val="right" w:pos="9360"/>
        </w:tabs>
        <w:rPr>
          <w:lang w:val="fr-CA"/>
        </w:rPr>
        <w:sectPr w:rsidR="00A87207" w:rsidRPr="00F21162" w:rsidSect="0044776A">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A87207" w:rsidRPr="00F21162" w:rsidTr="00245129">
        <w:tc>
          <w:tcPr>
            <w:tcW w:w="4200" w:type="dxa"/>
            <w:shd w:val="clear" w:color="auto" w:fill="auto"/>
            <w:tcMar>
              <w:left w:w="0" w:type="dxa"/>
              <w:right w:w="0" w:type="dxa"/>
            </w:tcMar>
          </w:tcPr>
          <w:p w:rsidR="00A87207" w:rsidRPr="00F21162" w:rsidRDefault="00A87207" w:rsidP="00BA6468">
            <w:pPr>
              <w:rPr>
                <w:rFonts w:eastAsia="Times New Roman" w:cs="Times New Roman"/>
                <w:b/>
                <w:sz w:val="20"/>
                <w:szCs w:val="20"/>
                <w:lang w:eastAsia="en-CA"/>
              </w:rPr>
            </w:pPr>
            <w:r w:rsidRPr="00F21162">
              <w:rPr>
                <w:rFonts w:eastAsia="Times New Roman" w:cs="Times New Roman"/>
                <w:b/>
                <w:szCs w:val="20"/>
                <w:lang w:eastAsia="en-CA"/>
              </w:rPr>
              <w:t>APPLICATIONS FOR LEAVE TO APPEAL FILED</w:t>
            </w:r>
          </w:p>
        </w:tc>
        <w:tc>
          <w:tcPr>
            <w:tcW w:w="1200" w:type="dxa"/>
            <w:shd w:val="clear" w:color="auto" w:fill="auto"/>
            <w:tcMar>
              <w:left w:w="0" w:type="dxa"/>
              <w:right w:w="0" w:type="dxa"/>
            </w:tcMar>
          </w:tcPr>
          <w:p w:rsidR="00A87207" w:rsidRPr="00F21162" w:rsidRDefault="00A87207" w:rsidP="002E2327">
            <w:pPr>
              <w:jc w:val="center"/>
              <w:rPr>
                <w:rFonts w:eastAsia="Times New Roman" w:cs="Times New Roman"/>
                <w:b/>
                <w:sz w:val="20"/>
                <w:szCs w:val="20"/>
                <w:lang w:eastAsia="en-CA"/>
              </w:rPr>
            </w:pPr>
          </w:p>
          <w:p w:rsidR="00A87207" w:rsidRPr="00F21162" w:rsidRDefault="00A87207" w:rsidP="002E2327">
            <w:pPr>
              <w:jc w:val="center"/>
              <w:rPr>
                <w:rFonts w:eastAsia="Times New Roman" w:cs="Times New Roman"/>
                <w:b/>
                <w:sz w:val="20"/>
                <w:szCs w:val="20"/>
                <w:lang w:eastAsia="en-CA"/>
              </w:rPr>
            </w:pPr>
          </w:p>
          <w:p w:rsidR="00A87207" w:rsidRPr="00F21162"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F21162" w:rsidRDefault="00A87207" w:rsidP="00A87207">
            <w:pPr>
              <w:rPr>
                <w:rFonts w:eastAsia="Times New Roman" w:cs="Times New Roman"/>
                <w:b/>
                <w:sz w:val="20"/>
                <w:szCs w:val="20"/>
                <w:lang w:val="fr-CA" w:eastAsia="en-CA"/>
              </w:rPr>
            </w:pPr>
            <w:r w:rsidRPr="00F21162">
              <w:rPr>
                <w:rFonts w:eastAsia="Times New Roman" w:cs="Times New Roman"/>
                <w:b/>
                <w:szCs w:val="20"/>
                <w:lang w:val="fr-CA" w:eastAsia="en-CA"/>
              </w:rPr>
              <w:t>DEMANDES D’AUTORISATION D’APPEL DÉPOSÉES</w:t>
            </w:r>
          </w:p>
        </w:tc>
      </w:tr>
    </w:tbl>
    <w:p w:rsidR="00A87207" w:rsidRPr="00F21162"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81"/>
        <w:gridCol w:w="4320"/>
      </w:tblGrid>
      <w:tr w:rsidR="00C21644" w:rsidRPr="00F21162" w:rsidTr="003B3977">
        <w:tc>
          <w:tcPr>
            <w:tcW w:w="4320" w:type="dxa"/>
            <w:shd w:val="clear" w:color="auto" w:fill="auto"/>
          </w:tcPr>
          <w:p w:rsidR="00C21644" w:rsidRPr="00F21162" w:rsidRDefault="00FF58F0" w:rsidP="005F1ED8">
            <w:pPr>
              <w:rPr>
                <w:b/>
                <w:sz w:val="20"/>
                <w:szCs w:val="20"/>
              </w:rPr>
            </w:pPr>
            <w:r w:rsidRPr="00F21162">
              <w:rPr>
                <w:b/>
                <w:sz w:val="20"/>
                <w:szCs w:val="20"/>
              </w:rPr>
              <w:t xml:space="preserve">Danny Wayne </w:t>
            </w:r>
            <w:proofErr w:type="spellStart"/>
            <w:r w:rsidRPr="00F21162">
              <w:rPr>
                <w:b/>
                <w:sz w:val="20"/>
                <w:szCs w:val="20"/>
              </w:rPr>
              <w:t>Lalumiere</w:t>
            </w:r>
            <w:proofErr w:type="spellEnd"/>
          </w:p>
          <w:p w:rsidR="00C21644" w:rsidRPr="00F21162" w:rsidRDefault="00C21644" w:rsidP="005F1ED8">
            <w:pPr>
              <w:tabs>
                <w:tab w:val="left" w:pos="-1440"/>
                <w:tab w:val="left" w:pos="-720"/>
              </w:tabs>
              <w:rPr>
                <w:sz w:val="20"/>
                <w:szCs w:val="20"/>
              </w:rPr>
            </w:pPr>
            <w:r w:rsidRPr="00F21162">
              <w:rPr>
                <w:sz w:val="20"/>
                <w:szCs w:val="20"/>
              </w:rPr>
              <w:tab/>
              <w:t>Da</w:t>
            </w:r>
            <w:r w:rsidR="00FF58F0" w:rsidRPr="00F21162">
              <w:rPr>
                <w:sz w:val="20"/>
                <w:szCs w:val="20"/>
              </w:rPr>
              <w:t xml:space="preserve">nny Wayne </w:t>
            </w:r>
            <w:proofErr w:type="spellStart"/>
            <w:r w:rsidR="00FF58F0" w:rsidRPr="00F21162">
              <w:rPr>
                <w:sz w:val="20"/>
                <w:szCs w:val="20"/>
              </w:rPr>
              <w:t>Lalumiere</w:t>
            </w:r>
            <w:proofErr w:type="spellEnd"/>
          </w:p>
          <w:p w:rsidR="00C21644" w:rsidRPr="00F21162" w:rsidRDefault="00C21644" w:rsidP="005F1ED8">
            <w:pPr>
              <w:tabs>
                <w:tab w:val="left" w:pos="-1440"/>
                <w:tab w:val="left" w:pos="-720"/>
              </w:tabs>
              <w:rPr>
                <w:sz w:val="20"/>
                <w:szCs w:val="20"/>
                <w:lang w:val="fr-CA"/>
              </w:rPr>
            </w:pPr>
          </w:p>
          <w:p w:rsidR="00C21644" w:rsidRPr="00F21162" w:rsidRDefault="00C21644" w:rsidP="005F1ED8">
            <w:pPr>
              <w:tabs>
                <w:tab w:val="left" w:pos="-1440"/>
                <w:tab w:val="left" w:pos="-720"/>
              </w:tabs>
              <w:rPr>
                <w:sz w:val="20"/>
                <w:szCs w:val="20"/>
                <w:lang w:val="fr-CA"/>
              </w:rPr>
            </w:pPr>
            <w:r w:rsidRPr="00F21162">
              <w:rPr>
                <w:sz w:val="20"/>
                <w:szCs w:val="20"/>
                <w:lang w:val="fr-CA"/>
              </w:rPr>
              <w:tab/>
              <w:t>v. (3</w:t>
            </w:r>
            <w:r w:rsidR="00FF58F0" w:rsidRPr="00F21162">
              <w:rPr>
                <w:sz w:val="20"/>
                <w:szCs w:val="20"/>
                <w:lang w:val="fr-CA"/>
              </w:rPr>
              <w:t>6739</w:t>
            </w:r>
            <w:r w:rsidRPr="00F21162">
              <w:rPr>
                <w:sz w:val="20"/>
                <w:szCs w:val="20"/>
                <w:lang w:val="fr-CA"/>
              </w:rPr>
              <w:t>)</w:t>
            </w:r>
          </w:p>
          <w:p w:rsidR="00C21644" w:rsidRPr="00F21162" w:rsidRDefault="00C21644" w:rsidP="005F1ED8">
            <w:pPr>
              <w:tabs>
                <w:tab w:val="left" w:pos="-1440"/>
                <w:tab w:val="left" w:pos="-720"/>
              </w:tabs>
              <w:rPr>
                <w:sz w:val="20"/>
                <w:szCs w:val="20"/>
                <w:lang w:val="fr-CA"/>
              </w:rPr>
            </w:pPr>
          </w:p>
          <w:p w:rsidR="00C21644" w:rsidRPr="00F21162" w:rsidRDefault="00FF58F0" w:rsidP="005F1ED8">
            <w:pPr>
              <w:tabs>
                <w:tab w:val="left" w:pos="-1440"/>
                <w:tab w:val="left" w:pos="-720"/>
              </w:tabs>
              <w:rPr>
                <w:b/>
                <w:sz w:val="20"/>
                <w:szCs w:val="20"/>
              </w:rPr>
            </w:pPr>
            <w:proofErr w:type="spellStart"/>
            <w:r w:rsidRPr="00F21162">
              <w:rPr>
                <w:b/>
                <w:sz w:val="20"/>
                <w:szCs w:val="20"/>
                <w:lang w:val="fr-CA"/>
              </w:rPr>
              <w:t>Her</w:t>
            </w:r>
            <w:proofErr w:type="spellEnd"/>
            <w:r w:rsidRPr="00F21162">
              <w:rPr>
                <w:b/>
                <w:sz w:val="20"/>
                <w:szCs w:val="20"/>
                <w:lang w:val="fr-CA"/>
              </w:rPr>
              <w:t xml:space="preserve"> </w:t>
            </w:r>
            <w:proofErr w:type="spellStart"/>
            <w:r w:rsidRPr="00F21162">
              <w:rPr>
                <w:b/>
                <w:sz w:val="20"/>
                <w:szCs w:val="20"/>
                <w:lang w:val="fr-CA"/>
              </w:rPr>
              <w:t>Majesty</w:t>
            </w:r>
            <w:proofErr w:type="spellEnd"/>
            <w:r w:rsidRPr="00F21162">
              <w:rPr>
                <w:b/>
                <w:sz w:val="20"/>
                <w:szCs w:val="20"/>
                <w:lang w:val="fr-CA"/>
              </w:rPr>
              <w:t xml:space="preserve"> the </w:t>
            </w:r>
            <w:proofErr w:type="spellStart"/>
            <w:r w:rsidRPr="00F21162">
              <w:rPr>
                <w:b/>
                <w:sz w:val="20"/>
                <w:szCs w:val="20"/>
                <w:lang w:val="fr-CA"/>
              </w:rPr>
              <w:t>Queen</w:t>
            </w:r>
            <w:proofErr w:type="spellEnd"/>
            <w:r w:rsidR="00C21644" w:rsidRPr="00F21162">
              <w:rPr>
                <w:sz w:val="20"/>
                <w:szCs w:val="20"/>
                <w:lang w:val="fr-CA"/>
              </w:rPr>
              <w:t xml:space="preserve"> </w:t>
            </w:r>
            <w:r w:rsidR="00C21644" w:rsidRPr="00F21162">
              <w:rPr>
                <w:b/>
                <w:sz w:val="20"/>
                <w:szCs w:val="20"/>
              </w:rPr>
              <w:t>(Ont.)</w:t>
            </w:r>
          </w:p>
          <w:p w:rsidR="00C21644" w:rsidRPr="00F21162" w:rsidRDefault="00C21644" w:rsidP="005F1ED8">
            <w:pPr>
              <w:tabs>
                <w:tab w:val="left" w:pos="-1440"/>
                <w:tab w:val="left" w:pos="-720"/>
              </w:tabs>
              <w:rPr>
                <w:sz w:val="20"/>
                <w:szCs w:val="20"/>
              </w:rPr>
            </w:pPr>
            <w:r w:rsidRPr="00F21162">
              <w:rPr>
                <w:sz w:val="20"/>
                <w:szCs w:val="20"/>
              </w:rPr>
              <w:tab/>
            </w:r>
            <w:r w:rsidR="00FF58F0" w:rsidRPr="00F21162">
              <w:rPr>
                <w:sz w:val="20"/>
                <w:szCs w:val="20"/>
              </w:rPr>
              <w:t>Randy Schwartz</w:t>
            </w:r>
          </w:p>
          <w:p w:rsidR="00C21644" w:rsidRPr="00F21162" w:rsidRDefault="00C21644" w:rsidP="005F1ED8">
            <w:pPr>
              <w:tabs>
                <w:tab w:val="left" w:pos="-1440"/>
                <w:tab w:val="left" w:pos="-720"/>
              </w:tabs>
              <w:rPr>
                <w:sz w:val="20"/>
                <w:szCs w:val="20"/>
              </w:rPr>
            </w:pPr>
            <w:r w:rsidRPr="00F21162">
              <w:rPr>
                <w:sz w:val="20"/>
                <w:szCs w:val="20"/>
              </w:rPr>
              <w:tab/>
            </w:r>
            <w:r w:rsidR="00FF58F0" w:rsidRPr="00F21162">
              <w:rPr>
                <w:sz w:val="20"/>
                <w:szCs w:val="20"/>
              </w:rPr>
              <w:t>A.G. of Ontario</w:t>
            </w:r>
          </w:p>
          <w:p w:rsidR="00C21644" w:rsidRPr="00F21162" w:rsidRDefault="00C21644" w:rsidP="005F1ED8">
            <w:pPr>
              <w:tabs>
                <w:tab w:val="left" w:pos="-1440"/>
                <w:tab w:val="left" w:pos="-720"/>
              </w:tabs>
              <w:rPr>
                <w:sz w:val="20"/>
                <w:szCs w:val="20"/>
              </w:rPr>
            </w:pPr>
          </w:p>
          <w:p w:rsidR="00C21644" w:rsidRPr="00F21162" w:rsidRDefault="00C21644" w:rsidP="005F1ED8">
            <w:pPr>
              <w:rPr>
                <w:sz w:val="20"/>
                <w:szCs w:val="20"/>
              </w:rPr>
            </w:pPr>
            <w:r w:rsidRPr="00F21162">
              <w:rPr>
                <w:sz w:val="20"/>
                <w:szCs w:val="20"/>
              </w:rPr>
              <w:t xml:space="preserve">FILING DATE: </w:t>
            </w:r>
            <w:r w:rsidR="00FF58F0" w:rsidRPr="00F21162">
              <w:rPr>
                <w:sz w:val="20"/>
                <w:szCs w:val="20"/>
              </w:rPr>
              <w:t>11</w:t>
            </w:r>
            <w:r w:rsidRPr="00F21162">
              <w:rPr>
                <w:sz w:val="20"/>
                <w:szCs w:val="20"/>
              </w:rPr>
              <w:t>.</w:t>
            </w:r>
            <w:r w:rsidR="00FF58F0" w:rsidRPr="00F21162">
              <w:rPr>
                <w:sz w:val="20"/>
                <w:szCs w:val="20"/>
              </w:rPr>
              <w:t>08</w:t>
            </w:r>
            <w:r w:rsidRPr="00F21162">
              <w:rPr>
                <w:sz w:val="20"/>
                <w:szCs w:val="20"/>
              </w:rPr>
              <w:t>.201</w:t>
            </w:r>
            <w:r w:rsidR="00FF58F0" w:rsidRPr="00F21162">
              <w:rPr>
                <w:sz w:val="20"/>
                <w:szCs w:val="20"/>
              </w:rPr>
              <w:t>5</w:t>
            </w:r>
          </w:p>
          <w:p w:rsidR="00C21644" w:rsidRPr="00F21162" w:rsidRDefault="00B150CF" w:rsidP="005F1ED8">
            <w:pPr>
              <w:rPr>
                <w:sz w:val="20"/>
                <w:szCs w:val="20"/>
              </w:rPr>
            </w:pPr>
            <w:r>
              <w:rPr>
                <w:sz w:val="20"/>
                <w:szCs w:val="20"/>
                <w:lang w:val="fr-CA"/>
              </w:rPr>
              <w:pict>
                <v:rect id="_x0000_i1025" style="width:108pt;height:1pt" o:hrpct="0" o:hralign="center" o:hrstd="t" o:hrnoshade="t" o:hr="t" fillcolor="black [3213]" stroked="f"/>
              </w:pict>
            </w:r>
          </w:p>
        </w:tc>
        <w:tc>
          <w:tcPr>
            <w:tcW w:w="1181" w:type="dxa"/>
            <w:shd w:val="clear" w:color="auto" w:fill="auto"/>
          </w:tcPr>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p w:rsidR="00C21644" w:rsidRPr="00F21162" w:rsidRDefault="00C21644" w:rsidP="00242AEE">
            <w:pPr>
              <w:jc w:val="center"/>
              <w:rPr>
                <w:sz w:val="20"/>
                <w:szCs w:val="20"/>
              </w:rPr>
            </w:pPr>
          </w:p>
        </w:tc>
        <w:tc>
          <w:tcPr>
            <w:tcW w:w="4320" w:type="dxa"/>
            <w:shd w:val="clear" w:color="auto" w:fill="auto"/>
          </w:tcPr>
          <w:p w:rsidR="00C21644" w:rsidRPr="00F21162" w:rsidRDefault="00C21644" w:rsidP="005F1ED8">
            <w:pPr>
              <w:rPr>
                <w:sz w:val="20"/>
                <w:szCs w:val="20"/>
                <w:lang w:val="fr-CA"/>
              </w:rPr>
            </w:pPr>
          </w:p>
        </w:tc>
      </w:tr>
    </w:tbl>
    <w:p w:rsidR="006C3F47" w:rsidRPr="00F21162" w:rsidRDefault="006C3F47" w:rsidP="0095096B">
      <w:pPr>
        <w:tabs>
          <w:tab w:val="right" w:pos="9360"/>
        </w:tabs>
        <w:rPr>
          <w:sz w:val="20"/>
          <w:szCs w:val="20"/>
        </w:rPr>
      </w:pPr>
    </w:p>
    <w:p w:rsidR="00D94028" w:rsidRPr="00F21162" w:rsidRDefault="00D94028" w:rsidP="0095096B">
      <w:pPr>
        <w:tabs>
          <w:tab w:val="right" w:pos="9360"/>
        </w:tabs>
        <w:rPr>
          <w:sz w:val="20"/>
          <w:szCs w:val="20"/>
        </w:rPr>
      </w:pPr>
    </w:p>
    <w:p w:rsidR="00242AEE" w:rsidRPr="00F21162" w:rsidRDefault="00242AEE" w:rsidP="0095096B">
      <w:pPr>
        <w:tabs>
          <w:tab w:val="right" w:pos="9360"/>
        </w:tabs>
        <w:rPr>
          <w:sz w:val="20"/>
          <w:szCs w:val="20"/>
        </w:rPr>
      </w:pPr>
    </w:p>
    <w:p w:rsidR="00242AEE" w:rsidRPr="00F21162" w:rsidRDefault="00242AEE" w:rsidP="0095096B">
      <w:pPr>
        <w:tabs>
          <w:tab w:val="right" w:pos="9360"/>
        </w:tabs>
        <w:rPr>
          <w:sz w:val="20"/>
          <w:szCs w:val="20"/>
        </w:rPr>
        <w:sectPr w:rsidR="00242AEE" w:rsidRPr="00F21162" w:rsidSect="005C54EB">
          <w:headerReference w:type="default" r:id="rId16"/>
          <w:footerReference w:type="default" r:id="rId17"/>
          <w:headerReference w:type="first" r:id="rId18"/>
          <w:footerReference w:type="first" r:id="rId19"/>
          <w:pgSz w:w="12240" w:h="15840"/>
          <w:pgMar w:top="720" w:right="965" w:bottom="1080" w:left="1656" w:header="706" w:footer="706" w:gutter="0"/>
          <w:pgNumType w:start="1803"/>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2E2327" w:rsidRPr="00F21162" w:rsidTr="00BA6468">
        <w:trPr>
          <w:trHeight w:val="900"/>
        </w:trPr>
        <w:tc>
          <w:tcPr>
            <w:tcW w:w="4200" w:type="dxa"/>
            <w:tcMar>
              <w:left w:w="0" w:type="dxa"/>
              <w:right w:w="0" w:type="dxa"/>
            </w:tcMar>
          </w:tcPr>
          <w:p w:rsidR="002E2327" w:rsidRPr="00F21162" w:rsidRDefault="002E2327" w:rsidP="002E2327">
            <w:pPr>
              <w:keepNext/>
              <w:keepLines/>
              <w:widowControl w:val="0"/>
              <w:rPr>
                <w:b/>
                <w:szCs w:val="24"/>
              </w:rPr>
            </w:pPr>
            <w:r w:rsidRPr="00F21162">
              <w:rPr>
                <w:b/>
                <w:szCs w:val="24"/>
              </w:rPr>
              <w:t>APPLICATIONS FOR LEAVE SUBMITTED TO COURT SINCE LAST ISSUE</w:t>
            </w:r>
          </w:p>
        </w:tc>
        <w:tc>
          <w:tcPr>
            <w:tcW w:w="1200" w:type="dxa"/>
            <w:tcMar>
              <w:left w:w="0" w:type="dxa"/>
              <w:right w:w="0" w:type="dxa"/>
            </w:tcMar>
          </w:tcPr>
          <w:p w:rsidR="002E2327" w:rsidRPr="00F21162" w:rsidRDefault="002E2327" w:rsidP="002E2327">
            <w:pPr>
              <w:keepNext/>
              <w:keepLines/>
              <w:widowControl w:val="0"/>
              <w:jc w:val="center"/>
              <w:rPr>
                <w:b/>
                <w:szCs w:val="24"/>
              </w:rPr>
            </w:pPr>
          </w:p>
          <w:p w:rsidR="001D0D5F" w:rsidRPr="00F21162" w:rsidRDefault="001D0D5F" w:rsidP="002E2327">
            <w:pPr>
              <w:keepNext/>
              <w:keepLines/>
              <w:widowControl w:val="0"/>
              <w:jc w:val="center"/>
              <w:rPr>
                <w:b/>
                <w:szCs w:val="24"/>
              </w:rPr>
            </w:pPr>
          </w:p>
          <w:p w:rsidR="001D0D5F" w:rsidRPr="00F21162" w:rsidRDefault="001D0D5F" w:rsidP="002E2327">
            <w:pPr>
              <w:keepNext/>
              <w:keepLines/>
              <w:widowControl w:val="0"/>
              <w:jc w:val="center"/>
              <w:rPr>
                <w:b/>
                <w:szCs w:val="24"/>
              </w:rPr>
            </w:pPr>
          </w:p>
          <w:p w:rsidR="001D0D5F" w:rsidRPr="00F21162" w:rsidRDefault="001D0D5F" w:rsidP="002E2327">
            <w:pPr>
              <w:keepNext/>
              <w:keepLines/>
              <w:widowControl w:val="0"/>
              <w:jc w:val="center"/>
              <w:rPr>
                <w:b/>
                <w:szCs w:val="24"/>
              </w:rPr>
            </w:pPr>
          </w:p>
        </w:tc>
        <w:tc>
          <w:tcPr>
            <w:tcW w:w="4080" w:type="dxa"/>
            <w:tcMar>
              <w:left w:w="0" w:type="dxa"/>
              <w:right w:w="0" w:type="dxa"/>
            </w:tcMar>
          </w:tcPr>
          <w:p w:rsidR="002E2327" w:rsidRPr="00F21162" w:rsidRDefault="002E2327" w:rsidP="002E2327">
            <w:pPr>
              <w:keepLines/>
              <w:widowControl w:val="0"/>
              <w:rPr>
                <w:szCs w:val="24"/>
                <w:lang w:val="fr-CA"/>
              </w:rPr>
            </w:pPr>
            <w:r w:rsidRPr="00F21162">
              <w:rPr>
                <w:b/>
                <w:szCs w:val="24"/>
                <w:lang w:val="fr-CA"/>
              </w:rPr>
              <w:t>DEMANDES SOUMISES À LA COUR DEPUIS LA DERNIÈRE PARUTION</w:t>
            </w:r>
          </w:p>
          <w:p w:rsidR="002E2327" w:rsidRPr="00F21162"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F21162" w:rsidRDefault="002E2327" w:rsidP="002E2327">
      <w:pPr>
        <w:widowControl w:val="0"/>
        <w:rPr>
          <w:b/>
          <w:sz w:val="20"/>
          <w:szCs w:val="20"/>
          <w:lang w:val="fr-CA"/>
        </w:rPr>
      </w:pPr>
    </w:p>
    <w:p w:rsidR="00CB3520" w:rsidRPr="00F21162" w:rsidRDefault="00D24E11" w:rsidP="00CB3520">
      <w:pPr>
        <w:widowControl w:val="0"/>
        <w:rPr>
          <w:b/>
          <w:sz w:val="20"/>
          <w:szCs w:val="20"/>
        </w:rPr>
      </w:pPr>
      <w:r w:rsidRPr="00F21162">
        <w:rPr>
          <w:b/>
          <w:sz w:val="20"/>
          <w:szCs w:val="20"/>
        </w:rPr>
        <w:t>NOVEMBER</w:t>
      </w:r>
      <w:r w:rsidR="00CB3520" w:rsidRPr="00F21162">
        <w:rPr>
          <w:b/>
          <w:sz w:val="20"/>
          <w:szCs w:val="20"/>
        </w:rPr>
        <w:t xml:space="preserve"> </w:t>
      </w:r>
      <w:r w:rsidRPr="00F21162">
        <w:rPr>
          <w:b/>
          <w:sz w:val="20"/>
          <w:szCs w:val="20"/>
        </w:rPr>
        <w:t>30</w:t>
      </w:r>
      <w:r w:rsidR="00CB3520" w:rsidRPr="00F21162">
        <w:rPr>
          <w:b/>
          <w:sz w:val="20"/>
          <w:szCs w:val="20"/>
        </w:rPr>
        <w:t>, 201</w:t>
      </w:r>
      <w:r w:rsidR="00020DC3" w:rsidRPr="00F21162">
        <w:rPr>
          <w:b/>
          <w:sz w:val="20"/>
          <w:szCs w:val="20"/>
        </w:rPr>
        <w:t>5</w:t>
      </w:r>
      <w:r w:rsidR="00CB3520" w:rsidRPr="00F21162">
        <w:rPr>
          <w:b/>
          <w:sz w:val="20"/>
          <w:szCs w:val="20"/>
        </w:rPr>
        <w:t xml:space="preserve"> / LE </w:t>
      </w:r>
      <w:r w:rsidRPr="00F21162">
        <w:rPr>
          <w:b/>
          <w:sz w:val="20"/>
          <w:szCs w:val="20"/>
        </w:rPr>
        <w:t>30</w:t>
      </w:r>
      <w:r w:rsidR="00CB3520" w:rsidRPr="00F21162">
        <w:rPr>
          <w:b/>
          <w:sz w:val="20"/>
          <w:szCs w:val="20"/>
        </w:rPr>
        <w:t xml:space="preserve"> </w:t>
      </w:r>
      <w:r w:rsidRPr="00F21162">
        <w:rPr>
          <w:b/>
          <w:sz w:val="20"/>
          <w:szCs w:val="20"/>
        </w:rPr>
        <w:t>NOVEMBRE</w:t>
      </w:r>
      <w:r w:rsidR="00CB3520" w:rsidRPr="00F21162">
        <w:rPr>
          <w:b/>
          <w:sz w:val="20"/>
          <w:szCs w:val="20"/>
        </w:rPr>
        <w:t xml:space="preserve"> 201</w:t>
      </w:r>
      <w:r w:rsidR="00020DC3" w:rsidRPr="00F21162">
        <w:rPr>
          <w:b/>
          <w:sz w:val="20"/>
          <w:szCs w:val="20"/>
        </w:rPr>
        <w:t>5</w:t>
      </w:r>
    </w:p>
    <w:p w:rsidR="00CB3520" w:rsidRPr="00F21162" w:rsidRDefault="00CB3520" w:rsidP="00CB3520">
      <w:pPr>
        <w:widowControl w:val="0"/>
        <w:rPr>
          <w:b/>
          <w:sz w:val="20"/>
          <w:szCs w:val="20"/>
        </w:rPr>
      </w:pPr>
    </w:p>
    <w:p w:rsidR="00CB3520" w:rsidRPr="00F21162" w:rsidRDefault="00CB3520" w:rsidP="00CB3520">
      <w:pPr>
        <w:widowControl w:val="0"/>
        <w:jc w:val="center"/>
        <w:rPr>
          <w:b/>
          <w:sz w:val="20"/>
          <w:szCs w:val="20"/>
        </w:rPr>
      </w:pPr>
      <w:r w:rsidRPr="00F21162">
        <w:rPr>
          <w:b/>
          <w:sz w:val="20"/>
          <w:szCs w:val="20"/>
        </w:rPr>
        <w:t xml:space="preserve">CORAM:  Chief Justice </w:t>
      </w:r>
      <w:proofErr w:type="spellStart"/>
      <w:r w:rsidRPr="00F21162">
        <w:rPr>
          <w:b/>
          <w:sz w:val="20"/>
          <w:szCs w:val="20"/>
        </w:rPr>
        <w:t>McLachlin</w:t>
      </w:r>
      <w:proofErr w:type="spellEnd"/>
      <w:r w:rsidRPr="00F21162">
        <w:rPr>
          <w:b/>
          <w:sz w:val="20"/>
          <w:szCs w:val="20"/>
        </w:rPr>
        <w:t xml:space="preserve"> and </w:t>
      </w:r>
      <w:proofErr w:type="spellStart"/>
      <w:r w:rsidR="005C7580" w:rsidRPr="00F21162">
        <w:rPr>
          <w:b/>
          <w:sz w:val="20"/>
          <w:szCs w:val="20"/>
        </w:rPr>
        <w:t>Moldaver</w:t>
      </w:r>
      <w:proofErr w:type="spellEnd"/>
      <w:r w:rsidRPr="00F21162">
        <w:rPr>
          <w:b/>
          <w:sz w:val="20"/>
          <w:szCs w:val="20"/>
        </w:rPr>
        <w:t xml:space="preserve"> and </w:t>
      </w:r>
      <w:proofErr w:type="spellStart"/>
      <w:r w:rsidR="00FA3373" w:rsidRPr="00F21162">
        <w:rPr>
          <w:b/>
          <w:sz w:val="20"/>
          <w:szCs w:val="20"/>
        </w:rPr>
        <w:t>Gascon</w:t>
      </w:r>
      <w:proofErr w:type="spellEnd"/>
      <w:r w:rsidR="00FA3373" w:rsidRPr="00F21162">
        <w:rPr>
          <w:b/>
          <w:sz w:val="20"/>
          <w:szCs w:val="20"/>
        </w:rPr>
        <w:t xml:space="preserve"> </w:t>
      </w:r>
      <w:r w:rsidRPr="00F21162">
        <w:rPr>
          <w:b/>
          <w:sz w:val="20"/>
          <w:szCs w:val="20"/>
        </w:rPr>
        <w:t>JJ.</w:t>
      </w:r>
    </w:p>
    <w:p w:rsidR="00CB3520" w:rsidRPr="00F21162" w:rsidRDefault="00CB3520" w:rsidP="00CB3520">
      <w:pPr>
        <w:widowControl w:val="0"/>
        <w:jc w:val="center"/>
        <w:rPr>
          <w:sz w:val="20"/>
          <w:szCs w:val="20"/>
          <w:lang w:val="fr-CA"/>
        </w:rPr>
      </w:pPr>
      <w:r w:rsidRPr="00F21162">
        <w:rPr>
          <w:b/>
          <w:sz w:val="20"/>
          <w:szCs w:val="20"/>
          <w:lang w:val="fr-CA"/>
        </w:rPr>
        <w:t xml:space="preserve">La juge en chef </w:t>
      </w:r>
      <w:proofErr w:type="spellStart"/>
      <w:r w:rsidRPr="00F21162">
        <w:rPr>
          <w:b/>
          <w:sz w:val="20"/>
          <w:szCs w:val="20"/>
          <w:lang w:val="fr-CA"/>
        </w:rPr>
        <w:t>McLachlin</w:t>
      </w:r>
      <w:proofErr w:type="spellEnd"/>
      <w:r w:rsidRPr="00F21162">
        <w:rPr>
          <w:b/>
          <w:sz w:val="20"/>
          <w:szCs w:val="20"/>
          <w:lang w:val="fr-CA"/>
        </w:rPr>
        <w:t xml:space="preserve"> et les juges </w:t>
      </w:r>
      <w:proofErr w:type="spellStart"/>
      <w:r w:rsidR="005C7580" w:rsidRPr="00F21162">
        <w:rPr>
          <w:b/>
          <w:sz w:val="20"/>
          <w:szCs w:val="20"/>
          <w:lang w:val="fr-CA"/>
        </w:rPr>
        <w:t>Moldaver</w:t>
      </w:r>
      <w:proofErr w:type="spellEnd"/>
      <w:r w:rsidRPr="00F21162">
        <w:rPr>
          <w:b/>
          <w:sz w:val="20"/>
          <w:szCs w:val="20"/>
          <w:lang w:val="fr-CA"/>
        </w:rPr>
        <w:t xml:space="preserve"> et </w:t>
      </w:r>
      <w:r w:rsidR="00FA3373" w:rsidRPr="00F21162">
        <w:rPr>
          <w:b/>
          <w:sz w:val="20"/>
          <w:szCs w:val="20"/>
          <w:lang w:val="fr-CA"/>
        </w:rPr>
        <w:t>Gascon</w:t>
      </w:r>
    </w:p>
    <w:p w:rsidR="00CB3520" w:rsidRPr="00F21162" w:rsidRDefault="00CB3520" w:rsidP="00CB3520">
      <w:pPr>
        <w:widowControl w:val="0"/>
        <w:rPr>
          <w:sz w:val="20"/>
          <w:szCs w:val="20"/>
          <w:lang w:val="fr-CA"/>
        </w:rPr>
      </w:pPr>
    </w:p>
    <w:p w:rsidR="00CB3520" w:rsidRPr="00F21162" w:rsidRDefault="005E2A1D" w:rsidP="00CB3520">
      <w:pPr>
        <w:pStyle w:val="ListParagraph"/>
        <w:widowControl w:val="0"/>
        <w:numPr>
          <w:ilvl w:val="0"/>
          <w:numId w:val="1"/>
        </w:numPr>
        <w:ind w:hanging="720"/>
        <w:jc w:val="both"/>
        <w:rPr>
          <w:sz w:val="20"/>
          <w:szCs w:val="20"/>
        </w:rPr>
      </w:pPr>
      <w:r w:rsidRPr="00F21162">
        <w:rPr>
          <w:i/>
          <w:sz w:val="20"/>
          <w:szCs w:val="20"/>
        </w:rPr>
        <w:t>Nirmala Devi Arjun</w:t>
      </w:r>
      <w:r w:rsidR="00CB3520" w:rsidRPr="00F21162">
        <w:rPr>
          <w:i/>
          <w:sz w:val="20"/>
          <w:szCs w:val="20"/>
        </w:rPr>
        <w:t xml:space="preserve"> v.</w:t>
      </w:r>
      <w:r w:rsidRPr="00F21162">
        <w:rPr>
          <w:i/>
          <w:sz w:val="20"/>
          <w:szCs w:val="20"/>
        </w:rPr>
        <w:t xml:space="preserve"> Her Majesty the Queen</w:t>
      </w:r>
      <w:r w:rsidR="00CB3520" w:rsidRPr="00F21162">
        <w:rPr>
          <w:sz w:val="20"/>
          <w:szCs w:val="20"/>
        </w:rPr>
        <w:t xml:space="preserve"> (</w:t>
      </w:r>
      <w:r w:rsidRPr="00F21162">
        <w:rPr>
          <w:sz w:val="20"/>
          <w:szCs w:val="20"/>
        </w:rPr>
        <w:t>B.C.</w:t>
      </w:r>
      <w:r w:rsidR="00CB3520" w:rsidRPr="00F21162">
        <w:rPr>
          <w:sz w:val="20"/>
          <w:szCs w:val="20"/>
        </w:rPr>
        <w:t>) (Crim.) (By Leave) (3</w:t>
      </w:r>
      <w:r w:rsidRPr="00F21162">
        <w:rPr>
          <w:sz w:val="20"/>
          <w:szCs w:val="20"/>
        </w:rPr>
        <w:t>6</w:t>
      </w:r>
      <w:r w:rsidR="00CB3520" w:rsidRPr="00F21162">
        <w:rPr>
          <w:sz w:val="20"/>
          <w:szCs w:val="20"/>
        </w:rPr>
        <w:t>56</w:t>
      </w:r>
      <w:r w:rsidRPr="00F21162">
        <w:rPr>
          <w:sz w:val="20"/>
          <w:szCs w:val="20"/>
        </w:rPr>
        <w:t>8</w:t>
      </w:r>
      <w:r w:rsidR="00CB3520" w:rsidRPr="00F21162">
        <w:rPr>
          <w:sz w:val="20"/>
          <w:szCs w:val="20"/>
        </w:rPr>
        <w:t>)</w:t>
      </w:r>
    </w:p>
    <w:p w:rsidR="00CB3520" w:rsidRPr="00F21162" w:rsidRDefault="00CB3520" w:rsidP="00CB3520">
      <w:pPr>
        <w:widowControl w:val="0"/>
        <w:jc w:val="both"/>
        <w:rPr>
          <w:sz w:val="20"/>
          <w:szCs w:val="20"/>
        </w:rPr>
      </w:pPr>
    </w:p>
    <w:p w:rsidR="00CB3520" w:rsidRPr="00F21162" w:rsidRDefault="00D91FAB" w:rsidP="00CB3520">
      <w:pPr>
        <w:pStyle w:val="ListParagraph"/>
        <w:widowControl w:val="0"/>
        <w:numPr>
          <w:ilvl w:val="0"/>
          <w:numId w:val="1"/>
        </w:numPr>
        <w:ind w:hanging="720"/>
        <w:jc w:val="both"/>
        <w:rPr>
          <w:sz w:val="20"/>
          <w:szCs w:val="20"/>
        </w:rPr>
      </w:pPr>
      <w:r w:rsidRPr="00F21162">
        <w:rPr>
          <w:i/>
          <w:sz w:val="20"/>
          <w:szCs w:val="20"/>
        </w:rPr>
        <w:t xml:space="preserve">Brother </w:t>
      </w:r>
      <w:proofErr w:type="spellStart"/>
      <w:r w:rsidRPr="00F21162">
        <w:rPr>
          <w:i/>
          <w:sz w:val="20"/>
          <w:szCs w:val="20"/>
        </w:rPr>
        <w:t>Kornelis</w:t>
      </w:r>
      <w:proofErr w:type="spellEnd"/>
      <w:r w:rsidRPr="00F21162">
        <w:rPr>
          <w:i/>
          <w:sz w:val="20"/>
          <w:szCs w:val="20"/>
        </w:rPr>
        <w:t xml:space="preserve"> </w:t>
      </w:r>
      <w:proofErr w:type="spellStart"/>
      <w:r w:rsidRPr="00F21162">
        <w:rPr>
          <w:i/>
          <w:sz w:val="20"/>
          <w:szCs w:val="20"/>
        </w:rPr>
        <w:t>Klevering</w:t>
      </w:r>
      <w:proofErr w:type="spellEnd"/>
      <w:r w:rsidR="00CB3520" w:rsidRPr="00F21162">
        <w:rPr>
          <w:i/>
          <w:sz w:val="20"/>
          <w:szCs w:val="20"/>
        </w:rPr>
        <w:t xml:space="preserve"> v.</w:t>
      </w:r>
      <w:r w:rsidRPr="00F21162">
        <w:rPr>
          <w:i/>
          <w:sz w:val="20"/>
          <w:szCs w:val="20"/>
        </w:rPr>
        <w:t xml:space="preserve"> Attorney General of Canada et al.</w:t>
      </w:r>
      <w:r w:rsidR="00CB3520" w:rsidRPr="00F21162">
        <w:rPr>
          <w:sz w:val="20"/>
          <w:szCs w:val="20"/>
        </w:rPr>
        <w:t xml:space="preserve"> (</w:t>
      </w:r>
      <w:r w:rsidRPr="00F21162">
        <w:rPr>
          <w:sz w:val="20"/>
          <w:szCs w:val="20"/>
        </w:rPr>
        <w:t>F.C</w:t>
      </w:r>
      <w:r w:rsidR="00CB3520" w:rsidRPr="00F21162">
        <w:rPr>
          <w:sz w:val="20"/>
          <w:szCs w:val="20"/>
        </w:rPr>
        <w:t>.) (Civil) (By Leave) (3</w:t>
      </w:r>
      <w:r w:rsidRPr="00F21162">
        <w:rPr>
          <w:sz w:val="20"/>
          <w:szCs w:val="20"/>
        </w:rPr>
        <w:t>5620</w:t>
      </w:r>
      <w:r w:rsidR="00CB3520" w:rsidRPr="00F21162">
        <w:rPr>
          <w:sz w:val="20"/>
          <w:szCs w:val="20"/>
        </w:rPr>
        <w:t>)</w:t>
      </w:r>
    </w:p>
    <w:p w:rsidR="00CB3520" w:rsidRPr="00F21162" w:rsidRDefault="00CB3520" w:rsidP="00CB3520">
      <w:pPr>
        <w:widowControl w:val="0"/>
        <w:rPr>
          <w:sz w:val="20"/>
          <w:szCs w:val="20"/>
        </w:rPr>
      </w:pPr>
    </w:p>
    <w:p w:rsidR="00CB3520" w:rsidRPr="00F21162" w:rsidRDefault="00CB3520" w:rsidP="00CB3520">
      <w:pPr>
        <w:widowControl w:val="0"/>
        <w:jc w:val="center"/>
        <w:rPr>
          <w:b/>
          <w:sz w:val="20"/>
          <w:szCs w:val="20"/>
          <w:lang w:val="fr-CA"/>
        </w:rPr>
      </w:pPr>
      <w:r w:rsidRPr="00F21162">
        <w:rPr>
          <w:b/>
          <w:sz w:val="20"/>
          <w:szCs w:val="20"/>
          <w:lang w:val="fr-CA"/>
        </w:rPr>
        <w:t xml:space="preserve">CORAM: </w:t>
      </w:r>
      <w:r w:rsidR="00FA3373" w:rsidRPr="00F21162">
        <w:rPr>
          <w:b/>
          <w:sz w:val="20"/>
          <w:szCs w:val="20"/>
          <w:lang w:val="fr-CA"/>
        </w:rPr>
        <w:t>Abella</w:t>
      </w:r>
      <w:r w:rsidRPr="00F21162">
        <w:rPr>
          <w:b/>
          <w:sz w:val="20"/>
          <w:szCs w:val="20"/>
          <w:lang w:val="fr-CA"/>
        </w:rPr>
        <w:t xml:space="preserve">, </w:t>
      </w:r>
      <w:proofErr w:type="spellStart"/>
      <w:r w:rsidRPr="00F21162">
        <w:rPr>
          <w:b/>
          <w:sz w:val="20"/>
          <w:szCs w:val="20"/>
          <w:lang w:val="fr-CA"/>
        </w:rPr>
        <w:t>Karakatsanis</w:t>
      </w:r>
      <w:proofErr w:type="spellEnd"/>
      <w:r w:rsidRPr="00F21162">
        <w:rPr>
          <w:b/>
          <w:sz w:val="20"/>
          <w:szCs w:val="20"/>
          <w:lang w:val="fr-CA"/>
        </w:rPr>
        <w:t xml:space="preserve"> and </w:t>
      </w:r>
      <w:r w:rsidR="00C76C61" w:rsidRPr="00F21162">
        <w:rPr>
          <w:b/>
          <w:sz w:val="20"/>
          <w:szCs w:val="20"/>
          <w:lang w:val="fr-CA"/>
        </w:rPr>
        <w:t>Brown</w:t>
      </w:r>
      <w:r w:rsidRPr="00F21162">
        <w:rPr>
          <w:b/>
          <w:sz w:val="20"/>
          <w:szCs w:val="20"/>
          <w:lang w:val="fr-CA"/>
        </w:rPr>
        <w:t xml:space="preserve"> JJ.</w:t>
      </w:r>
    </w:p>
    <w:p w:rsidR="00CB3520" w:rsidRPr="00F21162" w:rsidRDefault="00CB3520" w:rsidP="00CB3520">
      <w:pPr>
        <w:widowControl w:val="0"/>
        <w:jc w:val="center"/>
        <w:rPr>
          <w:b/>
          <w:sz w:val="20"/>
          <w:szCs w:val="20"/>
          <w:lang w:val="fr-CA"/>
        </w:rPr>
      </w:pPr>
      <w:r w:rsidRPr="00F21162">
        <w:rPr>
          <w:b/>
          <w:sz w:val="20"/>
          <w:szCs w:val="20"/>
          <w:lang w:val="fr-CA"/>
        </w:rPr>
        <w:t xml:space="preserve">Les juges </w:t>
      </w:r>
      <w:r w:rsidR="00FA3373" w:rsidRPr="00F21162">
        <w:rPr>
          <w:b/>
          <w:sz w:val="20"/>
          <w:szCs w:val="20"/>
          <w:lang w:val="fr-CA"/>
        </w:rPr>
        <w:t>Abella</w:t>
      </w:r>
      <w:r w:rsidRPr="00F21162">
        <w:rPr>
          <w:b/>
          <w:sz w:val="20"/>
          <w:szCs w:val="20"/>
          <w:lang w:val="fr-CA"/>
        </w:rPr>
        <w:t xml:space="preserve">, </w:t>
      </w:r>
      <w:proofErr w:type="spellStart"/>
      <w:r w:rsidRPr="00F21162">
        <w:rPr>
          <w:b/>
          <w:sz w:val="20"/>
          <w:szCs w:val="20"/>
          <w:lang w:val="fr-CA"/>
        </w:rPr>
        <w:t>Karakatsanis</w:t>
      </w:r>
      <w:proofErr w:type="spellEnd"/>
      <w:r w:rsidRPr="00F21162">
        <w:rPr>
          <w:b/>
          <w:sz w:val="20"/>
          <w:szCs w:val="20"/>
          <w:lang w:val="fr-CA"/>
        </w:rPr>
        <w:t xml:space="preserve"> et </w:t>
      </w:r>
      <w:r w:rsidR="00C76C61" w:rsidRPr="00F21162">
        <w:rPr>
          <w:b/>
          <w:sz w:val="20"/>
          <w:szCs w:val="20"/>
          <w:lang w:val="fr-CA"/>
        </w:rPr>
        <w:t>Brown</w:t>
      </w:r>
    </w:p>
    <w:p w:rsidR="00CB3520" w:rsidRPr="00F21162" w:rsidRDefault="00CB3520" w:rsidP="00CB3520">
      <w:pPr>
        <w:widowControl w:val="0"/>
        <w:jc w:val="both"/>
        <w:rPr>
          <w:sz w:val="20"/>
          <w:szCs w:val="20"/>
          <w:lang w:val="fr-CA"/>
        </w:rPr>
      </w:pPr>
    </w:p>
    <w:p w:rsidR="00CB3520" w:rsidRPr="00F21162" w:rsidRDefault="0017197F" w:rsidP="00CB3520">
      <w:pPr>
        <w:pStyle w:val="ListParagraph"/>
        <w:widowControl w:val="0"/>
        <w:numPr>
          <w:ilvl w:val="0"/>
          <w:numId w:val="1"/>
        </w:numPr>
        <w:ind w:hanging="720"/>
        <w:jc w:val="both"/>
        <w:rPr>
          <w:sz w:val="20"/>
          <w:szCs w:val="20"/>
          <w:lang w:val="fr-CA"/>
        </w:rPr>
      </w:pPr>
      <w:r w:rsidRPr="00F21162">
        <w:rPr>
          <w:i/>
          <w:sz w:val="20"/>
          <w:szCs w:val="20"/>
        </w:rPr>
        <w:t>P</w:t>
      </w:r>
      <w:r w:rsidR="00CB3520" w:rsidRPr="00F21162">
        <w:rPr>
          <w:i/>
          <w:sz w:val="20"/>
          <w:szCs w:val="20"/>
        </w:rPr>
        <w:t>et</w:t>
      </w:r>
      <w:r w:rsidRPr="00F21162">
        <w:rPr>
          <w:i/>
          <w:sz w:val="20"/>
          <w:szCs w:val="20"/>
        </w:rPr>
        <w:t xml:space="preserve">er </w:t>
      </w:r>
      <w:proofErr w:type="spellStart"/>
      <w:r w:rsidRPr="00F21162">
        <w:rPr>
          <w:i/>
          <w:sz w:val="20"/>
          <w:szCs w:val="20"/>
        </w:rPr>
        <w:t>Quon</w:t>
      </w:r>
      <w:proofErr w:type="spellEnd"/>
      <w:r w:rsidRPr="00F21162">
        <w:rPr>
          <w:i/>
          <w:sz w:val="20"/>
          <w:szCs w:val="20"/>
        </w:rPr>
        <w:t xml:space="preserve"> San Wong </w:t>
      </w:r>
      <w:r w:rsidR="00CB3520" w:rsidRPr="00F21162">
        <w:rPr>
          <w:i/>
          <w:sz w:val="20"/>
          <w:szCs w:val="20"/>
        </w:rPr>
        <w:t>v.</w:t>
      </w:r>
      <w:r w:rsidRPr="00F21162">
        <w:rPr>
          <w:i/>
          <w:sz w:val="20"/>
          <w:szCs w:val="20"/>
        </w:rPr>
        <w:t xml:space="preserve"> Her Majesty the Queen</w:t>
      </w:r>
      <w:r w:rsidR="00CB3520" w:rsidRPr="00F21162">
        <w:rPr>
          <w:sz w:val="20"/>
          <w:szCs w:val="20"/>
        </w:rPr>
        <w:t xml:space="preserve"> (</w:t>
      </w:r>
      <w:r w:rsidRPr="00F21162">
        <w:rPr>
          <w:sz w:val="20"/>
          <w:szCs w:val="20"/>
        </w:rPr>
        <w:t>B</w:t>
      </w:r>
      <w:r w:rsidR="00CB3520" w:rsidRPr="00F21162">
        <w:rPr>
          <w:sz w:val="20"/>
          <w:szCs w:val="20"/>
        </w:rPr>
        <w:t>.C.) (C</w:t>
      </w:r>
      <w:r w:rsidRPr="00F21162">
        <w:rPr>
          <w:sz w:val="20"/>
          <w:szCs w:val="20"/>
        </w:rPr>
        <w:t>r</w:t>
      </w:r>
      <w:r w:rsidR="00CB3520" w:rsidRPr="00F21162">
        <w:rPr>
          <w:sz w:val="20"/>
          <w:szCs w:val="20"/>
        </w:rPr>
        <w:t>i</w:t>
      </w:r>
      <w:r w:rsidRPr="00F21162">
        <w:rPr>
          <w:sz w:val="20"/>
          <w:szCs w:val="20"/>
        </w:rPr>
        <w:t>m.</w:t>
      </w:r>
      <w:r w:rsidR="00CB3520" w:rsidRPr="00F21162">
        <w:rPr>
          <w:sz w:val="20"/>
          <w:szCs w:val="20"/>
        </w:rPr>
        <w:t>) (By Leave)</w:t>
      </w:r>
      <w:r w:rsidR="00CB3520" w:rsidRPr="00F21162">
        <w:rPr>
          <w:sz w:val="20"/>
          <w:szCs w:val="20"/>
          <w:lang w:val="fr-CA"/>
        </w:rPr>
        <w:t xml:space="preserve"> (3</w:t>
      </w:r>
      <w:r w:rsidRPr="00F21162">
        <w:rPr>
          <w:sz w:val="20"/>
          <w:szCs w:val="20"/>
          <w:lang w:val="fr-CA"/>
        </w:rPr>
        <w:t>6577</w:t>
      </w:r>
      <w:r w:rsidR="00CB3520" w:rsidRPr="00F21162">
        <w:rPr>
          <w:sz w:val="20"/>
          <w:szCs w:val="20"/>
          <w:lang w:val="fr-CA"/>
        </w:rPr>
        <w:t>)</w:t>
      </w:r>
    </w:p>
    <w:p w:rsidR="00CB3520" w:rsidRPr="00F21162" w:rsidRDefault="00CB3520" w:rsidP="00CB3520">
      <w:pPr>
        <w:widowControl w:val="0"/>
        <w:jc w:val="both"/>
        <w:rPr>
          <w:sz w:val="20"/>
          <w:szCs w:val="20"/>
        </w:rPr>
      </w:pPr>
    </w:p>
    <w:p w:rsidR="00CB3520" w:rsidRPr="00F21162" w:rsidRDefault="00CB3520" w:rsidP="00CB3520">
      <w:pPr>
        <w:widowControl w:val="0"/>
        <w:jc w:val="center"/>
        <w:rPr>
          <w:b/>
          <w:sz w:val="20"/>
          <w:szCs w:val="20"/>
        </w:rPr>
      </w:pPr>
      <w:r w:rsidRPr="00F21162">
        <w:rPr>
          <w:b/>
          <w:sz w:val="20"/>
          <w:szCs w:val="20"/>
        </w:rPr>
        <w:t xml:space="preserve">CORAM: </w:t>
      </w:r>
      <w:r w:rsidR="00C76C61" w:rsidRPr="00F21162">
        <w:rPr>
          <w:b/>
          <w:sz w:val="20"/>
          <w:szCs w:val="20"/>
        </w:rPr>
        <w:t>Cromwell</w:t>
      </w:r>
      <w:r w:rsidRPr="00F21162">
        <w:rPr>
          <w:b/>
          <w:sz w:val="20"/>
          <w:szCs w:val="20"/>
        </w:rPr>
        <w:t xml:space="preserve">, </w:t>
      </w:r>
      <w:r w:rsidR="00C76C61" w:rsidRPr="00F21162">
        <w:rPr>
          <w:b/>
          <w:sz w:val="20"/>
          <w:szCs w:val="20"/>
        </w:rPr>
        <w:t>Wagner</w:t>
      </w:r>
      <w:r w:rsidR="00FA3373" w:rsidRPr="00F21162">
        <w:rPr>
          <w:b/>
          <w:sz w:val="20"/>
          <w:szCs w:val="20"/>
        </w:rPr>
        <w:t xml:space="preserve"> </w:t>
      </w:r>
      <w:r w:rsidRPr="00F21162">
        <w:rPr>
          <w:b/>
          <w:sz w:val="20"/>
          <w:szCs w:val="20"/>
        </w:rPr>
        <w:t xml:space="preserve">and </w:t>
      </w:r>
      <w:proofErr w:type="spellStart"/>
      <w:r w:rsidR="00C76C61" w:rsidRPr="00F21162">
        <w:rPr>
          <w:b/>
          <w:sz w:val="20"/>
          <w:szCs w:val="20"/>
        </w:rPr>
        <w:t>Côté</w:t>
      </w:r>
      <w:proofErr w:type="spellEnd"/>
      <w:r w:rsidRPr="00F21162">
        <w:rPr>
          <w:b/>
          <w:sz w:val="20"/>
          <w:szCs w:val="20"/>
        </w:rPr>
        <w:t xml:space="preserve"> JJ.</w:t>
      </w:r>
    </w:p>
    <w:p w:rsidR="00CB3520" w:rsidRPr="00F21162" w:rsidRDefault="00CB3520" w:rsidP="00CB3520">
      <w:pPr>
        <w:widowControl w:val="0"/>
        <w:jc w:val="center"/>
        <w:rPr>
          <w:b/>
          <w:sz w:val="20"/>
          <w:szCs w:val="20"/>
          <w:lang w:val="fr-CA"/>
        </w:rPr>
      </w:pPr>
      <w:r w:rsidRPr="00F21162">
        <w:rPr>
          <w:b/>
          <w:sz w:val="20"/>
          <w:szCs w:val="20"/>
          <w:lang w:val="fr-CA"/>
        </w:rPr>
        <w:t xml:space="preserve">Les juges </w:t>
      </w:r>
      <w:r w:rsidR="00C76C61" w:rsidRPr="00F21162">
        <w:rPr>
          <w:b/>
          <w:sz w:val="20"/>
          <w:szCs w:val="20"/>
          <w:lang w:val="fr-CA"/>
        </w:rPr>
        <w:t>Cromwell</w:t>
      </w:r>
      <w:r w:rsidRPr="00F21162">
        <w:rPr>
          <w:b/>
          <w:sz w:val="20"/>
          <w:szCs w:val="20"/>
          <w:lang w:val="fr-CA"/>
        </w:rPr>
        <w:t xml:space="preserve">, </w:t>
      </w:r>
      <w:r w:rsidR="00C76C61" w:rsidRPr="00F21162">
        <w:rPr>
          <w:b/>
          <w:sz w:val="20"/>
          <w:szCs w:val="20"/>
          <w:lang w:val="fr-CA"/>
        </w:rPr>
        <w:t>Wagner</w:t>
      </w:r>
      <w:r w:rsidR="00FA3373" w:rsidRPr="00F21162">
        <w:rPr>
          <w:b/>
          <w:sz w:val="20"/>
          <w:szCs w:val="20"/>
          <w:lang w:val="fr-CA"/>
        </w:rPr>
        <w:t xml:space="preserve"> </w:t>
      </w:r>
      <w:r w:rsidRPr="00F21162">
        <w:rPr>
          <w:b/>
          <w:sz w:val="20"/>
          <w:szCs w:val="20"/>
          <w:lang w:val="fr-CA"/>
        </w:rPr>
        <w:t xml:space="preserve">et </w:t>
      </w:r>
      <w:r w:rsidR="00C76C61" w:rsidRPr="00F21162">
        <w:rPr>
          <w:b/>
          <w:sz w:val="20"/>
          <w:szCs w:val="20"/>
          <w:lang w:val="fr-CA"/>
        </w:rPr>
        <w:t>Côté</w:t>
      </w:r>
    </w:p>
    <w:p w:rsidR="00CB3520" w:rsidRPr="00F21162" w:rsidRDefault="00CB3520" w:rsidP="00CB3520">
      <w:pPr>
        <w:widowControl w:val="0"/>
        <w:jc w:val="both"/>
        <w:rPr>
          <w:sz w:val="20"/>
          <w:szCs w:val="20"/>
          <w:lang w:val="fr-CA"/>
        </w:rPr>
      </w:pPr>
    </w:p>
    <w:p w:rsidR="00CB3520" w:rsidRPr="00F21162" w:rsidRDefault="009D1374" w:rsidP="00CB3520">
      <w:pPr>
        <w:pStyle w:val="ListParagraph"/>
        <w:widowControl w:val="0"/>
        <w:numPr>
          <w:ilvl w:val="0"/>
          <w:numId w:val="1"/>
        </w:numPr>
        <w:ind w:hanging="720"/>
        <w:jc w:val="both"/>
        <w:rPr>
          <w:sz w:val="20"/>
          <w:szCs w:val="20"/>
        </w:rPr>
      </w:pPr>
      <w:r w:rsidRPr="00F21162">
        <w:rPr>
          <w:i/>
          <w:sz w:val="20"/>
          <w:szCs w:val="20"/>
        </w:rPr>
        <w:t>Peter Andrew Webster</w:t>
      </w:r>
      <w:r w:rsidR="00CB3520" w:rsidRPr="00F21162">
        <w:rPr>
          <w:i/>
          <w:sz w:val="20"/>
          <w:szCs w:val="20"/>
        </w:rPr>
        <w:t xml:space="preserve"> v. </w:t>
      </w:r>
      <w:r w:rsidRPr="00F21162">
        <w:rPr>
          <w:i/>
          <w:sz w:val="20"/>
          <w:szCs w:val="20"/>
        </w:rPr>
        <w:t>Her Majesty the Queen</w:t>
      </w:r>
      <w:r w:rsidR="00CB3520" w:rsidRPr="00F21162">
        <w:rPr>
          <w:sz w:val="20"/>
          <w:szCs w:val="20"/>
        </w:rPr>
        <w:t xml:space="preserve"> (</w:t>
      </w:r>
      <w:r w:rsidRPr="00F21162">
        <w:rPr>
          <w:sz w:val="20"/>
          <w:szCs w:val="20"/>
        </w:rPr>
        <w:t>B</w:t>
      </w:r>
      <w:r w:rsidR="00CB3520" w:rsidRPr="00F21162">
        <w:rPr>
          <w:sz w:val="20"/>
          <w:szCs w:val="20"/>
        </w:rPr>
        <w:t>.C.) (C</w:t>
      </w:r>
      <w:r w:rsidRPr="00F21162">
        <w:rPr>
          <w:sz w:val="20"/>
          <w:szCs w:val="20"/>
        </w:rPr>
        <w:t>r</w:t>
      </w:r>
      <w:r w:rsidR="00CB3520" w:rsidRPr="00F21162">
        <w:rPr>
          <w:sz w:val="20"/>
          <w:szCs w:val="20"/>
        </w:rPr>
        <w:t>i</w:t>
      </w:r>
      <w:r w:rsidRPr="00F21162">
        <w:rPr>
          <w:sz w:val="20"/>
          <w:szCs w:val="20"/>
        </w:rPr>
        <w:t>m.</w:t>
      </w:r>
      <w:r w:rsidR="00CB3520" w:rsidRPr="00F21162">
        <w:rPr>
          <w:sz w:val="20"/>
          <w:szCs w:val="20"/>
        </w:rPr>
        <w:t>) (By Leave) (36</w:t>
      </w:r>
      <w:r w:rsidRPr="00F21162">
        <w:rPr>
          <w:sz w:val="20"/>
          <w:szCs w:val="20"/>
        </w:rPr>
        <w:t>63</w:t>
      </w:r>
      <w:r w:rsidR="00CB3520" w:rsidRPr="00F21162">
        <w:rPr>
          <w:sz w:val="20"/>
          <w:szCs w:val="20"/>
        </w:rPr>
        <w:t>5)</w:t>
      </w:r>
    </w:p>
    <w:p w:rsidR="00CB3520" w:rsidRPr="00F21162" w:rsidRDefault="00CB3520" w:rsidP="00CB3520">
      <w:pPr>
        <w:widowControl w:val="0"/>
        <w:jc w:val="both"/>
        <w:rPr>
          <w:sz w:val="20"/>
          <w:szCs w:val="20"/>
        </w:rPr>
      </w:pPr>
    </w:p>
    <w:p w:rsidR="00CB3520" w:rsidRPr="00F21162" w:rsidRDefault="00CB3520" w:rsidP="00CB3520">
      <w:pPr>
        <w:pStyle w:val="ListParagraph"/>
        <w:widowControl w:val="0"/>
        <w:numPr>
          <w:ilvl w:val="0"/>
          <w:numId w:val="1"/>
        </w:numPr>
        <w:ind w:hanging="720"/>
        <w:jc w:val="both"/>
        <w:rPr>
          <w:sz w:val="20"/>
          <w:szCs w:val="20"/>
        </w:rPr>
      </w:pPr>
      <w:r w:rsidRPr="00F21162">
        <w:rPr>
          <w:i/>
          <w:sz w:val="20"/>
          <w:szCs w:val="20"/>
        </w:rPr>
        <w:t xml:space="preserve">Robert </w:t>
      </w:r>
      <w:r w:rsidR="00024FDE" w:rsidRPr="00F21162">
        <w:rPr>
          <w:i/>
          <w:sz w:val="20"/>
          <w:szCs w:val="20"/>
        </w:rPr>
        <w:t xml:space="preserve">Glen Harrison </w:t>
      </w:r>
      <w:r w:rsidRPr="00F21162">
        <w:rPr>
          <w:i/>
          <w:sz w:val="20"/>
          <w:szCs w:val="20"/>
        </w:rPr>
        <w:t>v.</w:t>
      </w:r>
      <w:r w:rsidR="00024FDE" w:rsidRPr="00F21162">
        <w:rPr>
          <w:i/>
          <w:sz w:val="20"/>
          <w:szCs w:val="20"/>
        </w:rPr>
        <w:t xml:space="preserve"> British Columbia (Law Society) et al.</w:t>
      </w:r>
      <w:r w:rsidRPr="00F21162">
        <w:rPr>
          <w:sz w:val="20"/>
          <w:szCs w:val="20"/>
        </w:rPr>
        <w:t xml:space="preserve"> (</w:t>
      </w:r>
      <w:r w:rsidR="00024FDE" w:rsidRPr="00F21162">
        <w:rPr>
          <w:sz w:val="20"/>
          <w:szCs w:val="20"/>
        </w:rPr>
        <w:t>B.C</w:t>
      </w:r>
      <w:r w:rsidRPr="00F21162">
        <w:rPr>
          <w:sz w:val="20"/>
          <w:szCs w:val="20"/>
        </w:rPr>
        <w:t>.) (Civil) (By Leave) (3</w:t>
      </w:r>
      <w:r w:rsidR="00024FDE" w:rsidRPr="00F21162">
        <w:rPr>
          <w:sz w:val="20"/>
          <w:szCs w:val="20"/>
        </w:rPr>
        <w:t>6588</w:t>
      </w:r>
      <w:r w:rsidRPr="00F21162">
        <w:rPr>
          <w:sz w:val="20"/>
          <w:szCs w:val="20"/>
        </w:rPr>
        <w:t>)</w:t>
      </w:r>
    </w:p>
    <w:p w:rsidR="002E2327" w:rsidRPr="00F21162" w:rsidRDefault="002E2327" w:rsidP="002E2327">
      <w:pPr>
        <w:widowControl w:val="0"/>
        <w:rPr>
          <w:sz w:val="20"/>
          <w:szCs w:val="20"/>
        </w:rPr>
      </w:pPr>
    </w:p>
    <w:p w:rsidR="002E2327" w:rsidRPr="00F21162" w:rsidRDefault="00B150CF" w:rsidP="002E2327">
      <w:pPr>
        <w:widowControl w:val="0"/>
        <w:rPr>
          <w:sz w:val="20"/>
          <w:szCs w:val="20"/>
        </w:rPr>
      </w:pPr>
      <w:r>
        <w:rPr>
          <w:sz w:val="20"/>
          <w:szCs w:val="20"/>
        </w:rPr>
        <w:pict>
          <v:rect id="_x0000_i1028" style="width:2in;height:1pt" o:hrpct="0" o:hralign="center" o:hrstd="t" o:hrnoshade="t" o:hr="t" fillcolor="black [3213]" stroked="f"/>
        </w:pict>
      </w:r>
    </w:p>
    <w:p w:rsidR="00D94028" w:rsidRPr="00F21162" w:rsidRDefault="00D94028" w:rsidP="002E2327">
      <w:pPr>
        <w:widowControl w:val="0"/>
        <w:rPr>
          <w:sz w:val="20"/>
          <w:szCs w:val="20"/>
        </w:rPr>
      </w:pPr>
    </w:p>
    <w:p w:rsidR="00D94028" w:rsidRPr="00F21162" w:rsidRDefault="00D94028" w:rsidP="002E2327">
      <w:pPr>
        <w:widowControl w:val="0"/>
        <w:rPr>
          <w:sz w:val="20"/>
          <w:szCs w:val="20"/>
        </w:rPr>
      </w:pPr>
    </w:p>
    <w:p w:rsidR="00D94028" w:rsidRPr="00F21162" w:rsidRDefault="00D94028" w:rsidP="002E2327">
      <w:pPr>
        <w:widowControl w:val="0"/>
        <w:rPr>
          <w:sz w:val="20"/>
          <w:szCs w:val="20"/>
        </w:rPr>
      </w:pPr>
    </w:p>
    <w:p w:rsidR="0044776A" w:rsidRPr="00F21162" w:rsidRDefault="0044776A" w:rsidP="002E2327">
      <w:pPr>
        <w:widowControl w:val="0"/>
        <w:spacing w:line="0" w:lineRule="atLeast"/>
        <w:rPr>
          <w:sz w:val="20"/>
          <w:szCs w:val="20"/>
        </w:rPr>
        <w:sectPr w:rsidR="0044776A" w:rsidRPr="00F21162" w:rsidSect="0044776A">
          <w:headerReference w:type="default" r:id="rId20"/>
          <w:footerReference w:type="default" r:id="rId21"/>
          <w:headerReference w:type="first" r:id="rId22"/>
          <w:footerReference w:type="first" r:id="rId23"/>
          <w:pgSz w:w="12240" w:h="15840"/>
          <w:pgMar w:top="720" w:right="965" w:bottom="1080" w:left="1656" w:header="706" w:footer="706" w:gutter="0"/>
          <w:cols w:space="708"/>
          <w:titlePg/>
          <w:docGrid w:linePitch="360"/>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32989" w:rsidRPr="00F21162" w:rsidTr="00BA6468">
        <w:tc>
          <w:tcPr>
            <w:tcW w:w="4200" w:type="dxa"/>
            <w:tcMar>
              <w:left w:w="0" w:type="dxa"/>
              <w:right w:w="0" w:type="dxa"/>
            </w:tcMar>
          </w:tcPr>
          <w:p w:rsidR="00432989" w:rsidRPr="00F21162" w:rsidRDefault="00432989" w:rsidP="00432989">
            <w:pPr>
              <w:keepNext/>
              <w:keepLines/>
              <w:jc w:val="both"/>
              <w:rPr>
                <w:b/>
                <w:szCs w:val="24"/>
              </w:rPr>
            </w:pPr>
            <w:bookmarkStart w:id="0" w:name="QuickMark_1"/>
            <w:bookmarkEnd w:id="0"/>
            <w:r w:rsidRPr="00F21162">
              <w:rPr>
                <w:b/>
                <w:szCs w:val="24"/>
              </w:rPr>
              <w:t>ORAL HEARING ON APPLICATIONS FOR LEAVE</w:t>
            </w:r>
          </w:p>
        </w:tc>
        <w:tc>
          <w:tcPr>
            <w:tcW w:w="1200" w:type="dxa"/>
            <w:tcMar>
              <w:left w:w="0" w:type="dxa"/>
              <w:right w:w="0" w:type="dxa"/>
            </w:tcMar>
          </w:tcPr>
          <w:p w:rsidR="00432989" w:rsidRPr="00F21162" w:rsidRDefault="00432989" w:rsidP="00C50A5C">
            <w:pPr>
              <w:keepNext/>
              <w:keepLines/>
              <w:jc w:val="center"/>
              <w:rPr>
                <w:b/>
                <w:szCs w:val="24"/>
              </w:rPr>
            </w:pPr>
          </w:p>
          <w:p w:rsidR="00C50A5C" w:rsidRPr="00F21162" w:rsidRDefault="00C50A5C" w:rsidP="00C50A5C">
            <w:pPr>
              <w:keepNext/>
              <w:keepLines/>
              <w:jc w:val="center"/>
              <w:rPr>
                <w:b/>
                <w:szCs w:val="24"/>
              </w:rPr>
            </w:pPr>
          </w:p>
          <w:p w:rsidR="00C50A5C" w:rsidRPr="00F21162" w:rsidRDefault="00C50A5C" w:rsidP="00C50A5C">
            <w:pPr>
              <w:keepNext/>
              <w:keepLines/>
              <w:jc w:val="center"/>
              <w:rPr>
                <w:b/>
                <w:szCs w:val="24"/>
              </w:rPr>
            </w:pPr>
          </w:p>
        </w:tc>
        <w:tc>
          <w:tcPr>
            <w:tcW w:w="4080" w:type="dxa"/>
            <w:tcMar>
              <w:left w:w="0" w:type="dxa"/>
              <w:right w:w="0" w:type="dxa"/>
            </w:tcMar>
          </w:tcPr>
          <w:p w:rsidR="00432989" w:rsidRPr="00F21162" w:rsidRDefault="00432989" w:rsidP="00432989">
            <w:pPr>
              <w:keepNext/>
              <w:keepLines/>
              <w:jc w:val="both"/>
              <w:rPr>
                <w:b/>
                <w:szCs w:val="24"/>
                <w:lang w:val="fr-CA"/>
              </w:rPr>
            </w:pPr>
            <w:r w:rsidRPr="00F21162">
              <w:rPr>
                <w:b/>
                <w:szCs w:val="24"/>
                <w:lang w:val="fr-CA"/>
              </w:rPr>
              <w:t>AUDIENCE SUR LES DEMANDES D’AUTORISATION</w:t>
            </w:r>
          </w:p>
        </w:tc>
      </w:tr>
    </w:tbl>
    <w:p w:rsidR="00432989" w:rsidRPr="00F21162" w:rsidRDefault="00432989" w:rsidP="00432989">
      <w:pPr>
        <w:rPr>
          <w:sz w:val="20"/>
          <w:szCs w:val="20"/>
          <w:lang w:val="fr-CA"/>
        </w:rPr>
      </w:pPr>
    </w:p>
    <w:p w:rsidR="00432989" w:rsidRPr="00F21162" w:rsidRDefault="000622B6" w:rsidP="00432989">
      <w:pPr>
        <w:rPr>
          <w:sz w:val="20"/>
          <w:szCs w:val="20"/>
          <w:lang w:val="fr-CA"/>
        </w:rPr>
      </w:pPr>
      <w:r w:rsidRPr="00F21162">
        <w:rPr>
          <w:b/>
          <w:sz w:val="20"/>
          <w:szCs w:val="20"/>
          <w:lang w:val="fr-CA"/>
        </w:rPr>
        <w:t>NOVEMBER</w:t>
      </w:r>
      <w:r w:rsidR="00432989" w:rsidRPr="00F21162">
        <w:rPr>
          <w:b/>
          <w:sz w:val="20"/>
          <w:szCs w:val="20"/>
          <w:lang w:val="fr-CA"/>
        </w:rPr>
        <w:t xml:space="preserve"> </w:t>
      </w:r>
      <w:r w:rsidRPr="00F21162">
        <w:rPr>
          <w:b/>
          <w:sz w:val="20"/>
          <w:szCs w:val="20"/>
          <w:lang w:val="fr-CA"/>
        </w:rPr>
        <w:t>30</w:t>
      </w:r>
      <w:r w:rsidR="00432989" w:rsidRPr="00F21162">
        <w:rPr>
          <w:b/>
          <w:sz w:val="20"/>
          <w:szCs w:val="20"/>
          <w:lang w:val="fr-CA"/>
        </w:rPr>
        <w:t>, 20</w:t>
      </w:r>
      <w:r w:rsidRPr="00F21162">
        <w:rPr>
          <w:b/>
          <w:sz w:val="20"/>
          <w:szCs w:val="20"/>
          <w:lang w:val="fr-CA"/>
        </w:rPr>
        <w:t>15</w:t>
      </w:r>
      <w:r w:rsidR="00432989" w:rsidRPr="00F21162">
        <w:rPr>
          <w:b/>
          <w:sz w:val="20"/>
          <w:szCs w:val="20"/>
          <w:lang w:val="fr-CA"/>
        </w:rPr>
        <w:t xml:space="preserve"> / LE </w:t>
      </w:r>
      <w:r w:rsidRPr="00F21162">
        <w:rPr>
          <w:b/>
          <w:sz w:val="20"/>
          <w:szCs w:val="20"/>
          <w:lang w:val="fr-CA"/>
        </w:rPr>
        <w:t>30</w:t>
      </w:r>
      <w:r w:rsidR="00432989" w:rsidRPr="00F21162">
        <w:rPr>
          <w:b/>
          <w:sz w:val="20"/>
          <w:szCs w:val="20"/>
          <w:lang w:val="fr-CA"/>
        </w:rPr>
        <w:t xml:space="preserve"> </w:t>
      </w:r>
      <w:r w:rsidRPr="00F21162">
        <w:rPr>
          <w:b/>
          <w:sz w:val="20"/>
          <w:szCs w:val="20"/>
          <w:lang w:val="fr-CA"/>
        </w:rPr>
        <w:t>NOVEMBRE</w:t>
      </w:r>
      <w:r w:rsidR="00432989" w:rsidRPr="00F21162">
        <w:rPr>
          <w:b/>
          <w:sz w:val="20"/>
          <w:szCs w:val="20"/>
          <w:lang w:val="fr-CA"/>
        </w:rPr>
        <w:t xml:space="preserve"> 20</w:t>
      </w:r>
      <w:r w:rsidRPr="00F21162">
        <w:rPr>
          <w:b/>
          <w:sz w:val="20"/>
          <w:szCs w:val="20"/>
          <w:lang w:val="fr-CA"/>
        </w:rPr>
        <w:t>15</w:t>
      </w:r>
    </w:p>
    <w:p w:rsidR="00432989" w:rsidRPr="00F21162" w:rsidRDefault="00432989" w:rsidP="00432989">
      <w:pPr>
        <w:rPr>
          <w:sz w:val="20"/>
          <w:szCs w:val="20"/>
          <w:lang w:val="fr-CA"/>
        </w:rPr>
      </w:pPr>
    </w:p>
    <w:p w:rsidR="00432989" w:rsidRPr="00F21162" w:rsidRDefault="00432989" w:rsidP="00432989">
      <w:pPr>
        <w:ind w:left="1440" w:hanging="1440"/>
        <w:rPr>
          <w:sz w:val="20"/>
          <w:szCs w:val="20"/>
          <w:u w:val="single"/>
        </w:rPr>
      </w:pPr>
      <w:r w:rsidRPr="00F21162">
        <w:rPr>
          <w:sz w:val="20"/>
          <w:szCs w:val="20"/>
        </w:rPr>
        <w:t>Coram:</w:t>
      </w:r>
      <w:r w:rsidR="00BA6468" w:rsidRPr="00F21162">
        <w:rPr>
          <w:sz w:val="20"/>
          <w:szCs w:val="20"/>
        </w:rPr>
        <w:t xml:space="preserve">  </w:t>
      </w:r>
      <w:proofErr w:type="spellStart"/>
      <w:r w:rsidR="00CF3485" w:rsidRPr="00F21162">
        <w:rPr>
          <w:sz w:val="20"/>
          <w:szCs w:val="20"/>
          <w:u w:val="single"/>
        </w:rPr>
        <w:t>McLachlin</w:t>
      </w:r>
      <w:proofErr w:type="spellEnd"/>
      <w:r w:rsidR="00CF3485" w:rsidRPr="00F21162">
        <w:rPr>
          <w:sz w:val="20"/>
          <w:szCs w:val="20"/>
          <w:u w:val="single"/>
        </w:rPr>
        <w:t xml:space="preserve"> C.J. and </w:t>
      </w:r>
      <w:proofErr w:type="spellStart"/>
      <w:r w:rsidR="00CF3485" w:rsidRPr="00F21162">
        <w:rPr>
          <w:sz w:val="20"/>
          <w:szCs w:val="20"/>
          <w:u w:val="single"/>
        </w:rPr>
        <w:t>Moldaver</w:t>
      </w:r>
      <w:proofErr w:type="spellEnd"/>
      <w:r w:rsidR="00CF3485" w:rsidRPr="00F21162">
        <w:rPr>
          <w:sz w:val="20"/>
          <w:szCs w:val="20"/>
          <w:u w:val="single"/>
        </w:rPr>
        <w:t xml:space="preserve"> and </w:t>
      </w:r>
      <w:proofErr w:type="spellStart"/>
      <w:r w:rsidR="00CF3485" w:rsidRPr="00F21162">
        <w:rPr>
          <w:sz w:val="20"/>
          <w:szCs w:val="20"/>
          <w:u w:val="single"/>
        </w:rPr>
        <w:t>Gascon</w:t>
      </w:r>
      <w:proofErr w:type="spellEnd"/>
      <w:r w:rsidR="00CF3485" w:rsidRPr="00F21162">
        <w:rPr>
          <w:sz w:val="20"/>
          <w:szCs w:val="20"/>
          <w:u w:val="single"/>
        </w:rPr>
        <w:t xml:space="preserve"> J</w:t>
      </w:r>
      <w:r w:rsidRPr="00F21162">
        <w:rPr>
          <w:sz w:val="20"/>
          <w:szCs w:val="20"/>
          <w:u w:val="single"/>
        </w:rPr>
        <w:t>J.</w:t>
      </w:r>
    </w:p>
    <w:p w:rsidR="00432989" w:rsidRPr="00F21162" w:rsidRDefault="00432989" w:rsidP="00432989">
      <w:pPr>
        <w:rPr>
          <w:sz w:val="20"/>
          <w:szCs w:val="20"/>
          <w:u w:val="single"/>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856319" w:rsidRPr="00F21162" w:rsidTr="00432989">
        <w:tc>
          <w:tcPr>
            <w:tcW w:w="4380" w:type="dxa"/>
            <w:tcMar>
              <w:left w:w="0" w:type="dxa"/>
              <w:right w:w="0" w:type="dxa"/>
            </w:tcMar>
          </w:tcPr>
          <w:p w:rsidR="00856319" w:rsidRPr="00F21162" w:rsidRDefault="00856319" w:rsidP="00856319">
            <w:pPr>
              <w:rPr>
                <w:b/>
                <w:sz w:val="20"/>
                <w:szCs w:val="20"/>
              </w:rPr>
            </w:pPr>
            <w:r w:rsidRPr="00F21162">
              <w:rPr>
                <w:rFonts w:eastAsia="Times New Roman" w:cs="Times New Roman"/>
                <w:b/>
                <w:sz w:val="20"/>
                <w:szCs w:val="20"/>
                <w:lang w:val="en-US" w:eastAsia="en-CA"/>
              </w:rPr>
              <w:t>Oral hearing on application for leave to appeal</w:t>
            </w:r>
          </w:p>
          <w:p w:rsidR="00856319" w:rsidRPr="00F21162" w:rsidRDefault="00856319" w:rsidP="00432989">
            <w:pPr>
              <w:rPr>
                <w:rFonts w:eastAsia="Times New Roman" w:cs="Times New Roman"/>
                <w:b/>
                <w:sz w:val="20"/>
                <w:szCs w:val="20"/>
                <w:lang w:val="en-US" w:eastAsia="en-CA"/>
              </w:rPr>
            </w:pPr>
          </w:p>
        </w:tc>
        <w:tc>
          <w:tcPr>
            <w:tcW w:w="720" w:type="dxa"/>
            <w:tcMar>
              <w:left w:w="0" w:type="dxa"/>
              <w:right w:w="0" w:type="dxa"/>
            </w:tcMar>
          </w:tcPr>
          <w:p w:rsidR="00856319" w:rsidRPr="00F21162" w:rsidRDefault="00856319" w:rsidP="00432989">
            <w:pPr>
              <w:rPr>
                <w:sz w:val="20"/>
                <w:szCs w:val="20"/>
              </w:rPr>
            </w:pPr>
          </w:p>
          <w:p w:rsidR="00856319" w:rsidRPr="00F21162" w:rsidRDefault="00856319" w:rsidP="00432989">
            <w:pPr>
              <w:rPr>
                <w:sz w:val="20"/>
                <w:szCs w:val="20"/>
              </w:rPr>
            </w:pPr>
          </w:p>
        </w:tc>
        <w:tc>
          <w:tcPr>
            <w:tcW w:w="4380" w:type="dxa"/>
            <w:tcMar>
              <w:left w:w="0" w:type="dxa"/>
              <w:right w:w="0" w:type="dxa"/>
            </w:tcMar>
          </w:tcPr>
          <w:p w:rsidR="00856319" w:rsidRPr="00F21162" w:rsidRDefault="00856319" w:rsidP="00432989">
            <w:pPr>
              <w:rPr>
                <w:b/>
                <w:sz w:val="20"/>
                <w:szCs w:val="20"/>
              </w:rPr>
            </w:pPr>
            <w:r w:rsidRPr="00F21162">
              <w:rPr>
                <w:b/>
                <w:sz w:val="20"/>
                <w:szCs w:val="20"/>
              </w:rPr>
              <w:t xml:space="preserve">Audience sur </w:t>
            </w:r>
            <w:proofErr w:type="spellStart"/>
            <w:r w:rsidRPr="00F21162">
              <w:rPr>
                <w:b/>
                <w:sz w:val="20"/>
                <w:szCs w:val="20"/>
              </w:rPr>
              <w:t>une</w:t>
            </w:r>
            <w:proofErr w:type="spellEnd"/>
            <w:r w:rsidRPr="00F21162">
              <w:rPr>
                <w:b/>
                <w:sz w:val="20"/>
                <w:szCs w:val="20"/>
              </w:rPr>
              <w:t xml:space="preserve"> </w:t>
            </w:r>
            <w:proofErr w:type="spellStart"/>
            <w:r w:rsidRPr="00F21162">
              <w:rPr>
                <w:b/>
                <w:sz w:val="20"/>
                <w:szCs w:val="20"/>
              </w:rPr>
              <w:t>demande</w:t>
            </w:r>
            <w:proofErr w:type="spellEnd"/>
            <w:r w:rsidRPr="00F21162">
              <w:rPr>
                <w:b/>
                <w:sz w:val="20"/>
                <w:szCs w:val="20"/>
              </w:rPr>
              <w:t xml:space="preserve"> </w:t>
            </w:r>
            <w:proofErr w:type="spellStart"/>
            <w:r w:rsidRPr="00F21162">
              <w:rPr>
                <w:b/>
                <w:sz w:val="20"/>
                <w:szCs w:val="20"/>
              </w:rPr>
              <w:t>d’autorisation</w:t>
            </w:r>
            <w:proofErr w:type="spellEnd"/>
            <w:r w:rsidRPr="00F21162">
              <w:rPr>
                <w:b/>
                <w:sz w:val="20"/>
                <w:szCs w:val="20"/>
              </w:rPr>
              <w:t xml:space="preserve"> </w:t>
            </w:r>
            <w:proofErr w:type="spellStart"/>
            <w:r w:rsidRPr="00F21162">
              <w:rPr>
                <w:b/>
                <w:sz w:val="20"/>
                <w:szCs w:val="20"/>
              </w:rPr>
              <w:t>d’appel</w:t>
            </w:r>
            <w:proofErr w:type="spellEnd"/>
          </w:p>
        </w:tc>
      </w:tr>
      <w:tr w:rsidR="00432989" w:rsidRPr="00F21162" w:rsidTr="00432989">
        <w:tc>
          <w:tcPr>
            <w:tcW w:w="4380" w:type="dxa"/>
            <w:tcMar>
              <w:left w:w="0" w:type="dxa"/>
              <w:right w:w="0" w:type="dxa"/>
            </w:tcMar>
          </w:tcPr>
          <w:p w:rsidR="00432989" w:rsidRPr="00F21162" w:rsidRDefault="005F001D" w:rsidP="00432989">
            <w:pPr>
              <w:rPr>
                <w:b/>
                <w:sz w:val="20"/>
                <w:szCs w:val="20"/>
              </w:rPr>
            </w:pPr>
            <w:r w:rsidRPr="00F21162">
              <w:rPr>
                <w:b/>
                <w:sz w:val="20"/>
                <w:szCs w:val="20"/>
              </w:rPr>
              <w:t>BC Freedom of Information and Privacy Association</w:t>
            </w:r>
          </w:p>
          <w:p w:rsidR="00432989" w:rsidRPr="00F21162" w:rsidRDefault="00432989" w:rsidP="00432989">
            <w:pPr>
              <w:rPr>
                <w:b/>
                <w:sz w:val="20"/>
                <w:szCs w:val="20"/>
              </w:rPr>
            </w:pPr>
          </w:p>
          <w:p w:rsidR="00432989" w:rsidRPr="00F21162" w:rsidRDefault="00432989" w:rsidP="00432989">
            <w:pPr>
              <w:rPr>
                <w:b/>
                <w:sz w:val="20"/>
                <w:szCs w:val="20"/>
              </w:rPr>
            </w:pPr>
            <w:r w:rsidRPr="00F21162">
              <w:rPr>
                <w:b/>
                <w:sz w:val="20"/>
                <w:szCs w:val="20"/>
              </w:rPr>
              <w:tab/>
              <w:t>v. (3</w:t>
            </w:r>
            <w:r w:rsidR="005F001D" w:rsidRPr="00F21162">
              <w:rPr>
                <w:b/>
                <w:sz w:val="20"/>
                <w:szCs w:val="20"/>
              </w:rPr>
              <w:t>6495</w:t>
            </w:r>
            <w:r w:rsidRPr="00F21162">
              <w:rPr>
                <w:b/>
                <w:sz w:val="20"/>
                <w:szCs w:val="20"/>
              </w:rPr>
              <w:t>)</w:t>
            </w:r>
          </w:p>
          <w:p w:rsidR="00432989" w:rsidRPr="00F21162" w:rsidRDefault="00432989" w:rsidP="00432989">
            <w:pPr>
              <w:rPr>
                <w:b/>
                <w:sz w:val="20"/>
                <w:szCs w:val="20"/>
              </w:rPr>
            </w:pPr>
          </w:p>
          <w:p w:rsidR="00432989" w:rsidRPr="00F21162" w:rsidRDefault="005F001D" w:rsidP="005F001D">
            <w:pPr>
              <w:rPr>
                <w:sz w:val="20"/>
                <w:szCs w:val="20"/>
              </w:rPr>
            </w:pPr>
            <w:r w:rsidRPr="00F21162">
              <w:rPr>
                <w:b/>
                <w:sz w:val="20"/>
                <w:szCs w:val="20"/>
              </w:rPr>
              <w:t>Attorney General of British Columbia</w:t>
            </w:r>
            <w:r w:rsidR="00432989" w:rsidRPr="00F21162">
              <w:rPr>
                <w:b/>
                <w:sz w:val="20"/>
                <w:szCs w:val="20"/>
              </w:rPr>
              <w:t xml:space="preserve"> (B.C.) (Ci</w:t>
            </w:r>
            <w:r w:rsidRPr="00F21162">
              <w:rPr>
                <w:b/>
                <w:sz w:val="20"/>
                <w:szCs w:val="20"/>
              </w:rPr>
              <w:t>v</w:t>
            </w:r>
            <w:r w:rsidR="00432989" w:rsidRPr="00F21162">
              <w:rPr>
                <w:b/>
                <w:sz w:val="20"/>
                <w:szCs w:val="20"/>
              </w:rPr>
              <w:t>i</w:t>
            </w:r>
            <w:r w:rsidRPr="00F21162">
              <w:rPr>
                <w:b/>
                <w:sz w:val="20"/>
                <w:szCs w:val="20"/>
              </w:rPr>
              <w:t>l</w:t>
            </w:r>
            <w:r w:rsidR="00432989" w:rsidRPr="00F21162">
              <w:rPr>
                <w:b/>
                <w:sz w:val="20"/>
                <w:szCs w:val="20"/>
              </w:rPr>
              <w:t>)</w:t>
            </w:r>
            <w:r w:rsidR="00BA6468" w:rsidRPr="00F21162">
              <w:rPr>
                <w:b/>
                <w:sz w:val="20"/>
                <w:szCs w:val="20"/>
              </w:rPr>
              <w:t xml:space="preserve"> (By Leave)</w:t>
            </w:r>
          </w:p>
        </w:tc>
        <w:tc>
          <w:tcPr>
            <w:tcW w:w="720" w:type="dxa"/>
            <w:tcMar>
              <w:left w:w="0" w:type="dxa"/>
              <w:right w:w="0" w:type="dxa"/>
            </w:tcMar>
          </w:tcPr>
          <w:p w:rsidR="00432989" w:rsidRPr="00F21162" w:rsidRDefault="00432989" w:rsidP="00432989">
            <w:pPr>
              <w:rPr>
                <w:sz w:val="20"/>
                <w:szCs w:val="20"/>
              </w:rPr>
            </w:pPr>
          </w:p>
        </w:tc>
        <w:tc>
          <w:tcPr>
            <w:tcW w:w="4380" w:type="dxa"/>
            <w:tcMar>
              <w:left w:w="0" w:type="dxa"/>
              <w:right w:w="0" w:type="dxa"/>
            </w:tcMar>
          </w:tcPr>
          <w:p w:rsidR="00432989" w:rsidRPr="00F21162" w:rsidRDefault="00936D11" w:rsidP="00432989">
            <w:pPr>
              <w:rPr>
                <w:sz w:val="20"/>
                <w:szCs w:val="20"/>
              </w:rPr>
            </w:pPr>
            <w:r w:rsidRPr="00F21162">
              <w:rPr>
                <w:sz w:val="20"/>
                <w:szCs w:val="20"/>
              </w:rPr>
              <w:t xml:space="preserve">Sean </w:t>
            </w:r>
            <w:proofErr w:type="spellStart"/>
            <w:r w:rsidRPr="00F21162">
              <w:rPr>
                <w:sz w:val="20"/>
                <w:szCs w:val="20"/>
              </w:rPr>
              <w:t>Hern</w:t>
            </w:r>
            <w:proofErr w:type="spellEnd"/>
            <w:r w:rsidRPr="00F21162">
              <w:rPr>
                <w:sz w:val="20"/>
                <w:szCs w:val="20"/>
              </w:rPr>
              <w:t xml:space="preserve"> and</w:t>
            </w:r>
            <w:r w:rsidR="00432989" w:rsidRPr="00F21162">
              <w:rPr>
                <w:sz w:val="20"/>
                <w:szCs w:val="20"/>
              </w:rPr>
              <w:t xml:space="preserve"> </w:t>
            </w:r>
            <w:r w:rsidRPr="00F21162">
              <w:rPr>
                <w:sz w:val="20"/>
                <w:szCs w:val="20"/>
              </w:rPr>
              <w:t xml:space="preserve">Alison Latimer </w:t>
            </w:r>
            <w:r w:rsidR="00432989" w:rsidRPr="00F21162">
              <w:rPr>
                <w:sz w:val="20"/>
                <w:szCs w:val="20"/>
              </w:rPr>
              <w:t>for the applicant.</w:t>
            </w:r>
          </w:p>
          <w:p w:rsidR="00432989" w:rsidRPr="00F21162" w:rsidRDefault="00432989" w:rsidP="00432989">
            <w:pPr>
              <w:rPr>
                <w:sz w:val="20"/>
                <w:szCs w:val="20"/>
              </w:rPr>
            </w:pPr>
          </w:p>
          <w:p w:rsidR="00432989" w:rsidRPr="00F21162" w:rsidRDefault="00936D11" w:rsidP="00936D11">
            <w:pPr>
              <w:rPr>
                <w:sz w:val="20"/>
                <w:szCs w:val="20"/>
                <w:lang w:val="fr-CA"/>
              </w:rPr>
            </w:pPr>
            <w:r w:rsidRPr="00F21162">
              <w:rPr>
                <w:sz w:val="20"/>
                <w:szCs w:val="20"/>
              </w:rPr>
              <w:t xml:space="preserve">Karen A. </w:t>
            </w:r>
            <w:proofErr w:type="spellStart"/>
            <w:r w:rsidRPr="00F21162">
              <w:rPr>
                <w:sz w:val="20"/>
                <w:szCs w:val="20"/>
              </w:rPr>
              <w:t>Horsman</w:t>
            </w:r>
            <w:proofErr w:type="spellEnd"/>
            <w:r w:rsidRPr="00F21162">
              <w:rPr>
                <w:sz w:val="20"/>
                <w:szCs w:val="20"/>
              </w:rPr>
              <w:t xml:space="preserve"> </w:t>
            </w:r>
            <w:r w:rsidR="00432989" w:rsidRPr="00F21162">
              <w:rPr>
                <w:sz w:val="20"/>
                <w:szCs w:val="20"/>
              </w:rPr>
              <w:t>for the respondent.</w:t>
            </w:r>
          </w:p>
        </w:tc>
      </w:tr>
    </w:tbl>
    <w:p w:rsidR="00432989" w:rsidRPr="00F21162" w:rsidRDefault="00432989" w:rsidP="00432989">
      <w:pPr>
        <w:rPr>
          <w:sz w:val="20"/>
          <w:szCs w:val="20"/>
          <w:lang w:val="fr-CA"/>
        </w:rPr>
      </w:pPr>
    </w:p>
    <w:p w:rsidR="00432989" w:rsidRPr="00F21162" w:rsidRDefault="00C149C5" w:rsidP="00432989">
      <w:pPr>
        <w:rPr>
          <w:sz w:val="20"/>
          <w:szCs w:val="20"/>
          <w:lang w:val="fr-CA"/>
        </w:rPr>
      </w:pPr>
      <w:r w:rsidRPr="00F21162">
        <w:rPr>
          <w:b/>
          <w:sz w:val="20"/>
          <w:szCs w:val="20"/>
          <w:lang w:val="fr-CA"/>
        </w:rPr>
        <w:t>GRANTED</w:t>
      </w:r>
      <w:r w:rsidR="00432989" w:rsidRPr="00F21162">
        <w:rPr>
          <w:b/>
          <w:sz w:val="20"/>
          <w:szCs w:val="20"/>
          <w:lang w:val="fr-CA"/>
        </w:rPr>
        <w:t xml:space="preserve"> / </w:t>
      </w:r>
      <w:r w:rsidR="000642A2" w:rsidRPr="00F21162">
        <w:rPr>
          <w:rFonts w:eastAsia="Times New Roman" w:cs="Times New Roman"/>
          <w:b/>
          <w:sz w:val="20"/>
          <w:szCs w:val="20"/>
          <w:lang w:val="en-US" w:eastAsia="en-CA"/>
        </w:rPr>
        <w:t>ACCORDÉE</w:t>
      </w:r>
    </w:p>
    <w:p w:rsidR="00432989" w:rsidRPr="00F21162" w:rsidRDefault="00432989" w:rsidP="00432989">
      <w:pPr>
        <w:rPr>
          <w:sz w:val="20"/>
          <w:szCs w:val="20"/>
          <w:lang w:val="fr-CA"/>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647EB2" w:rsidRPr="00F21162" w:rsidTr="00C50A5C">
        <w:tc>
          <w:tcPr>
            <w:tcW w:w="4380" w:type="dxa"/>
            <w:tcMar>
              <w:left w:w="0" w:type="dxa"/>
              <w:right w:w="0" w:type="dxa"/>
            </w:tcMar>
          </w:tcPr>
          <w:p w:rsidR="00647EB2" w:rsidRPr="00F21162" w:rsidRDefault="00647EB2" w:rsidP="00647EB2">
            <w:pPr>
              <w:keepNext/>
              <w:keepLines/>
              <w:jc w:val="both"/>
              <w:rPr>
                <w:b/>
                <w:sz w:val="20"/>
                <w:szCs w:val="20"/>
                <w:u w:val="single"/>
              </w:rPr>
            </w:pPr>
            <w:r w:rsidRPr="00F21162">
              <w:rPr>
                <w:b/>
                <w:sz w:val="20"/>
                <w:szCs w:val="20"/>
                <w:u w:val="single"/>
              </w:rPr>
              <w:t>JUDGMENT:</w:t>
            </w:r>
          </w:p>
          <w:p w:rsidR="00647EB2" w:rsidRPr="00F21162" w:rsidRDefault="00647EB2" w:rsidP="00647EB2">
            <w:pPr>
              <w:keepNext/>
              <w:keepLines/>
              <w:jc w:val="both"/>
              <w:rPr>
                <w:sz w:val="20"/>
                <w:szCs w:val="20"/>
              </w:rPr>
            </w:pPr>
          </w:p>
          <w:p w:rsidR="00647EB2" w:rsidRPr="00F21162" w:rsidRDefault="00866F6E" w:rsidP="00C50A5C">
            <w:pPr>
              <w:keepNext/>
              <w:keepLines/>
              <w:jc w:val="both"/>
              <w:rPr>
                <w:b/>
                <w:sz w:val="20"/>
                <w:szCs w:val="20"/>
                <w:u w:val="single"/>
              </w:rPr>
            </w:pPr>
            <w:r w:rsidRPr="00F21162">
              <w:rPr>
                <w:sz w:val="20"/>
                <w:szCs w:val="20"/>
              </w:rPr>
              <w:t>The application for leave to appeal from the judgment of the Court of Appeal for British Columbia (Vancouver), Number CA041813,   2015 BCCA 172, dated April 23, 2015, is granted with costs in the cause.</w:t>
            </w:r>
          </w:p>
        </w:tc>
        <w:tc>
          <w:tcPr>
            <w:tcW w:w="720" w:type="dxa"/>
            <w:tcMar>
              <w:left w:w="0" w:type="dxa"/>
              <w:right w:w="0" w:type="dxa"/>
            </w:tcMar>
          </w:tcPr>
          <w:p w:rsidR="00647EB2" w:rsidRPr="00F21162" w:rsidRDefault="00647EB2" w:rsidP="00C50A5C">
            <w:pPr>
              <w:keepNext/>
              <w:keepLines/>
              <w:jc w:val="center"/>
              <w:rPr>
                <w:sz w:val="20"/>
                <w:szCs w:val="20"/>
              </w:rPr>
            </w:pPr>
          </w:p>
        </w:tc>
        <w:tc>
          <w:tcPr>
            <w:tcW w:w="4380" w:type="dxa"/>
            <w:tcMar>
              <w:left w:w="0" w:type="dxa"/>
              <w:right w:w="0" w:type="dxa"/>
            </w:tcMar>
          </w:tcPr>
          <w:p w:rsidR="00647EB2" w:rsidRPr="00F21162" w:rsidRDefault="00647EB2" w:rsidP="00647EB2">
            <w:pPr>
              <w:keepNext/>
              <w:keepLines/>
              <w:jc w:val="both"/>
              <w:rPr>
                <w:b/>
                <w:sz w:val="20"/>
                <w:szCs w:val="20"/>
                <w:u w:val="single"/>
                <w:lang w:val="fr-CA"/>
              </w:rPr>
            </w:pPr>
            <w:r w:rsidRPr="00F21162">
              <w:rPr>
                <w:b/>
                <w:sz w:val="20"/>
                <w:szCs w:val="20"/>
                <w:u w:val="single"/>
                <w:lang w:val="fr-CA"/>
              </w:rPr>
              <w:t>JUGEMENT :</w:t>
            </w:r>
          </w:p>
          <w:p w:rsidR="00647EB2" w:rsidRPr="00F21162" w:rsidRDefault="00647EB2" w:rsidP="00647EB2">
            <w:pPr>
              <w:keepNext/>
              <w:keepLines/>
              <w:jc w:val="both"/>
              <w:rPr>
                <w:sz w:val="20"/>
                <w:szCs w:val="20"/>
                <w:lang w:val="fr-CA"/>
              </w:rPr>
            </w:pPr>
          </w:p>
          <w:p w:rsidR="00647EB2" w:rsidRPr="00F21162" w:rsidRDefault="00866F6E" w:rsidP="00C50A5C">
            <w:pPr>
              <w:keepNext/>
              <w:keepLines/>
              <w:jc w:val="both"/>
              <w:rPr>
                <w:sz w:val="20"/>
                <w:szCs w:val="20"/>
                <w:lang w:val="fr-CA"/>
              </w:rPr>
            </w:pPr>
            <w:r w:rsidRPr="00F21162">
              <w:rPr>
                <w:sz w:val="20"/>
                <w:szCs w:val="20"/>
                <w:lang w:val="fr-CA"/>
              </w:rPr>
              <w:t xml:space="preserve">La demande d’autorisation d’appel de l’arrêt de la </w:t>
            </w:r>
            <w:r w:rsidRPr="00F21162">
              <w:rPr>
                <w:sz w:val="20"/>
                <w:szCs w:val="20"/>
                <w:lang w:val="fr-FR"/>
              </w:rPr>
              <w:t>Cour d’appel de la Colombie-Britannique (Vancouver)</w:t>
            </w:r>
            <w:r w:rsidRPr="00F21162">
              <w:rPr>
                <w:sz w:val="20"/>
                <w:szCs w:val="20"/>
                <w:lang w:val="fr-CA"/>
              </w:rPr>
              <w:t xml:space="preserve">, numéro </w:t>
            </w:r>
            <w:r w:rsidRPr="00F21162">
              <w:rPr>
                <w:sz w:val="20"/>
                <w:szCs w:val="20"/>
                <w:lang w:val="fr-FR"/>
              </w:rPr>
              <w:t>CA041813   2015 BCCA 172</w:t>
            </w:r>
            <w:r w:rsidRPr="00F21162">
              <w:rPr>
                <w:sz w:val="20"/>
                <w:szCs w:val="20"/>
                <w:lang w:val="fr-CA"/>
              </w:rPr>
              <w:t xml:space="preserve">, daté du </w:t>
            </w:r>
            <w:r w:rsidRPr="00F21162">
              <w:rPr>
                <w:sz w:val="20"/>
                <w:szCs w:val="20"/>
                <w:lang w:val="fr-FR"/>
              </w:rPr>
              <w:t>23 avril 2015</w:t>
            </w:r>
            <w:r w:rsidRPr="00F21162">
              <w:rPr>
                <w:sz w:val="20"/>
                <w:szCs w:val="20"/>
                <w:lang w:val="fr-CA"/>
              </w:rPr>
              <w:t>, est accueillie avec d</w:t>
            </w:r>
            <w:r w:rsidRPr="00F21162">
              <w:rPr>
                <w:rFonts w:cs="Times New Roman"/>
                <w:sz w:val="20"/>
                <w:szCs w:val="20"/>
                <w:lang w:val="fr-CA"/>
              </w:rPr>
              <w:t>é</w:t>
            </w:r>
            <w:r w:rsidRPr="00F21162">
              <w:rPr>
                <w:sz w:val="20"/>
                <w:szCs w:val="20"/>
                <w:lang w:val="fr-CA"/>
              </w:rPr>
              <w:t>pens suivant l’issue de la cause.</w:t>
            </w:r>
          </w:p>
          <w:p w:rsidR="00866F6E" w:rsidRPr="00F21162" w:rsidRDefault="00866F6E" w:rsidP="00C50A5C">
            <w:pPr>
              <w:keepNext/>
              <w:keepLines/>
              <w:jc w:val="both"/>
              <w:rPr>
                <w:b/>
                <w:sz w:val="20"/>
                <w:szCs w:val="20"/>
                <w:u w:val="single"/>
                <w:lang w:val="fr-CA"/>
              </w:rPr>
            </w:pPr>
          </w:p>
        </w:tc>
      </w:tr>
      <w:tr w:rsidR="00432989" w:rsidRPr="00F21162" w:rsidTr="00C50A5C">
        <w:tc>
          <w:tcPr>
            <w:tcW w:w="4380" w:type="dxa"/>
            <w:tcMar>
              <w:left w:w="0" w:type="dxa"/>
              <w:right w:w="0" w:type="dxa"/>
            </w:tcMar>
          </w:tcPr>
          <w:p w:rsidR="00432989" w:rsidRPr="00F21162" w:rsidRDefault="00432989" w:rsidP="00C50A5C">
            <w:pPr>
              <w:keepNext/>
              <w:keepLines/>
              <w:jc w:val="both"/>
              <w:rPr>
                <w:sz w:val="20"/>
                <w:szCs w:val="20"/>
              </w:rPr>
            </w:pPr>
            <w:r w:rsidRPr="00F21162">
              <w:rPr>
                <w:b/>
                <w:sz w:val="20"/>
                <w:szCs w:val="20"/>
                <w:u w:val="single"/>
              </w:rPr>
              <w:t>Nature of the case:</w:t>
            </w:r>
          </w:p>
          <w:p w:rsidR="00432989" w:rsidRPr="00F21162" w:rsidRDefault="00432989" w:rsidP="00C50A5C">
            <w:pPr>
              <w:keepNext/>
              <w:keepLines/>
              <w:jc w:val="both"/>
              <w:rPr>
                <w:sz w:val="20"/>
                <w:szCs w:val="20"/>
              </w:rPr>
            </w:pPr>
          </w:p>
          <w:p w:rsidR="00432989" w:rsidRPr="00F21162" w:rsidRDefault="00767865" w:rsidP="00C50A5C">
            <w:pPr>
              <w:keepNext/>
              <w:keepLines/>
              <w:jc w:val="both"/>
              <w:rPr>
                <w:sz w:val="20"/>
                <w:szCs w:val="20"/>
              </w:rPr>
            </w:pPr>
            <w:r w:rsidRPr="00F21162">
              <w:rPr>
                <w:i/>
                <w:sz w:val="20"/>
                <w:szCs w:val="20"/>
              </w:rPr>
              <w:t>Charter of Rights</w:t>
            </w:r>
            <w:r w:rsidRPr="00F21162">
              <w:rPr>
                <w:sz w:val="20"/>
                <w:szCs w:val="20"/>
              </w:rPr>
              <w:t xml:space="preserve"> — Constitutional law — Freedom of expression — Elections — Election advertising — Third party advertising — Requirement that all third party advertisers register before advertising — Whether, in light of the expanding regulatory sphere, a registration requirement covering all political advertising which results in an admitted and obvious breach of </w:t>
            </w:r>
            <w:r w:rsidRPr="00F21162">
              <w:rPr>
                <w:i/>
                <w:sz w:val="20"/>
                <w:szCs w:val="20"/>
              </w:rPr>
              <w:t>Charter</w:t>
            </w:r>
            <w:r w:rsidRPr="00F21162">
              <w:rPr>
                <w:sz w:val="20"/>
                <w:szCs w:val="20"/>
              </w:rPr>
              <w:t xml:space="preserve"> rights may ever be justified without evidence and on the mere assertion that the restriction was adopted simply for administrative convenience, particularly in the face of evidence of a simple, alternative measure employed elsewhere to achieve the same objectives.</w:t>
            </w:r>
          </w:p>
          <w:p w:rsidR="00432989" w:rsidRPr="00F21162" w:rsidRDefault="00432989" w:rsidP="00C50A5C">
            <w:pPr>
              <w:keepNext/>
              <w:keepLines/>
              <w:jc w:val="both"/>
              <w:rPr>
                <w:sz w:val="20"/>
                <w:szCs w:val="20"/>
              </w:rPr>
            </w:pPr>
          </w:p>
        </w:tc>
        <w:tc>
          <w:tcPr>
            <w:tcW w:w="720" w:type="dxa"/>
            <w:tcMar>
              <w:left w:w="0" w:type="dxa"/>
              <w:right w:w="0" w:type="dxa"/>
            </w:tcMar>
          </w:tcPr>
          <w:p w:rsidR="00432989" w:rsidRPr="00F21162" w:rsidRDefault="00432989" w:rsidP="00C50A5C">
            <w:pPr>
              <w:keepNext/>
              <w:keepLines/>
              <w:jc w:val="center"/>
              <w:rPr>
                <w:sz w:val="20"/>
                <w:szCs w:val="20"/>
              </w:rPr>
            </w:pPr>
          </w:p>
        </w:tc>
        <w:tc>
          <w:tcPr>
            <w:tcW w:w="4380" w:type="dxa"/>
            <w:tcMar>
              <w:left w:w="0" w:type="dxa"/>
              <w:right w:w="0" w:type="dxa"/>
            </w:tcMar>
          </w:tcPr>
          <w:p w:rsidR="00432989" w:rsidRPr="00F21162" w:rsidRDefault="00432989" w:rsidP="00C50A5C">
            <w:pPr>
              <w:keepNext/>
              <w:keepLines/>
              <w:jc w:val="both"/>
              <w:rPr>
                <w:sz w:val="20"/>
                <w:szCs w:val="20"/>
                <w:lang w:val="fr-CA"/>
              </w:rPr>
            </w:pPr>
            <w:r w:rsidRPr="00F21162">
              <w:rPr>
                <w:b/>
                <w:sz w:val="20"/>
                <w:szCs w:val="20"/>
                <w:u w:val="single"/>
                <w:lang w:val="fr-CA"/>
              </w:rPr>
              <w:t>Nature de la cause :</w:t>
            </w:r>
          </w:p>
          <w:p w:rsidR="00432989" w:rsidRPr="00F21162" w:rsidRDefault="00432989" w:rsidP="00C50A5C">
            <w:pPr>
              <w:keepNext/>
              <w:keepLines/>
              <w:jc w:val="both"/>
              <w:rPr>
                <w:sz w:val="20"/>
                <w:szCs w:val="20"/>
                <w:lang w:val="fr-CA"/>
              </w:rPr>
            </w:pPr>
          </w:p>
          <w:p w:rsidR="00432989" w:rsidRPr="00F21162" w:rsidRDefault="00767865" w:rsidP="00C50A5C">
            <w:pPr>
              <w:keepNext/>
              <w:keepLines/>
              <w:jc w:val="both"/>
              <w:rPr>
                <w:sz w:val="20"/>
                <w:szCs w:val="20"/>
                <w:lang w:val="fr-CA"/>
              </w:rPr>
            </w:pPr>
            <w:r w:rsidRPr="00F21162">
              <w:rPr>
                <w:i/>
                <w:sz w:val="20"/>
                <w:szCs w:val="20"/>
                <w:lang w:val="fr-CA"/>
              </w:rPr>
              <w:t>Charte des droits</w:t>
            </w:r>
            <w:r w:rsidRPr="00F21162">
              <w:rPr>
                <w:sz w:val="20"/>
                <w:szCs w:val="20"/>
                <w:lang w:val="fr-CA"/>
              </w:rPr>
              <w:t xml:space="preserve"> — Droit constitutionnel — Liberté d’expression — Élections — Publicité électorale — Publicité par des tiers — Obligation pour tous les tiers annonceurs de s’enregistrer avant de faire de la publicité — Eu égard à l’expansion du domaine réglementaire, une obligation d’enregistrement s’appliquant à toute la publicité politique et entraînant une violation reconnue et manifeste des droits garantis par la </w:t>
            </w:r>
            <w:r w:rsidRPr="00F21162">
              <w:rPr>
                <w:i/>
                <w:sz w:val="20"/>
                <w:szCs w:val="20"/>
                <w:lang w:val="fr-CA"/>
              </w:rPr>
              <w:t>Charte</w:t>
            </w:r>
            <w:r w:rsidRPr="00F21162">
              <w:rPr>
                <w:sz w:val="20"/>
                <w:szCs w:val="20"/>
                <w:lang w:val="fr-CA"/>
              </w:rPr>
              <w:t xml:space="preserve"> pourrait-elle se justifier en l’absence de preuve et uniquement parce qu’on affirme que la restriction a été adoptée par simple souci de commodité administrative, en particulier lorsqu’une seule autre mesure est utilisée ailleurs en vue d’atteindre les mêmes objectifs?</w:t>
            </w:r>
            <w:r w:rsidR="00C50A5C" w:rsidRPr="00F21162">
              <w:rPr>
                <w:sz w:val="20"/>
                <w:szCs w:val="20"/>
                <w:lang w:val="fr-CA"/>
              </w:rPr>
              <w:t xml:space="preserve"> </w:t>
            </w:r>
          </w:p>
        </w:tc>
      </w:tr>
    </w:tbl>
    <w:p w:rsidR="00432989" w:rsidRPr="00F21162" w:rsidRDefault="00432989" w:rsidP="00432989">
      <w:pPr>
        <w:spacing w:line="0" w:lineRule="atLeast"/>
        <w:rPr>
          <w:sz w:val="20"/>
          <w:szCs w:val="20"/>
          <w:lang w:val="fr-CA"/>
        </w:rPr>
      </w:pPr>
    </w:p>
    <w:p w:rsidR="00CA2DEA" w:rsidRPr="00F21162" w:rsidRDefault="00B150CF" w:rsidP="00432989">
      <w:pPr>
        <w:spacing w:line="0" w:lineRule="atLeast"/>
        <w:rPr>
          <w:rFonts w:eastAsia="Times New Roman" w:cs="Times New Roman"/>
          <w:sz w:val="20"/>
          <w:szCs w:val="20"/>
          <w:lang w:val="fr-CA" w:eastAsia="en-CA"/>
        </w:rPr>
      </w:pPr>
      <w:r>
        <w:rPr>
          <w:rFonts w:eastAsia="Times New Roman" w:cs="Times New Roman"/>
          <w:sz w:val="20"/>
          <w:szCs w:val="20"/>
          <w:lang w:val="fr-CA" w:eastAsia="en-CA"/>
        </w:rPr>
        <w:pict>
          <v:rect id="_x0000_i1031" style="width:2in;height:1pt" o:hrpct="0" o:hralign="center" o:hrstd="t" o:hrnoshade="t" o:hr="t" fillcolor="black [3213]" stroked="f"/>
        </w:pict>
      </w:r>
    </w:p>
    <w:p w:rsidR="00CA2DEA" w:rsidRPr="00F21162" w:rsidRDefault="00CA2DEA" w:rsidP="00432989">
      <w:pPr>
        <w:spacing w:line="0" w:lineRule="atLeast"/>
        <w:rPr>
          <w:sz w:val="20"/>
          <w:szCs w:val="20"/>
          <w:lang w:val="fr-CA"/>
        </w:rPr>
      </w:pPr>
    </w:p>
    <w:p w:rsidR="00CA2DEA" w:rsidRPr="00F21162" w:rsidRDefault="00CD3A2D" w:rsidP="00CA2DEA">
      <w:pPr>
        <w:widowControl w:val="0"/>
        <w:rPr>
          <w:rFonts w:eastAsia="Times New Roman" w:cs="Times New Roman"/>
          <w:sz w:val="20"/>
          <w:szCs w:val="20"/>
          <w:lang w:val="en-US" w:eastAsia="en-CA"/>
        </w:rPr>
      </w:pPr>
      <w:r w:rsidRPr="00F21162">
        <w:rPr>
          <w:rFonts w:eastAsia="Times New Roman" w:cs="Times New Roman"/>
          <w:sz w:val="20"/>
          <w:szCs w:val="20"/>
          <w:lang w:val="en-US" w:eastAsia="en-CA"/>
        </w:rPr>
        <w:t>30</w:t>
      </w:r>
      <w:r w:rsidR="00CA2DEA" w:rsidRPr="00F21162">
        <w:rPr>
          <w:rFonts w:eastAsia="Times New Roman" w:cs="Times New Roman"/>
          <w:sz w:val="20"/>
          <w:szCs w:val="20"/>
          <w:lang w:val="en-US" w:eastAsia="en-CA"/>
        </w:rPr>
        <w:t>.</w:t>
      </w:r>
      <w:r w:rsidRPr="00F21162">
        <w:rPr>
          <w:rFonts w:eastAsia="Times New Roman" w:cs="Times New Roman"/>
          <w:sz w:val="20"/>
          <w:szCs w:val="20"/>
          <w:lang w:val="en-US" w:eastAsia="en-CA"/>
        </w:rPr>
        <w:t>11</w:t>
      </w:r>
      <w:r w:rsidR="00CA2DEA" w:rsidRPr="00F21162">
        <w:rPr>
          <w:rFonts w:eastAsia="Times New Roman" w:cs="Times New Roman"/>
          <w:sz w:val="20"/>
          <w:szCs w:val="20"/>
          <w:lang w:val="en-US" w:eastAsia="en-CA"/>
        </w:rPr>
        <w:t>.201</w:t>
      </w:r>
      <w:r w:rsidRPr="00F21162">
        <w:rPr>
          <w:rFonts w:eastAsia="Times New Roman" w:cs="Times New Roman"/>
          <w:sz w:val="20"/>
          <w:szCs w:val="20"/>
          <w:lang w:val="en-US" w:eastAsia="en-CA"/>
        </w:rPr>
        <w:t>5</w:t>
      </w:r>
    </w:p>
    <w:p w:rsidR="00CA2DEA" w:rsidRPr="00F21162" w:rsidRDefault="00CA2DEA" w:rsidP="00CA2DEA">
      <w:pPr>
        <w:widowControl w:val="0"/>
        <w:rPr>
          <w:rFonts w:eastAsia="Times New Roman" w:cs="Times New Roman"/>
          <w:sz w:val="20"/>
          <w:szCs w:val="20"/>
          <w:lang w:val="en-US" w:eastAsia="en-CA"/>
        </w:rPr>
      </w:pPr>
    </w:p>
    <w:p w:rsidR="00CA2DEA" w:rsidRPr="00F21162" w:rsidRDefault="00CA2DEA" w:rsidP="00CA2DEA">
      <w:pPr>
        <w:widowControl w:val="0"/>
        <w:ind w:left="720" w:hanging="720"/>
        <w:rPr>
          <w:rFonts w:eastAsia="Calibri" w:cs="Times New Roman"/>
          <w:sz w:val="20"/>
          <w:szCs w:val="20"/>
          <w:u w:val="single"/>
        </w:rPr>
      </w:pPr>
      <w:r w:rsidRPr="00F21162">
        <w:rPr>
          <w:rFonts w:eastAsia="Calibri" w:cs="Times New Roman"/>
          <w:sz w:val="20"/>
          <w:szCs w:val="20"/>
        </w:rPr>
        <w:t xml:space="preserve">Coram: </w:t>
      </w:r>
      <w:r w:rsidRPr="00F21162">
        <w:rPr>
          <w:rFonts w:eastAsia="Calibri" w:cs="Times New Roman"/>
          <w:sz w:val="20"/>
          <w:szCs w:val="20"/>
        </w:rPr>
        <w:tab/>
      </w:r>
      <w:proofErr w:type="spellStart"/>
      <w:r w:rsidRPr="00F21162">
        <w:rPr>
          <w:rFonts w:eastAsia="Calibri" w:cs="Times New Roman"/>
          <w:sz w:val="20"/>
          <w:szCs w:val="20"/>
          <w:u w:val="single"/>
        </w:rPr>
        <w:t>McLachlin</w:t>
      </w:r>
      <w:proofErr w:type="spellEnd"/>
      <w:r w:rsidRPr="00F21162">
        <w:rPr>
          <w:rFonts w:eastAsia="Calibri" w:cs="Times New Roman"/>
          <w:sz w:val="20"/>
          <w:szCs w:val="20"/>
          <w:u w:val="single"/>
        </w:rPr>
        <w:t xml:space="preserve"> C.J. and </w:t>
      </w:r>
      <w:proofErr w:type="spellStart"/>
      <w:r w:rsidR="009950FF" w:rsidRPr="00F21162">
        <w:rPr>
          <w:rFonts w:eastAsia="Calibri" w:cs="Times New Roman"/>
          <w:sz w:val="20"/>
          <w:szCs w:val="20"/>
          <w:u w:val="single"/>
        </w:rPr>
        <w:t>Moldaver</w:t>
      </w:r>
      <w:proofErr w:type="spellEnd"/>
      <w:r w:rsidRPr="00F21162">
        <w:rPr>
          <w:rFonts w:eastAsia="Calibri" w:cs="Times New Roman"/>
          <w:sz w:val="20"/>
          <w:szCs w:val="20"/>
          <w:u w:val="single"/>
        </w:rPr>
        <w:t xml:space="preserve"> and </w:t>
      </w:r>
      <w:proofErr w:type="spellStart"/>
      <w:r w:rsidR="009950FF" w:rsidRPr="00F21162">
        <w:rPr>
          <w:rFonts w:eastAsia="Calibri" w:cs="Times New Roman"/>
          <w:sz w:val="20"/>
          <w:szCs w:val="20"/>
          <w:u w:val="single"/>
        </w:rPr>
        <w:t>Gascon</w:t>
      </w:r>
      <w:proofErr w:type="spellEnd"/>
      <w:r w:rsidRPr="00F21162">
        <w:rPr>
          <w:rFonts w:eastAsia="Calibri" w:cs="Times New Roman"/>
          <w:sz w:val="20"/>
          <w:szCs w:val="20"/>
          <w:u w:val="single"/>
        </w:rPr>
        <w:t xml:space="preserve"> JJ.</w:t>
      </w:r>
    </w:p>
    <w:p w:rsidR="00CA2DEA" w:rsidRPr="00F21162" w:rsidRDefault="00CA2DEA" w:rsidP="00CA2DEA">
      <w:pPr>
        <w:widowControl w:val="0"/>
        <w:rPr>
          <w:rFonts w:eastAsia="Times New Roman" w:cs="Times New Roman"/>
          <w:sz w:val="20"/>
          <w:szCs w:val="20"/>
          <w:lang w:eastAsia="en-CA"/>
        </w:rPr>
      </w:pPr>
    </w:p>
    <w:tbl>
      <w:tblPr>
        <w:tblW w:w="0" w:type="auto"/>
        <w:tblLayout w:type="fixed"/>
        <w:tblCellMar>
          <w:left w:w="0" w:type="dxa"/>
          <w:right w:w="0" w:type="dxa"/>
        </w:tblCellMar>
        <w:tblLook w:val="0000" w:firstRow="0" w:lastRow="0" w:firstColumn="0" w:lastColumn="0" w:noHBand="0" w:noVBand="0"/>
      </w:tblPr>
      <w:tblGrid>
        <w:gridCol w:w="4410"/>
        <w:gridCol w:w="720"/>
        <w:gridCol w:w="4350"/>
      </w:tblGrid>
      <w:tr w:rsidR="00CA2DEA" w:rsidRPr="00F21162" w:rsidTr="0004528B">
        <w:tc>
          <w:tcPr>
            <w:tcW w:w="4410" w:type="dxa"/>
            <w:tcMar>
              <w:left w:w="0" w:type="dxa"/>
              <w:right w:w="0" w:type="dxa"/>
            </w:tcMar>
          </w:tcPr>
          <w:p w:rsidR="00CA2DEA" w:rsidRPr="00F21162" w:rsidRDefault="00CA2DEA" w:rsidP="0004528B">
            <w:pPr>
              <w:widowControl w:val="0"/>
              <w:jc w:val="both"/>
              <w:rPr>
                <w:rFonts w:eastAsia="Times New Roman" w:cs="Times New Roman"/>
                <w:b/>
                <w:sz w:val="20"/>
                <w:szCs w:val="20"/>
                <w:lang w:val="en-US" w:eastAsia="en-CA"/>
              </w:rPr>
            </w:pPr>
            <w:r w:rsidRPr="00F21162">
              <w:rPr>
                <w:rFonts w:eastAsia="Times New Roman" w:cs="Times New Roman"/>
                <w:b/>
                <w:sz w:val="20"/>
                <w:szCs w:val="20"/>
                <w:lang w:val="en-US" w:eastAsia="en-CA"/>
              </w:rPr>
              <w:t>Oral hearing on application for leave to appeal</w:t>
            </w:r>
          </w:p>
        </w:tc>
        <w:tc>
          <w:tcPr>
            <w:tcW w:w="720" w:type="dxa"/>
            <w:tcMar>
              <w:left w:w="0" w:type="dxa"/>
              <w:right w:w="0" w:type="dxa"/>
            </w:tcMar>
          </w:tcPr>
          <w:p w:rsidR="00CA2DEA" w:rsidRPr="00F21162" w:rsidRDefault="00CA2DEA" w:rsidP="0004528B">
            <w:pPr>
              <w:widowControl w:val="0"/>
              <w:jc w:val="center"/>
              <w:rPr>
                <w:rFonts w:eastAsia="Times New Roman" w:cs="Times New Roman"/>
                <w:sz w:val="20"/>
                <w:szCs w:val="20"/>
                <w:lang w:val="en-US" w:eastAsia="en-CA"/>
              </w:rPr>
            </w:pPr>
          </w:p>
          <w:p w:rsidR="00CA2DEA" w:rsidRPr="00F21162" w:rsidRDefault="00CA2DEA" w:rsidP="0004528B">
            <w:pPr>
              <w:widowControl w:val="0"/>
              <w:jc w:val="center"/>
              <w:rPr>
                <w:rFonts w:eastAsia="Times New Roman" w:cs="Times New Roman"/>
                <w:sz w:val="20"/>
                <w:szCs w:val="20"/>
                <w:lang w:val="en-US" w:eastAsia="en-CA"/>
              </w:rPr>
            </w:pPr>
          </w:p>
        </w:tc>
        <w:tc>
          <w:tcPr>
            <w:tcW w:w="4350" w:type="dxa"/>
            <w:tcMar>
              <w:left w:w="0" w:type="dxa"/>
              <w:right w:w="0" w:type="dxa"/>
            </w:tcMar>
          </w:tcPr>
          <w:p w:rsidR="00CA2DEA" w:rsidRPr="00F21162" w:rsidRDefault="00CA2DEA" w:rsidP="0004528B">
            <w:pPr>
              <w:widowControl w:val="0"/>
              <w:jc w:val="both"/>
              <w:rPr>
                <w:rFonts w:eastAsia="Times New Roman" w:cs="Times New Roman"/>
                <w:b/>
                <w:sz w:val="20"/>
                <w:szCs w:val="20"/>
                <w:lang w:val="fr-CA" w:eastAsia="en-CA"/>
              </w:rPr>
            </w:pPr>
            <w:r w:rsidRPr="00F21162">
              <w:rPr>
                <w:rFonts w:eastAsia="Times New Roman" w:cs="Times New Roman"/>
                <w:b/>
                <w:sz w:val="20"/>
                <w:szCs w:val="20"/>
                <w:lang w:val="fr-CA" w:eastAsia="en-CA"/>
              </w:rPr>
              <w:t>Audience sur une demande d’autorisation d’appel</w:t>
            </w:r>
          </w:p>
        </w:tc>
      </w:tr>
      <w:tr w:rsidR="00CA2DEA" w:rsidRPr="00F21162" w:rsidTr="0004528B">
        <w:tc>
          <w:tcPr>
            <w:tcW w:w="4410" w:type="dxa"/>
            <w:tcMar>
              <w:left w:w="0" w:type="dxa"/>
              <w:right w:w="0" w:type="dxa"/>
            </w:tcMar>
          </w:tcPr>
          <w:p w:rsidR="00CA2DEA" w:rsidRPr="00F21162" w:rsidRDefault="005C02B5" w:rsidP="0004528B">
            <w:pPr>
              <w:widowControl w:val="0"/>
              <w:jc w:val="both"/>
              <w:rPr>
                <w:rFonts w:eastAsia="Times New Roman" w:cs="Times New Roman"/>
                <w:b/>
                <w:sz w:val="20"/>
                <w:szCs w:val="20"/>
                <w:lang w:eastAsia="en-CA"/>
              </w:rPr>
            </w:pPr>
            <w:r w:rsidRPr="00F21162">
              <w:rPr>
                <w:b/>
                <w:sz w:val="20"/>
                <w:szCs w:val="20"/>
              </w:rPr>
              <w:t>Teal Cedar Products Ltd.</w:t>
            </w:r>
          </w:p>
          <w:p w:rsidR="00CA2DEA" w:rsidRPr="00F21162" w:rsidRDefault="00CA2DEA" w:rsidP="0004528B">
            <w:pPr>
              <w:widowControl w:val="0"/>
              <w:jc w:val="both"/>
              <w:rPr>
                <w:rFonts w:eastAsia="Times New Roman" w:cs="Times New Roman"/>
                <w:b/>
                <w:sz w:val="20"/>
                <w:szCs w:val="20"/>
                <w:lang w:eastAsia="en-CA"/>
              </w:rPr>
            </w:pPr>
          </w:p>
          <w:p w:rsidR="00CA2DEA" w:rsidRPr="00F21162" w:rsidRDefault="00CA2DEA" w:rsidP="0004528B">
            <w:pPr>
              <w:widowControl w:val="0"/>
              <w:tabs>
                <w:tab w:val="left" w:pos="736"/>
              </w:tabs>
              <w:jc w:val="both"/>
              <w:rPr>
                <w:rFonts w:eastAsia="Times New Roman" w:cs="Times New Roman"/>
                <w:b/>
                <w:sz w:val="20"/>
                <w:szCs w:val="20"/>
                <w:lang w:val="en-US" w:eastAsia="en-CA"/>
              </w:rPr>
            </w:pPr>
            <w:r w:rsidRPr="00F21162">
              <w:rPr>
                <w:rFonts w:eastAsia="Times New Roman" w:cs="Times New Roman"/>
                <w:b/>
                <w:sz w:val="20"/>
                <w:szCs w:val="20"/>
                <w:lang w:eastAsia="en-CA"/>
              </w:rPr>
              <w:tab/>
            </w:r>
            <w:r w:rsidRPr="00F21162">
              <w:rPr>
                <w:rFonts w:eastAsia="Times New Roman" w:cs="Times New Roman"/>
                <w:b/>
                <w:sz w:val="20"/>
                <w:szCs w:val="20"/>
                <w:lang w:val="en-US" w:eastAsia="en-CA"/>
              </w:rPr>
              <w:t>v. (3</w:t>
            </w:r>
            <w:r w:rsidR="00082F43" w:rsidRPr="00F21162">
              <w:rPr>
                <w:rFonts w:eastAsia="Times New Roman" w:cs="Times New Roman"/>
                <w:b/>
                <w:sz w:val="20"/>
                <w:szCs w:val="20"/>
                <w:lang w:val="en-US" w:eastAsia="en-CA"/>
              </w:rPr>
              <w:t>6</w:t>
            </w:r>
            <w:r w:rsidRPr="00F21162">
              <w:rPr>
                <w:rFonts w:eastAsia="Times New Roman" w:cs="Times New Roman"/>
                <w:b/>
                <w:sz w:val="20"/>
                <w:szCs w:val="20"/>
                <w:lang w:val="en-US" w:eastAsia="en-CA"/>
              </w:rPr>
              <w:t>5</w:t>
            </w:r>
            <w:r w:rsidR="00082F43" w:rsidRPr="00F21162">
              <w:rPr>
                <w:rFonts w:eastAsia="Times New Roman" w:cs="Times New Roman"/>
                <w:b/>
                <w:sz w:val="20"/>
                <w:szCs w:val="20"/>
                <w:lang w:val="en-US" w:eastAsia="en-CA"/>
              </w:rPr>
              <w:t>95</w:t>
            </w:r>
            <w:r w:rsidRPr="00F21162">
              <w:rPr>
                <w:rFonts w:eastAsia="Times New Roman" w:cs="Times New Roman"/>
                <w:b/>
                <w:sz w:val="20"/>
                <w:szCs w:val="20"/>
                <w:lang w:val="en-US" w:eastAsia="en-CA"/>
              </w:rPr>
              <w:t>)</w:t>
            </w:r>
          </w:p>
          <w:p w:rsidR="00CA2DEA" w:rsidRPr="00F21162" w:rsidRDefault="00CA2DEA" w:rsidP="0004528B">
            <w:pPr>
              <w:widowControl w:val="0"/>
              <w:jc w:val="both"/>
              <w:rPr>
                <w:rFonts w:eastAsia="Times New Roman" w:cs="Times New Roman"/>
                <w:b/>
                <w:sz w:val="20"/>
                <w:szCs w:val="20"/>
                <w:lang w:val="en-US" w:eastAsia="en-CA"/>
              </w:rPr>
            </w:pPr>
          </w:p>
          <w:p w:rsidR="00CA2DEA" w:rsidRPr="00F21162" w:rsidRDefault="00CA2DEA" w:rsidP="00F40C1A">
            <w:pPr>
              <w:widowControl w:val="0"/>
              <w:jc w:val="both"/>
              <w:rPr>
                <w:rFonts w:eastAsia="Times New Roman" w:cs="Times New Roman"/>
                <w:b/>
                <w:sz w:val="20"/>
                <w:szCs w:val="20"/>
                <w:lang w:val="en-US" w:eastAsia="en-CA"/>
              </w:rPr>
            </w:pPr>
            <w:r w:rsidRPr="00F21162">
              <w:rPr>
                <w:b/>
                <w:sz w:val="20"/>
                <w:szCs w:val="20"/>
              </w:rPr>
              <w:t>Her Majesty the Queen</w:t>
            </w:r>
            <w:r w:rsidRPr="00F21162">
              <w:rPr>
                <w:rFonts w:eastAsia="Times New Roman" w:cs="Times New Roman"/>
                <w:b/>
                <w:sz w:val="20"/>
                <w:szCs w:val="20"/>
                <w:lang w:val="en-US" w:eastAsia="en-CA"/>
              </w:rPr>
              <w:t xml:space="preserve"> </w:t>
            </w:r>
            <w:r w:rsidR="00E02145" w:rsidRPr="00F21162">
              <w:rPr>
                <w:rFonts w:eastAsia="Times New Roman" w:cs="Times New Roman"/>
                <w:b/>
                <w:sz w:val="20"/>
                <w:szCs w:val="20"/>
                <w:lang w:val="en-US" w:eastAsia="en-CA"/>
              </w:rPr>
              <w:t>in Right of the Province of British Columbia</w:t>
            </w:r>
          </w:p>
        </w:tc>
        <w:tc>
          <w:tcPr>
            <w:tcW w:w="720" w:type="dxa"/>
            <w:tcMar>
              <w:left w:w="0" w:type="dxa"/>
              <w:right w:w="0" w:type="dxa"/>
            </w:tcMar>
          </w:tcPr>
          <w:p w:rsidR="00CA2DEA" w:rsidRPr="00F21162" w:rsidRDefault="00CA2DEA" w:rsidP="0004528B">
            <w:pPr>
              <w:widowControl w:val="0"/>
              <w:jc w:val="center"/>
              <w:rPr>
                <w:rFonts w:eastAsia="Times New Roman" w:cs="Times New Roman"/>
                <w:sz w:val="20"/>
                <w:szCs w:val="20"/>
                <w:lang w:val="en-US" w:eastAsia="en-CA"/>
              </w:rPr>
            </w:pPr>
          </w:p>
        </w:tc>
        <w:tc>
          <w:tcPr>
            <w:tcW w:w="4350" w:type="dxa"/>
            <w:tcMar>
              <w:left w:w="0" w:type="dxa"/>
              <w:right w:w="0" w:type="dxa"/>
            </w:tcMar>
          </w:tcPr>
          <w:p w:rsidR="00CA2DEA" w:rsidRPr="00F21162" w:rsidRDefault="00A0012C" w:rsidP="0004528B">
            <w:pPr>
              <w:jc w:val="both"/>
              <w:rPr>
                <w:sz w:val="20"/>
                <w:szCs w:val="20"/>
              </w:rPr>
            </w:pPr>
            <w:r w:rsidRPr="00F21162">
              <w:rPr>
                <w:sz w:val="20"/>
                <w:szCs w:val="20"/>
              </w:rPr>
              <w:t>Michael Stephens and Mark Oulton</w:t>
            </w:r>
            <w:r w:rsidR="00CA2DEA" w:rsidRPr="00F21162">
              <w:rPr>
                <w:sz w:val="20"/>
                <w:szCs w:val="20"/>
              </w:rPr>
              <w:t xml:space="preserve"> for the applicant.</w:t>
            </w:r>
          </w:p>
          <w:p w:rsidR="00CA2DEA" w:rsidRPr="00F21162" w:rsidRDefault="00CA2DEA" w:rsidP="0004528B">
            <w:pPr>
              <w:jc w:val="both"/>
              <w:rPr>
                <w:sz w:val="20"/>
                <w:szCs w:val="20"/>
              </w:rPr>
            </w:pPr>
          </w:p>
          <w:p w:rsidR="00CA2DEA" w:rsidRPr="00F21162" w:rsidRDefault="00A0012C" w:rsidP="0004528B">
            <w:pPr>
              <w:widowControl w:val="0"/>
              <w:jc w:val="both"/>
              <w:rPr>
                <w:rFonts w:eastAsia="Times New Roman" w:cs="Times New Roman"/>
                <w:sz w:val="20"/>
                <w:szCs w:val="20"/>
                <w:lang w:val="en-US" w:eastAsia="en-CA"/>
              </w:rPr>
            </w:pPr>
            <w:r w:rsidRPr="00F21162">
              <w:rPr>
                <w:sz w:val="20"/>
                <w:szCs w:val="20"/>
              </w:rPr>
              <w:t xml:space="preserve">Karen A. </w:t>
            </w:r>
            <w:proofErr w:type="spellStart"/>
            <w:r w:rsidRPr="00F21162">
              <w:rPr>
                <w:sz w:val="20"/>
                <w:szCs w:val="20"/>
              </w:rPr>
              <w:t>Horsman</w:t>
            </w:r>
            <w:proofErr w:type="spellEnd"/>
            <w:r w:rsidR="00CA2DEA" w:rsidRPr="00F21162">
              <w:rPr>
                <w:sz w:val="20"/>
                <w:szCs w:val="20"/>
              </w:rPr>
              <w:t xml:space="preserve"> for the respondent.</w:t>
            </w:r>
          </w:p>
        </w:tc>
      </w:tr>
    </w:tbl>
    <w:p w:rsidR="00CA2DEA" w:rsidRPr="00F21162" w:rsidRDefault="00CA2DEA" w:rsidP="00CA2DEA">
      <w:pPr>
        <w:widowControl w:val="0"/>
        <w:rPr>
          <w:rFonts w:eastAsia="Times New Roman" w:cs="Times New Roman"/>
          <w:sz w:val="20"/>
          <w:szCs w:val="20"/>
          <w:lang w:val="en-US" w:eastAsia="en-CA"/>
        </w:rPr>
      </w:pPr>
    </w:p>
    <w:p w:rsidR="00CA2DEA" w:rsidRPr="00F21162" w:rsidRDefault="00A836E5" w:rsidP="00CA2DEA">
      <w:pPr>
        <w:widowControl w:val="0"/>
        <w:rPr>
          <w:rFonts w:eastAsia="Times New Roman" w:cs="Times New Roman"/>
          <w:sz w:val="20"/>
          <w:szCs w:val="20"/>
          <w:lang w:val="en-US" w:eastAsia="en-CA"/>
        </w:rPr>
      </w:pPr>
      <w:r w:rsidRPr="00F21162">
        <w:rPr>
          <w:rFonts w:eastAsia="Times New Roman" w:cs="Times New Roman"/>
          <w:b/>
          <w:sz w:val="20"/>
          <w:szCs w:val="20"/>
          <w:lang w:val="en-US" w:eastAsia="en-CA"/>
        </w:rPr>
        <w:t>GRANTED</w:t>
      </w:r>
      <w:r w:rsidR="00CA2DEA" w:rsidRPr="00F21162">
        <w:rPr>
          <w:rFonts w:eastAsia="Times New Roman" w:cs="Times New Roman"/>
          <w:b/>
          <w:sz w:val="20"/>
          <w:szCs w:val="20"/>
          <w:lang w:val="en-US" w:eastAsia="en-CA"/>
        </w:rPr>
        <w:t xml:space="preserve"> / </w:t>
      </w:r>
      <w:r w:rsidRPr="00F21162">
        <w:rPr>
          <w:rFonts w:eastAsia="Times New Roman" w:cs="Times New Roman"/>
          <w:b/>
          <w:sz w:val="20"/>
          <w:szCs w:val="20"/>
          <w:lang w:val="en-US" w:eastAsia="en-CA"/>
        </w:rPr>
        <w:t>ACC</w:t>
      </w:r>
      <w:r w:rsidR="000642A2" w:rsidRPr="00F21162">
        <w:rPr>
          <w:rFonts w:eastAsia="Times New Roman" w:cs="Times New Roman"/>
          <w:b/>
          <w:sz w:val="20"/>
          <w:szCs w:val="20"/>
          <w:lang w:val="en-US" w:eastAsia="en-CA"/>
        </w:rPr>
        <w:t>ORDÉE</w:t>
      </w:r>
    </w:p>
    <w:p w:rsidR="00CA2DEA" w:rsidRPr="00F21162" w:rsidRDefault="00CA2DEA" w:rsidP="00CA2DEA">
      <w:pPr>
        <w:rPr>
          <w:rFonts w:eastAsia="Times New Roman" w:cs="Times New Roman"/>
          <w:sz w:val="20"/>
          <w:szCs w:val="20"/>
          <w:lang w:val="en-US" w:eastAsia="en-CA"/>
        </w:rPr>
      </w:pPr>
    </w:p>
    <w:tbl>
      <w:tblPr>
        <w:tblW w:w="0" w:type="auto"/>
        <w:tblLayout w:type="fixed"/>
        <w:tblCellMar>
          <w:left w:w="0" w:type="dxa"/>
          <w:right w:w="0" w:type="dxa"/>
        </w:tblCellMar>
        <w:tblLook w:val="0000" w:firstRow="0" w:lastRow="0" w:firstColumn="0" w:lastColumn="0" w:noHBand="0" w:noVBand="0"/>
      </w:tblPr>
      <w:tblGrid>
        <w:gridCol w:w="4410"/>
        <w:gridCol w:w="720"/>
        <w:gridCol w:w="4350"/>
      </w:tblGrid>
      <w:tr w:rsidR="002A6755" w:rsidRPr="00F21162" w:rsidTr="0004528B">
        <w:tc>
          <w:tcPr>
            <w:tcW w:w="4410" w:type="dxa"/>
            <w:tcMar>
              <w:left w:w="0" w:type="dxa"/>
              <w:right w:w="0" w:type="dxa"/>
            </w:tcMar>
          </w:tcPr>
          <w:p w:rsidR="002A6755" w:rsidRPr="00F21162" w:rsidRDefault="002A6755" w:rsidP="002A6755">
            <w:pPr>
              <w:keepNext/>
              <w:keepLines/>
              <w:jc w:val="both"/>
              <w:rPr>
                <w:b/>
                <w:sz w:val="20"/>
                <w:szCs w:val="20"/>
                <w:u w:val="single"/>
              </w:rPr>
            </w:pPr>
            <w:r w:rsidRPr="00F21162">
              <w:rPr>
                <w:b/>
                <w:sz w:val="20"/>
                <w:szCs w:val="20"/>
                <w:u w:val="single"/>
              </w:rPr>
              <w:t>JUDGMENT:</w:t>
            </w:r>
          </w:p>
          <w:p w:rsidR="002A6755" w:rsidRPr="00F21162" w:rsidRDefault="002A6755" w:rsidP="002A6755">
            <w:pPr>
              <w:keepNext/>
              <w:keepLines/>
              <w:jc w:val="both"/>
              <w:rPr>
                <w:sz w:val="20"/>
                <w:szCs w:val="20"/>
              </w:rPr>
            </w:pPr>
          </w:p>
          <w:p w:rsidR="002A6755" w:rsidRPr="00F21162" w:rsidRDefault="007641A0" w:rsidP="00804233">
            <w:pPr>
              <w:keepNext/>
              <w:keepLines/>
              <w:jc w:val="both"/>
              <w:rPr>
                <w:b/>
                <w:sz w:val="20"/>
                <w:szCs w:val="20"/>
                <w:u w:val="single"/>
              </w:rPr>
            </w:pPr>
            <w:r w:rsidRPr="00F21162">
              <w:rPr>
                <w:sz w:val="20"/>
                <w:szCs w:val="20"/>
              </w:rPr>
              <w:t>The application</w:t>
            </w:r>
            <w:r w:rsidR="00804233" w:rsidRPr="00F21162">
              <w:rPr>
                <w:sz w:val="20"/>
                <w:szCs w:val="20"/>
              </w:rPr>
              <w:t>s</w:t>
            </w:r>
            <w:r w:rsidRPr="00F21162">
              <w:rPr>
                <w:sz w:val="20"/>
                <w:szCs w:val="20"/>
              </w:rPr>
              <w:t xml:space="preserve"> for leave to appeal from the judgment of the Court of Appeal for British Columbia (Vancouver), Numbers CA39893 and CA39894, 2015 BCCA 263, dated June 9, 2015, </w:t>
            </w:r>
            <w:r w:rsidR="00804233" w:rsidRPr="00F21162">
              <w:rPr>
                <w:sz w:val="20"/>
                <w:szCs w:val="20"/>
              </w:rPr>
              <w:t>are</w:t>
            </w:r>
            <w:r w:rsidRPr="00F21162">
              <w:rPr>
                <w:sz w:val="20"/>
                <w:szCs w:val="20"/>
              </w:rPr>
              <w:t xml:space="preserve"> granted with costs in the cause.</w:t>
            </w:r>
          </w:p>
        </w:tc>
        <w:tc>
          <w:tcPr>
            <w:tcW w:w="720" w:type="dxa"/>
            <w:tcMar>
              <w:left w:w="0" w:type="dxa"/>
              <w:right w:w="0" w:type="dxa"/>
            </w:tcMar>
          </w:tcPr>
          <w:p w:rsidR="002A6755" w:rsidRPr="00F21162" w:rsidRDefault="002A6755" w:rsidP="0004528B">
            <w:pPr>
              <w:widowControl w:val="0"/>
              <w:jc w:val="center"/>
              <w:rPr>
                <w:rFonts w:eastAsia="Times New Roman" w:cs="Times New Roman"/>
                <w:sz w:val="20"/>
                <w:szCs w:val="20"/>
                <w:lang w:val="en-US" w:eastAsia="en-CA"/>
              </w:rPr>
            </w:pPr>
          </w:p>
        </w:tc>
        <w:tc>
          <w:tcPr>
            <w:tcW w:w="4350" w:type="dxa"/>
            <w:tcMar>
              <w:left w:w="0" w:type="dxa"/>
              <w:right w:w="0" w:type="dxa"/>
            </w:tcMar>
          </w:tcPr>
          <w:p w:rsidR="002A6755" w:rsidRPr="00F21162" w:rsidRDefault="002A6755" w:rsidP="002A6755">
            <w:pPr>
              <w:keepNext/>
              <w:keepLines/>
              <w:jc w:val="both"/>
              <w:rPr>
                <w:b/>
                <w:sz w:val="20"/>
                <w:szCs w:val="20"/>
                <w:u w:val="single"/>
                <w:lang w:val="fr-CA"/>
              </w:rPr>
            </w:pPr>
            <w:r w:rsidRPr="00F21162">
              <w:rPr>
                <w:b/>
                <w:sz w:val="20"/>
                <w:szCs w:val="20"/>
                <w:u w:val="single"/>
                <w:lang w:val="fr-CA"/>
              </w:rPr>
              <w:t>JUGEMENT :</w:t>
            </w:r>
          </w:p>
          <w:p w:rsidR="002A6755" w:rsidRPr="00F21162" w:rsidRDefault="002A6755" w:rsidP="002A6755">
            <w:pPr>
              <w:keepNext/>
              <w:keepLines/>
              <w:jc w:val="both"/>
              <w:rPr>
                <w:sz w:val="20"/>
                <w:szCs w:val="20"/>
                <w:lang w:val="fr-CA"/>
              </w:rPr>
            </w:pPr>
          </w:p>
          <w:p w:rsidR="002A6755" w:rsidRPr="00F21162" w:rsidRDefault="007641A0" w:rsidP="00120E94">
            <w:pPr>
              <w:keepNext/>
              <w:keepLines/>
              <w:jc w:val="both"/>
              <w:rPr>
                <w:sz w:val="20"/>
                <w:szCs w:val="20"/>
                <w:lang w:val="fr-CA"/>
              </w:rPr>
            </w:pPr>
            <w:r w:rsidRPr="00F21162">
              <w:rPr>
                <w:sz w:val="20"/>
                <w:szCs w:val="20"/>
                <w:lang w:val="fr-CA"/>
              </w:rPr>
              <w:t>L</w:t>
            </w:r>
            <w:r w:rsidR="00804233" w:rsidRPr="00F21162">
              <w:rPr>
                <w:sz w:val="20"/>
                <w:szCs w:val="20"/>
                <w:lang w:val="fr-CA"/>
              </w:rPr>
              <w:t>es</w:t>
            </w:r>
            <w:r w:rsidRPr="00F21162">
              <w:rPr>
                <w:sz w:val="20"/>
                <w:szCs w:val="20"/>
                <w:lang w:val="fr-CA"/>
              </w:rPr>
              <w:t xml:space="preserve"> demande</w:t>
            </w:r>
            <w:r w:rsidR="00804233" w:rsidRPr="00F21162">
              <w:rPr>
                <w:sz w:val="20"/>
                <w:szCs w:val="20"/>
                <w:lang w:val="fr-CA"/>
              </w:rPr>
              <w:t>s</w:t>
            </w:r>
            <w:r w:rsidRPr="00F21162">
              <w:rPr>
                <w:sz w:val="20"/>
                <w:szCs w:val="20"/>
                <w:lang w:val="fr-CA"/>
              </w:rPr>
              <w:t xml:space="preserve"> d’autorisation d’appel de l’arrêt de la </w:t>
            </w:r>
            <w:r w:rsidRPr="00F21162">
              <w:rPr>
                <w:sz w:val="20"/>
                <w:szCs w:val="20"/>
                <w:lang w:val="fr-FR"/>
              </w:rPr>
              <w:t>Cour d’appel de la Colombie-Britannique (Vancouver)</w:t>
            </w:r>
            <w:r w:rsidRPr="00F21162">
              <w:rPr>
                <w:sz w:val="20"/>
                <w:szCs w:val="20"/>
                <w:lang w:val="fr-CA"/>
              </w:rPr>
              <w:t>, numéros</w:t>
            </w:r>
            <w:r w:rsidRPr="00F21162">
              <w:rPr>
                <w:sz w:val="20"/>
                <w:szCs w:val="20"/>
                <w:lang w:val="fr-FR"/>
              </w:rPr>
              <w:t xml:space="preserve"> CA39893 et CA39894</w:t>
            </w:r>
            <w:r w:rsidRPr="00F21162">
              <w:rPr>
                <w:sz w:val="20"/>
                <w:szCs w:val="20"/>
                <w:lang w:val="fr-CA"/>
              </w:rPr>
              <w:t xml:space="preserve">, </w:t>
            </w:r>
            <w:r w:rsidRPr="00F21162">
              <w:rPr>
                <w:sz w:val="20"/>
                <w:szCs w:val="20"/>
                <w:lang w:val="fr-FR"/>
              </w:rPr>
              <w:t xml:space="preserve">2015 BCCA 263, </w:t>
            </w:r>
            <w:r w:rsidRPr="00F21162">
              <w:rPr>
                <w:sz w:val="20"/>
                <w:szCs w:val="20"/>
                <w:lang w:val="fr-CA"/>
              </w:rPr>
              <w:t xml:space="preserve">daté du </w:t>
            </w:r>
            <w:r w:rsidRPr="00F21162">
              <w:rPr>
                <w:sz w:val="20"/>
                <w:szCs w:val="20"/>
                <w:lang w:val="fr-FR"/>
              </w:rPr>
              <w:t>9 juin 2015</w:t>
            </w:r>
            <w:r w:rsidRPr="00F21162">
              <w:rPr>
                <w:sz w:val="20"/>
                <w:szCs w:val="20"/>
                <w:lang w:val="fr-CA"/>
              </w:rPr>
              <w:t xml:space="preserve">, </w:t>
            </w:r>
            <w:r w:rsidR="00804233" w:rsidRPr="00F21162">
              <w:rPr>
                <w:sz w:val="20"/>
                <w:szCs w:val="20"/>
                <w:lang w:val="fr-CA"/>
              </w:rPr>
              <w:t>sont</w:t>
            </w:r>
            <w:r w:rsidRPr="00F21162">
              <w:rPr>
                <w:sz w:val="20"/>
                <w:szCs w:val="20"/>
                <w:lang w:val="fr-CA"/>
              </w:rPr>
              <w:t xml:space="preserve"> accueillie</w:t>
            </w:r>
            <w:r w:rsidR="00804233" w:rsidRPr="00F21162">
              <w:rPr>
                <w:sz w:val="20"/>
                <w:szCs w:val="20"/>
                <w:lang w:val="fr-CA"/>
              </w:rPr>
              <w:t>s</w:t>
            </w:r>
            <w:r w:rsidRPr="00F21162">
              <w:rPr>
                <w:sz w:val="20"/>
                <w:szCs w:val="20"/>
                <w:lang w:val="fr-CA"/>
              </w:rPr>
              <w:t xml:space="preserve"> avec d</w:t>
            </w:r>
            <w:r w:rsidRPr="00F21162">
              <w:rPr>
                <w:rFonts w:cs="Times New Roman"/>
                <w:sz w:val="20"/>
                <w:szCs w:val="20"/>
                <w:lang w:val="fr-CA"/>
              </w:rPr>
              <w:t>é</w:t>
            </w:r>
            <w:r w:rsidRPr="00F21162">
              <w:rPr>
                <w:sz w:val="20"/>
                <w:szCs w:val="20"/>
                <w:lang w:val="fr-CA"/>
              </w:rPr>
              <w:t>pens suivant l’issue de la cause.</w:t>
            </w:r>
          </w:p>
          <w:p w:rsidR="007641A0" w:rsidRPr="00F21162" w:rsidRDefault="007641A0" w:rsidP="00120E94">
            <w:pPr>
              <w:keepNext/>
              <w:keepLines/>
              <w:jc w:val="both"/>
              <w:rPr>
                <w:b/>
                <w:sz w:val="20"/>
                <w:szCs w:val="20"/>
                <w:u w:val="single"/>
                <w:lang w:val="fr-CA"/>
              </w:rPr>
            </w:pPr>
          </w:p>
        </w:tc>
      </w:tr>
      <w:tr w:rsidR="00CA2DEA" w:rsidRPr="00F21162" w:rsidTr="0004528B">
        <w:tc>
          <w:tcPr>
            <w:tcW w:w="4410" w:type="dxa"/>
            <w:tcMar>
              <w:left w:w="0" w:type="dxa"/>
              <w:right w:w="0" w:type="dxa"/>
            </w:tcMar>
          </w:tcPr>
          <w:p w:rsidR="00CA2DEA" w:rsidRPr="00F21162" w:rsidRDefault="00CA2DEA" w:rsidP="0004528B">
            <w:pPr>
              <w:widowControl w:val="0"/>
              <w:jc w:val="both"/>
              <w:rPr>
                <w:rFonts w:eastAsia="Times New Roman" w:cs="Times New Roman"/>
                <w:b/>
                <w:sz w:val="20"/>
                <w:szCs w:val="20"/>
                <w:u w:val="single"/>
                <w:lang w:val="en-US" w:eastAsia="en-CA"/>
              </w:rPr>
            </w:pPr>
            <w:r w:rsidRPr="00F21162">
              <w:rPr>
                <w:rFonts w:eastAsia="Times New Roman" w:cs="Times New Roman"/>
                <w:b/>
                <w:sz w:val="20"/>
                <w:szCs w:val="20"/>
                <w:u w:val="single"/>
                <w:lang w:val="en-US" w:eastAsia="en-CA"/>
              </w:rPr>
              <w:t>Nature of the case:</w:t>
            </w:r>
          </w:p>
          <w:p w:rsidR="00CA2DEA" w:rsidRPr="00F21162" w:rsidRDefault="00CA2DEA" w:rsidP="0004528B">
            <w:pPr>
              <w:widowControl w:val="0"/>
              <w:jc w:val="both"/>
              <w:rPr>
                <w:rFonts w:eastAsia="Times New Roman" w:cs="Times New Roman"/>
                <w:b/>
                <w:sz w:val="20"/>
                <w:szCs w:val="20"/>
                <w:lang w:val="en-US" w:eastAsia="en-CA"/>
              </w:rPr>
            </w:pPr>
          </w:p>
          <w:p w:rsidR="00CA2DEA" w:rsidRPr="00F21162" w:rsidRDefault="00372E67" w:rsidP="0004528B">
            <w:pPr>
              <w:widowControl w:val="0"/>
              <w:jc w:val="both"/>
              <w:rPr>
                <w:rFonts w:eastAsia="Times New Roman" w:cs="Times New Roman"/>
                <w:b/>
                <w:sz w:val="20"/>
                <w:szCs w:val="20"/>
                <w:lang w:val="en-US" w:eastAsia="en-CA"/>
              </w:rPr>
            </w:pPr>
            <w:r w:rsidRPr="00F21162">
              <w:rPr>
                <w:rFonts w:cs="Times New Roman"/>
                <w:sz w:val="20"/>
                <w:szCs w:val="20"/>
              </w:rPr>
              <w:t xml:space="preserve">Arbitration – Appeals – Commercial arbitration awards – </w:t>
            </w:r>
            <w:r w:rsidRPr="00F21162">
              <w:rPr>
                <w:sz w:val="20"/>
                <w:szCs w:val="20"/>
              </w:rPr>
              <w:t>Standard of r</w:t>
            </w:r>
            <w:r w:rsidRPr="00F21162">
              <w:rPr>
                <w:rFonts w:cs="Times New Roman"/>
                <w:sz w:val="20"/>
                <w:szCs w:val="20"/>
              </w:rPr>
              <w:t xml:space="preserve">eview – </w:t>
            </w:r>
            <w:r w:rsidRPr="00F21162">
              <w:rPr>
                <w:rFonts w:cs="Times New Roman"/>
                <w:i/>
                <w:sz w:val="20"/>
                <w:szCs w:val="20"/>
              </w:rPr>
              <w:t>Forestry Revitalization Act</w:t>
            </w:r>
            <w:r w:rsidRPr="00F21162">
              <w:rPr>
                <w:rFonts w:cs="Times New Roman"/>
                <w:sz w:val="20"/>
                <w:szCs w:val="20"/>
              </w:rPr>
              <w:t>, S.B.C. 2003, c. 17,</w:t>
            </w:r>
            <w:r w:rsidRPr="00F21162">
              <w:rPr>
                <w:rFonts w:cs="Times New Roman"/>
                <w:i/>
                <w:sz w:val="20"/>
                <w:szCs w:val="20"/>
              </w:rPr>
              <w:t xml:space="preserve"> </w:t>
            </w:r>
            <w:r w:rsidRPr="00F21162">
              <w:rPr>
                <w:rFonts w:cs="Times New Roman"/>
                <w:sz w:val="20"/>
                <w:szCs w:val="20"/>
              </w:rPr>
              <w:t xml:space="preserve">permitting Province to reduce by 20% land base and allowable annual cut of forest tenures held by British Columbia forestry companies – Dispute arising between parties concerning compensation owed by Province for “value of improvements made to Crown land” under s. 6(4) of the </w:t>
            </w:r>
            <w:r w:rsidRPr="00F21162">
              <w:rPr>
                <w:rFonts w:cs="Times New Roman"/>
                <w:i/>
                <w:sz w:val="20"/>
                <w:szCs w:val="20"/>
              </w:rPr>
              <w:t>Forestry Revitalization Act</w:t>
            </w:r>
            <w:r w:rsidRPr="00F21162">
              <w:rPr>
                <w:rFonts w:cs="Times New Roman"/>
                <w:sz w:val="20"/>
                <w:szCs w:val="20"/>
              </w:rPr>
              <w:t xml:space="preserve"> – Arbitrator relying on expert evidence and choosing “cost savings approach” to valuation –</w:t>
            </w:r>
            <w:r w:rsidRPr="00F21162">
              <w:rPr>
                <w:rFonts w:cs="Times New Roman"/>
                <w:i/>
                <w:sz w:val="20"/>
                <w:szCs w:val="20"/>
              </w:rPr>
              <w:t xml:space="preserve"> </w:t>
            </w:r>
            <w:r w:rsidRPr="00F21162">
              <w:rPr>
                <w:rFonts w:cs="Times New Roman"/>
                <w:sz w:val="20"/>
                <w:szCs w:val="20"/>
              </w:rPr>
              <w:t>Extent to which an appellate court is permitted to interfere with or disregard an arbitrator</w:t>
            </w:r>
            <w:r w:rsidRPr="00F21162">
              <w:rPr>
                <w:sz w:val="20"/>
                <w:szCs w:val="20"/>
              </w:rPr>
              <w:t>’</w:t>
            </w:r>
            <w:r w:rsidRPr="00F21162">
              <w:rPr>
                <w:rFonts w:cs="Times New Roman"/>
                <w:sz w:val="20"/>
                <w:szCs w:val="20"/>
              </w:rPr>
              <w:t>s assessment of the evidence when considering an appeal on a question or point of law</w:t>
            </w:r>
            <w:r w:rsidRPr="00F21162">
              <w:rPr>
                <w:rFonts w:cs="Times New Roman"/>
                <w:i/>
                <w:sz w:val="20"/>
                <w:szCs w:val="20"/>
              </w:rPr>
              <w:t xml:space="preserve"> </w:t>
            </w:r>
            <w:r w:rsidRPr="00F21162">
              <w:rPr>
                <w:rFonts w:cs="Times New Roman"/>
                <w:sz w:val="20"/>
                <w:szCs w:val="20"/>
              </w:rPr>
              <w:t>– Circumstances in which the interpretation of a contractual provision constitutes a question of law as opposed to a question of mixed fact and law</w:t>
            </w:r>
            <w:r w:rsidRPr="00F21162">
              <w:rPr>
                <w:rFonts w:cs="Times New Roman"/>
                <w:i/>
                <w:sz w:val="20"/>
                <w:szCs w:val="20"/>
              </w:rPr>
              <w:t xml:space="preserve"> </w:t>
            </w:r>
            <w:r w:rsidRPr="00F21162">
              <w:rPr>
                <w:rFonts w:cs="Times New Roman"/>
                <w:sz w:val="20"/>
                <w:szCs w:val="20"/>
              </w:rPr>
              <w:t xml:space="preserve">– Case remanded to Court of Appeal of British Columbia for disposition in accordance with </w:t>
            </w:r>
            <w:r w:rsidRPr="00F21162">
              <w:rPr>
                <w:rFonts w:cs="Times New Roman"/>
                <w:i/>
                <w:sz w:val="20"/>
                <w:szCs w:val="20"/>
              </w:rPr>
              <w:t xml:space="preserve">Sattva Capital Corp. </w:t>
            </w:r>
            <w:r w:rsidRPr="00F21162">
              <w:rPr>
                <w:rFonts w:cs="Times New Roman"/>
                <w:i/>
                <w:iCs/>
                <w:sz w:val="20"/>
                <w:szCs w:val="20"/>
              </w:rPr>
              <w:t>v.</w:t>
            </w:r>
            <w:r w:rsidRPr="00F21162">
              <w:rPr>
                <w:rFonts w:cs="Times New Roman"/>
                <w:i/>
                <w:sz w:val="20"/>
                <w:szCs w:val="20"/>
              </w:rPr>
              <w:t xml:space="preserve"> Creston Moly Corp.</w:t>
            </w:r>
            <w:r w:rsidRPr="00F21162">
              <w:rPr>
                <w:rFonts w:cs="Times New Roman"/>
                <w:sz w:val="20"/>
                <w:szCs w:val="20"/>
              </w:rPr>
              <w:t xml:space="preserve">, </w:t>
            </w:r>
            <w:r w:rsidRPr="00F21162">
              <w:rPr>
                <w:rFonts w:cs="Times New Roman"/>
                <w:sz w:val="20"/>
                <w:szCs w:val="20"/>
                <w:lang w:val="en"/>
              </w:rPr>
              <w:t xml:space="preserve">2014 SCC 53 </w:t>
            </w:r>
            <w:r w:rsidRPr="00F21162">
              <w:rPr>
                <w:rFonts w:cs="Times New Roman"/>
                <w:sz w:val="20"/>
                <w:szCs w:val="20"/>
              </w:rPr>
              <w:t xml:space="preserve">– What principles of judicial deference attend the selection and application of the standard of review on an appeal under s. 31 of the </w:t>
            </w:r>
            <w:r w:rsidRPr="00F21162">
              <w:rPr>
                <w:rFonts w:cs="Times New Roman"/>
                <w:i/>
                <w:sz w:val="20"/>
                <w:szCs w:val="20"/>
              </w:rPr>
              <w:t>Commercial Arbitration Act</w:t>
            </w:r>
            <w:r w:rsidRPr="00F21162">
              <w:rPr>
                <w:rFonts w:cs="Times New Roman"/>
                <w:sz w:val="20"/>
                <w:szCs w:val="20"/>
              </w:rPr>
              <w:t xml:space="preserve">, R.S.B.C. 1996, c. 55, from a commercial arbitration award involving interpretation of a statute? – In what circumstances does the interpretation of a contract against the factual background constitute a question of law for which leave to appeal can be granted from an award, as opposed to a question of mixed fact and law from which no appeal is possible under s. 31 of the </w:t>
            </w:r>
            <w:r w:rsidRPr="00F21162">
              <w:rPr>
                <w:rFonts w:cs="Times New Roman"/>
                <w:i/>
                <w:sz w:val="20"/>
                <w:szCs w:val="20"/>
              </w:rPr>
              <w:t>Commercial Arbitration Act</w:t>
            </w:r>
            <w:r w:rsidRPr="00F21162">
              <w:rPr>
                <w:rFonts w:cs="Times New Roman"/>
                <w:sz w:val="20"/>
                <w:szCs w:val="20"/>
              </w:rPr>
              <w:t>?</w:t>
            </w:r>
          </w:p>
        </w:tc>
        <w:tc>
          <w:tcPr>
            <w:tcW w:w="720" w:type="dxa"/>
            <w:tcMar>
              <w:left w:w="0" w:type="dxa"/>
              <w:right w:w="0" w:type="dxa"/>
            </w:tcMar>
          </w:tcPr>
          <w:p w:rsidR="00CA2DEA" w:rsidRPr="00F21162" w:rsidRDefault="00CA2DEA" w:rsidP="0004528B">
            <w:pPr>
              <w:widowControl w:val="0"/>
              <w:jc w:val="center"/>
              <w:rPr>
                <w:rFonts w:eastAsia="Times New Roman" w:cs="Times New Roman"/>
                <w:sz w:val="20"/>
                <w:szCs w:val="20"/>
                <w:lang w:val="en-US" w:eastAsia="en-CA"/>
              </w:rPr>
            </w:pPr>
          </w:p>
        </w:tc>
        <w:tc>
          <w:tcPr>
            <w:tcW w:w="4350" w:type="dxa"/>
            <w:tcMar>
              <w:left w:w="0" w:type="dxa"/>
              <w:right w:w="0" w:type="dxa"/>
            </w:tcMar>
          </w:tcPr>
          <w:p w:rsidR="00CA2DEA" w:rsidRPr="00F21162" w:rsidRDefault="00CA2DEA" w:rsidP="0004528B">
            <w:pPr>
              <w:widowControl w:val="0"/>
              <w:jc w:val="both"/>
              <w:rPr>
                <w:rFonts w:eastAsia="Times New Roman" w:cs="Times New Roman"/>
                <w:b/>
                <w:sz w:val="20"/>
                <w:szCs w:val="20"/>
                <w:u w:val="single"/>
                <w:lang w:val="fr-CA" w:eastAsia="en-CA"/>
              </w:rPr>
            </w:pPr>
            <w:r w:rsidRPr="00F21162">
              <w:rPr>
                <w:rFonts w:eastAsia="Times New Roman" w:cs="Times New Roman"/>
                <w:b/>
                <w:sz w:val="20"/>
                <w:szCs w:val="20"/>
                <w:u w:val="single"/>
                <w:lang w:val="fr-CA" w:eastAsia="en-CA"/>
              </w:rPr>
              <w:t>Nature de la cause :</w:t>
            </w:r>
          </w:p>
          <w:p w:rsidR="00CA2DEA" w:rsidRPr="00F21162" w:rsidRDefault="00CA2DEA" w:rsidP="0004528B">
            <w:pPr>
              <w:widowControl w:val="0"/>
              <w:jc w:val="both"/>
              <w:rPr>
                <w:rFonts w:eastAsia="Times New Roman" w:cs="Times New Roman"/>
                <w:sz w:val="20"/>
                <w:szCs w:val="20"/>
                <w:lang w:val="fr-CA" w:eastAsia="en-CA"/>
              </w:rPr>
            </w:pPr>
          </w:p>
          <w:p w:rsidR="00CA2DEA" w:rsidRPr="00F21162" w:rsidRDefault="00372E67" w:rsidP="0004528B">
            <w:pPr>
              <w:widowControl w:val="0"/>
              <w:jc w:val="both"/>
              <w:rPr>
                <w:rFonts w:eastAsia="Times New Roman" w:cs="Times New Roman"/>
                <w:sz w:val="20"/>
                <w:szCs w:val="20"/>
                <w:lang w:val="fr-CA" w:eastAsia="en-CA"/>
              </w:rPr>
            </w:pPr>
            <w:r w:rsidRPr="00F21162">
              <w:rPr>
                <w:rFonts w:cs="Times New Roman"/>
                <w:sz w:val="20"/>
                <w:szCs w:val="20"/>
                <w:lang w:val="fr-CA"/>
              </w:rPr>
              <w:t xml:space="preserve">Arbitrage – Appels – Sentences arbitrales commerciales – </w:t>
            </w:r>
            <w:r w:rsidRPr="00F21162">
              <w:rPr>
                <w:sz w:val="20"/>
                <w:szCs w:val="20"/>
                <w:lang w:val="fr-CA"/>
              </w:rPr>
              <w:t>Norme de contrôle</w:t>
            </w:r>
            <w:r w:rsidRPr="00F21162">
              <w:rPr>
                <w:rFonts w:cs="Times New Roman"/>
                <w:sz w:val="20"/>
                <w:szCs w:val="20"/>
                <w:lang w:val="fr-CA"/>
              </w:rPr>
              <w:t xml:space="preserve"> – La </w:t>
            </w:r>
            <w:proofErr w:type="spellStart"/>
            <w:r w:rsidRPr="00F21162">
              <w:rPr>
                <w:rFonts w:cs="Times New Roman"/>
                <w:i/>
                <w:sz w:val="20"/>
                <w:szCs w:val="20"/>
                <w:lang w:val="fr-CA"/>
              </w:rPr>
              <w:t>Forestry</w:t>
            </w:r>
            <w:proofErr w:type="spellEnd"/>
            <w:r w:rsidRPr="00F21162">
              <w:rPr>
                <w:rFonts w:cs="Times New Roman"/>
                <w:i/>
                <w:sz w:val="20"/>
                <w:szCs w:val="20"/>
                <w:lang w:val="fr-CA"/>
              </w:rPr>
              <w:t xml:space="preserve"> </w:t>
            </w:r>
            <w:proofErr w:type="spellStart"/>
            <w:r w:rsidRPr="00F21162">
              <w:rPr>
                <w:rFonts w:cs="Times New Roman"/>
                <w:i/>
                <w:sz w:val="20"/>
                <w:szCs w:val="20"/>
                <w:lang w:val="fr-CA"/>
              </w:rPr>
              <w:t>Revitalization</w:t>
            </w:r>
            <w:proofErr w:type="spellEnd"/>
            <w:r w:rsidRPr="00F21162">
              <w:rPr>
                <w:rFonts w:cs="Times New Roman"/>
                <w:i/>
                <w:sz w:val="20"/>
                <w:szCs w:val="20"/>
                <w:lang w:val="fr-CA"/>
              </w:rPr>
              <w:t xml:space="preserve"> </w:t>
            </w:r>
            <w:proofErr w:type="spellStart"/>
            <w:r w:rsidRPr="00F21162">
              <w:rPr>
                <w:rFonts w:cs="Times New Roman"/>
                <w:i/>
                <w:sz w:val="20"/>
                <w:szCs w:val="20"/>
                <w:lang w:val="fr-CA"/>
              </w:rPr>
              <w:t>Act</w:t>
            </w:r>
            <w:proofErr w:type="spellEnd"/>
            <w:r w:rsidRPr="00F21162">
              <w:rPr>
                <w:rFonts w:cs="Times New Roman"/>
                <w:sz w:val="20"/>
                <w:szCs w:val="20"/>
                <w:lang w:val="fr-CA"/>
              </w:rPr>
              <w:t>, S.B.C. 2003, ch. 17,</w:t>
            </w:r>
            <w:r w:rsidRPr="00F21162">
              <w:rPr>
                <w:rFonts w:cs="Times New Roman"/>
                <w:i/>
                <w:sz w:val="20"/>
                <w:szCs w:val="20"/>
                <w:lang w:val="fr-CA"/>
              </w:rPr>
              <w:t xml:space="preserve"> </w:t>
            </w:r>
            <w:r w:rsidRPr="00F21162">
              <w:rPr>
                <w:rFonts w:cs="Times New Roman"/>
                <w:sz w:val="20"/>
                <w:szCs w:val="20"/>
                <w:lang w:val="fr-CA"/>
              </w:rPr>
              <w:t>permet à la Province de réduire de 20 % l’assise territoriale et la coupe annuelle autorisée de tenures détenues par les entreprises forestières de la Colombie-Britannique – Un différend est survenu entre les parties concernant l’indemnité due par la Province pour la [</w:t>
            </w:r>
            <w:r w:rsidRPr="00F21162">
              <w:rPr>
                <w:rFonts w:cs="Times New Roman"/>
                <w:smallCaps/>
                <w:sz w:val="20"/>
                <w:szCs w:val="20"/>
                <w:lang w:val="fr-CA"/>
              </w:rPr>
              <w:t>traduction</w:t>
            </w:r>
            <w:r w:rsidRPr="00F21162">
              <w:rPr>
                <w:rFonts w:cs="Times New Roman"/>
                <w:sz w:val="20"/>
                <w:szCs w:val="20"/>
                <w:lang w:val="fr-CA"/>
              </w:rPr>
              <w:t xml:space="preserve">] « valeur des améliorations apportées aux terres publiques » en application du par. 6(4) de la </w:t>
            </w:r>
            <w:proofErr w:type="spellStart"/>
            <w:r w:rsidRPr="00F21162">
              <w:rPr>
                <w:rFonts w:cs="Times New Roman"/>
                <w:i/>
                <w:sz w:val="20"/>
                <w:szCs w:val="20"/>
                <w:lang w:val="fr-CA"/>
              </w:rPr>
              <w:t>Forestry</w:t>
            </w:r>
            <w:proofErr w:type="spellEnd"/>
            <w:r w:rsidRPr="00F21162">
              <w:rPr>
                <w:rFonts w:cs="Times New Roman"/>
                <w:i/>
                <w:sz w:val="20"/>
                <w:szCs w:val="20"/>
                <w:lang w:val="fr-CA"/>
              </w:rPr>
              <w:t xml:space="preserve"> </w:t>
            </w:r>
            <w:proofErr w:type="spellStart"/>
            <w:r w:rsidRPr="00F21162">
              <w:rPr>
                <w:rFonts w:cs="Times New Roman"/>
                <w:i/>
                <w:sz w:val="20"/>
                <w:szCs w:val="20"/>
                <w:lang w:val="fr-CA"/>
              </w:rPr>
              <w:t>Revitalization</w:t>
            </w:r>
            <w:proofErr w:type="spellEnd"/>
            <w:r w:rsidRPr="00F21162">
              <w:rPr>
                <w:rFonts w:cs="Times New Roman"/>
                <w:i/>
                <w:sz w:val="20"/>
                <w:szCs w:val="20"/>
                <w:lang w:val="fr-CA"/>
              </w:rPr>
              <w:t xml:space="preserve"> </w:t>
            </w:r>
            <w:proofErr w:type="spellStart"/>
            <w:r w:rsidRPr="00F21162">
              <w:rPr>
                <w:rFonts w:cs="Times New Roman"/>
                <w:i/>
                <w:sz w:val="20"/>
                <w:szCs w:val="20"/>
                <w:lang w:val="fr-CA"/>
              </w:rPr>
              <w:t>Act</w:t>
            </w:r>
            <w:proofErr w:type="spellEnd"/>
            <w:r w:rsidRPr="00F21162">
              <w:rPr>
                <w:rFonts w:cs="Times New Roman"/>
                <w:sz w:val="20"/>
                <w:szCs w:val="20"/>
                <w:lang w:val="fr-CA"/>
              </w:rPr>
              <w:t xml:space="preserve"> – L’arbitre s’est appuyé sur une preuve d’expert et a choisi la méthode d’évaluation dite « de l’économie de coûts » –</w:t>
            </w:r>
            <w:r w:rsidRPr="00F21162">
              <w:rPr>
                <w:rFonts w:cs="Times New Roman"/>
                <w:i/>
                <w:sz w:val="20"/>
                <w:szCs w:val="20"/>
                <w:lang w:val="fr-CA"/>
              </w:rPr>
              <w:t xml:space="preserve"> </w:t>
            </w:r>
            <w:r w:rsidRPr="00F21162">
              <w:rPr>
                <w:rFonts w:cs="Times New Roman"/>
                <w:sz w:val="20"/>
                <w:szCs w:val="20"/>
                <w:lang w:val="fr-CA"/>
              </w:rPr>
              <w:t xml:space="preserve">Mesure dans laquelle un tribunal d’appel peut intervenir dans l’appréciation de la preuve par un arbitre – ou faire abstraction de cette appréciation – lorsqu’il est saisi d’un appel sur une question ou un point de droit – Circonstances dans lesquelles l’interprétation d’une disposition contractuelle constitue une question de droit par opposition à une question mixte de fait et de droit – L’affaire a été renvoyée à la Cour d’appel de la Colombie-Britannique pour qu’elle statue en conformité avec l’arrêt </w:t>
            </w:r>
            <w:r w:rsidRPr="00F21162">
              <w:rPr>
                <w:rFonts w:cs="Times New Roman"/>
                <w:i/>
                <w:sz w:val="20"/>
                <w:szCs w:val="20"/>
                <w:lang w:val="fr-CA"/>
              </w:rPr>
              <w:t xml:space="preserve">Sattva Capital Corp. </w:t>
            </w:r>
            <w:r w:rsidRPr="00F21162">
              <w:rPr>
                <w:rFonts w:cs="Times New Roman"/>
                <w:i/>
                <w:iCs/>
                <w:sz w:val="20"/>
                <w:szCs w:val="20"/>
                <w:lang w:val="fr-CA"/>
              </w:rPr>
              <w:t>c.</w:t>
            </w:r>
            <w:r w:rsidRPr="00F21162">
              <w:rPr>
                <w:rFonts w:cs="Times New Roman"/>
                <w:i/>
                <w:sz w:val="20"/>
                <w:szCs w:val="20"/>
                <w:lang w:val="fr-CA"/>
              </w:rPr>
              <w:t xml:space="preserve"> Creston Moly Corp.</w:t>
            </w:r>
            <w:r w:rsidRPr="00F21162">
              <w:rPr>
                <w:rFonts w:cs="Times New Roman"/>
                <w:sz w:val="20"/>
                <w:szCs w:val="20"/>
                <w:lang w:val="fr-CA"/>
              </w:rPr>
              <w:t xml:space="preserve">, 2014 CSC 53 – Quels principes de déférence judiciaire participent au choix et à l’application de la norme de contrôle en appel, sous le régime de l’art. 31 de la </w:t>
            </w:r>
            <w:r w:rsidRPr="00F21162">
              <w:rPr>
                <w:rFonts w:cs="Times New Roman"/>
                <w:i/>
                <w:sz w:val="20"/>
                <w:szCs w:val="20"/>
                <w:lang w:val="fr-CA"/>
              </w:rPr>
              <w:t xml:space="preserve">Commercial Arbitration </w:t>
            </w:r>
            <w:proofErr w:type="spellStart"/>
            <w:r w:rsidRPr="00F21162">
              <w:rPr>
                <w:rFonts w:cs="Times New Roman"/>
                <w:i/>
                <w:sz w:val="20"/>
                <w:szCs w:val="20"/>
                <w:lang w:val="fr-CA"/>
              </w:rPr>
              <w:t>Act</w:t>
            </w:r>
            <w:proofErr w:type="spellEnd"/>
            <w:r w:rsidRPr="00F21162">
              <w:rPr>
                <w:rFonts w:cs="Times New Roman"/>
                <w:sz w:val="20"/>
                <w:szCs w:val="20"/>
                <w:lang w:val="fr-CA"/>
              </w:rPr>
              <w:t xml:space="preserve">, R.S.B.C. 1996, ch. 55, d’une sentence arbitrale commerciale impliquant l’interprétation d’une loi? – Dans quelles circonstances l’interprétation d’un contrat au regard du contexte factuel constitue-t-elle une question de droit pour laquelle l’autorisation d’appel d’une sentence peut être accordée, par opposition à une question mixte de fait et de droit à l’égard de laquelle aucun appel n’est possible sous le régime de l’art. 31 de la </w:t>
            </w:r>
            <w:r w:rsidRPr="00F21162">
              <w:rPr>
                <w:rFonts w:cs="Times New Roman"/>
                <w:i/>
                <w:sz w:val="20"/>
                <w:szCs w:val="20"/>
                <w:lang w:val="fr-CA"/>
              </w:rPr>
              <w:t xml:space="preserve">Commercial Arbitration </w:t>
            </w:r>
            <w:proofErr w:type="spellStart"/>
            <w:r w:rsidRPr="00F21162">
              <w:rPr>
                <w:rFonts w:cs="Times New Roman"/>
                <w:i/>
                <w:sz w:val="20"/>
                <w:szCs w:val="20"/>
                <w:lang w:val="fr-CA"/>
              </w:rPr>
              <w:t>Act</w:t>
            </w:r>
            <w:proofErr w:type="spellEnd"/>
            <w:r w:rsidRPr="00F21162">
              <w:rPr>
                <w:rFonts w:cs="Times New Roman"/>
                <w:sz w:val="20"/>
                <w:szCs w:val="20"/>
                <w:lang w:val="fr-CA"/>
              </w:rPr>
              <w:t>?</w:t>
            </w:r>
          </w:p>
        </w:tc>
      </w:tr>
    </w:tbl>
    <w:p w:rsidR="00CA2DEA" w:rsidRPr="00F21162" w:rsidRDefault="00CA2DEA" w:rsidP="00CA2DEA">
      <w:pPr>
        <w:widowControl w:val="0"/>
        <w:rPr>
          <w:rFonts w:eastAsia="Times New Roman" w:cs="Times New Roman"/>
          <w:sz w:val="20"/>
          <w:szCs w:val="20"/>
          <w:lang w:val="fr-CA" w:eastAsia="en-CA"/>
        </w:rPr>
      </w:pPr>
    </w:p>
    <w:p w:rsidR="00CA2DEA" w:rsidRPr="00F21162" w:rsidRDefault="00B150CF" w:rsidP="00CA2DEA">
      <w:pPr>
        <w:rPr>
          <w:sz w:val="20"/>
          <w:szCs w:val="20"/>
          <w:lang w:val="fr-CA"/>
        </w:rPr>
      </w:pPr>
      <w:r>
        <w:rPr>
          <w:rFonts w:eastAsia="Times New Roman" w:cs="Times New Roman"/>
          <w:sz w:val="20"/>
          <w:szCs w:val="20"/>
          <w:lang w:val="fr-CA" w:eastAsia="en-CA"/>
        </w:rPr>
        <w:pict>
          <v:rect id="_x0000_i1032" style="width:2in;height:1pt" o:hrpct="0" o:hralign="center" o:hrstd="t" o:hrnoshade="t" o:hr="t" fillcolor="black [3213]" stroked="f"/>
        </w:pict>
      </w:r>
    </w:p>
    <w:p w:rsidR="00432989" w:rsidRPr="00F21162" w:rsidRDefault="00432989">
      <w:pPr>
        <w:rPr>
          <w:sz w:val="20"/>
          <w:szCs w:val="20"/>
          <w:lang w:val="fr-CA"/>
        </w:rPr>
      </w:pPr>
    </w:p>
    <w:p w:rsidR="008D292F" w:rsidRPr="00F21162" w:rsidRDefault="008D292F" w:rsidP="002E2327">
      <w:pPr>
        <w:widowControl w:val="0"/>
        <w:spacing w:line="0" w:lineRule="atLeast"/>
        <w:rPr>
          <w:sz w:val="20"/>
          <w:szCs w:val="20"/>
          <w:lang w:val="fr-CA"/>
        </w:rPr>
        <w:sectPr w:rsidR="008D292F" w:rsidRPr="00F21162" w:rsidSect="008D292F">
          <w:headerReference w:type="even" r:id="rId24"/>
          <w:headerReference w:type="default" r:id="rId25"/>
          <w:footerReference w:type="even" r:id="rId26"/>
          <w:footerReference w:type="default" r:id="rId27"/>
          <w:headerReference w:type="first" r:id="rId28"/>
          <w:footerReference w:type="first" r:id="rId29"/>
          <w:pgSz w:w="12240" w:h="15840"/>
          <w:pgMar w:top="720" w:right="965" w:bottom="1080" w:left="1656" w:header="720" w:footer="965" w:gutter="0"/>
          <w:cols w:space="720"/>
          <w:titlePg/>
          <w:docGrid w:linePitch="326"/>
        </w:sectPr>
      </w:pPr>
    </w:p>
    <w:tbl>
      <w:tblPr>
        <w:tblW w:w="0" w:type="auto"/>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D292F" w:rsidRPr="00F21162" w:rsidTr="00ED7E83">
        <w:tc>
          <w:tcPr>
            <w:tcW w:w="4200" w:type="dxa"/>
            <w:tcMar>
              <w:left w:w="0" w:type="dxa"/>
              <w:right w:w="0" w:type="dxa"/>
            </w:tcMar>
          </w:tcPr>
          <w:p w:rsidR="008D292F" w:rsidRPr="00F21162" w:rsidRDefault="008D292F" w:rsidP="00ED7E83">
            <w:pPr>
              <w:keepNext/>
              <w:keepLines/>
              <w:jc w:val="both"/>
              <w:rPr>
                <w:b/>
                <w:szCs w:val="24"/>
              </w:rPr>
            </w:pPr>
            <w:r w:rsidRPr="00F21162">
              <w:rPr>
                <w:b/>
                <w:szCs w:val="24"/>
              </w:rPr>
              <w:t>JUDGMENTS ON APPLICATIONS</w:t>
            </w:r>
          </w:p>
          <w:p w:rsidR="008D292F" w:rsidRPr="00F21162" w:rsidRDefault="008D292F" w:rsidP="00ED7E83">
            <w:pPr>
              <w:keepNext/>
              <w:keepLines/>
              <w:jc w:val="both"/>
              <w:rPr>
                <w:b/>
                <w:szCs w:val="24"/>
              </w:rPr>
            </w:pPr>
            <w:r w:rsidRPr="00F21162">
              <w:rPr>
                <w:b/>
                <w:szCs w:val="24"/>
              </w:rPr>
              <w:t>FOR LEAVE</w:t>
            </w:r>
          </w:p>
        </w:tc>
        <w:tc>
          <w:tcPr>
            <w:tcW w:w="1200" w:type="dxa"/>
            <w:tcMar>
              <w:left w:w="0" w:type="dxa"/>
              <w:right w:w="0" w:type="dxa"/>
            </w:tcMar>
          </w:tcPr>
          <w:p w:rsidR="008D292F" w:rsidRPr="00F21162" w:rsidRDefault="008D292F" w:rsidP="008D292F">
            <w:pPr>
              <w:keepNext/>
              <w:keepLines/>
              <w:jc w:val="center"/>
              <w:rPr>
                <w:b/>
                <w:szCs w:val="24"/>
              </w:rPr>
            </w:pPr>
          </w:p>
          <w:p w:rsidR="008D292F" w:rsidRPr="00F21162" w:rsidRDefault="008D292F" w:rsidP="008D292F">
            <w:pPr>
              <w:keepNext/>
              <w:keepLines/>
              <w:jc w:val="center"/>
              <w:rPr>
                <w:b/>
                <w:szCs w:val="24"/>
              </w:rPr>
            </w:pPr>
          </w:p>
          <w:p w:rsidR="008D292F" w:rsidRPr="00F21162" w:rsidRDefault="008D292F" w:rsidP="008D292F">
            <w:pPr>
              <w:keepNext/>
              <w:keepLines/>
              <w:jc w:val="center"/>
              <w:rPr>
                <w:b/>
                <w:szCs w:val="24"/>
              </w:rPr>
            </w:pPr>
          </w:p>
        </w:tc>
        <w:tc>
          <w:tcPr>
            <w:tcW w:w="4080" w:type="dxa"/>
            <w:tcMar>
              <w:left w:w="0" w:type="dxa"/>
              <w:right w:w="0" w:type="dxa"/>
            </w:tcMar>
          </w:tcPr>
          <w:p w:rsidR="008D292F" w:rsidRPr="00F21162" w:rsidRDefault="008D292F" w:rsidP="00ED7E83">
            <w:pPr>
              <w:keepNext/>
              <w:keepLines/>
              <w:jc w:val="both"/>
              <w:rPr>
                <w:b/>
                <w:szCs w:val="24"/>
                <w:lang w:val="fr-CA"/>
              </w:rPr>
            </w:pPr>
            <w:r w:rsidRPr="00F21162">
              <w:rPr>
                <w:b/>
                <w:szCs w:val="24"/>
                <w:lang w:val="fr-CA"/>
              </w:rPr>
              <w:t>JUGEMENTS RENDUS SUR LES DEMANDES D’AUTORISATION</w:t>
            </w:r>
          </w:p>
        </w:tc>
      </w:tr>
    </w:tbl>
    <w:p w:rsidR="008D292F" w:rsidRPr="00F21162" w:rsidRDefault="008D292F" w:rsidP="008D292F">
      <w:pPr>
        <w:rPr>
          <w:sz w:val="20"/>
          <w:szCs w:val="20"/>
          <w:lang w:val="fr-CA"/>
        </w:rPr>
      </w:pPr>
    </w:p>
    <w:p w:rsidR="000E2959" w:rsidRPr="00F21162" w:rsidRDefault="000D3112" w:rsidP="000E2959">
      <w:pPr>
        <w:rPr>
          <w:b/>
          <w:sz w:val="20"/>
          <w:szCs w:val="20"/>
        </w:rPr>
      </w:pPr>
      <w:r w:rsidRPr="00F21162">
        <w:rPr>
          <w:b/>
          <w:sz w:val="20"/>
          <w:szCs w:val="20"/>
        </w:rPr>
        <w:t>DECEMBER 3</w:t>
      </w:r>
      <w:r w:rsidR="000E2959" w:rsidRPr="00F21162">
        <w:rPr>
          <w:b/>
          <w:sz w:val="20"/>
          <w:szCs w:val="20"/>
        </w:rPr>
        <w:t>, 201</w:t>
      </w:r>
      <w:r w:rsidR="00681F61" w:rsidRPr="00F21162">
        <w:rPr>
          <w:b/>
          <w:sz w:val="20"/>
          <w:szCs w:val="20"/>
        </w:rPr>
        <w:t>5</w:t>
      </w:r>
      <w:r w:rsidR="000E2959" w:rsidRPr="00F21162">
        <w:rPr>
          <w:b/>
          <w:sz w:val="20"/>
          <w:szCs w:val="20"/>
        </w:rPr>
        <w:t xml:space="preserve"> / LE </w:t>
      </w:r>
      <w:r w:rsidRPr="00F21162">
        <w:rPr>
          <w:b/>
          <w:sz w:val="20"/>
          <w:szCs w:val="20"/>
        </w:rPr>
        <w:t>3</w:t>
      </w:r>
      <w:r w:rsidR="000E2959" w:rsidRPr="00F21162">
        <w:rPr>
          <w:b/>
          <w:sz w:val="20"/>
          <w:szCs w:val="20"/>
        </w:rPr>
        <w:t xml:space="preserve"> </w:t>
      </w:r>
      <w:r w:rsidRPr="00F21162">
        <w:rPr>
          <w:b/>
          <w:sz w:val="20"/>
          <w:szCs w:val="20"/>
        </w:rPr>
        <w:t>DÉCEMBRE</w:t>
      </w:r>
      <w:r w:rsidR="000E2959" w:rsidRPr="00F21162">
        <w:rPr>
          <w:b/>
          <w:sz w:val="20"/>
          <w:szCs w:val="20"/>
        </w:rPr>
        <w:t xml:space="preserve"> 201</w:t>
      </w:r>
      <w:r w:rsidR="00681F61" w:rsidRPr="00F21162">
        <w:rPr>
          <w:b/>
          <w:sz w:val="20"/>
          <w:szCs w:val="20"/>
        </w:rPr>
        <w:t>5</w:t>
      </w:r>
    </w:p>
    <w:p w:rsidR="000E2959" w:rsidRPr="00F21162" w:rsidRDefault="000E2959"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0E2959" w:rsidRPr="00F21162" w:rsidTr="0004528B">
        <w:trPr>
          <w:cantSplit/>
        </w:trPr>
        <w:tc>
          <w:tcPr>
            <w:tcW w:w="1458" w:type="dxa"/>
          </w:tcPr>
          <w:p w:rsidR="000E2959" w:rsidRPr="00F21162" w:rsidRDefault="000E2959" w:rsidP="0004528B">
            <w:pPr>
              <w:rPr>
                <w:sz w:val="20"/>
                <w:szCs w:val="20"/>
              </w:rPr>
            </w:pPr>
            <w:r w:rsidRPr="00F21162">
              <w:rPr>
                <w:rStyle w:val="SCCFileNumberChar"/>
                <w:sz w:val="20"/>
                <w:szCs w:val="20"/>
              </w:rPr>
              <w:t>360</w:t>
            </w:r>
            <w:r w:rsidR="00D46CA6" w:rsidRPr="00F21162">
              <w:rPr>
                <w:rStyle w:val="SCCFileNumberChar"/>
                <w:sz w:val="20"/>
                <w:szCs w:val="20"/>
              </w:rPr>
              <w:t>44</w:t>
            </w:r>
          </w:p>
          <w:p w:rsidR="000E2959" w:rsidRPr="00F21162" w:rsidRDefault="000E2959" w:rsidP="0004528B">
            <w:pPr>
              <w:rPr>
                <w:b/>
                <w:sz w:val="20"/>
                <w:szCs w:val="20"/>
                <w:lang w:val="fr-CA"/>
              </w:rPr>
            </w:pPr>
          </w:p>
        </w:tc>
        <w:tc>
          <w:tcPr>
            <w:tcW w:w="8118" w:type="dxa"/>
          </w:tcPr>
          <w:p w:rsidR="000E2959" w:rsidRPr="00F21162" w:rsidRDefault="00D46CA6" w:rsidP="0004528B">
            <w:pPr>
              <w:rPr>
                <w:sz w:val="20"/>
                <w:szCs w:val="20"/>
              </w:rPr>
            </w:pPr>
            <w:r w:rsidRPr="00F21162">
              <w:rPr>
                <w:rStyle w:val="SCCLsocChar"/>
                <w:sz w:val="20"/>
                <w:szCs w:val="20"/>
                <w:lang w:val="en-CA"/>
              </w:rPr>
              <w:t>Ville de Laval</w:t>
            </w:r>
            <w:r w:rsidR="000E2959" w:rsidRPr="00F21162">
              <w:rPr>
                <w:rStyle w:val="SCCLsocChar"/>
                <w:sz w:val="20"/>
                <w:szCs w:val="20"/>
                <w:lang w:val="en-CA"/>
              </w:rPr>
              <w:t xml:space="preserve"> </w:t>
            </w:r>
            <w:r w:rsidRPr="00F21162">
              <w:rPr>
                <w:rStyle w:val="SCCLsocChar"/>
                <w:sz w:val="20"/>
                <w:szCs w:val="20"/>
                <w:lang w:val="en-CA"/>
              </w:rPr>
              <w:t>c</w:t>
            </w:r>
            <w:r w:rsidR="000E2959" w:rsidRPr="00F21162">
              <w:rPr>
                <w:rStyle w:val="SCCLsocChar"/>
                <w:sz w:val="20"/>
                <w:szCs w:val="20"/>
                <w:lang w:val="en-CA"/>
              </w:rPr>
              <w:t xml:space="preserve">. </w:t>
            </w:r>
            <w:r w:rsidRPr="00F21162">
              <w:rPr>
                <w:rStyle w:val="SCCLsocChar"/>
                <w:sz w:val="20"/>
                <w:szCs w:val="20"/>
                <w:lang w:val="en-CA"/>
              </w:rPr>
              <w:t xml:space="preserve">Frères </w:t>
            </w:r>
            <w:proofErr w:type="spellStart"/>
            <w:r w:rsidRPr="00F21162">
              <w:rPr>
                <w:rStyle w:val="SCCLsocChar"/>
                <w:sz w:val="20"/>
                <w:szCs w:val="20"/>
                <w:lang w:val="en-CA"/>
              </w:rPr>
              <w:t>Maristes</w:t>
            </w:r>
            <w:proofErr w:type="spellEnd"/>
            <w:r w:rsidRPr="00F21162">
              <w:rPr>
                <w:rStyle w:val="SCCLsocChar"/>
                <w:sz w:val="20"/>
                <w:szCs w:val="20"/>
                <w:lang w:val="en-CA"/>
              </w:rPr>
              <w:t xml:space="preserve"> (Iberville)</w:t>
            </w:r>
            <w:r w:rsidR="000E2959" w:rsidRPr="00F21162">
              <w:rPr>
                <w:sz w:val="20"/>
                <w:szCs w:val="20"/>
              </w:rPr>
              <w:t xml:space="preserve"> (</w:t>
            </w:r>
            <w:r w:rsidRPr="00F21162">
              <w:rPr>
                <w:sz w:val="20"/>
                <w:szCs w:val="20"/>
              </w:rPr>
              <w:t>Qc</w:t>
            </w:r>
            <w:r w:rsidR="000E2959" w:rsidRPr="00F21162">
              <w:rPr>
                <w:sz w:val="20"/>
                <w:szCs w:val="20"/>
              </w:rPr>
              <w:t>) (</w:t>
            </w:r>
            <w:proofErr w:type="spellStart"/>
            <w:r w:rsidR="000E2959" w:rsidRPr="00F21162">
              <w:rPr>
                <w:sz w:val="20"/>
                <w:szCs w:val="20"/>
              </w:rPr>
              <w:t>Civil</w:t>
            </w:r>
            <w:r w:rsidRPr="00F21162">
              <w:rPr>
                <w:sz w:val="20"/>
                <w:szCs w:val="20"/>
              </w:rPr>
              <w:t>e</w:t>
            </w:r>
            <w:proofErr w:type="spellEnd"/>
            <w:r w:rsidR="000E2959" w:rsidRPr="00F21162">
              <w:rPr>
                <w:sz w:val="20"/>
                <w:szCs w:val="20"/>
              </w:rPr>
              <w:t>) (</w:t>
            </w:r>
            <w:proofErr w:type="spellStart"/>
            <w:r w:rsidRPr="00F21162">
              <w:rPr>
                <w:sz w:val="20"/>
                <w:szCs w:val="20"/>
              </w:rPr>
              <w:t>Autorisation</w:t>
            </w:r>
            <w:proofErr w:type="spellEnd"/>
            <w:r w:rsidR="000E2959" w:rsidRPr="00F21162">
              <w:rPr>
                <w:sz w:val="20"/>
                <w:szCs w:val="20"/>
              </w:rPr>
              <w:t>)</w:t>
            </w:r>
          </w:p>
          <w:p w:rsidR="000E2959" w:rsidRPr="00F21162" w:rsidRDefault="000E2959" w:rsidP="0004528B">
            <w:pPr>
              <w:rPr>
                <w:sz w:val="20"/>
                <w:szCs w:val="20"/>
              </w:rPr>
            </w:pPr>
          </w:p>
        </w:tc>
      </w:tr>
      <w:tr w:rsidR="000E2959" w:rsidRPr="00F21162" w:rsidTr="0004528B">
        <w:trPr>
          <w:cantSplit/>
        </w:trPr>
        <w:tc>
          <w:tcPr>
            <w:tcW w:w="1458" w:type="dxa"/>
          </w:tcPr>
          <w:p w:rsidR="000E2959" w:rsidRPr="00F21162" w:rsidRDefault="000E2959" w:rsidP="0004528B">
            <w:pPr>
              <w:rPr>
                <w:sz w:val="20"/>
                <w:szCs w:val="20"/>
              </w:rPr>
            </w:pPr>
            <w:r w:rsidRPr="00F21162">
              <w:rPr>
                <w:sz w:val="20"/>
                <w:szCs w:val="20"/>
              </w:rPr>
              <w:t>Coram :</w:t>
            </w:r>
          </w:p>
        </w:tc>
        <w:tc>
          <w:tcPr>
            <w:tcW w:w="8118" w:type="dxa"/>
          </w:tcPr>
          <w:p w:rsidR="000E2959" w:rsidRPr="00F21162" w:rsidRDefault="00C66058" w:rsidP="0004528B">
            <w:pPr>
              <w:rPr>
                <w:sz w:val="20"/>
                <w:szCs w:val="20"/>
              </w:rPr>
            </w:pPr>
            <w:r w:rsidRPr="00F21162">
              <w:rPr>
                <w:rStyle w:val="SCCCoramChar"/>
                <w:sz w:val="20"/>
                <w:szCs w:val="20"/>
                <w:lang w:val="en-CA"/>
              </w:rPr>
              <w:t xml:space="preserve">Les </w:t>
            </w:r>
            <w:proofErr w:type="spellStart"/>
            <w:r w:rsidRPr="00F21162">
              <w:rPr>
                <w:rStyle w:val="SCCCoramChar"/>
                <w:sz w:val="20"/>
                <w:szCs w:val="20"/>
                <w:lang w:val="en-CA"/>
              </w:rPr>
              <w:t>juges</w:t>
            </w:r>
            <w:proofErr w:type="spellEnd"/>
            <w:r w:rsidRPr="00F21162">
              <w:rPr>
                <w:rStyle w:val="SCCCoramChar"/>
                <w:sz w:val="20"/>
                <w:szCs w:val="20"/>
                <w:lang w:val="en-CA"/>
              </w:rPr>
              <w:t xml:space="preserve"> </w:t>
            </w:r>
            <w:proofErr w:type="spellStart"/>
            <w:r w:rsidRPr="00F21162">
              <w:rPr>
                <w:rStyle w:val="SCCCoramChar"/>
                <w:sz w:val="20"/>
                <w:szCs w:val="20"/>
                <w:lang w:val="en-CA"/>
              </w:rPr>
              <w:t>Abella</w:t>
            </w:r>
            <w:proofErr w:type="spellEnd"/>
            <w:r w:rsidRPr="00F21162">
              <w:rPr>
                <w:rStyle w:val="SCCCoramChar"/>
                <w:sz w:val="20"/>
                <w:szCs w:val="20"/>
                <w:lang w:val="en-CA"/>
              </w:rPr>
              <w:t xml:space="preserve">, </w:t>
            </w:r>
            <w:proofErr w:type="spellStart"/>
            <w:r w:rsidRPr="00F21162">
              <w:rPr>
                <w:rStyle w:val="SCCCoramChar"/>
                <w:sz w:val="20"/>
                <w:szCs w:val="20"/>
                <w:lang w:val="en-CA"/>
              </w:rPr>
              <w:t>Karakatsanis</w:t>
            </w:r>
            <w:proofErr w:type="spellEnd"/>
            <w:r w:rsidRPr="00F21162">
              <w:rPr>
                <w:rStyle w:val="SCCCoramChar"/>
                <w:sz w:val="20"/>
                <w:szCs w:val="20"/>
                <w:lang w:val="en-CA"/>
              </w:rPr>
              <w:t xml:space="preserve"> et </w:t>
            </w:r>
            <w:proofErr w:type="spellStart"/>
            <w:r w:rsidRPr="00F21162">
              <w:rPr>
                <w:rStyle w:val="SCCCoramChar"/>
                <w:sz w:val="20"/>
                <w:szCs w:val="20"/>
                <w:lang w:val="en-CA"/>
              </w:rPr>
              <w:t>Côté</w:t>
            </w:r>
            <w:proofErr w:type="spellEnd"/>
          </w:p>
          <w:p w:rsidR="000E2959" w:rsidRPr="00F21162" w:rsidRDefault="000E2959" w:rsidP="0004528B">
            <w:pPr>
              <w:rPr>
                <w:sz w:val="20"/>
                <w:szCs w:val="20"/>
                <w:u w:val="single"/>
              </w:rPr>
            </w:pPr>
          </w:p>
        </w:tc>
      </w:tr>
      <w:tr w:rsidR="000E2959" w:rsidRPr="00F21162" w:rsidTr="0004528B">
        <w:trPr>
          <w:cantSplit/>
        </w:trPr>
        <w:tc>
          <w:tcPr>
            <w:tcW w:w="9576" w:type="dxa"/>
            <w:gridSpan w:val="2"/>
          </w:tcPr>
          <w:p w:rsidR="00E16FC8" w:rsidRPr="00F21162" w:rsidRDefault="00C42F42" w:rsidP="0004528B">
            <w:pPr>
              <w:pStyle w:val="SCCShortJudgment"/>
              <w:rPr>
                <w:szCs w:val="20"/>
              </w:rPr>
            </w:pPr>
            <w:r w:rsidRPr="00F21162">
              <w:t xml:space="preserve">La </w:t>
            </w:r>
            <w:proofErr w:type="spellStart"/>
            <w:r w:rsidRPr="00F21162">
              <w:t>demande</w:t>
            </w:r>
            <w:proofErr w:type="spellEnd"/>
            <w:r w:rsidRPr="00F21162">
              <w:t xml:space="preserve"> </w:t>
            </w:r>
            <w:proofErr w:type="spellStart"/>
            <w:r w:rsidRPr="00F21162">
              <w:t>d’autorisation</w:t>
            </w:r>
            <w:proofErr w:type="spellEnd"/>
            <w:r w:rsidRPr="00F21162">
              <w:t xml:space="preserve"> </w:t>
            </w:r>
            <w:proofErr w:type="spellStart"/>
            <w:r w:rsidRPr="00F21162">
              <w:t>d’appel</w:t>
            </w:r>
            <w:proofErr w:type="spellEnd"/>
            <w:r w:rsidRPr="00F21162">
              <w:t xml:space="preserve"> de </w:t>
            </w:r>
            <w:proofErr w:type="spellStart"/>
            <w:r w:rsidRPr="00F21162">
              <w:t>l’arrêt</w:t>
            </w:r>
            <w:proofErr w:type="spellEnd"/>
            <w:r w:rsidRPr="00F21162">
              <w:t xml:space="preserve"> de la </w:t>
            </w:r>
            <w:proofErr w:type="spellStart"/>
            <w:r w:rsidRPr="00F21162">
              <w:t>Cour</w:t>
            </w:r>
            <w:proofErr w:type="spellEnd"/>
            <w:r w:rsidRPr="00F21162">
              <w:t xml:space="preserve"> </w:t>
            </w:r>
            <w:proofErr w:type="spellStart"/>
            <w:r w:rsidRPr="00F21162">
              <w:t>d’appel</w:t>
            </w:r>
            <w:proofErr w:type="spellEnd"/>
            <w:r w:rsidRPr="00F21162">
              <w:t xml:space="preserve"> du Québec (Montréal), </w:t>
            </w:r>
            <w:proofErr w:type="spellStart"/>
            <w:r w:rsidRPr="00F21162">
              <w:t>numéro</w:t>
            </w:r>
            <w:proofErr w:type="spellEnd"/>
            <w:r w:rsidRPr="00F21162">
              <w:t xml:space="preserve"> 500-09-023672-132, 2014 QCCA 1176, </w:t>
            </w:r>
            <w:proofErr w:type="spellStart"/>
            <w:r w:rsidRPr="00F21162">
              <w:t>daté</w:t>
            </w:r>
            <w:proofErr w:type="spellEnd"/>
            <w:r w:rsidRPr="00F21162">
              <w:t xml:space="preserve"> du 6 </w:t>
            </w:r>
            <w:proofErr w:type="spellStart"/>
            <w:r w:rsidRPr="00F21162">
              <w:t>juin</w:t>
            </w:r>
            <w:proofErr w:type="spellEnd"/>
            <w:r w:rsidRPr="00F21162">
              <w:t xml:space="preserve"> 2014, </w:t>
            </w:r>
            <w:proofErr w:type="spellStart"/>
            <w:r w:rsidRPr="00F21162">
              <w:t>est</w:t>
            </w:r>
            <w:proofErr w:type="spellEnd"/>
            <w:r w:rsidRPr="00F21162">
              <w:t xml:space="preserve"> </w:t>
            </w:r>
            <w:proofErr w:type="spellStart"/>
            <w:r w:rsidRPr="00F21162">
              <w:t>rejetée</w:t>
            </w:r>
            <w:proofErr w:type="spellEnd"/>
            <w:r w:rsidRPr="00F21162">
              <w:t xml:space="preserve"> avec </w:t>
            </w:r>
            <w:proofErr w:type="spellStart"/>
            <w:r w:rsidRPr="00F21162">
              <w:t>dépens</w:t>
            </w:r>
            <w:proofErr w:type="spellEnd"/>
            <w:r w:rsidRPr="00F21162">
              <w:t>.</w:t>
            </w:r>
          </w:p>
          <w:p w:rsidR="00E16FC8" w:rsidRPr="00F21162" w:rsidRDefault="00E16FC8" w:rsidP="0004528B">
            <w:pPr>
              <w:pStyle w:val="SCCShortJudgment"/>
              <w:rPr>
                <w:szCs w:val="20"/>
              </w:rPr>
            </w:pPr>
          </w:p>
          <w:p w:rsidR="000E2959" w:rsidRPr="00F21162" w:rsidRDefault="00C42F42" w:rsidP="00E16FC8">
            <w:pPr>
              <w:pStyle w:val="SCCShortJudgment"/>
              <w:rPr>
                <w:szCs w:val="20"/>
                <w:lang w:val="fr-CA"/>
              </w:rPr>
            </w:pPr>
            <w:r w:rsidRPr="00F21162">
              <w:t>The application for leave to appeal from the judgment of the Court of Appeal of Quebec (Montréal), Number 500-09-023672-132, 2014 QCCA 1176, dated June 6, 2014, is dismissed with costs.</w:t>
            </w:r>
          </w:p>
        </w:tc>
      </w:tr>
    </w:tbl>
    <w:p w:rsidR="000E2959" w:rsidRPr="00F21162" w:rsidRDefault="000E2959" w:rsidP="000E2959">
      <w:pPr>
        <w:rPr>
          <w:sz w:val="20"/>
          <w:szCs w:val="20"/>
          <w:lang w:val="fr-CA"/>
        </w:rPr>
      </w:pPr>
    </w:p>
    <w:p w:rsidR="000E2959" w:rsidRPr="00F21162" w:rsidRDefault="000E2959" w:rsidP="000E2959">
      <w:pPr>
        <w:rPr>
          <w:sz w:val="20"/>
          <w:szCs w:val="20"/>
          <w:u w:val="single"/>
        </w:rPr>
      </w:pPr>
      <w:r w:rsidRPr="00F21162">
        <w:rPr>
          <w:sz w:val="20"/>
          <w:szCs w:val="20"/>
          <w:u w:val="single"/>
        </w:rPr>
        <w:t>CASE SUMMARY</w:t>
      </w:r>
    </w:p>
    <w:p w:rsidR="000E2959" w:rsidRPr="00F21162" w:rsidRDefault="000E2959" w:rsidP="000E295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0E2959" w:rsidRPr="00F21162" w:rsidTr="0004528B">
        <w:tc>
          <w:tcPr>
            <w:tcW w:w="5000" w:type="pct"/>
            <w:gridSpan w:val="3"/>
          </w:tcPr>
          <w:p w:rsidR="000E2959" w:rsidRPr="00F21162" w:rsidRDefault="000149AE" w:rsidP="0004528B">
            <w:pPr>
              <w:jc w:val="both"/>
              <w:rPr>
                <w:sz w:val="20"/>
                <w:szCs w:val="20"/>
              </w:rPr>
            </w:pPr>
            <w:r w:rsidRPr="00F21162">
              <w:rPr>
                <w:sz w:val="20"/>
                <w:szCs w:val="20"/>
              </w:rPr>
              <w:t xml:space="preserve">Administrative law – Appeal – Standard of review – Court of Québec – Standard of review to be applied by Court of Québec on appeal from decision of Administrative Tribunal of Québec under s. 159 of </w:t>
            </w:r>
            <w:r w:rsidRPr="00F21162">
              <w:rPr>
                <w:i/>
                <w:sz w:val="20"/>
                <w:szCs w:val="20"/>
              </w:rPr>
              <w:t>Act respecting administrative justice</w:t>
            </w:r>
            <w:r w:rsidRPr="00F21162">
              <w:rPr>
                <w:sz w:val="20"/>
                <w:szCs w:val="20"/>
              </w:rPr>
              <w:t xml:space="preserve"> – Whether it is relevant that Court of Québec not invested with powers conferred on judges appointed under s. 96 of </w:t>
            </w:r>
            <w:r w:rsidRPr="00F21162">
              <w:rPr>
                <w:i/>
                <w:sz w:val="20"/>
                <w:szCs w:val="20"/>
              </w:rPr>
              <w:t>Constitution Act</w:t>
            </w:r>
            <w:r w:rsidRPr="00F21162">
              <w:rPr>
                <w:sz w:val="20"/>
                <w:szCs w:val="20"/>
              </w:rPr>
              <w:t xml:space="preserve"> – Whether application of standards of  intervention specific to judicial review must be adjusted based on fact that Court of Québec sitting on appeal and not on judicial review.</w:t>
            </w:r>
          </w:p>
          <w:p w:rsidR="000149AE" w:rsidRPr="00F21162" w:rsidRDefault="000149AE" w:rsidP="0004528B">
            <w:pPr>
              <w:jc w:val="both"/>
              <w:rPr>
                <w:rFonts w:eastAsia="Calibri"/>
                <w:sz w:val="20"/>
                <w:szCs w:val="20"/>
              </w:rPr>
            </w:pPr>
          </w:p>
        </w:tc>
      </w:tr>
      <w:tr w:rsidR="000E2959" w:rsidRPr="00F21162" w:rsidTr="0004528B">
        <w:tc>
          <w:tcPr>
            <w:tcW w:w="5000" w:type="pct"/>
            <w:gridSpan w:val="3"/>
          </w:tcPr>
          <w:p w:rsidR="000149AE" w:rsidRPr="00F21162" w:rsidRDefault="000149AE" w:rsidP="000149AE">
            <w:pPr>
              <w:jc w:val="both"/>
              <w:rPr>
                <w:sz w:val="20"/>
                <w:szCs w:val="20"/>
              </w:rPr>
            </w:pPr>
            <w:r w:rsidRPr="00F21162">
              <w:rPr>
                <w:sz w:val="20"/>
                <w:szCs w:val="20"/>
              </w:rPr>
              <w:t xml:space="preserve">The Frères </w:t>
            </w:r>
            <w:proofErr w:type="spellStart"/>
            <w:r w:rsidRPr="00F21162">
              <w:rPr>
                <w:sz w:val="20"/>
                <w:szCs w:val="20"/>
              </w:rPr>
              <w:t>Maristes</w:t>
            </w:r>
            <w:proofErr w:type="spellEnd"/>
            <w:r w:rsidRPr="00F21162">
              <w:rPr>
                <w:sz w:val="20"/>
                <w:szCs w:val="20"/>
              </w:rPr>
              <w:t xml:space="preserve"> (Iberville) (“Frères </w:t>
            </w:r>
            <w:proofErr w:type="spellStart"/>
            <w:r w:rsidRPr="00F21162">
              <w:rPr>
                <w:sz w:val="20"/>
                <w:szCs w:val="20"/>
              </w:rPr>
              <w:t>Maristes</w:t>
            </w:r>
            <w:proofErr w:type="spellEnd"/>
            <w:r w:rsidRPr="00F21162">
              <w:rPr>
                <w:sz w:val="20"/>
                <w:szCs w:val="20"/>
              </w:rPr>
              <w:t>”), the owners of the immovable known as the “</w:t>
            </w:r>
            <w:proofErr w:type="spellStart"/>
            <w:r w:rsidRPr="00F21162">
              <w:rPr>
                <w:sz w:val="20"/>
                <w:szCs w:val="20"/>
              </w:rPr>
              <w:t>Colisée</w:t>
            </w:r>
            <w:proofErr w:type="spellEnd"/>
            <w:r w:rsidRPr="00F21162">
              <w:rPr>
                <w:sz w:val="20"/>
                <w:szCs w:val="20"/>
              </w:rPr>
              <w:t xml:space="preserve"> de Laval” (“</w:t>
            </w:r>
            <w:proofErr w:type="spellStart"/>
            <w:r w:rsidRPr="00F21162">
              <w:rPr>
                <w:sz w:val="20"/>
                <w:szCs w:val="20"/>
              </w:rPr>
              <w:t>Colisée</w:t>
            </w:r>
            <w:proofErr w:type="spellEnd"/>
            <w:r w:rsidRPr="00F21162">
              <w:rPr>
                <w:sz w:val="20"/>
                <w:szCs w:val="20"/>
              </w:rPr>
              <w:t xml:space="preserve">”), went before the Administrative Tribunal of Québec (“ATQ”) to contest the value entered on the property assessment roll for the </w:t>
            </w:r>
            <w:proofErr w:type="spellStart"/>
            <w:r w:rsidRPr="00F21162">
              <w:rPr>
                <w:sz w:val="20"/>
                <w:szCs w:val="20"/>
              </w:rPr>
              <w:t>Colisée</w:t>
            </w:r>
            <w:proofErr w:type="spellEnd"/>
            <w:r w:rsidRPr="00F21162">
              <w:rPr>
                <w:sz w:val="20"/>
                <w:szCs w:val="20"/>
              </w:rPr>
              <w:t xml:space="preserve"> and the exemption percentage to which they were entitled under s. 204(17) of the </w:t>
            </w:r>
            <w:r w:rsidRPr="00F21162">
              <w:rPr>
                <w:i/>
                <w:sz w:val="20"/>
                <w:szCs w:val="20"/>
              </w:rPr>
              <w:t>Act respecting municipal taxation</w:t>
            </w:r>
            <w:r w:rsidRPr="00F21162">
              <w:rPr>
                <w:sz w:val="20"/>
                <w:szCs w:val="20"/>
              </w:rPr>
              <w:t xml:space="preserve"> (“</w:t>
            </w:r>
            <w:r w:rsidRPr="00F21162">
              <w:rPr>
                <w:i/>
                <w:sz w:val="20"/>
                <w:szCs w:val="20"/>
              </w:rPr>
              <w:t>AMT”</w:t>
            </w:r>
            <w:r w:rsidRPr="00F21162">
              <w:rPr>
                <w:sz w:val="20"/>
                <w:szCs w:val="20"/>
              </w:rPr>
              <w:t xml:space="preserve">). They argued that the </w:t>
            </w:r>
            <w:proofErr w:type="spellStart"/>
            <w:r w:rsidRPr="00F21162">
              <w:rPr>
                <w:sz w:val="20"/>
                <w:szCs w:val="20"/>
              </w:rPr>
              <w:t>Colisée</w:t>
            </w:r>
            <w:proofErr w:type="spellEnd"/>
            <w:r w:rsidRPr="00F21162">
              <w:rPr>
                <w:sz w:val="20"/>
                <w:szCs w:val="20"/>
              </w:rPr>
              <w:t xml:space="preserve"> should be exempt from all taxes under s. 204 </w:t>
            </w:r>
            <w:r w:rsidRPr="00F21162">
              <w:rPr>
                <w:i/>
                <w:sz w:val="20"/>
                <w:szCs w:val="20"/>
              </w:rPr>
              <w:t>AMT</w:t>
            </w:r>
            <w:r w:rsidRPr="00F21162">
              <w:rPr>
                <w:sz w:val="20"/>
                <w:szCs w:val="20"/>
              </w:rPr>
              <w:t xml:space="preserve"> because it was owned by a religious institution and used as a private sports centre by students from </w:t>
            </w:r>
            <w:proofErr w:type="spellStart"/>
            <w:r w:rsidRPr="00F21162">
              <w:rPr>
                <w:sz w:val="20"/>
                <w:szCs w:val="20"/>
              </w:rPr>
              <w:t>Collège</w:t>
            </w:r>
            <w:proofErr w:type="spellEnd"/>
            <w:r w:rsidRPr="00F21162">
              <w:rPr>
                <w:sz w:val="20"/>
                <w:szCs w:val="20"/>
              </w:rPr>
              <w:t xml:space="preserve"> Laval as part of their ordinary activities. In the alternative, they argued that the non</w:t>
            </w:r>
            <w:r w:rsidRPr="00F21162">
              <w:rPr>
                <w:sz w:val="20"/>
                <w:szCs w:val="20"/>
              </w:rPr>
              <w:noBreakHyphen/>
              <w:t xml:space="preserve">taxable portion should be set at 65%, which was the proportion in which they used the </w:t>
            </w:r>
            <w:proofErr w:type="spellStart"/>
            <w:r w:rsidRPr="00F21162">
              <w:rPr>
                <w:sz w:val="20"/>
                <w:szCs w:val="20"/>
              </w:rPr>
              <w:t>Colisée</w:t>
            </w:r>
            <w:proofErr w:type="spellEnd"/>
            <w:r w:rsidRPr="00F21162">
              <w:rPr>
                <w:sz w:val="20"/>
                <w:szCs w:val="20"/>
              </w:rPr>
              <w:t xml:space="preserve">, rather than 30%, the percentage entered on the roll for the preceding years. The City of Laval (“City”) wanted the 30% partial exemption granted to the Frères </w:t>
            </w:r>
            <w:proofErr w:type="spellStart"/>
            <w:r w:rsidRPr="00F21162">
              <w:rPr>
                <w:sz w:val="20"/>
                <w:szCs w:val="20"/>
              </w:rPr>
              <w:t>Maristes</w:t>
            </w:r>
            <w:proofErr w:type="spellEnd"/>
            <w:r w:rsidRPr="00F21162">
              <w:rPr>
                <w:sz w:val="20"/>
                <w:szCs w:val="20"/>
              </w:rPr>
              <w:t xml:space="preserve"> to be withdrawn in its entirety because the </w:t>
            </w:r>
            <w:proofErr w:type="spellStart"/>
            <w:r w:rsidRPr="00F21162">
              <w:rPr>
                <w:sz w:val="20"/>
                <w:szCs w:val="20"/>
              </w:rPr>
              <w:t>Colisée</w:t>
            </w:r>
            <w:proofErr w:type="spellEnd"/>
            <w:r w:rsidRPr="00F21162">
              <w:rPr>
                <w:sz w:val="20"/>
                <w:szCs w:val="20"/>
              </w:rPr>
              <w:t xml:space="preserve"> was used by a tenant, 2866</w:t>
            </w:r>
            <w:r w:rsidRPr="00F21162">
              <w:rPr>
                <w:sz w:val="20"/>
                <w:szCs w:val="20"/>
              </w:rPr>
              <w:noBreakHyphen/>
              <w:t xml:space="preserve">0645 Québec </w:t>
            </w:r>
            <w:proofErr w:type="spellStart"/>
            <w:r w:rsidRPr="00F21162">
              <w:rPr>
                <w:sz w:val="20"/>
                <w:szCs w:val="20"/>
              </w:rPr>
              <w:t>inc.</w:t>
            </w:r>
            <w:proofErr w:type="spellEnd"/>
            <w:r w:rsidRPr="00F21162">
              <w:rPr>
                <w:sz w:val="20"/>
                <w:szCs w:val="20"/>
              </w:rPr>
              <w:t xml:space="preserve">, for purposes other than the ones specified in s. 204 </w:t>
            </w:r>
            <w:r w:rsidRPr="00F21162">
              <w:rPr>
                <w:i/>
                <w:sz w:val="20"/>
                <w:szCs w:val="20"/>
              </w:rPr>
              <w:t>AMT</w:t>
            </w:r>
            <w:r w:rsidRPr="00F21162">
              <w:rPr>
                <w:sz w:val="20"/>
                <w:szCs w:val="20"/>
              </w:rPr>
              <w:t xml:space="preserve">. It asked the ATQ to enter the tenant as an occupant of the </w:t>
            </w:r>
            <w:proofErr w:type="spellStart"/>
            <w:r w:rsidRPr="00F21162">
              <w:rPr>
                <w:sz w:val="20"/>
                <w:szCs w:val="20"/>
              </w:rPr>
              <w:t>Colisée</w:t>
            </w:r>
            <w:proofErr w:type="spellEnd"/>
            <w:r w:rsidRPr="00F21162">
              <w:rPr>
                <w:sz w:val="20"/>
                <w:szCs w:val="20"/>
              </w:rPr>
              <w:t xml:space="preserve"> and to make the unit of assessment fully taxable in its hands.</w:t>
            </w:r>
          </w:p>
          <w:p w:rsidR="000E2959" w:rsidRPr="00F21162" w:rsidRDefault="000E2959" w:rsidP="0004528B">
            <w:pPr>
              <w:jc w:val="both"/>
              <w:rPr>
                <w:rFonts w:eastAsia="Calibri"/>
                <w:sz w:val="20"/>
              </w:rPr>
            </w:pPr>
          </w:p>
        </w:tc>
      </w:tr>
      <w:tr w:rsidR="000E2959" w:rsidRPr="00F21162" w:rsidTr="0004528B">
        <w:trPr>
          <w:cantSplit/>
        </w:trPr>
        <w:tc>
          <w:tcPr>
            <w:tcW w:w="2427" w:type="pct"/>
          </w:tcPr>
          <w:p w:rsidR="009D736E" w:rsidRPr="00F21162" w:rsidRDefault="009D736E" w:rsidP="009D736E">
            <w:pPr>
              <w:jc w:val="both"/>
              <w:rPr>
                <w:sz w:val="20"/>
                <w:szCs w:val="20"/>
              </w:rPr>
            </w:pPr>
            <w:r w:rsidRPr="00F21162">
              <w:rPr>
                <w:sz w:val="20"/>
                <w:szCs w:val="20"/>
              </w:rPr>
              <w:t>May 21, 2004</w:t>
            </w:r>
          </w:p>
          <w:p w:rsidR="009D736E" w:rsidRPr="00F21162" w:rsidRDefault="009D736E" w:rsidP="009D736E">
            <w:pPr>
              <w:jc w:val="both"/>
              <w:rPr>
                <w:sz w:val="20"/>
                <w:szCs w:val="20"/>
              </w:rPr>
            </w:pPr>
            <w:r w:rsidRPr="00F21162">
              <w:rPr>
                <w:sz w:val="20"/>
                <w:szCs w:val="20"/>
              </w:rPr>
              <w:t>Administrative Tribunal of Québec</w:t>
            </w:r>
          </w:p>
          <w:p w:rsidR="009D736E" w:rsidRPr="00F21162" w:rsidRDefault="009D736E" w:rsidP="009D736E">
            <w:pPr>
              <w:jc w:val="both"/>
              <w:rPr>
                <w:sz w:val="20"/>
                <w:szCs w:val="20"/>
              </w:rPr>
            </w:pPr>
            <w:r w:rsidRPr="00F21162">
              <w:rPr>
                <w:sz w:val="20"/>
                <w:szCs w:val="20"/>
              </w:rPr>
              <w:t>Immovable Property Division</w:t>
            </w:r>
          </w:p>
          <w:p w:rsidR="009D736E" w:rsidRPr="00F21162" w:rsidRDefault="009D736E" w:rsidP="009D736E">
            <w:pPr>
              <w:jc w:val="both"/>
              <w:rPr>
                <w:sz w:val="20"/>
                <w:szCs w:val="20"/>
              </w:rPr>
            </w:pPr>
            <w:r w:rsidRPr="00F21162">
              <w:rPr>
                <w:sz w:val="20"/>
                <w:szCs w:val="20"/>
              </w:rPr>
              <w:t>(Members Pelletier and Bisson)</w:t>
            </w:r>
          </w:p>
          <w:p w:rsidR="009D736E" w:rsidRPr="00F21162" w:rsidRDefault="009D736E" w:rsidP="009D736E">
            <w:pPr>
              <w:jc w:val="both"/>
              <w:rPr>
                <w:sz w:val="20"/>
                <w:szCs w:val="20"/>
              </w:rPr>
            </w:pPr>
            <w:r w:rsidRPr="00F21162">
              <w:rPr>
                <w:sz w:val="20"/>
                <w:szCs w:val="20"/>
              </w:rPr>
              <w:t>SAI-M-074302-0203</w:t>
            </w:r>
          </w:p>
          <w:p w:rsidR="000E2959" w:rsidRPr="00F21162" w:rsidRDefault="000E2959" w:rsidP="0004528B">
            <w:pPr>
              <w:jc w:val="both"/>
              <w:rPr>
                <w:rFonts w:eastAsia="Calibri"/>
                <w:sz w:val="20"/>
              </w:rPr>
            </w:pPr>
          </w:p>
        </w:tc>
        <w:tc>
          <w:tcPr>
            <w:tcW w:w="243" w:type="pct"/>
          </w:tcPr>
          <w:p w:rsidR="000E2959" w:rsidRPr="00F21162" w:rsidRDefault="000E2959" w:rsidP="0004528B">
            <w:pPr>
              <w:jc w:val="both"/>
              <w:rPr>
                <w:rFonts w:eastAsia="Calibri"/>
                <w:sz w:val="20"/>
              </w:rPr>
            </w:pPr>
          </w:p>
        </w:tc>
        <w:tc>
          <w:tcPr>
            <w:tcW w:w="2330" w:type="pct"/>
          </w:tcPr>
          <w:p w:rsidR="009D736E" w:rsidRPr="00F21162" w:rsidRDefault="009D736E" w:rsidP="009D736E">
            <w:pPr>
              <w:jc w:val="both"/>
              <w:rPr>
                <w:sz w:val="20"/>
                <w:szCs w:val="20"/>
              </w:rPr>
            </w:pPr>
            <w:r w:rsidRPr="00F21162">
              <w:rPr>
                <w:sz w:val="20"/>
                <w:szCs w:val="20"/>
              </w:rPr>
              <w:t>Proceeding to contest entry on property assessment roll allowed; application for exemption granted in part</w:t>
            </w:r>
          </w:p>
          <w:p w:rsidR="000E2959" w:rsidRPr="00F21162" w:rsidRDefault="000E2959" w:rsidP="0004528B">
            <w:pPr>
              <w:jc w:val="both"/>
              <w:rPr>
                <w:rFonts w:eastAsia="Calibri"/>
                <w:sz w:val="20"/>
              </w:rPr>
            </w:pPr>
          </w:p>
        </w:tc>
      </w:tr>
      <w:tr w:rsidR="000E2959" w:rsidRPr="00F21162" w:rsidTr="0004528B">
        <w:trPr>
          <w:cantSplit/>
        </w:trPr>
        <w:tc>
          <w:tcPr>
            <w:tcW w:w="2427" w:type="pct"/>
          </w:tcPr>
          <w:p w:rsidR="009D736E" w:rsidRPr="00F21162" w:rsidRDefault="009D736E" w:rsidP="009D736E">
            <w:pPr>
              <w:jc w:val="both"/>
              <w:rPr>
                <w:sz w:val="20"/>
                <w:szCs w:val="20"/>
              </w:rPr>
            </w:pPr>
            <w:r w:rsidRPr="00F21162">
              <w:rPr>
                <w:sz w:val="20"/>
                <w:szCs w:val="20"/>
              </w:rPr>
              <w:t>April 28, 2010</w:t>
            </w:r>
          </w:p>
          <w:p w:rsidR="009D736E" w:rsidRPr="00F21162" w:rsidRDefault="009D736E" w:rsidP="009D736E">
            <w:pPr>
              <w:jc w:val="both"/>
              <w:rPr>
                <w:sz w:val="20"/>
                <w:szCs w:val="20"/>
              </w:rPr>
            </w:pPr>
            <w:r w:rsidRPr="00F21162">
              <w:rPr>
                <w:sz w:val="20"/>
                <w:szCs w:val="20"/>
              </w:rPr>
              <w:t>Court of Québec</w:t>
            </w:r>
          </w:p>
          <w:p w:rsidR="009D736E" w:rsidRPr="00F21162" w:rsidRDefault="009D736E" w:rsidP="009D736E">
            <w:pPr>
              <w:jc w:val="both"/>
              <w:rPr>
                <w:sz w:val="20"/>
                <w:szCs w:val="20"/>
              </w:rPr>
            </w:pPr>
            <w:r w:rsidRPr="00F21162">
              <w:rPr>
                <w:sz w:val="20"/>
                <w:szCs w:val="20"/>
              </w:rPr>
              <w:t>(Judge Landry)</w:t>
            </w:r>
          </w:p>
          <w:p w:rsidR="009D736E" w:rsidRPr="00F21162" w:rsidRDefault="00B150CF" w:rsidP="009D736E">
            <w:pPr>
              <w:jc w:val="both"/>
              <w:rPr>
                <w:sz w:val="20"/>
                <w:szCs w:val="20"/>
              </w:rPr>
            </w:pPr>
            <w:hyperlink r:id="rId30" w:history="1">
              <w:r w:rsidR="009D736E" w:rsidRPr="00F21162">
                <w:rPr>
                  <w:color w:val="0000FF" w:themeColor="hyperlink"/>
                  <w:sz w:val="20"/>
                  <w:szCs w:val="20"/>
                  <w:u w:val="single"/>
                </w:rPr>
                <w:t>2010 QCCQ 3619</w:t>
              </w:r>
            </w:hyperlink>
          </w:p>
          <w:p w:rsidR="000E2959" w:rsidRPr="00F21162" w:rsidRDefault="000E2959" w:rsidP="0004528B">
            <w:pPr>
              <w:jc w:val="both"/>
              <w:rPr>
                <w:rFonts w:eastAsia="Calibri"/>
                <w:sz w:val="20"/>
              </w:rPr>
            </w:pPr>
          </w:p>
        </w:tc>
        <w:tc>
          <w:tcPr>
            <w:tcW w:w="243" w:type="pct"/>
          </w:tcPr>
          <w:p w:rsidR="000E2959" w:rsidRPr="00F21162" w:rsidRDefault="000E2959" w:rsidP="0004528B">
            <w:pPr>
              <w:jc w:val="both"/>
              <w:rPr>
                <w:rFonts w:eastAsia="Calibri"/>
                <w:sz w:val="20"/>
              </w:rPr>
            </w:pPr>
          </w:p>
        </w:tc>
        <w:tc>
          <w:tcPr>
            <w:tcW w:w="2330" w:type="pct"/>
          </w:tcPr>
          <w:p w:rsidR="009D736E" w:rsidRPr="00F21162" w:rsidRDefault="009D736E" w:rsidP="009D736E">
            <w:pPr>
              <w:jc w:val="both"/>
              <w:rPr>
                <w:sz w:val="20"/>
                <w:szCs w:val="20"/>
              </w:rPr>
            </w:pPr>
            <w:r w:rsidRPr="00F21162">
              <w:rPr>
                <w:sz w:val="20"/>
                <w:szCs w:val="20"/>
              </w:rPr>
              <w:t>Appeal allowed; incidental appeal dismissed</w:t>
            </w:r>
          </w:p>
          <w:p w:rsidR="000E2959" w:rsidRPr="00F21162" w:rsidRDefault="000E2959" w:rsidP="0004528B">
            <w:pPr>
              <w:jc w:val="both"/>
              <w:rPr>
                <w:rFonts w:eastAsia="Calibri"/>
                <w:sz w:val="20"/>
              </w:rPr>
            </w:pPr>
          </w:p>
        </w:tc>
      </w:tr>
      <w:tr w:rsidR="002170F1" w:rsidRPr="00F21162" w:rsidTr="0004528B">
        <w:trPr>
          <w:cantSplit/>
        </w:trPr>
        <w:tc>
          <w:tcPr>
            <w:tcW w:w="2427" w:type="pct"/>
          </w:tcPr>
          <w:p w:rsidR="002170F1" w:rsidRPr="00F21162" w:rsidRDefault="002170F1" w:rsidP="002170F1">
            <w:pPr>
              <w:jc w:val="both"/>
              <w:rPr>
                <w:sz w:val="20"/>
                <w:szCs w:val="20"/>
              </w:rPr>
            </w:pPr>
            <w:r w:rsidRPr="00F21162">
              <w:rPr>
                <w:sz w:val="20"/>
                <w:szCs w:val="20"/>
              </w:rPr>
              <w:t>May 17, 2013</w:t>
            </w:r>
          </w:p>
          <w:p w:rsidR="002170F1" w:rsidRPr="00F21162" w:rsidRDefault="002170F1" w:rsidP="002170F1">
            <w:pPr>
              <w:jc w:val="both"/>
              <w:rPr>
                <w:sz w:val="20"/>
                <w:szCs w:val="20"/>
              </w:rPr>
            </w:pPr>
            <w:r w:rsidRPr="00F21162">
              <w:rPr>
                <w:sz w:val="20"/>
                <w:szCs w:val="20"/>
              </w:rPr>
              <w:t>Quebec Superior Court</w:t>
            </w:r>
          </w:p>
          <w:p w:rsidR="002170F1" w:rsidRPr="00F21162" w:rsidRDefault="002170F1" w:rsidP="002170F1">
            <w:pPr>
              <w:jc w:val="both"/>
              <w:rPr>
                <w:sz w:val="20"/>
                <w:szCs w:val="20"/>
              </w:rPr>
            </w:pPr>
            <w:r w:rsidRPr="00F21162">
              <w:rPr>
                <w:sz w:val="20"/>
                <w:szCs w:val="20"/>
              </w:rPr>
              <w:t>(Perrault J.)</w:t>
            </w:r>
          </w:p>
          <w:p w:rsidR="002170F1" w:rsidRPr="00F21162" w:rsidRDefault="00B150CF" w:rsidP="002170F1">
            <w:pPr>
              <w:jc w:val="both"/>
              <w:rPr>
                <w:sz w:val="20"/>
                <w:szCs w:val="20"/>
              </w:rPr>
            </w:pPr>
            <w:hyperlink r:id="rId31" w:history="1">
              <w:r w:rsidR="002170F1" w:rsidRPr="00F21162">
                <w:rPr>
                  <w:color w:val="0000FF" w:themeColor="hyperlink"/>
                  <w:sz w:val="20"/>
                  <w:szCs w:val="20"/>
                  <w:u w:val="single"/>
                </w:rPr>
                <w:t>2013 QCCS 2031</w:t>
              </w:r>
            </w:hyperlink>
          </w:p>
          <w:p w:rsidR="002170F1" w:rsidRPr="00F21162" w:rsidRDefault="002170F1" w:rsidP="0004528B">
            <w:pPr>
              <w:jc w:val="both"/>
              <w:rPr>
                <w:rFonts w:eastAsia="Calibri"/>
                <w:sz w:val="20"/>
              </w:rPr>
            </w:pPr>
          </w:p>
        </w:tc>
        <w:tc>
          <w:tcPr>
            <w:tcW w:w="243" w:type="pct"/>
          </w:tcPr>
          <w:p w:rsidR="002170F1" w:rsidRPr="00F21162" w:rsidRDefault="002170F1" w:rsidP="0004528B">
            <w:pPr>
              <w:jc w:val="both"/>
              <w:rPr>
                <w:rFonts w:eastAsia="Calibri"/>
                <w:sz w:val="20"/>
              </w:rPr>
            </w:pPr>
          </w:p>
        </w:tc>
        <w:tc>
          <w:tcPr>
            <w:tcW w:w="2330" w:type="pct"/>
          </w:tcPr>
          <w:p w:rsidR="002170F1" w:rsidRPr="00F21162" w:rsidRDefault="002170F1" w:rsidP="002170F1">
            <w:pPr>
              <w:jc w:val="both"/>
              <w:rPr>
                <w:sz w:val="20"/>
                <w:szCs w:val="20"/>
              </w:rPr>
            </w:pPr>
            <w:r w:rsidRPr="00F21162">
              <w:rPr>
                <w:sz w:val="20"/>
                <w:szCs w:val="20"/>
              </w:rPr>
              <w:t>Motion for judicial review dismissed</w:t>
            </w:r>
          </w:p>
          <w:p w:rsidR="002170F1" w:rsidRPr="00F21162" w:rsidRDefault="002170F1" w:rsidP="0004528B">
            <w:pPr>
              <w:jc w:val="both"/>
              <w:rPr>
                <w:rFonts w:eastAsia="Calibri"/>
                <w:sz w:val="20"/>
              </w:rPr>
            </w:pPr>
          </w:p>
        </w:tc>
      </w:tr>
      <w:tr w:rsidR="002170F1" w:rsidRPr="00F21162" w:rsidTr="0004528B">
        <w:trPr>
          <w:cantSplit/>
        </w:trPr>
        <w:tc>
          <w:tcPr>
            <w:tcW w:w="2427" w:type="pct"/>
          </w:tcPr>
          <w:p w:rsidR="002170F1" w:rsidRPr="00F21162" w:rsidRDefault="002170F1" w:rsidP="002170F1">
            <w:pPr>
              <w:jc w:val="both"/>
              <w:rPr>
                <w:sz w:val="20"/>
                <w:szCs w:val="20"/>
              </w:rPr>
            </w:pPr>
            <w:r w:rsidRPr="00F21162">
              <w:rPr>
                <w:sz w:val="20"/>
                <w:szCs w:val="20"/>
              </w:rPr>
              <w:t>June 6, 2014</w:t>
            </w:r>
          </w:p>
          <w:p w:rsidR="002170F1" w:rsidRPr="00F21162" w:rsidRDefault="002170F1" w:rsidP="002170F1">
            <w:pPr>
              <w:jc w:val="both"/>
              <w:rPr>
                <w:sz w:val="20"/>
                <w:szCs w:val="20"/>
              </w:rPr>
            </w:pPr>
            <w:r w:rsidRPr="00F21162">
              <w:rPr>
                <w:sz w:val="20"/>
                <w:szCs w:val="20"/>
              </w:rPr>
              <w:t>Quebec Court of Appeal (Montréal)</w:t>
            </w:r>
          </w:p>
          <w:p w:rsidR="002170F1" w:rsidRPr="00F21162" w:rsidRDefault="002170F1" w:rsidP="002170F1">
            <w:pPr>
              <w:jc w:val="both"/>
              <w:rPr>
                <w:sz w:val="20"/>
                <w:szCs w:val="20"/>
              </w:rPr>
            </w:pPr>
            <w:r w:rsidRPr="00F21162">
              <w:rPr>
                <w:sz w:val="20"/>
                <w:szCs w:val="20"/>
              </w:rPr>
              <w:t>(</w:t>
            </w:r>
            <w:proofErr w:type="spellStart"/>
            <w:r w:rsidRPr="00F21162">
              <w:rPr>
                <w:sz w:val="20"/>
                <w:szCs w:val="20"/>
              </w:rPr>
              <w:t>Morissette</w:t>
            </w:r>
            <w:proofErr w:type="spellEnd"/>
            <w:r w:rsidRPr="00F21162">
              <w:rPr>
                <w:sz w:val="20"/>
                <w:szCs w:val="20"/>
              </w:rPr>
              <w:t xml:space="preserve">, </w:t>
            </w:r>
            <w:proofErr w:type="spellStart"/>
            <w:r w:rsidRPr="00F21162">
              <w:rPr>
                <w:sz w:val="20"/>
                <w:szCs w:val="20"/>
              </w:rPr>
              <w:t>Gascon</w:t>
            </w:r>
            <w:proofErr w:type="spellEnd"/>
            <w:r w:rsidRPr="00F21162">
              <w:rPr>
                <w:sz w:val="20"/>
                <w:szCs w:val="20"/>
              </w:rPr>
              <w:t xml:space="preserve"> and </w:t>
            </w:r>
            <w:proofErr w:type="spellStart"/>
            <w:r w:rsidRPr="00F21162">
              <w:rPr>
                <w:sz w:val="20"/>
                <w:szCs w:val="20"/>
              </w:rPr>
              <w:t>Vauclair</w:t>
            </w:r>
            <w:proofErr w:type="spellEnd"/>
            <w:r w:rsidRPr="00F21162">
              <w:rPr>
                <w:sz w:val="20"/>
                <w:szCs w:val="20"/>
              </w:rPr>
              <w:t xml:space="preserve"> JJ.A.)</w:t>
            </w:r>
          </w:p>
          <w:p w:rsidR="002170F1" w:rsidRPr="00F21162" w:rsidRDefault="00B150CF" w:rsidP="002170F1">
            <w:pPr>
              <w:jc w:val="both"/>
              <w:rPr>
                <w:sz w:val="20"/>
                <w:szCs w:val="20"/>
              </w:rPr>
            </w:pPr>
            <w:hyperlink r:id="rId32" w:history="1">
              <w:r w:rsidR="002170F1" w:rsidRPr="00F21162">
                <w:rPr>
                  <w:color w:val="0000FF" w:themeColor="hyperlink"/>
                  <w:sz w:val="20"/>
                  <w:szCs w:val="20"/>
                  <w:u w:val="single"/>
                </w:rPr>
                <w:t>2014 QCCA 1176</w:t>
              </w:r>
            </w:hyperlink>
            <w:r w:rsidR="002170F1" w:rsidRPr="00F21162">
              <w:rPr>
                <w:sz w:val="20"/>
                <w:szCs w:val="20"/>
              </w:rPr>
              <w:t>; 500-09-023672-132</w:t>
            </w:r>
          </w:p>
          <w:p w:rsidR="002170F1" w:rsidRPr="00F21162" w:rsidRDefault="002170F1" w:rsidP="002170F1">
            <w:pPr>
              <w:jc w:val="both"/>
              <w:rPr>
                <w:rFonts w:eastAsia="Calibri"/>
                <w:sz w:val="20"/>
              </w:rPr>
            </w:pPr>
          </w:p>
        </w:tc>
        <w:tc>
          <w:tcPr>
            <w:tcW w:w="243" w:type="pct"/>
          </w:tcPr>
          <w:p w:rsidR="002170F1" w:rsidRPr="00F21162" w:rsidRDefault="002170F1" w:rsidP="002170F1">
            <w:pPr>
              <w:jc w:val="both"/>
              <w:rPr>
                <w:rFonts w:eastAsia="Calibri"/>
                <w:sz w:val="20"/>
              </w:rPr>
            </w:pPr>
          </w:p>
        </w:tc>
        <w:tc>
          <w:tcPr>
            <w:tcW w:w="2330" w:type="pct"/>
          </w:tcPr>
          <w:p w:rsidR="002170F1" w:rsidRPr="00F21162" w:rsidRDefault="002170F1" w:rsidP="002170F1">
            <w:pPr>
              <w:rPr>
                <w:sz w:val="20"/>
                <w:szCs w:val="20"/>
              </w:rPr>
            </w:pPr>
            <w:r w:rsidRPr="00F21162">
              <w:rPr>
                <w:sz w:val="20"/>
                <w:szCs w:val="20"/>
              </w:rPr>
              <w:t>Appeal allowed; motion for judicial review allowed; decision of Administrative Tribunal of Québec restored</w:t>
            </w:r>
          </w:p>
        </w:tc>
      </w:tr>
      <w:tr w:rsidR="002170F1" w:rsidRPr="00F21162" w:rsidTr="0004528B">
        <w:trPr>
          <w:cantSplit/>
        </w:trPr>
        <w:tc>
          <w:tcPr>
            <w:tcW w:w="2427" w:type="pct"/>
          </w:tcPr>
          <w:p w:rsidR="002170F1" w:rsidRPr="00F21162" w:rsidRDefault="00801E91" w:rsidP="002170F1">
            <w:pPr>
              <w:jc w:val="both"/>
              <w:rPr>
                <w:rFonts w:eastAsia="Calibri"/>
                <w:sz w:val="20"/>
              </w:rPr>
            </w:pPr>
            <w:r w:rsidRPr="00F21162">
              <w:rPr>
                <w:rFonts w:eastAsia="Calibri"/>
                <w:sz w:val="20"/>
              </w:rPr>
              <w:t>September 5, 2015</w:t>
            </w:r>
          </w:p>
          <w:p w:rsidR="002170F1" w:rsidRPr="00F21162" w:rsidRDefault="002170F1" w:rsidP="002170F1">
            <w:pPr>
              <w:jc w:val="both"/>
              <w:rPr>
                <w:rFonts w:eastAsia="Calibri"/>
                <w:sz w:val="20"/>
              </w:rPr>
            </w:pPr>
            <w:r w:rsidRPr="00F21162">
              <w:rPr>
                <w:rFonts w:eastAsia="Calibri"/>
                <w:sz w:val="20"/>
              </w:rPr>
              <w:t>Supreme Court of Canada</w:t>
            </w:r>
          </w:p>
        </w:tc>
        <w:tc>
          <w:tcPr>
            <w:tcW w:w="243" w:type="pct"/>
          </w:tcPr>
          <w:p w:rsidR="002170F1" w:rsidRPr="00F21162" w:rsidRDefault="002170F1" w:rsidP="002170F1">
            <w:pPr>
              <w:jc w:val="both"/>
              <w:rPr>
                <w:rFonts w:eastAsia="Calibri"/>
                <w:sz w:val="20"/>
              </w:rPr>
            </w:pPr>
          </w:p>
        </w:tc>
        <w:tc>
          <w:tcPr>
            <w:tcW w:w="2330" w:type="pct"/>
          </w:tcPr>
          <w:p w:rsidR="002170F1" w:rsidRPr="00F21162" w:rsidRDefault="002170F1" w:rsidP="002170F1">
            <w:pPr>
              <w:jc w:val="both"/>
              <w:rPr>
                <w:rFonts w:eastAsia="Calibri"/>
                <w:sz w:val="20"/>
              </w:rPr>
            </w:pPr>
            <w:r w:rsidRPr="00F21162">
              <w:rPr>
                <w:rFonts w:eastAsia="Calibri"/>
                <w:sz w:val="20"/>
              </w:rPr>
              <w:t>Applic</w:t>
            </w:r>
            <w:r w:rsidR="00801E91" w:rsidRPr="00F21162">
              <w:rPr>
                <w:rFonts w:eastAsia="Calibri"/>
                <w:sz w:val="20"/>
              </w:rPr>
              <w:t>ation for leave to appeal filed</w:t>
            </w:r>
          </w:p>
        </w:tc>
      </w:tr>
    </w:tbl>
    <w:p w:rsidR="000E2959" w:rsidRPr="00F21162" w:rsidRDefault="000E2959" w:rsidP="000E2959">
      <w:pPr>
        <w:rPr>
          <w:sz w:val="20"/>
          <w:szCs w:val="20"/>
        </w:rPr>
      </w:pPr>
    </w:p>
    <w:p w:rsidR="000E2959" w:rsidRPr="00F21162" w:rsidRDefault="00B150CF" w:rsidP="000E2959">
      <w:pPr>
        <w:rPr>
          <w:sz w:val="20"/>
          <w:szCs w:val="20"/>
        </w:rPr>
      </w:pPr>
      <w:r>
        <w:rPr>
          <w:sz w:val="20"/>
          <w:szCs w:val="20"/>
          <w:lang w:val="fr-CA"/>
        </w:rPr>
        <w:pict>
          <v:rect id="_x0000_i1035" style="width:2in;height:1pt" o:hrpct="0" o:hralign="center" o:hrstd="t" o:hrnoshade="t" o:hr="t" fillcolor="black [3213]" stroked="f"/>
        </w:pict>
      </w:r>
    </w:p>
    <w:p w:rsidR="000E2959" w:rsidRPr="00F21162" w:rsidRDefault="000E2959" w:rsidP="000E2959">
      <w:pPr>
        <w:rPr>
          <w:sz w:val="20"/>
          <w:szCs w:val="20"/>
        </w:rPr>
      </w:pPr>
    </w:p>
    <w:p w:rsidR="000E2959" w:rsidRPr="00F21162" w:rsidRDefault="000E2959" w:rsidP="000E2959">
      <w:pPr>
        <w:rPr>
          <w:sz w:val="20"/>
          <w:szCs w:val="20"/>
          <w:u w:val="single"/>
          <w:lang w:val="fr-CA"/>
        </w:rPr>
      </w:pPr>
      <w:r w:rsidRPr="00F21162">
        <w:rPr>
          <w:sz w:val="20"/>
          <w:szCs w:val="20"/>
          <w:u w:val="single"/>
          <w:lang w:val="fr-CA"/>
        </w:rPr>
        <w:t>RÉSUMÉ DE L’AFFAIRE</w:t>
      </w:r>
    </w:p>
    <w:p w:rsidR="000E2959" w:rsidRPr="00F21162" w:rsidRDefault="000E2959" w:rsidP="000E295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0E2959" w:rsidRPr="00F21162" w:rsidTr="0004528B">
        <w:tc>
          <w:tcPr>
            <w:tcW w:w="5000" w:type="pct"/>
            <w:gridSpan w:val="3"/>
          </w:tcPr>
          <w:p w:rsidR="000E2959" w:rsidRPr="00F21162" w:rsidRDefault="009F1DE2" w:rsidP="0004528B">
            <w:pPr>
              <w:jc w:val="both"/>
              <w:rPr>
                <w:sz w:val="20"/>
                <w:szCs w:val="20"/>
              </w:rPr>
            </w:pPr>
            <w:r w:rsidRPr="00F21162">
              <w:rPr>
                <w:sz w:val="20"/>
                <w:szCs w:val="20"/>
              </w:rPr>
              <w:t xml:space="preserve">Droit </w:t>
            </w:r>
            <w:proofErr w:type="spellStart"/>
            <w:r w:rsidRPr="00F21162">
              <w:rPr>
                <w:sz w:val="20"/>
                <w:szCs w:val="20"/>
              </w:rPr>
              <w:t>administratif</w:t>
            </w:r>
            <w:proofErr w:type="spellEnd"/>
            <w:r w:rsidRPr="00F21162">
              <w:rPr>
                <w:sz w:val="20"/>
                <w:szCs w:val="20"/>
              </w:rPr>
              <w:t xml:space="preserve"> – Appel – </w:t>
            </w:r>
            <w:proofErr w:type="spellStart"/>
            <w:r w:rsidRPr="00F21162">
              <w:rPr>
                <w:sz w:val="20"/>
                <w:szCs w:val="20"/>
              </w:rPr>
              <w:t>Norme</w:t>
            </w:r>
            <w:proofErr w:type="spellEnd"/>
            <w:r w:rsidRPr="00F21162">
              <w:rPr>
                <w:sz w:val="20"/>
                <w:szCs w:val="20"/>
              </w:rPr>
              <w:t xml:space="preserve"> de </w:t>
            </w:r>
            <w:proofErr w:type="spellStart"/>
            <w:r w:rsidRPr="00F21162">
              <w:rPr>
                <w:sz w:val="20"/>
                <w:szCs w:val="20"/>
              </w:rPr>
              <w:t>contrôle</w:t>
            </w:r>
            <w:proofErr w:type="spellEnd"/>
            <w:r w:rsidRPr="00F21162">
              <w:rPr>
                <w:sz w:val="20"/>
                <w:szCs w:val="20"/>
              </w:rPr>
              <w:t xml:space="preserve"> – </w:t>
            </w:r>
            <w:proofErr w:type="spellStart"/>
            <w:r w:rsidRPr="00F21162">
              <w:rPr>
                <w:sz w:val="20"/>
                <w:szCs w:val="20"/>
              </w:rPr>
              <w:t>Cour</w:t>
            </w:r>
            <w:proofErr w:type="spellEnd"/>
            <w:r w:rsidRPr="00F21162">
              <w:rPr>
                <w:sz w:val="20"/>
                <w:szCs w:val="20"/>
              </w:rPr>
              <w:t xml:space="preserve"> du Québec – </w:t>
            </w:r>
            <w:proofErr w:type="spellStart"/>
            <w:r w:rsidRPr="00F21162">
              <w:rPr>
                <w:sz w:val="20"/>
                <w:szCs w:val="20"/>
              </w:rPr>
              <w:t>Quelle</w:t>
            </w:r>
            <w:proofErr w:type="spellEnd"/>
            <w:r w:rsidRPr="00F21162">
              <w:rPr>
                <w:sz w:val="20"/>
                <w:szCs w:val="20"/>
              </w:rPr>
              <w:t xml:space="preserve"> </w:t>
            </w:r>
            <w:proofErr w:type="spellStart"/>
            <w:r w:rsidRPr="00F21162">
              <w:rPr>
                <w:sz w:val="20"/>
                <w:szCs w:val="20"/>
              </w:rPr>
              <w:t>est</w:t>
            </w:r>
            <w:proofErr w:type="spellEnd"/>
            <w:r w:rsidRPr="00F21162">
              <w:rPr>
                <w:sz w:val="20"/>
                <w:szCs w:val="20"/>
              </w:rPr>
              <w:t xml:space="preserve"> la </w:t>
            </w:r>
            <w:proofErr w:type="spellStart"/>
            <w:r w:rsidRPr="00F21162">
              <w:rPr>
                <w:sz w:val="20"/>
                <w:szCs w:val="20"/>
              </w:rPr>
              <w:t>norme</w:t>
            </w:r>
            <w:proofErr w:type="spellEnd"/>
            <w:r w:rsidRPr="00F21162">
              <w:rPr>
                <w:sz w:val="20"/>
                <w:szCs w:val="20"/>
              </w:rPr>
              <w:t xml:space="preserve"> de </w:t>
            </w:r>
            <w:proofErr w:type="spellStart"/>
            <w:r w:rsidRPr="00F21162">
              <w:rPr>
                <w:sz w:val="20"/>
                <w:szCs w:val="20"/>
              </w:rPr>
              <w:t>contrôle</w:t>
            </w:r>
            <w:proofErr w:type="spellEnd"/>
            <w:r w:rsidRPr="00F21162">
              <w:rPr>
                <w:sz w:val="20"/>
                <w:szCs w:val="20"/>
              </w:rPr>
              <w:t xml:space="preserve"> applicable par la </w:t>
            </w:r>
            <w:proofErr w:type="spellStart"/>
            <w:r w:rsidRPr="00F21162">
              <w:rPr>
                <w:sz w:val="20"/>
                <w:szCs w:val="20"/>
              </w:rPr>
              <w:t>Cour</w:t>
            </w:r>
            <w:proofErr w:type="spellEnd"/>
            <w:r w:rsidRPr="00F21162">
              <w:rPr>
                <w:sz w:val="20"/>
                <w:szCs w:val="20"/>
              </w:rPr>
              <w:t xml:space="preserve"> du Québec </w:t>
            </w:r>
            <w:proofErr w:type="spellStart"/>
            <w:r w:rsidRPr="00F21162">
              <w:rPr>
                <w:sz w:val="20"/>
                <w:szCs w:val="20"/>
              </w:rPr>
              <w:t>siégeant</w:t>
            </w:r>
            <w:proofErr w:type="spellEnd"/>
            <w:r w:rsidRPr="00F21162">
              <w:rPr>
                <w:sz w:val="20"/>
                <w:szCs w:val="20"/>
              </w:rPr>
              <w:t xml:space="preserve"> </w:t>
            </w:r>
            <w:proofErr w:type="spellStart"/>
            <w:r w:rsidRPr="00F21162">
              <w:rPr>
                <w:sz w:val="20"/>
                <w:szCs w:val="20"/>
              </w:rPr>
              <w:t>en</w:t>
            </w:r>
            <w:proofErr w:type="spellEnd"/>
            <w:r w:rsidRPr="00F21162">
              <w:rPr>
                <w:sz w:val="20"/>
                <w:szCs w:val="20"/>
              </w:rPr>
              <w:t xml:space="preserve"> </w:t>
            </w:r>
            <w:proofErr w:type="spellStart"/>
            <w:r w:rsidRPr="00F21162">
              <w:rPr>
                <w:sz w:val="20"/>
                <w:szCs w:val="20"/>
              </w:rPr>
              <w:t>appel</w:t>
            </w:r>
            <w:proofErr w:type="spellEnd"/>
            <w:r w:rsidRPr="00F21162">
              <w:rPr>
                <w:sz w:val="20"/>
                <w:szCs w:val="20"/>
              </w:rPr>
              <w:t xml:space="preserve"> </w:t>
            </w:r>
            <w:proofErr w:type="spellStart"/>
            <w:r w:rsidRPr="00F21162">
              <w:rPr>
                <w:sz w:val="20"/>
                <w:szCs w:val="20"/>
              </w:rPr>
              <w:t>d’une</w:t>
            </w:r>
            <w:proofErr w:type="spellEnd"/>
            <w:r w:rsidRPr="00F21162">
              <w:rPr>
                <w:sz w:val="20"/>
                <w:szCs w:val="20"/>
              </w:rPr>
              <w:t xml:space="preserve"> </w:t>
            </w:r>
            <w:proofErr w:type="spellStart"/>
            <w:r w:rsidRPr="00F21162">
              <w:rPr>
                <w:sz w:val="20"/>
                <w:szCs w:val="20"/>
              </w:rPr>
              <w:t>décision</w:t>
            </w:r>
            <w:proofErr w:type="spellEnd"/>
            <w:r w:rsidRPr="00F21162">
              <w:rPr>
                <w:sz w:val="20"/>
                <w:szCs w:val="20"/>
              </w:rPr>
              <w:t xml:space="preserve"> du Tribunal </w:t>
            </w:r>
            <w:proofErr w:type="spellStart"/>
            <w:r w:rsidRPr="00F21162">
              <w:rPr>
                <w:sz w:val="20"/>
                <w:szCs w:val="20"/>
              </w:rPr>
              <w:t>administratif</w:t>
            </w:r>
            <w:proofErr w:type="spellEnd"/>
            <w:r w:rsidRPr="00F21162">
              <w:rPr>
                <w:sz w:val="20"/>
                <w:szCs w:val="20"/>
              </w:rPr>
              <w:t xml:space="preserve"> du Québec </w:t>
            </w:r>
            <w:proofErr w:type="spellStart"/>
            <w:r w:rsidRPr="00F21162">
              <w:rPr>
                <w:sz w:val="20"/>
                <w:szCs w:val="20"/>
              </w:rPr>
              <w:t>en</w:t>
            </w:r>
            <w:proofErr w:type="spellEnd"/>
            <w:r w:rsidRPr="00F21162">
              <w:rPr>
                <w:sz w:val="20"/>
                <w:szCs w:val="20"/>
              </w:rPr>
              <w:t xml:space="preserve"> </w:t>
            </w:r>
            <w:proofErr w:type="spellStart"/>
            <w:r w:rsidRPr="00F21162">
              <w:rPr>
                <w:sz w:val="20"/>
                <w:szCs w:val="20"/>
              </w:rPr>
              <w:t>vertu</w:t>
            </w:r>
            <w:proofErr w:type="spellEnd"/>
            <w:r w:rsidRPr="00F21162">
              <w:rPr>
                <w:sz w:val="20"/>
                <w:szCs w:val="20"/>
              </w:rPr>
              <w:t xml:space="preserve"> de </w:t>
            </w:r>
            <w:proofErr w:type="spellStart"/>
            <w:r w:rsidRPr="00F21162">
              <w:rPr>
                <w:sz w:val="20"/>
                <w:szCs w:val="20"/>
              </w:rPr>
              <w:t>l’art</w:t>
            </w:r>
            <w:proofErr w:type="spellEnd"/>
            <w:r w:rsidRPr="00F21162">
              <w:rPr>
                <w:sz w:val="20"/>
                <w:szCs w:val="20"/>
              </w:rPr>
              <w:t xml:space="preserve">. 159 de la </w:t>
            </w:r>
            <w:proofErr w:type="spellStart"/>
            <w:r w:rsidRPr="00F21162">
              <w:rPr>
                <w:i/>
                <w:sz w:val="20"/>
                <w:szCs w:val="20"/>
              </w:rPr>
              <w:t>Loi</w:t>
            </w:r>
            <w:proofErr w:type="spellEnd"/>
            <w:r w:rsidRPr="00F21162">
              <w:rPr>
                <w:i/>
                <w:sz w:val="20"/>
                <w:szCs w:val="20"/>
              </w:rPr>
              <w:t xml:space="preserve"> sur la justice administrative</w:t>
            </w:r>
            <w:r w:rsidRPr="00F21162">
              <w:rPr>
                <w:sz w:val="20"/>
                <w:szCs w:val="20"/>
              </w:rPr>
              <w:t xml:space="preserve"> – Le fait que la </w:t>
            </w:r>
            <w:proofErr w:type="spellStart"/>
            <w:r w:rsidRPr="00F21162">
              <w:rPr>
                <w:sz w:val="20"/>
                <w:szCs w:val="20"/>
              </w:rPr>
              <w:t>Cour</w:t>
            </w:r>
            <w:proofErr w:type="spellEnd"/>
            <w:r w:rsidRPr="00F21162">
              <w:rPr>
                <w:sz w:val="20"/>
                <w:szCs w:val="20"/>
              </w:rPr>
              <w:t xml:space="preserve"> du Québec </w:t>
            </w:r>
            <w:proofErr w:type="spellStart"/>
            <w:r w:rsidRPr="00F21162">
              <w:rPr>
                <w:sz w:val="20"/>
                <w:szCs w:val="20"/>
              </w:rPr>
              <w:t>n’est</w:t>
            </w:r>
            <w:proofErr w:type="spellEnd"/>
            <w:r w:rsidRPr="00F21162">
              <w:rPr>
                <w:sz w:val="20"/>
                <w:szCs w:val="20"/>
              </w:rPr>
              <w:t xml:space="preserve"> pas </w:t>
            </w:r>
            <w:proofErr w:type="spellStart"/>
            <w:r w:rsidRPr="00F21162">
              <w:rPr>
                <w:sz w:val="20"/>
                <w:szCs w:val="20"/>
              </w:rPr>
              <w:t>investie</w:t>
            </w:r>
            <w:proofErr w:type="spellEnd"/>
            <w:r w:rsidRPr="00F21162">
              <w:rPr>
                <w:sz w:val="20"/>
                <w:szCs w:val="20"/>
              </w:rPr>
              <w:t xml:space="preserve"> des </w:t>
            </w:r>
            <w:proofErr w:type="spellStart"/>
            <w:r w:rsidRPr="00F21162">
              <w:rPr>
                <w:sz w:val="20"/>
                <w:szCs w:val="20"/>
              </w:rPr>
              <w:t>pouvoirs</w:t>
            </w:r>
            <w:proofErr w:type="spellEnd"/>
            <w:r w:rsidRPr="00F21162">
              <w:rPr>
                <w:sz w:val="20"/>
                <w:szCs w:val="20"/>
              </w:rPr>
              <w:t xml:space="preserve"> </w:t>
            </w:r>
            <w:proofErr w:type="spellStart"/>
            <w:r w:rsidRPr="00F21162">
              <w:rPr>
                <w:sz w:val="20"/>
                <w:szCs w:val="20"/>
              </w:rPr>
              <w:t>dévolus</w:t>
            </w:r>
            <w:proofErr w:type="spellEnd"/>
            <w:r w:rsidRPr="00F21162">
              <w:rPr>
                <w:sz w:val="20"/>
                <w:szCs w:val="20"/>
              </w:rPr>
              <w:t xml:space="preserve"> aux </w:t>
            </w:r>
            <w:proofErr w:type="spellStart"/>
            <w:r w:rsidRPr="00F21162">
              <w:rPr>
                <w:sz w:val="20"/>
                <w:szCs w:val="20"/>
              </w:rPr>
              <w:t>juges</w:t>
            </w:r>
            <w:proofErr w:type="spellEnd"/>
            <w:r w:rsidRPr="00F21162">
              <w:rPr>
                <w:sz w:val="20"/>
                <w:szCs w:val="20"/>
              </w:rPr>
              <w:t xml:space="preserve"> </w:t>
            </w:r>
            <w:proofErr w:type="spellStart"/>
            <w:r w:rsidRPr="00F21162">
              <w:rPr>
                <w:sz w:val="20"/>
                <w:szCs w:val="20"/>
              </w:rPr>
              <w:t>nommés</w:t>
            </w:r>
            <w:proofErr w:type="spellEnd"/>
            <w:r w:rsidRPr="00F21162">
              <w:rPr>
                <w:sz w:val="20"/>
                <w:szCs w:val="20"/>
              </w:rPr>
              <w:t xml:space="preserve"> </w:t>
            </w:r>
            <w:proofErr w:type="spellStart"/>
            <w:r w:rsidRPr="00F21162">
              <w:rPr>
                <w:sz w:val="20"/>
                <w:szCs w:val="20"/>
              </w:rPr>
              <w:t>en</w:t>
            </w:r>
            <w:proofErr w:type="spellEnd"/>
            <w:r w:rsidRPr="00F21162">
              <w:rPr>
                <w:sz w:val="20"/>
                <w:szCs w:val="20"/>
              </w:rPr>
              <w:t xml:space="preserve"> </w:t>
            </w:r>
            <w:proofErr w:type="spellStart"/>
            <w:r w:rsidRPr="00F21162">
              <w:rPr>
                <w:sz w:val="20"/>
                <w:szCs w:val="20"/>
              </w:rPr>
              <w:t>vertu</w:t>
            </w:r>
            <w:proofErr w:type="spellEnd"/>
            <w:r w:rsidRPr="00F21162">
              <w:rPr>
                <w:sz w:val="20"/>
                <w:szCs w:val="20"/>
              </w:rPr>
              <w:t xml:space="preserve"> de </w:t>
            </w:r>
            <w:proofErr w:type="spellStart"/>
            <w:r w:rsidRPr="00F21162">
              <w:rPr>
                <w:sz w:val="20"/>
                <w:szCs w:val="20"/>
              </w:rPr>
              <w:t>l’art</w:t>
            </w:r>
            <w:proofErr w:type="spellEnd"/>
            <w:r w:rsidRPr="00F21162">
              <w:rPr>
                <w:sz w:val="20"/>
                <w:szCs w:val="20"/>
              </w:rPr>
              <w:t xml:space="preserve">. 96 de la </w:t>
            </w:r>
            <w:proofErr w:type="spellStart"/>
            <w:r w:rsidRPr="00F21162">
              <w:rPr>
                <w:i/>
                <w:sz w:val="20"/>
                <w:szCs w:val="20"/>
              </w:rPr>
              <w:t>Loi</w:t>
            </w:r>
            <w:proofErr w:type="spellEnd"/>
            <w:r w:rsidRPr="00F21162">
              <w:rPr>
                <w:i/>
                <w:sz w:val="20"/>
                <w:szCs w:val="20"/>
              </w:rPr>
              <w:t xml:space="preserve"> </w:t>
            </w:r>
            <w:proofErr w:type="spellStart"/>
            <w:r w:rsidRPr="00F21162">
              <w:rPr>
                <w:i/>
                <w:sz w:val="20"/>
                <w:szCs w:val="20"/>
              </w:rPr>
              <w:t>constitutionnelle</w:t>
            </w:r>
            <w:proofErr w:type="spellEnd"/>
            <w:r w:rsidRPr="00F21162">
              <w:rPr>
                <w:sz w:val="20"/>
                <w:szCs w:val="20"/>
              </w:rPr>
              <w:t xml:space="preserve"> </w:t>
            </w:r>
            <w:proofErr w:type="spellStart"/>
            <w:r w:rsidRPr="00F21162">
              <w:rPr>
                <w:sz w:val="20"/>
                <w:szCs w:val="20"/>
              </w:rPr>
              <w:t>est-il</w:t>
            </w:r>
            <w:proofErr w:type="spellEnd"/>
            <w:r w:rsidRPr="00F21162">
              <w:rPr>
                <w:sz w:val="20"/>
                <w:szCs w:val="20"/>
              </w:rPr>
              <w:t xml:space="preserve"> pertinent? – </w:t>
            </w:r>
            <w:proofErr w:type="spellStart"/>
            <w:r w:rsidRPr="00F21162">
              <w:rPr>
                <w:sz w:val="20"/>
                <w:szCs w:val="20"/>
              </w:rPr>
              <w:t>L’application</w:t>
            </w:r>
            <w:proofErr w:type="spellEnd"/>
            <w:r w:rsidRPr="00F21162">
              <w:rPr>
                <w:sz w:val="20"/>
                <w:szCs w:val="20"/>
              </w:rPr>
              <w:t xml:space="preserve"> des </w:t>
            </w:r>
            <w:proofErr w:type="spellStart"/>
            <w:r w:rsidRPr="00F21162">
              <w:rPr>
                <w:sz w:val="20"/>
                <w:szCs w:val="20"/>
              </w:rPr>
              <w:t>normes</w:t>
            </w:r>
            <w:proofErr w:type="spellEnd"/>
            <w:r w:rsidRPr="00F21162">
              <w:rPr>
                <w:sz w:val="20"/>
                <w:szCs w:val="20"/>
              </w:rPr>
              <w:t xml:space="preserve"> </w:t>
            </w:r>
            <w:proofErr w:type="spellStart"/>
            <w:r w:rsidRPr="00F21162">
              <w:rPr>
                <w:sz w:val="20"/>
                <w:szCs w:val="20"/>
              </w:rPr>
              <w:t>d’intervention</w:t>
            </w:r>
            <w:proofErr w:type="spellEnd"/>
            <w:r w:rsidRPr="00F21162">
              <w:rPr>
                <w:sz w:val="20"/>
                <w:szCs w:val="20"/>
              </w:rPr>
              <w:t xml:space="preserve"> </w:t>
            </w:r>
            <w:proofErr w:type="spellStart"/>
            <w:r w:rsidRPr="00F21162">
              <w:rPr>
                <w:sz w:val="20"/>
                <w:szCs w:val="20"/>
              </w:rPr>
              <w:t>propres</w:t>
            </w:r>
            <w:proofErr w:type="spellEnd"/>
            <w:r w:rsidRPr="00F21162">
              <w:rPr>
                <w:sz w:val="20"/>
                <w:szCs w:val="20"/>
              </w:rPr>
              <w:t xml:space="preserve"> au </w:t>
            </w:r>
            <w:proofErr w:type="spellStart"/>
            <w:r w:rsidRPr="00F21162">
              <w:rPr>
                <w:sz w:val="20"/>
                <w:szCs w:val="20"/>
              </w:rPr>
              <w:t>contrôle</w:t>
            </w:r>
            <w:proofErr w:type="spellEnd"/>
            <w:r w:rsidRPr="00F21162">
              <w:rPr>
                <w:sz w:val="20"/>
                <w:szCs w:val="20"/>
              </w:rPr>
              <w:t xml:space="preserve"> </w:t>
            </w:r>
            <w:proofErr w:type="spellStart"/>
            <w:r w:rsidRPr="00F21162">
              <w:rPr>
                <w:sz w:val="20"/>
                <w:szCs w:val="20"/>
              </w:rPr>
              <w:t>judiciaire</w:t>
            </w:r>
            <w:proofErr w:type="spellEnd"/>
            <w:r w:rsidRPr="00F21162">
              <w:rPr>
                <w:sz w:val="20"/>
                <w:szCs w:val="20"/>
              </w:rPr>
              <w:t xml:space="preserve"> </w:t>
            </w:r>
            <w:proofErr w:type="spellStart"/>
            <w:r w:rsidRPr="00F21162">
              <w:rPr>
                <w:sz w:val="20"/>
                <w:szCs w:val="20"/>
              </w:rPr>
              <w:t>doit-elle</w:t>
            </w:r>
            <w:proofErr w:type="spellEnd"/>
            <w:r w:rsidRPr="00F21162">
              <w:rPr>
                <w:sz w:val="20"/>
                <w:szCs w:val="20"/>
              </w:rPr>
              <w:t xml:space="preserve"> </w:t>
            </w:r>
            <w:proofErr w:type="spellStart"/>
            <w:r w:rsidRPr="00F21162">
              <w:rPr>
                <w:sz w:val="20"/>
                <w:szCs w:val="20"/>
              </w:rPr>
              <w:t>être</w:t>
            </w:r>
            <w:proofErr w:type="spellEnd"/>
            <w:r w:rsidRPr="00F21162">
              <w:rPr>
                <w:sz w:val="20"/>
                <w:szCs w:val="20"/>
              </w:rPr>
              <w:t xml:space="preserve"> </w:t>
            </w:r>
            <w:proofErr w:type="spellStart"/>
            <w:r w:rsidRPr="00F21162">
              <w:rPr>
                <w:sz w:val="20"/>
                <w:szCs w:val="20"/>
              </w:rPr>
              <w:t>modulée</w:t>
            </w:r>
            <w:proofErr w:type="spellEnd"/>
            <w:r w:rsidRPr="00F21162">
              <w:rPr>
                <w:sz w:val="20"/>
                <w:szCs w:val="20"/>
              </w:rPr>
              <w:t xml:space="preserve"> </w:t>
            </w:r>
            <w:proofErr w:type="spellStart"/>
            <w:r w:rsidRPr="00F21162">
              <w:rPr>
                <w:sz w:val="20"/>
                <w:szCs w:val="20"/>
              </w:rPr>
              <w:t>en</w:t>
            </w:r>
            <w:proofErr w:type="spellEnd"/>
            <w:r w:rsidRPr="00F21162">
              <w:rPr>
                <w:sz w:val="20"/>
                <w:szCs w:val="20"/>
              </w:rPr>
              <w:t xml:space="preserve"> </w:t>
            </w:r>
            <w:proofErr w:type="spellStart"/>
            <w:r w:rsidRPr="00F21162">
              <w:rPr>
                <w:sz w:val="20"/>
                <w:szCs w:val="20"/>
              </w:rPr>
              <w:t>fonction</w:t>
            </w:r>
            <w:proofErr w:type="spellEnd"/>
            <w:r w:rsidRPr="00F21162">
              <w:rPr>
                <w:sz w:val="20"/>
                <w:szCs w:val="20"/>
              </w:rPr>
              <w:t xml:space="preserve"> du fait que la </w:t>
            </w:r>
            <w:proofErr w:type="spellStart"/>
            <w:r w:rsidRPr="00F21162">
              <w:rPr>
                <w:sz w:val="20"/>
                <w:szCs w:val="20"/>
              </w:rPr>
              <w:t>Cour</w:t>
            </w:r>
            <w:proofErr w:type="spellEnd"/>
            <w:r w:rsidRPr="00F21162">
              <w:rPr>
                <w:sz w:val="20"/>
                <w:szCs w:val="20"/>
              </w:rPr>
              <w:t xml:space="preserve"> du Québec </w:t>
            </w:r>
            <w:proofErr w:type="spellStart"/>
            <w:r w:rsidRPr="00F21162">
              <w:rPr>
                <w:sz w:val="20"/>
                <w:szCs w:val="20"/>
              </w:rPr>
              <w:t>est</w:t>
            </w:r>
            <w:proofErr w:type="spellEnd"/>
            <w:r w:rsidRPr="00F21162">
              <w:rPr>
                <w:sz w:val="20"/>
                <w:szCs w:val="20"/>
              </w:rPr>
              <w:t xml:space="preserve"> </w:t>
            </w:r>
            <w:proofErr w:type="spellStart"/>
            <w:r w:rsidRPr="00F21162">
              <w:rPr>
                <w:sz w:val="20"/>
                <w:szCs w:val="20"/>
              </w:rPr>
              <w:t>saisie</w:t>
            </w:r>
            <w:proofErr w:type="spellEnd"/>
            <w:r w:rsidRPr="00F21162">
              <w:rPr>
                <w:sz w:val="20"/>
                <w:szCs w:val="20"/>
              </w:rPr>
              <w:t xml:space="preserve"> d’un </w:t>
            </w:r>
            <w:proofErr w:type="spellStart"/>
            <w:r w:rsidRPr="00F21162">
              <w:rPr>
                <w:sz w:val="20"/>
                <w:szCs w:val="20"/>
              </w:rPr>
              <w:t>appel</w:t>
            </w:r>
            <w:proofErr w:type="spellEnd"/>
            <w:r w:rsidRPr="00F21162">
              <w:rPr>
                <w:sz w:val="20"/>
                <w:szCs w:val="20"/>
              </w:rPr>
              <w:t xml:space="preserve"> et non </w:t>
            </w:r>
            <w:proofErr w:type="spellStart"/>
            <w:r w:rsidRPr="00F21162">
              <w:rPr>
                <w:sz w:val="20"/>
                <w:szCs w:val="20"/>
              </w:rPr>
              <w:t>d’une</w:t>
            </w:r>
            <w:proofErr w:type="spellEnd"/>
            <w:r w:rsidRPr="00F21162">
              <w:rPr>
                <w:sz w:val="20"/>
                <w:szCs w:val="20"/>
              </w:rPr>
              <w:t xml:space="preserve"> </w:t>
            </w:r>
            <w:proofErr w:type="spellStart"/>
            <w:r w:rsidRPr="00F21162">
              <w:rPr>
                <w:sz w:val="20"/>
                <w:szCs w:val="20"/>
              </w:rPr>
              <w:t>révision</w:t>
            </w:r>
            <w:proofErr w:type="spellEnd"/>
            <w:r w:rsidRPr="00F21162">
              <w:rPr>
                <w:sz w:val="20"/>
                <w:szCs w:val="20"/>
              </w:rPr>
              <w:t xml:space="preserve"> </w:t>
            </w:r>
            <w:proofErr w:type="spellStart"/>
            <w:r w:rsidRPr="00F21162">
              <w:rPr>
                <w:sz w:val="20"/>
                <w:szCs w:val="20"/>
              </w:rPr>
              <w:t>judiciaire</w:t>
            </w:r>
            <w:proofErr w:type="spellEnd"/>
            <w:r w:rsidRPr="00F21162">
              <w:rPr>
                <w:sz w:val="20"/>
                <w:szCs w:val="20"/>
              </w:rPr>
              <w:t>?</w:t>
            </w:r>
          </w:p>
          <w:p w:rsidR="009F1DE2" w:rsidRPr="00F21162" w:rsidRDefault="009F1DE2" w:rsidP="0004528B">
            <w:pPr>
              <w:jc w:val="both"/>
              <w:rPr>
                <w:rFonts w:eastAsia="Calibri"/>
                <w:sz w:val="20"/>
                <w:szCs w:val="20"/>
                <w:lang w:val="fr-CA"/>
              </w:rPr>
            </w:pPr>
          </w:p>
        </w:tc>
      </w:tr>
      <w:tr w:rsidR="000E2959" w:rsidRPr="00F21162" w:rsidTr="0004528B">
        <w:tc>
          <w:tcPr>
            <w:tcW w:w="5000" w:type="pct"/>
            <w:gridSpan w:val="3"/>
          </w:tcPr>
          <w:p w:rsidR="009F1DE2" w:rsidRPr="00F21162" w:rsidRDefault="009F1DE2" w:rsidP="009F1DE2">
            <w:pPr>
              <w:jc w:val="both"/>
              <w:rPr>
                <w:sz w:val="20"/>
                <w:szCs w:val="20"/>
                <w:lang w:val="fr-CA"/>
              </w:rPr>
            </w:pPr>
            <w:r w:rsidRPr="00F21162">
              <w:rPr>
                <w:sz w:val="20"/>
                <w:szCs w:val="20"/>
                <w:lang w:val="fr-CA"/>
              </w:rPr>
              <w:t xml:space="preserve">Les Frères Maristes (Iberville) (les « Frères Maristes »), propriétaires de l’immeuble connu sous le nom de « Colisée de Laval » (le « Colisée »), contestent devant le Tribunal administratif du Québec (le « TAQ ») la valeur inscrite au rôle d’évaluation foncière pour le Colisée, ainsi que le pourcentage d’exemption auquel ils ont droit en application du par. 204(17) de la </w:t>
            </w:r>
            <w:r w:rsidRPr="00F21162">
              <w:rPr>
                <w:i/>
                <w:sz w:val="20"/>
                <w:szCs w:val="20"/>
                <w:lang w:val="fr-CA"/>
              </w:rPr>
              <w:t>Loi sur la fiscalité municipale</w:t>
            </w:r>
            <w:r w:rsidRPr="00F21162">
              <w:rPr>
                <w:sz w:val="20"/>
                <w:szCs w:val="20"/>
                <w:lang w:val="fr-CA"/>
              </w:rPr>
              <w:t xml:space="preserve"> (« </w:t>
            </w:r>
            <w:r w:rsidRPr="00F21162">
              <w:rPr>
                <w:i/>
                <w:sz w:val="20"/>
                <w:szCs w:val="20"/>
                <w:lang w:val="fr-CA"/>
              </w:rPr>
              <w:t>LFM</w:t>
            </w:r>
            <w:r w:rsidRPr="00F21162">
              <w:rPr>
                <w:sz w:val="20"/>
                <w:szCs w:val="20"/>
                <w:lang w:val="fr-CA"/>
              </w:rPr>
              <w:t xml:space="preserve"> »). Au regard de l’art. 204 </w:t>
            </w:r>
            <w:r w:rsidRPr="00F21162">
              <w:rPr>
                <w:i/>
                <w:sz w:val="20"/>
                <w:szCs w:val="20"/>
                <w:lang w:val="fr-CA"/>
              </w:rPr>
              <w:t>LFM</w:t>
            </w:r>
            <w:r w:rsidRPr="00F21162">
              <w:rPr>
                <w:sz w:val="20"/>
                <w:szCs w:val="20"/>
                <w:lang w:val="fr-CA"/>
              </w:rPr>
              <w:t xml:space="preserve">, ils soutiennent que le Colisée doit être exempt de toute taxe, puisqu’il appartient à une institution religieuse et qu’il est utilisé à titre de centre sportif privé par les élèves du Collège Laval, dans le cadre de leurs activités normales. À titre subsidiaire, ils soutiennent que la portion non imposable devrait être fixée à 65 %, ce qui correspond à leur portion d’utilisation du Colisée, plutôt qu’à 30 %, pourcentage inscrit au rôle pour les années précédentes. La Ville de Laval (la « Ville ») souhaite que l’exemption partielle de 30 % dont bénéficient les Frères Maristes soit retirée en totalité, étant donné que le Colisée est utilisé par un locataire, la compagnie 2866-0645 Québec </w:t>
            </w:r>
            <w:proofErr w:type="spellStart"/>
            <w:r w:rsidRPr="00F21162">
              <w:rPr>
                <w:sz w:val="20"/>
                <w:szCs w:val="20"/>
                <w:lang w:val="fr-CA"/>
              </w:rPr>
              <w:t>inc.</w:t>
            </w:r>
            <w:proofErr w:type="spellEnd"/>
            <w:r w:rsidRPr="00F21162">
              <w:rPr>
                <w:sz w:val="20"/>
                <w:szCs w:val="20"/>
                <w:lang w:val="fr-CA"/>
              </w:rPr>
              <w:t xml:space="preserve">, à des fins autres que celles prévues à l’art. 204 </w:t>
            </w:r>
            <w:r w:rsidRPr="00F21162">
              <w:rPr>
                <w:i/>
                <w:sz w:val="20"/>
                <w:szCs w:val="20"/>
                <w:lang w:val="fr-CA"/>
              </w:rPr>
              <w:t>LFM</w:t>
            </w:r>
            <w:r w:rsidRPr="00F21162">
              <w:rPr>
                <w:sz w:val="20"/>
                <w:szCs w:val="20"/>
                <w:lang w:val="fr-CA"/>
              </w:rPr>
              <w:t>. Elle demande au TAQ d’inscrire la locataire à titre d’occupant du Colisée et de rendre l’unité d’évaluation totalement imposable entre ses mains.</w:t>
            </w:r>
          </w:p>
          <w:p w:rsidR="000E2959" w:rsidRPr="00F21162" w:rsidRDefault="000E2959" w:rsidP="0004528B">
            <w:pPr>
              <w:jc w:val="both"/>
              <w:rPr>
                <w:sz w:val="20"/>
                <w:lang w:val="fr-CA"/>
              </w:rPr>
            </w:pPr>
          </w:p>
        </w:tc>
      </w:tr>
      <w:tr w:rsidR="000E2959" w:rsidRPr="00F21162" w:rsidTr="0004528B">
        <w:trPr>
          <w:cantSplit/>
        </w:trPr>
        <w:tc>
          <w:tcPr>
            <w:tcW w:w="2427" w:type="pct"/>
          </w:tcPr>
          <w:p w:rsidR="00EB6607" w:rsidRPr="00F21162" w:rsidRDefault="00EB6607" w:rsidP="00EB6607">
            <w:pPr>
              <w:jc w:val="both"/>
              <w:rPr>
                <w:sz w:val="20"/>
                <w:szCs w:val="20"/>
                <w:lang w:val="fr-CA"/>
              </w:rPr>
            </w:pPr>
            <w:r w:rsidRPr="00F21162">
              <w:rPr>
                <w:sz w:val="20"/>
                <w:szCs w:val="20"/>
                <w:lang w:val="fr-CA"/>
              </w:rPr>
              <w:t>Le 21 mai 2004</w:t>
            </w:r>
          </w:p>
          <w:p w:rsidR="00EB6607" w:rsidRPr="00F21162" w:rsidRDefault="00EB6607" w:rsidP="00EB6607">
            <w:pPr>
              <w:jc w:val="both"/>
              <w:rPr>
                <w:sz w:val="20"/>
                <w:szCs w:val="20"/>
                <w:lang w:val="fr-CA"/>
              </w:rPr>
            </w:pPr>
            <w:r w:rsidRPr="00F21162">
              <w:rPr>
                <w:sz w:val="20"/>
                <w:szCs w:val="20"/>
                <w:lang w:val="fr-CA"/>
              </w:rPr>
              <w:t>Tribunal administratif du Québec</w:t>
            </w:r>
          </w:p>
          <w:p w:rsidR="00EB6607" w:rsidRPr="00F21162" w:rsidRDefault="00EB6607" w:rsidP="00EB6607">
            <w:pPr>
              <w:jc w:val="both"/>
              <w:rPr>
                <w:sz w:val="20"/>
                <w:szCs w:val="20"/>
                <w:lang w:val="fr-CA"/>
              </w:rPr>
            </w:pPr>
            <w:r w:rsidRPr="00F21162">
              <w:rPr>
                <w:sz w:val="20"/>
                <w:szCs w:val="20"/>
                <w:lang w:val="fr-CA"/>
              </w:rPr>
              <w:t>Section des affaires immobilières</w:t>
            </w:r>
          </w:p>
          <w:p w:rsidR="00EB6607" w:rsidRPr="00F21162" w:rsidRDefault="00EB6607" w:rsidP="00EB6607">
            <w:pPr>
              <w:jc w:val="both"/>
              <w:rPr>
                <w:sz w:val="20"/>
                <w:szCs w:val="20"/>
                <w:lang w:val="fr-CA"/>
              </w:rPr>
            </w:pPr>
            <w:r w:rsidRPr="00F21162">
              <w:rPr>
                <w:sz w:val="20"/>
                <w:szCs w:val="20"/>
                <w:lang w:val="fr-CA"/>
              </w:rPr>
              <w:t>(Les membres Pelletier et Bisson)</w:t>
            </w:r>
          </w:p>
          <w:p w:rsidR="00EB6607" w:rsidRPr="00F21162" w:rsidRDefault="00EB6607" w:rsidP="00EB6607">
            <w:pPr>
              <w:jc w:val="both"/>
              <w:rPr>
                <w:sz w:val="20"/>
                <w:szCs w:val="20"/>
                <w:lang w:val="fr-CA"/>
              </w:rPr>
            </w:pPr>
            <w:r w:rsidRPr="00F21162">
              <w:rPr>
                <w:sz w:val="20"/>
                <w:szCs w:val="20"/>
                <w:lang w:val="fr-CA"/>
              </w:rPr>
              <w:t>SAI-M-074302-0203</w:t>
            </w:r>
          </w:p>
          <w:p w:rsidR="000E2959" w:rsidRPr="00F21162" w:rsidRDefault="000E2959" w:rsidP="0004528B">
            <w:pPr>
              <w:jc w:val="both"/>
              <w:rPr>
                <w:rFonts w:eastAsia="Calibri"/>
                <w:sz w:val="20"/>
                <w:lang w:val="fr-CA"/>
              </w:rPr>
            </w:pPr>
          </w:p>
        </w:tc>
        <w:tc>
          <w:tcPr>
            <w:tcW w:w="243" w:type="pct"/>
          </w:tcPr>
          <w:p w:rsidR="000E2959" w:rsidRPr="00F21162" w:rsidRDefault="000E2959" w:rsidP="0004528B">
            <w:pPr>
              <w:jc w:val="both"/>
              <w:rPr>
                <w:rFonts w:eastAsia="Calibri"/>
                <w:sz w:val="20"/>
                <w:lang w:val="fr-CA"/>
              </w:rPr>
            </w:pPr>
          </w:p>
        </w:tc>
        <w:tc>
          <w:tcPr>
            <w:tcW w:w="2330" w:type="pct"/>
          </w:tcPr>
          <w:p w:rsidR="00EB6607" w:rsidRPr="00F21162" w:rsidRDefault="00EB6607" w:rsidP="00EB6607">
            <w:pPr>
              <w:jc w:val="both"/>
              <w:rPr>
                <w:sz w:val="20"/>
                <w:szCs w:val="20"/>
                <w:lang w:val="fr-CA"/>
              </w:rPr>
            </w:pPr>
            <w:r w:rsidRPr="00F21162">
              <w:rPr>
                <w:sz w:val="20"/>
                <w:szCs w:val="20"/>
                <w:lang w:val="fr-CA"/>
              </w:rPr>
              <w:t>Recours en contestation de l’inscription au rôle d’évaluation foncière accueilli; demande d’exemption accordée en partie</w:t>
            </w:r>
          </w:p>
          <w:p w:rsidR="000E2959" w:rsidRPr="00F21162" w:rsidRDefault="000E2959" w:rsidP="0004528B">
            <w:pPr>
              <w:jc w:val="both"/>
              <w:rPr>
                <w:rFonts w:eastAsia="Calibri"/>
                <w:sz w:val="20"/>
                <w:lang w:val="fr-CA"/>
              </w:rPr>
            </w:pPr>
          </w:p>
        </w:tc>
      </w:tr>
      <w:tr w:rsidR="000E2959" w:rsidRPr="00F21162" w:rsidTr="0004528B">
        <w:trPr>
          <w:cantSplit/>
        </w:trPr>
        <w:tc>
          <w:tcPr>
            <w:tcW w:w="2427" w:type="pct"/>
          </w:tcPr>
          <w:p w:rsidR="00562B12" w:rsidRPr="00F21162" w:rsidRDefault="00562B12" w:rsidP="00562B12">
            <w:pPr>
              <w:jc w:val="both"/>
              <w:rPr>
                <w:sz w:val="20"/>
                <w:szCs w:val="20"/>
                <w:lang w:val="fr-CA"/>
              </w:rPr>
            </w:pPr>
            <w:r w:rsidRPr="00F21162">
              <w:rPr>
                <w:sz w:val="20"/>
                <w:szCs w:val="20"/>
                <w:lang w:val="fr-CA"/>
              </w:rPr>
              <w:t>Le 28 avril 2010</w:t>
            </w:r>
          </w:p>
          <w:p w:rsidR="00562B12" w:rsidRPr="00F21162" w:rsidRDefault="00562B12" w:rsidP="00562B12">
            <w:pPr>
              <w:jc w:val="both"/>
              <w:rPr>
                <w:sz w:val="20"/>
                <w:szCs w:val="20"/>
                <w:lang w:val="fr-CA"/>
              </w:rPr>
            </w:pPr>
            <w:r w:rsidRPr="00F21162">
              <w:rPr>
                <w:sz w:val="20"/>
                <w:szCs w:val="20"/>
                <w:lang w:val="fr-CA"/>
              </w:rPr>
              <w:t>Cour du Québec</w:t>
            </w:r>
          </w:p>
          <w:p w:rsidR="00562B12" w:rsidRPr="00F21162" w:rsidRDefault="00562B12" w:rsidP="00562B12">
            <w:pPr>
              <w:jc w:val="both"/>
              <w:rPr>
                <w:sz w:val="20"/>
                <w:szCs w:val="20"/>
                <w:lang w:val="fr-CA"/>
              </w:rPr>
            </w:pPr>
            <w:r w:rsidRPr="00F21162">
              <w:rPr>
                <w:sz w:val="20"/>
                <w:szCs w:val="20"/>
                <w:lang w:val="fr-CA"/>
              </w:rPr>
              <w:t>(Le juge Landry)</w:t>
            </w:r>
          </w:p>
          <w:p w:rsidR="00562B12" w:rsidRPr="00F21162" w:rsidRDefault="00B150CF" w:rsidP="00562B12">
            <w:pPr>
              <w:jc w:val="both"/>
              <w:rPr>
                <w:sz w:val="20"/>
                <w:szCs w:val="20"/>
                <w:lang w:val="fr-CA"/>
              </w:rPr>
            </w:pPr>
            <w:hyperlink r:id="rId33" w:history="1">
              <w:r w:rsidR="00562B12" w:rsidRPr="00F21162">
                <w:rPr>
                  <w:color w:val="0000FF" w:themeColor="hyperlink"/>
                  <w:sz w:val="20"/>
                  <w:szCs w:val="20"/>
                  <w:u w:val="single"/>
                </w:rPr>
                <w:t>2010 QCCQ 3619</w:t>
              </w:r>
            </w:hyperlink>
          </w:p>
          <w:p w:rsidR="000E2959" w:rsidRPr="00F21162" w:rsidRDefault="000E2959" w:rsidP="0004528B">
            <w:pPr>
              <w:jc w:val="both"/>
              <w:rPr>
                <w:rFonts w:eastAsia="Calibri"/>
                <w:sz w:val="20"/>
                <w:lang w:val="fr-CA"/>
              </w:rPr>
            </w:pPr>
          </w:p>
        </w:tc>
        <w:tc>
          <w:tcPr>
            <w:tcW w:w="243" w:type="pct"/>
          </w:tcPr>
          <w:p w:rsidR="000E2959" w:rsidRPr="00F21162" w:rsidRDefault="000E2959" w:rsidP="0004528B">
            <w:pPr>
              <w:jc w:val="both"/>
              <w:rPr>
                <w:rFonts w:eastAsia="Calibri"/>
                <w:sz w:val="20"/>
                <w:lang w:val="fr-CA"/>
              </w:rPr>
            </w:pPr>
          </w:p>
        </w:tc>
        <w:tc>
          <w:tcPr>
            <w:tcW w:w="2330" w:type="pct"/>
          </w:tcPr>
          <w:p w:rsidR="00562B12" w:rsidRPr="00F21162" w:rsidRDefault="00562B12" w:rsidP="00562B12">
            <w:pPr>
              <w:jc w:val="both"/>
              <w:rPr>
                <w:sz w:val="20"/>
                <w:szCs w:val="20"/>
                <w:lang w:val="fr-CA"/>
              </w:rPr>
            </w:pPr>
            <w:r w:rsidRPr="00F21162">
              <w:rPr>
                <w:sz w:val="20"/>
                <w:szCs w:val="20"/>
                <w:lang w:val="fr-CA"/>
              </w:rPr>
              <w:t>Appel accueilli; appel incident rejeté</w:t>
            </w:r>
          </w:p>
          <w:p w:rsidR="000E2959" w:rsidRPr="00F21162" w:rsidRDefault="000E2959" w:rsidP="0004528B">
            <w:pPr>
              <w:jc w:val="both"/>
              <w:rPr>
                <w:rFonts w:eastAsia="Calibri"/>
                <w:sz w:val="20"/>
                <w:lang w:val="fr-CA"/>
              </w:rPr>
            </w:pPr>
          </w:p>
        </w:tc>
      </w:tr>
      <w:tr w:rsidR="00562B12" w:rsidRPr="00F21162" w:rsidTr="0004528B">
        <w:trPr>
          <w:cantSplit/>
        </w:trPr>
        <w:tc>
          <w:tcPr>
            <w:tcW w:w="2427" w:type="pct"/>
          </w:tcPr>
          <w:p w:rsidR="00562B12" w:rsidRPr="00F21162" w:rsidRDefault="00562B12" w:rsidP="00562B12">
            <w:pPr>
              <w:jc w:val="both"/>
              <w:rPr>
                <w:sz w:val="20"/>
                <w:szCs w:val="20"/>
                <w:lang w:val="fr-CA"/>
              </w:rPr>
            </w:pPr>
            <w:r w:rsidRPr="00F21162">
              <w:rPr>
                <w:sz w:val="20"/>
                <w:szCs w:val="20"/>
                <w:lang w:val="fr-CA"/>
              </w:rPr>
              <w:t>Le 17 mai 2013</w:t>
            </w:r>
          </w:p>
          <w:p w:rsidR="00562B12" w:rsidRPr="00F21162" w:rsidRDefault="00562B12" w:rsidP="00562B12">
            <w:pPr>
              <w:jc w:val="both"/>
              <w:rPr>
                <w:sz w:val="20"/>
                <w:szCs w:val="20"/>
                <w:lang w:val="fr-CA"/>
              </w:rPr>
            </w:pPr>
            <w:r w:rsidRPr="00F21162">
              <w:rPr>
                <w:sz w:val="20"/>
                <w:szCs w:val="20"/>
                <w:lang w:val="fr-CA"/>
              </w:rPr>
              <w:t>Cour supérieure du Québec</w:t>
            </w:r>
          </w:p>
          <w:p w:rsidR="00562B12" w:rsidRPr="00F21162" w:rsidRDefault="00562B12" w:rsidP="00562B12">
            <w:pPr>
              <w:jc w:val="both"/>
              <w:rPr>
                <w:sz w:val="20"/>
                <w:szCs w:val="20"/>
                <w:lang w:val="fr-CA"/>
              </w:rPr>
            </w:pPr>
            <w:r w:rsidRPr="00F21162">
              <w:rPr>
                <w:sz w:val="20"/>
                <w:szCs w:val="20"/>
                <w:lang w:val="fr-CA"/>
              </w:rPr>
              <w:t>(La juge Perrault)</w:t>
            </w:r>
          </w:p>
          <w:p w:rsidR="00562B12" w:rsidRPr="00F21162" w:rsidRDefault="00B150CF" w:rsidP="00562B12">
            <w:pPr>
              <w:jc w:val="both"/>
              <w:rPr>
                <w:sz w:val="20"/>
                <w:szCs w:val="20"/>
              </w:rPr>
            </w:pPr>
            <w:hyperlink r:id="rId34" w:history="1">
              <w:r w:rsidR="00562B12" w:rsidRPr="00F21162">
                <w:rPr>
                  <w:color w:val="0000FF" w:themeColor="hyperlink"/>
                  <w:sz w:val="20"/>
                  <w:szCs w:val="20"/>
                  <w:u w:val="single"/>
                </w:rPr>
                <w:t>2013 QCCS 2031</w:t>
              </w:r>
            </w:hyperlink>
          </w:p>
          <w:p w:rsidR="00562B12" w:rsidRPr="00F21162" w:rsidRDefault="00562B12" w:rsidP="0004528B">
            <w:pPr>
              <w:jc w:val="both"/>
              <w:rPr>
                <w:rFonts w:eastAsia="Calibri"/>
                <w:sz w:val="20"/>
                <w:lang w:val="fr-CA"/>
              </w:rPr>
            </w:pPr>
          </w:p>
        </w:tc>
        <w:tc>
          <w:tcPr>
            <w:tcW w:w="243" w:type="pct"/>
          </w:tcPr>
          <w:p w:rsidR="00562B12" w:rsidRPr="00F21162" w:rsidRDefault="00562B12" w:rsidP="0004528B">
            <w:pPr>
              <w:jc w:val="both"/>
              <w:rPr>
                <w:rFonts w:eastAsia="Calibri"/>
                <w:sz w:val="20"/>
                <w:lang w:val="fr-CA"/>
              </w:rPr>
            </w:pPr>
          </w:p>
        </w:tc>
        <w:tc>
          <w:tcPr>
            <w:tcW w:w="2330" w:type="pct"/>
          </w:tcPr>
          <w:p w:rsidR="00562B12" w:rsidRPr="00F21162" w:rsidRDefault="00562B12" w:rsidP="00562B12">
            <w:pPr>
              <w:jc w:val="both"/>
              <w:rPr>
                <w:sz w:val="20"/>
                <w:szCs w:val="20"/>
                <w:lang w:val="fr-CA"/>
              </w:rPr>
            </w:pPr>
            <w:r w:rsidRPr="00F21162">
              <w:rPr>
                <w:sz w:val="20"/>
                <w:szCs w:val="20"/>
                <w:lang w:val="fr-CA"/>
              </w:rPr>
              <w:t>Requête en révision judiciaire rejetée</w:t>
            </w:r>
          </w:p>
          <w:p w:rsidR="00562B12" w:rsidRPr="00F21162" w:rsidRDefault="00562B12" w:rsidP="0004528B">
            <w:pPr>
              <w:jc w:val="both"/>
              <w:rPr>
                <w:rFonts w:eastAsia="Calibri"/>
                <w:sz w:val="20"/>
                <w:lang w:val="fr-CA"/>
              </w:rPr>
            </w:pPr>
          </w:p>
        </w:tc>
      </w:tr>
      <w:tr w:rsidR="00562B12" w:rsidRPr="00F21162" w:rsidTr="0004528B">
        <w:trPr>
          <w:cantSplit/>
        </w:trPr>
        <w:tc>
          <w:tcPr>
            <w:tcW w:w="2427" w:type="pct"/>
          </w:tcPr>
          <w:p w:rsidR="00562B12" w:rsidRPr="00F21162" w:rsidRDefault="00562B12" w:rsidP="00562B12">
            <w:pPr>
              <w:jc w:val="both"/>
              <w:rPr>
                <w:sz w:val="20"/>
                <w:szCs w:val="20"/>
                <w:lang w:val="fr-CA"/>
              </w:rPr>
            </w:pPr>
            <w:r w:rsidRPr="00F21162">
              <w:rPr>
                <w:sz w:val="20"/>
                <w:szCs w:val="20"/>
                <w:lang w:val="fr-CA"/>
              </w:rPr>
              <w:t>Le 6 juin 2014</w:t>
            </w:r>
          </w:p>
          <w:p w:rsidR="00562B12" w:rsidRPr="00F21162" w:rsidRDefault="00562B12" w:rsidP="00562B12">
            <w:pPr>
              <w:jc w:val="both"/>
              <w:rPr>
                <w:sz w:val="20"/>
                <w:szCs w:val="20"/>
                <w:lang w:val="fr-CA"/>
              </w:rPr>
            </w:pPr>
            <w:r w:rsidRPr="00F21162">
              <w:rPr>
                <w:sz w:val="20"/>
                <w:szCs w:val="20"/>
                <w:lang w:val="fr-CA"/>
              </w:rPr>
              <w:t>Cour d’appel du Québec (Montréal)</w:t>
            </w:r>
          </w:p>
          <w:p w:rsidR="00562B12" w:rsidRPr="00F21162" w:rsidRDefault="00562B12" w:rsidP="00562B12">
            <w:pPr>
              <w:jc w:val="both"/>
              <w:rPr>
                <w:sz w:val="20"/>
                <w:szCs w:val="20"/>
                <w:lang w:val="fr-CA"/>
              </w:rPr>
            </w:pPr>
            <w:r w:rsidRPr="00F21162">
              <w:rPr>
                <w:sz w:val="20"/>
                <w:szCs w:val="20"/>
                <w:lang w:val="fr-CA"/>
              </w:rPr>
              <w:t xml:space="preserve">(Les juges Morissette, Gascon et </w:t>
            </w:r>
            <w:proofErr w:type="spellStart"/>
            <w:r w:rsidRPr="00F21162">
              <w:rPr>
                <w:sz w:val="20"/>
                <w:szCs w:val="20"/>
                <w:lang w:val="fr-CA"/>
              </w:rPr>
              <w:t>Vauclair</w:t>
            </w:r>
            <w:proofErr w:type="spellEnd"/>
            <w:r w:rsidRPr="00F21162">
              <w:rPr>
                <w:sz w:val="20"/>
                <w:szCs w:val="20"/>
                <w:lang w:val="fr-CA"/>
              </w:rPr>
              <w:t>)</w:t>
            </w:r>
          </w:p>
          <w:p w:rsidR="00562B12" w:rsidRPr="00F21162" w:rsidRDefault="00B150CF" w:rsidP="00562B12">
            <w:pPr>
              <w:jc w:val="both"/>
              <w:rPr>
                <w:sz w:val="20"/>
                <w:szCs w:val="20"/>
                <w:lang w:val="fr-CA"/>
              </w:rPr>
            </w:pPr>
            <w:hyperlink r:id="rId35" w:history="1">
              <w:r w:rsidR="00562B12" w:rsidRPr="00F21162">
                <w:rPr>
                  <w:color w:val="0000FF" w:themeColor="hyperlink"/>
                  <w:sz w:val="20"/>
                  <w:szCs w:val="20"/>
                  <w:u w:val="single"/>
                </w:rPr>
                <w:t>2014 QCCA 1176</w:t>
              </w:r>
            </w:hyperlink>
            <w:r w:rsidR="00562B12" w:rsidRPr="00F21162">
              <w:rPr>
                <w:sz w:val="20"/>
                <w:szCs w:val="20"/>
              </w:rPr>
              <w:t>; 500-09-023672-132</w:t>
            </w:r>
          </w:p>
          <w:p w:rsidR="00562B12" w:rsidRPr="00F21162" w:rsidRDefault="00562B12" w:rsidP="00562B12">
            <w:pPr>
              <w:jc w:val="both"/>
              <w:rPr>
                <w:rFonts w:eastAsia="Calibri"/>
                <w:sz w:val="20"/>
                <w:lang w:val="fr-CA"/>
              </w:rPr>
            </w:pPr>
          </w:p>
        </w:tc>
        <w:tc>
          <w:tcPr>
            <w:tcW w:w="243" w:type="pct"/>
          </w:tcPr>
          <w:p w:rsidR="00562B12" w:rsidRPr="00F21162" w:rsidRDefault="00562B12" w:rsidP="00562B12">
            <w:pPr>
              <w:jc w:val="both"/>
              <w:rPr>
                <w:rFonts w:eastAsia="Calibri"/>
                <w:sz w:val="20"/>
                <w:lang w:val="fr-CA"/>
              </w:rPr>
            </w:pPr>
          </w:p>
        </w:tc>
        <w:tc>
          <w:tcPr>
            <w:tcW w:w="2330" w:type="pct"/>
          </w:tcPr>
          <w:p w:rsidR="00562B12" w:rsidRPr="00F21162" w:rsidRDefault="00562B12" w:rsidP="00562B12">
            <w:pPr>
              <w:rPr>
                <w:sz w:val="20"/>
                <w:szCs w:val="20"/>
              </w:rPr>
            </w:pPr>
            <w:r w:rsidRPr="00F21162">
              <w:rPr>
                <w:sz w:val="20"/>
                <w:szCs w:val="20"/>
              </w:rPr>
              <w:t xml:space="preserve">Appel </w:t>
            </w:r>
            <w:proofErr w:type="spellStart"/>
            <w:r w:rsidRPr="00F21162">
              <w:rPr>
                <w:sz w:val="20"/>
                <w:szCs w:val="20"/>
              </w:rPr>
              <w:t>accueilli</w:t>
            </w:r>
            <w:proofErr w:type="spellEnd"/>
            <w:r w:rsidRPr="00F21162">
              <w:rPr>
                <w:sz w:val="20"/>
                <w:szCs w:val="20"/>
              </w:rPr>
              <w:t xml:space="preserve">; </w:t>
            </w:r>
            <w:proofErr w:type="spellStart"/>
            <w:r w:rsidRPr="00F21162">
              <w:rPr>
                <w:sz w:val="20"/>
                <w:szCs w:val="20"/>
              </w:rPr>
              <w:t>requête</w:t>
            </w:r>
            <w:proofErr w:type="spellEnd"/>
            <w:r w:rsidRPr="00F21162">
              <w:rPr>
                <w:sz w:val="20"/>
                <w:szCs w:val="20"/>
              </w:rPr>
              <w:t xml:space="preserve"> </w:t>
            </w:r>
            <w:proofErr w:type="spellStart"/>
            <w:r w:rsidRPr="00F21162">
              <w:rPr>
                <w:sz w:val="20"/>
                <w:szCs w:val="20"/>
              </w:rPr>
              <w:t>en</w:t>
            </w:r>
            <w:proofErr w:type="spellEnd"/>
            <w:r w:rsidRPr="00F21162">
              <w:rPr>
                <w:sz w:val="20"/>
                <w:szCs w:val="20"/>
              </w:rPr>
              <w:t xml:space="preserve"> </w:t>
            </w:r>
            <w:proofErr w:type="spellStart"/>
            <w:r w:rsidRPr="00F21162">
              <w:rPr>
                <w:sz w:val="20"/>
                <w:szCs w:val="20"/>
              </w:rPr>
              <w:t>révision</w:t>
            </w:r>
            <w:proofErr w:type="spellEnd"/>
            <w:r w:rsidRPr="00F21162">
              <w:rPr>
                <w:sz w:val="20"/>
                <w:szCs w:val="20"/>
              </w:rPr>
              <w:t xml:space="preserve"> </w:t>
            </w:r>
            <w:proofErr w:type="spellStart"/>
            <w:r w:rsidRPr="00F21162">
              <w:rPr>
                <w:sz w:val="20"/>
                <w:szCs w:val="20"/>
              </w:rPr>
              <w:t>judiciaire</w:t>
            </w:r>
            <w:proofErr w:type="spellEnd"/>
            <w:r w:rsidRPr="00F21162">
              <w:rPr>
                <w:sz w:val="20"/>
                <w:szCs w:val="20"/>
              </w:rPr>
              <w:t xml:space="preserve"> </w:t>
            </w:r>
            <w:proofErr w:type="spellStart"/>
            <w:r w:rsidRPr="00F21162">
              <w:rPr>
                <w:sz w:val="20"/>
                <w:szCs w:val="20"/>
              </w:rPr>
              <w:t>accueillie</w:t>
            </w:r>
            <w:proofErr w:type="spellEnd"/>
            <w:r w:rsidRPr="00F21162">
              <w:rPr>
                <w:sz w:val="20"/>
                <w:szCs w:val="20"/>
              </w:rPr>
              <w:t xml:space="preserve">; </w:t>
            </w:r>
            <w:proofErr w:type="spellStart"/>
            <w:r w:rsidRPr="00F21162">
              <w:rPr>
                <w:sz w:val="20"/>
                <w:szCs w:val="20"/>
              </w:rPr>
              <w:t>décision</w:t>
            </w:r>
            <w:proofErr w:type="spellEnd"/>
            <w:r w:rsidRPr="00F21162">
              <w:rPr>
                <w:sz w:val="20"/>
                <w:szCs w:val="20"/>
              </w:rPr>
              <w:t xml:space="preserve"> du Tribunal </w:t>
            </w:r>
            <w:proofErr w:type="spellStart"/>
            <w:r w:rsidRPr="00F21162">
              <w:rPr>
                <w:sz w:val="20"/>
                <w:szCs w:val="20"/>
              </w:rPr>
              <w:t>administratif</w:t>
            </w:r>
            <w:proofErr w:type="spellEnd"/>
            <w:r w:rsidRPr="00F21162">
              <w:rPr>
                <w:sz w:val="20"/>
                <w:szCs w:val="20"/>
              </w:rPr>
              <w:t xml:space="preserve"> du Québec </w:t>
            </w:r>
            <w:proofErr w:type="spellStart"/>
            <w:r w:rsidRPr="00F21162">
              <w:rPr>
                <w:sz w:val="20"/>
                <w:szCs w:val="20"/>
              </w:rPr>
              <w:t>rétablie</w:t>
            </w:r>
            <w:proofErr w:type="spellEnd"/>
          </w:p>
        </w:tc>
      </w:tr>
      <w:tr w:rsidR="00562B12" w:rsidRPr="00F21162" w:rsidTr="0004528B">
        <w:trPr>
          <w:cantSplit/>
        </w:trPr>
        <w:tc>
          <w:tcPr>
            <w:tcW w:w="2427" w:type="pct"/>
          </w:tcPr>
          <w:p w:rsidR="00562B12" w:rsidRPr="00F21162" w:rsidRDefault="00562B12" w:rsidP="00562B12">
            <w:pPr>
              <w:jc w:val="both"/>
              <w:rPr>
                <w:rFonts w:eastAsia="Calibri"/>
                <w:sz w:val="20"/>
                <w:lang w:val="fr-CA"/>
              </w:rPr>
            </w:pPr>
            <w:r w:rsidRPr="00F21162">
              <w:rPr>
                <w:rFonts w:eastAsia="Calibri"/>
                <w:sz w:val="20"/>
                <w:lang w:val="fr-CA"/>
              </w:rPr>
              <w:t>Le 5 septembre 2015</w:t>
            </w:r>
          </w:p>
          <w:p w:rsidR="00562B12" w:rsidRPr="00F21162" w:rsidRDefault="00562B12" w:rsidP="00562B12">
            <w:pPr>
              <w:jc w:val="both"/>
              <w:rPr>
                <w:rFonts w:eastAsia="Calibri"/>
                <w:sz w:val="20"/>
                <w:lang w:val="fr-CA"/>
              </w:rPr>
            </w:pPr>
            <w:r w:rsidRPr="00F21162">
              <w:rPr>
                <w:rFonts w:eastAsia="Calibri"/>
                <w:sz w:val="20"/>
                <w:lang w:val="fr-CA"/>
              </w:rPr>
              <w:t>Cour suprême du Canada</w:t>
            </w:r>
          </w:p>
        </w:tc>
        <w:tc>
          <w:tcPr>
            <w:tcW w:w="243" w:type="pct"/>
          </w:tcPr>
          <w:p w:rsidR="00562B12" w:rsidRPr="00F21162" w:rsidRDefault="00562B12" w:rsidP="00562B12">
            <w:pPr>
              <w:jc w:val="both"/>
              <w:rPr>
                <w:rFonts w:eastAsia="Calibri"/>
                <w:sz w:val="20"/>
                <w:lang w:val="fr-CA"/>
              </w:rPr>
            </w:pPr>
          </w:p>
        </w:tc>
        <w:tc>
          <w:tcPr>
            <w:tcW w:w="2330" w:type="pct"/>
          </w:tcPr>
          <w:p w:rsidR="00562B12" w:rsidRPr="00F21162" w:rsidRDefault="00562B12" w:rsidP="00562B12">
            <w:pPr>
              <w:jc w:val="both"/>
              <w:rPr>
                <w:rFonts w:eastAsia="Calibri"/>
                <w:sz w:val="20"/>
                <w:lang w:val="fr-CA"/>
              </w:rPr>
            </w:pPr>
            <w:r w:rsidRPr="00F21162">
              <w:rPr>
                <w:rFonts w:eastAsia="Calibri"/>
                <w:sz w:val="20"/>
                <w:lang w:val="fr-CA"/>
              </w:rPr>
              <w:t>Demande d’autorisation d’appel déposée</w:t>
            </w:r>
          </w:p>
        </w:tc>
      </w:tr>
    </w:tbl>
    <w:p w:rsidR="000E2959" w:rsidRPr="00F21162" w:rsidRDefault="000E2959" w:rsidP="000E2959">
      <w:pPr>
        <w:rPr>
          <w:sz w:val="20"/>
          <w:szCs w:val="20"/>
        </w:rPr>
      </w:pPr>
    </w:p>
    <w:p w:rsidR="000E2959" w:rsidRPr="00F21162" w:rsidRDefault="00B150CF" w:rsidP="000E2959">
      <w:pPr>
        <w:rPr>
          <w:sz w:val="20"/>
          <w:szCs w:val="20"/>
        </w:rPr>
      </w:pPr>
      <w:r>
        <w:rPr>
          <w:sz w:val="20"/>
          <w:szCs w:val="20"/>
          <w:lang w:val="fr-CA"/>
        </w:rPr>
        <w:pict>
          <v:rect id="_x0000_i1036" style="width:2in;height:1pt" o:hrpct="0" o:hralign="center" o:hrstd="t" o:hrnoshade="t" o:hr="t" fillcolor="black [3213]" stroked="f"/>
        </w:pict>
      </w:r>
    </w:p>
    <w:p w:rsidR="000E2959" w:rsidRPr="00F21162" w:rsidRDefault="000E2959" w:rsidP="000E295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3B5461" w:rsidRPr="00F21162" w:rsidTr="000B23D3">
        <w:trPr>
          <w:cantSplit/>
        </w:trPr>
        <w:tc>
          <w:tcPr>
            <w:tcW w:w="1458" w:type="dxa"/>
          </w:tcPr>
          <w:p w:rsidR="003B5461" w:rsidRPr="00F21162" w:rsidRDefault="003B5461" w:rsidP="000B23D3">
            <w:pPr>
              <w:rPr>
                <w:sz w:val="20"/>
                <w:szCs w:val="20"/>
              </w:rPr>
            </w:pPr>
            <w:r w:rsidRPr="00F21162">
              <w:rPr>
                <w:rStyle w:val="SCCFileNumberChar"/>
                <w:sz w:val="20"/>
                <w:szCs w:val="20"/>
              </w:rPr>
              <w:t>36397</w:t>
            </w:r>
          </w:p>
          <w:p w:rsidR="003B5461" w:rsidRPr="00F21162" w:rsidRDefault="003B5461" w:rsidP="000B23D3">
            <w:pPr>
              <w:rPr>
                <w:b/>
                <w:sz w:val="20"/>
                <w:szCs w:val="20"/>
                <w:lang w:val="fr-CA"/>
              </w:rPr>
            </w:pPr>
          </w:p>
        </w:tc>
        <w:tc>
          <w:tcPr>
            <w:tcW w:w="8118" w:type="dxa"/>
          </w:tcPr>
          <w:p w:rsidR="003B5461" w:rsidRPr="00F21162" w:rsidRDefault="003B5461" w:rsidP="000B23D3">
            <w:pPr>
              <w:rPr>
                <w:sz w:val="20"/>
                <w:szCs w:val="20"/>
              </w:rPr>
            </w:pPr>
            <w:r w:rsidRPr="00F21162">
              <w:rPr>
                <w:rStyle w:val="SCCLsocChar"/>
                <w:sz w:val="20"/>
                <w:szCs w:val="20"/>
                <w:lang w:val="en-CA"/>
              </w:rPr>
              <w:t>Keith Glen Mc</w:t>
            </w:r>
            <w:r w:rsidR="0075252B" w:rsidRPr="00F21162">
              <w:rPr>
                <w:rStyle w:val="SCCLsocChar"/>
                <w:sz w:val="20"/>
                <w:szCs w:val="20"/>
                <w:lang w:val="en-CA"/>
              </w:rPr>
              <w:t>K</w:t>
            </w:r>
            <w:r w:rsidRPr="00F21162">
              <w:rPr>
                <w:rStyle w:val="SCCLsocChar"/>
                <w:sz w:val="20"/>
                <w:szCs w:val="20"/>
                <w:lang w:val="en-CA"/>
              </w:rPr>
              <w:t>innon v. Attorney General of Québec</w:t>
            </w:r>
            <w:r w:rsidRPr="00F21162">
              <w:rPr>
                <w:sz w:val="20"/>
                <w:szCs w:val="20"/>
              </w:rPr>
              <w:t xml:space="preserve"> (Que.) (Civil) (By Leave)</w:t>
            </w:r>
          </w:p>
          <w:p w:rsidR="003B5461" w:rsidRPr="00F21162" w:rsidRDefault="003B5461" w:rsidP="000B23D3">
            <w:pPr>
              <w:rPr>
                <w:sz w:val="20"/>
                <w:szCs w:val="20"/>
              </w:rPr>
            </w:pPr>
          </w:p>
        </w:tc>
      </w:tr>
      <w:tr w:rsidR="003B5461" w:rsidRPr="00F21162" w:rsidTr="000B23D3">
        <w:trPr>
          <w:cantSplit/>
        </w:trPr>
        <w:tc>
          <w:tcPr>
            <w:tcW w:w="1458" w:type="dxa"/>
          </w:tcPr>
          <w:p w:rsidR="003B5461" w:rsidRPr="00F21162" w:rsidRDefault="003B5461" w:rsidP="000B23D3">
            <w:pPr>
              <w:rPr>
                <w:sz w:val="20"/>
                <w:szCs w:val="20"/>
              </w:rPr>
            </w:pPr>
            <w:r w:rsidRPr="00F21162">
              <w:rPr>
                <w:sz w:val="20"/>
                <w:szCs w:val="20"/>
              </w:rPr>
              <w:t>Coram :</w:t>
            </w:r>
          </w:p>
        </w:tc>
        <w:tc>
          <w:tcPr>
            <w:tcW w:w="8118" w:type="dxa"/>
          </w:tcPr>
          <w:p w:rsidR="003B5461" w:rsidRPr="00F21162" w:rsidRDefault="003B5461" w:rsidP="000B23D3">
            <w:pPr>
              <w:rPr>
                <w:sz w:val="20"/>
                <w:szCs w:val="20"/>
              </w:rPr>
            </w:pPr>
            <w:proofErr w:type="spellStart"/>
            <w:r w:rsidRPr="00F21162">
              <w:rPr>
                <w:rStyle w:val="SCCCoramChar"/>
                <w:sz w:val="20"/>
                <w:szCs w:val="20"/>
                <w:lang w:val="en-CA"/>
              </w:rPr>
              <w:t>Abella</w:t>
            </w:r>
            <w:proofErr w:type="spellEnd"/>
            <w:r w:rsidRPr="00F21162">
              <w:rPr>
                <w:rStyle w:val="SCCCoramChar"/>
                <w:sz w:val="20"/>
                <w:szCs w:val="20"/>
                <w:lang w:val="en-CA"/>
              </w:rPr>
              <w:t xml:space="preserve">, </w:t>
            </w:r>
            <w:proofErr w:type="spellStart"/>
            <w:r w:rsidRPr="00F21162">
              <w:rPr>
                <w:rStyle w:val="SCCCoramChar"/>
                <w:sz w:val="20"/>
                <w:szCs w:val="20"/>
                <w:lang w:val="en-CA"/>
              </w:rPr>
              <w:t>Karakatsanis</w:t>
            </w:r>
            <w:proofErr w:type="spellEnd"/>
            <w:r w:rsidRPr="00F21162">
              <w:rPr>
                <w:rStyle w:val="SCCCoramChar"/>
                <w:sz w:val="20"/>
                <w:szCs w:val="20"/>
                <w:lang w:val="en-CA"/>
              </w:rPr>
              <w:t xml:space="preserve"> and </w:t>
            </w:r>
            <w:proofErr w:type="spellStart"/>
            <w:r w:rsidRPr="00F21162">
              <w:rPr>
                <w:rStyle w:val="SCCCoramChar"/>
                <w:sz w:val="20"/>
                <w:szCs w:val="20"/>
                <w:lang w:val="en-CA"/>
              </w:rPr>
              <w:t>Côté</w:t>
            </w:r>
            <w:proofErr w:type="spellEnd"/>
            <w:r w:rsidRPr="00F21162">
              <w:rPr>
                <w:rStyle w:val="SCCCoramChar"/>
                <w:sz w:val="20"/>
                <w:szCs w:val="20"/>
                <w:lang w:val="en-CA"/>
              </w:rPr>
              <w:t xml:space="preserve"> JJ.</w:t>
            </w:r>
          </w:p>
          <w:p w:rsidR="003B5461" w:rsidRPr="00F21162" w:rsidRDefault="003B5461" w:rsidP="000B23D3">
            <w:pPr>
              <w:rPr>
                <w:sz w:val="20"/>
                <w:szCs w:val="20"/>
                <w:u w:val="single"/>
              </w:rPr>
            </w:pPr>
          </w:p>
        </w:tc>
      </w:tr>
      <w:tr w:rsidR="003B5461" w:rsidRPr="00F21162" w:rsidTr="000B23D3">
        <w:trPr>
          <w:cantSplit/>
        </w:trPr>
        <w:tc>
          <w:tcPr>
            <w:tcW w:w="9576" w:type="dxa"/>
            <w:gridSpan w:val="2"/>
          </w:tcPr>
          <w:p w:rsidR="000B6DBB" w:rsidRPr="00F21162" w:rsidRDefault="00510393" w:rsidP="000B6DBB">
            <w:pPr>
              <w:pStyle w:val="SCCShortJudgment"/>
              <w:rPr>
                <w:szCs w:val="20"/>
                <w:lang w:val="fr-CA"/>
              </w:rPr>
            </w:pPr>
            <w:r w:rsidRPr="00F21162">
              <w:t>The application for leave to appeal from the judgment of the Court of Appeal of Quebec (Québec), Number 200-09-007936-138, 2015 QCCA 397, dated February 25, 2015, is dismissed without costs.</w:t>
            </w:r>
          </w:p>
          <w:p w:rsidR="000B6DBB" w:rsidRPr="00F21162" w:rsidRDefault="000B6DBB" w:rsidP="000B6DBB">
            <w:pPr>
              <w:pStyle w:val="SCCShortJudgment"/>
              <w:rPr>
                <w:szCs w:val="20"/>
                <w:lang w:val="fr-CA"/>
              </w:rPr>
            </w:pPr>
          </w:p>
          <w:p w:rsidR="003B5461" w:rsidRPr="00F21162" w:rsidRDefault="00510393" w:rsidP="00510393">
            <w:pPr>
              <w:pStyle w:val="SCCShortJudgment"/>
              <w:rPr>
                <w:szCs w:val="20"/>
              </w:rPr>
            </w:pPr>
            <w:r w:rsidRPr="00F21162">
              <w:rPr>
                <w:lang w:val="fr-CA"/>
              </w:rPr>
              <w:t xml:space="preserve">La demande d’autorisation d’appel de l’arrêt de la </w:t>
            </w:r>
            <w:r w:rsidRPr="00F21162">
              <w:rPr>
                <w:lang w:val="fr-FR"/>
              </w:rPr>
              <w:t>Cour d’appel du Québec (Québec)</w:t>
            </w:r>
            <w:r w:rsidRPr="00F21162">
              <w:rPr>
                <w:lang w:val="fr-CA"/>
              </w:rPr>
              <w:t xml:space="preserve">, numéro </w:t>
            </w:r>
            <w:r w:rsidRPr="00F21162">
              <w:rPr>
                <w:lang w:val="fr-FR"/>
              </w:rPr>
              <w:t>200-09-007936-138, 2015 QCCA 397</w:t>
            </w:r>
            <w:r w:rsidRPr="00F21162">
              <w:rPr>
                <w:lang w:val="fr-CA"/>
              </w:rPr>
              <w:t xml:space="preserve">, daté du </w:t>
            </w:r>
            <w:r w:rsidRPr="00F21162">
              <w:rPr>
                <w:lang w:val="fr-FR"/>
              </w:rPr>
              <w:t>25 février 2015</w:t>
            </w:r>
            <w:r w:rsidRPr="00F21162">
              <w:rPr>
                <w:lang w:val="fr-CA"/>
              </w:rPr>
              <w:t>, est rejetée sans dépens.</w:t>
            </w:r>
          </w:p>
        </w:tc>
      </w:tr>
    </w:tbl>
    <w:p w:rsidR="003B5461" w:rsidRPr="00F21162" w:rsidRDefault="003B5461" w:rsidP="003B5461">
      <w:pPr>
        <w:rPr>
          <w:sz w:val="20"/>
          <w:szCs w:val="20"/>
          <w:lang w:val="fr-CA"/>
        </w:rPr>
      </w:pPr>
    </w:p>
    <w:p w:rsidR="003B5461" w:rsidRPr="00F21162" w:rsidRDefault="003B5461" w:rsidP="003B5461">
      <w:pPr>
        <w:rPr>
          <w:sz w:val="20"/>
          <w:szCs w:val="20"/>
          <w:u w:val="single"/>
        </w:rPr>
      </w:pPr>
      <w:r w:rsidRPr="00F21162">
        <w:rPr>
          <w:sz w:val="20"/>
          <w:szCs w:val="20"/>
          <w:u w:val="single"/>
        </w:rPr>
        <w:t>CASE SUMMARY</w:t>
      </w:r>
    </w:p>
    <w:p w:rsidR="003B5461" w:rsidRPr="00F21162" w:rsidRDefault="003B5461" w:rsidP="003B5461">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3B5461" w:rsidRPr="00F21162" w:rsidTr="000B23D3">
        <w:tc>
          <w:tcPr>
            <w:tcW w:w="5000" w:type="pct"/>
            <w:gridSpan w:val="3"/>
          </w:tcPr>
          <w:p w:rsidR="003B5461" w:rsidRPr="00F21162" w:rsidRDefault="001913E6" w:rsidP="000B23D3">
            <w:pPr>
              <w:jc w:val="both"/>
              <w:rPr>
                <w:sz w:val="20"/>
                <w:szCs w:val="20"/>
              </w:rPr>
            </w:pPr>
            <w:r w:rsidRPr="00F21162">
              <w:rPr>
                <w:sz w:val="20"/>
                <w:szCs w:val="20"/>
              </w:rPr>
              <w:t xml:space="preserve">Municipal law – Persons disqualified from holding office as members of the council of a municipality – Interest, directly or indirectly in a contract with the municipality or body – </w:t>
            </w:r>
            <w:r w:rsidRPr="00F21162">
              <w:rPr>
                <w:i/>
                <w:sz w:val="20"/>
                <w:szCs w:val="20"/>
              </w:rPr>
              <w:t>An Act Respecting Elections and Referendums in Municipalities</w:t>
            </w:r>
            <w:r w:rsidRPr="00F21162">
              <w:rPr>
                <w:sz w:val="20"/>
                <w:szCs w:val="20"/>
              </w:rPr>
              <w:t xml:space="preserve">, CQLR c E-2.2, </w:t>
            </w:r>
            <w:proofErr w:type="gramStart"/>
            <w:r w:rsidRPr="00F21162">
              <w:rPr>
                <w:sz w:val="20"/>
                <w:szCs w:val="20"/>
              </w:rPr>
              <w:t>ss</w:t>
            </w:r>
            <w:proofErr w:type="gramEnd"/>
            <w:r w:rsidRPr="00F21162">
              <w:rPr>
                <w:sz w:val="20"/>
                <w:szCs w:val="20"/>
              </w:rPr>
              <w:t>. 304, 305 – Whether Court of Appeal erred in declaring applicant disqualified from holding office.</w:t>
            </w:r>
          </w:p>
          <w:p w:rsidR="001913E6" w:rsidRPr="00F21162" w:rsidRDefault="001913E6" w:rsidP="000B23D3">
            <w:pPr>
              <w:jc w:val="both"/>
              <w:rPr>
                <w:rFonts w:eastAsia="Calibri"/>
                <w:sz w:val="20"/>
                <w:szCs w:val="20"/>
              </w:rPr>
            </w:pPr>
          </w:p>
        </w:tc>
      </w:tr>
      <w:tr w:rsidR="003B5461" w:rsidRPr="00F21162" w:rsidTr="000B23D3">
        <w:tc>
          <w:tcPr>
            <w:tcW w:w="5000" w:type="pct"/>
            <w:gridSpan w:val="3"/>
          </w:tcPr>
          <w:p w:rsidR="001913E6" w:rsidRPr="00F21162" w:rsidRDefault="001913E6" w:rsidP="001913E6">
            <w:pPr>
              <w:jc w:val="both"/>
              <w:rPr>
                <w:sz w:val="20"/>
                <w:szCs w:val="20"/>
              </w:rPr>
            </w:pPr>
            <w:r w:rsidRPr="00F21162">
              <w:rPr>
                <w:sz w:val="20"/>
                <w:szCs w:val="20"/>
              </w:rPr>
              <w:t xml:space="preserve">The municipality of Saint-Augustin is comprised of the village of Saint-Augustin and the community of </w:t>
            </w:r>
            <w:proofErr w:type="spellStart"/>
            <w:r w:rsidRPr="00F21162">
              <w:rPr>
                <w:sz w:val="20"/>
                <w:szCs w:val="20"/>
              </w:rPr>
              <w:t>Pakuashipi</w:t>
            </w:r>
            <w:proofErr w:type="spellEnd"/>
            <w:r w:rsidRPr="00F21162">
              <w:rPr>
                <w:sz w:val="20"/>
                <w:szCs w:val="20"/>
              </w:rPr>
              <w:t xml:space="preserve"> which are separated by a river. In 2008, Mr. McKinnon, applicant, and the municipality signed a contract by which Mr. McKinnon’s corporation agreed to provide passenger ferry service by airboat between the two riverbanks. In 2010, Mr. McKinnon was elected as municipal councillor for Saint-Augustin. After the election, the Attorney General of Quebec asked the Superior Court to disqualify him from holding office pursuant to s. 304 of the </w:t>
            </w:r>
            <w:r w:rsidRPr="00F21162">
              <w:rPr>
                <w:i/>
                <w:sz w:val="20"/>
                <w:szCs w:val="20"/>
              </w:rPr>
              <w:t>Act Respecting Elections and Referendums in Municipalities</w:t>
            </w:r>
            <w:r w:rsidRPr="00F21162">
              <w:rPr>
                <w:sz w:val="20"/>
                <w:szCs w:val="20"/>
              </w:rPr>
              <w:t>, CQLR c E-2.2 (the “</w:t>
            </w:r>
            <w:r w:rsidRPr="00F21162">
              <w:rPr>
                <w:i/>
                <w:sz w:val="20"/>
                <w:szCs w:val="20"/>
              </w:rPr>
              <w:t>Act</w:t>
            </w:r>
            <w:r w:rsidRPr="00F21162">
              <w:rPr>
                <w:sz w:val="20"/>
                <w:szCs w:val="20"/>
              </w:rPr>
              <w:t xml:space="preserve">”).  Section 304 provides that “[a] person who knowingly, during his term as member of the council of a municipality or as member of a municipal body, has an interest, directly or indirectly, in a contract with the municipality or body is disqualified from holding office as a member of the council of a municipality”. The Superior Court dismissed the Attorney General’s motion, finding that while all the elements of s. 304 had been established, Mr. McKinnon’s situation fell within certain exceptions listed in s. 305 of the </w:t>
            </w:r>
            <w:r w:rsidRPr="00F21162">
              <w:rPr>
                <w:i/>
                <w:sz w:val="20"/>
                <w:szCs w:val="20"/>
              </w:rPr>
              <w:t>Act</w:t>
            </w:r>
            <w:r w:rsidRPr="00F21162">
              <w:rPr>
                <w:sz w:val="20"/>
                <w:szCs w:val="20"/>
              </w:rPr>
              <w:t>. The Court of Appeal allowed the appeal and disqualified Mr. McKinnon.</w:t>
            </w:r>
          </w:p>
          <w:p w:rsidR="003B5461" w:rsidRPr="00F21162" w:rsidRDefault="003B5461" w:rsidP="000B23D3">
            <w:pPr>
              <w:jc w:val="both"/>
              <w:rPr>
                <w:rFonts w:eastAsia="Calibri"/>
                <w:sz w:val="20"/>
              </w:rPr>
            </w:pPr>
          </w:p>
        </w:tc>
      </w:tr>
      <w:tr w:rsidR="003B5461" w:rsidRPr="00F21162" w:rsidTr="000B23D3">
        <w:trPr>
          <w:cantSplit/>
        </w:trPr>
        <w:tc>
          <w:tcPr>
            <w:tcW w:w="2427" w:type="pct"/>
          </w:tcPr>
          <w:p w:rsidR="001913E6" w:rsidRPr="00F21162" w:rsidRDefault="001913E6" w:rsidP="001913E6">
            <w:pPr>
              <w:jc w:val="both"/>
              <w:rPr>
                <w:sz w:val="20"/>
                <w:szCs w:val="20"/>
              </w:rPr>
            </w:pPr>
            <w:r w:rsidRPr="00F21162">
              <w:rPr>
                <w:sz w:val="20"/>
                <w:szCs w:val="20"/>
              </w:rPr>
              <w:t>December 7, 2012</w:t>
            </w:r>
          </w:p>
          <w:p w:rsidR="001913E6" w:rsidRPr="00F21162" w:rsidRDefault="001913E6" w:rsidP="001913E6">
            <w:pPr>
              <w:jc w:val="both"/>
              <w:rPr>
                <w:sz w:val="20"/>
                <w:szCs w:val="20"/>
              </w:rPr>
            </w:pPr>
            <w:r w:rsidRPr="00F21162">
              <w:rPr>
                <w:sz w:val="20"/>
                <w:szCs w:val="20"/>
              </w:rPr>
              <w:t>Superior Court of Quebec</w:t>
            </w:r>
          </w:p>
          <w:p w:rsidR="001913E6" w:rsidRPr="00F21162" w:rsidRDefault="001913E6" w:rsidP="001913E6">
            <w:pPr>
              <w:jc w:val="both"/>
              <w:rPr>
                <w:sz w:val="20"/>
                <w:szCs w:val="20"/>
              </w:rPr>
            </w:pPr>
            <w:r w:rsidRPr="00F21162">
              <w:rPr>
                <w:sz w:val="20"/>
                <w:szCs w:val="20"/>
              </w:rPr>
              <w:t>(</w:t>
            </w:r>
            <w:proofErr w:type="spellStart"/>
            <w:r w:rsidRPr="00F21162">
              <w:rPr>
                <w:sz w:val="20"/>
                <w:szCs w:val="20"/>
              </w:rPr>
              <w:t>Corriveau</w:t>
            </w:r>
            <w:proofErr w:type="spellEnd"/>
            <w:r w:rsidRPr="00F21162">
              <w:rPr>
                <w:sz w:val="20"/>
                <w:szCs w:val="20"/>
              </w:rPr>
              <w:t xml:space="preserve"> J.)</w:t>
            </w:r>
          </w:p>
          <w:p w:rsidR="001913E6" w:rsidRPr="00F21162" w:rsidRDefault="00B150CF" w:rsidP="001913E6">
            <w:pPr>
              <w:jc w:val="both"/>
              <w:rPr>
                <w:sz w:val="20"/>
                <w:szCs w:val="20"/>
              </w:rPr>
            </w:pPr>
            <w:hyperlink r:id="rId36" w:history="1">
              <w:r w:rsidR="001913E6" w:rsidRPr="00F21162">
                <w:rPr>
                  <w:color w:val="0000FF" w:themeColor="hyperlink"/>
                  <w:sz w:val="20"/>
                  <w:szCs w:val="20"/>
                  <w:u w:val="single"/>
                </w:rPr>
                <w:t>2012 QCCS 6698</w:t>
              </w:r>
            </w:hyperlink>
          </w:p>
          <w:p w:rsidR="003B5461" w:rsidRPr="00F21162" w:rsidRDefault="003B5461" w:rsidP="000B23D3">
            <w:pPr>
              <w:jc w:val="both"/>
              <w:rPr>
                <w:rFonts w:eastAsia="Calibri"/>
                <w:sz w:val="20"/>
              </w:rPr>
            </w:pPr>
          </w:p>
        </w:tc>
        <w:tc>
          <w:tcPr>
            <w:tcW w:w="243" w:type="pct"/>
          </w:tcPr>
          <w:p w:rsidR="003B5461" w:rsidRPr="00F21162" w:rsidRDefault="003B5461" w:rsidP="000B23D3">
            <w:pPr>
              <w:jc w:val="both"/>
              <w:rPr>
                <w:rFonts w:eastAsia="Calibri"/>
                <w:sz w:val="20"/>
              </w:rPr>
            </w:pPr>
          </w:p>
        </w:tc>
        <w:tc>
          <w:tcPr>
            <w:tcW w:w="2330" w:type="pct"/>
          </w:tcPr>
          <w:p w:rsidR="001913E6" w:rsidRPr="00F21162" w:rsidRDefault="001913E6" w:rsidP="001913E6">
            <w:pPr>
              <w:jc w:val="both"/>
              <w:rPr>
                <w:sz w:val="20"/>
                <w:szCs w:val="20"/>
              </w:rPr>
            </w:pPr>
            <w:r w:rsidRPr="00F21162">
              <w:rPr>
                <w:sz w:val="20"/>
                <w:szCs w:val="20"/>
              </w:rPr>
              <w:t>Motion for declaratory relief dismissed</w:t>
            </w:r>
          </w:p>
          <w:p w:rsidR="003B5461" w:rsidRPr="00F21162" w:rsidRDefault="003B5461" w:rsidP="000B23D3">
            <w:pPr>
              <w:jc w:val="both"/>
              <w:rPr>
                <w:rFonts w:eastAsia="Calibri"/>
                <w:sz w:val="20"/>
              </w:rPr>
            </w:pPr>
          </w:p>
        </w:tc>
      </w:tr>
      <w:tr w:rsidR="003B5461" w:rsidRPr="00F21162" w:rsidTr="000B23D3">
        <w:trPr>
          <w:cantSplit/>
        </w:trPr>
        <w:tc>
          <w:tcPr>
            <w:tcW w:w="2427" w:type="pct"/>
          </w:tcPr>
          <w:p w:rsidR="001913E6" w:rsidRPr="00F21162" w:rsidRDefault="001913E6" w:rsidP="001913E6">
            <w:pPr>
              <w:jc w:val="both"/>
              <w:rPr>
                <w:sz w:val="20"/>
                <w:szCs w:val="20"/>
              </w:rPr>
            </w:pPr>
            <w:r w:rsidRPr="00F21162">
              <w:rPr>
                <w:sz w:val="20"/>
                <w:szCs w:val="20"/>
              </w:rPr>
              <w:t>February 25, 2015</w:t>
            </w:r>
          </w:p>
          <w:p w:rsidR="001913E6" w:rsidRPr="00F21162" w:rsidRDefault="001913E6" w:rsidP="001913E6">
            <w:pPr>
              <w:jc w:val="both"/>
              <w:rPr>
                <w:sz w:val="20"/>
                <w:szCs w:val="20"/>
              </w:rPr>
            </w:pPr>
            <w:r w:rsidRPr="00F21162">
              <w:rPr>
                <w:sz w:val="20"/>
                <w:szCs w:val="20"/>
              </w:rPr>
              <w:t>Court of Appeal of Quebec (Québec)</w:t>
            </w:r>
          </w:p>
          <w:p w:rsidR="001913E6" w:rsidRPr="00F21162" w:rsidRDefault="001913E6" w:rsidP="001913E6">
            <w:pPr>
              <w:jc w:val="both"/>
              <w:rPr>
                <w:sz w:val="20"/>
                <w:szCs w:val="20"/>
                <w:lang w:val="fr-CA"/>
              </w:rPr>
            </w:pPr>
            <w:r w:rsidRPr="00F21162">
              <w:rPr>
                <w:sz w:val="20"/>
                <w:szCs w:val="20"/>
                <w:lang w:val="fr-CA"/>
              </w:rPr>
              <w:t>(Giroux, Bélanger and Gagnon JJ.A.)</w:t>
            </w:r>
          </w:p>
          <w:p w:rsidR="001913E6" w:rsidRPr="00F21162" w:rsidRDefault="00B150CF" w:rsidP="001913E6">
            <w:pPr>
              <w:jc w:val="both"/>
              <w:rPr>
                <w:sz w:val="20"/>
                <w:szCs w:val="20"/>
              </w:rPr>
            </w:pPr>
            <w:hyperlink r:id="rId37" w:history="1">
              <w:r w:rsidR="001913E6" w:rsidRPr="00F21162">
                <w:rPr>
                  <w:color w:val="0000FF" w:themeColor="hyperlink"/>
                  <w:sz w:val="20"/>
                  <w:szCs w:val="20"/>
                  <w:u w:val="single"/>
                </w:rPr>
                <w:t>2015 QCCA 397</w:t>
              </w:r>
            </w:hyperlink>
          </w:p>
          <w:p w:rsidR="003B5461" w:rsidRPr="00F21162" w:rsidRDefault="003B5461" w:rsidP="000B23D3">
            <w:pPr>
              <w:jc w:val="both"/>
              <w:rPr>
                <w:rFonts w:eastAsia="Calibri"/>
                <w:sz w:val="20"/>
              </w:rPr>
            </w:pPr>
          </w:p>
        </w:tc>
        <w:tc>
          <w:tcPr>
            <w:tcW w:w="243" w:type="pct"/>
          </w:tcPr>
          <w:p w:rsidR="003B5461" w:rsidRPr="00F21162" w:rsidRDefault="003B5461" w:rsidP="000B23D3">
            <w:pPr>
              <w:jc w:val="both"/>
              <w:rPr>
                <w:rFonts w:eastAsia="Calibri"/>
                <w:sz w:val="20"/>
              </w:rPr>
            </w:pPr>
          </w:p>
        </w:tc>
        <w:tc>
          <w:tcPr>
            <w:tcW w:w="2330" w:type="pct"/>
          </w:tcPr>
          <w:p w:rsidR="001913E6" w:rsidRPr="00F21162" w:rsidRDefault="001913E6" w:rsidP="001913E6">
            <w:pPr>
              <w:jc w:val="both"/>
              <w:rPr>
                <w:sz w:val="20"/>
                <w:szCs w:val="20"/>
              </w:rPr>
            </w:pPr>
            <w:r w:rsidRPr="00F21162">
              <w:rPr>
                <w:sz w:val="20"/>
                <w:szCs w:val="20"/>
              </w:rPr>
              <w:t xml:space="preserve">Appeal allowed; applicant declared disqualified from holding office as a member of the council of the municipality of Saint-Augustin pursuant to s. 304 of </w:t>
            </w:r>
            <w:r w:rsidRPr="00F21162">
              <w:rPr>
                <w:i/>
                <w:sz w:val="20"/>
                <w:szCs w:val="20"/>
              </w:rPr>
              <w:t>An Act Respecting Elections and Referendums in Municipalities</w:t>
            </w:r>
            <w:r w:rsidRPr="00F21162">
              <w:rPr>
                <w:sz w:val="20"/>
                <w:szCs w:val="20"/>
              </w:rPr>
              <w:t>, CQLR c E-2.2</w:t>
            </w:r>
          </w:p>
          <w:p w:rsidR="003B5461" w:rsidRPr="00F21162" w:rsidRDefault="003B5461" w:rsidP="000B23D3">
            <w:pPr>
              <w:jc w:val="both"/>
              <w:rPr>
                <w:rFonts w:eastAsia="Calibri"/>
                <w:sz w:val="20"/>
              </w:rPr>
            </w:pPr>
          </w:p>
        </w:tc>
      </w:tr>
      <w:tr w:rsidR="003B5461" w:rsidRPr="00F21162" w:rsidTr="000B23D3">
        <w:trPr>
          <w:cantSplit/>
        </w:trPr>
        <w:tc>
          <w:tcPr>
            <w:tcW w:w="2427" w:type="pct"/>
          </w:tcPr>
          <w:p w:rsidR="003B5461" w:rsidRPr="00F21162" w:rsidRDefault="001913E6" w:rsidP="000B23D3">
            <w:pPr>
              <w:jc w:val="both"/>
              <w:rPr>
                <w:rFonts w:eastAsia="Calibri"/>
                <w:sz w:val="20"/>
              </w:rPr>
            </w:pPr>
            <w:r w:rsidRPr="00F21162">
              <w:rPr>
                <w:rFonts w:eastAsia="Calibri"/>
                <w:sz w:val="20"/>
              </w:rPr>
              <w:t>April 21</w:t>
            </w:r>
            <w:r w:rsidR="003B5461" w:rsidRPr="00F21162">
              <w:rPr>
                <w:rFonts w:eastAsia="Calibri"/>
                <w:sz w:val="20"/>
              </w:rPr>
              <w:t>, 2015</w:t>
            </w:r>
          </w:p>
          <w:p w:rsidR="003B5461" w:rsidRPr="00F21162" w:rsidRDefault="003B5461" w:rsidP="000B23D3">
            <w:pPr>
              <w:jc w:val="both"/>
              <w:rPr>
                <w:rFonts w:eastAsia="Calibri"/>
                <w:sz w:val="20"/>
              </w:rPr>
            </w:pPr>
            <w:r w:rsidRPr="00F21162">
              <w:rPr>
                <w:rFonts w:eastAsia="Calibri"/>
                <w:sz w:val="20"/>
              </w:rPr>
              <w:t>Supreme Court of Canada</w:t>
            </w:r>
          </w:p>
        </w:tc>
        <w:tc>
          <w:tcPr>
            <w:tcW w:w="243" w:type="pct"/>
          </w:tcPr>
          <w:p w:rsidR="003B5461" w:rsidRPr="00F21162" w:rsidRDefault="003B5461" w:rsidP="000B23D3">
            <w:pPr>
              <w:jc w:val="both"/>
              <w:rPr>
                <w:rFonts w:eastAsia="Calibri"/>
                <w:sz w:val="20"/>
              </w:rPr>
            </w:pPr>
          </w:p>
        </w:tc>
        <w:tc>
          <w:tcPr>
            <w:tcW w:w="2330" w:type="pct"/>
          </w:tcPr>
          <w:p w:rsidR="003B5461" w:rsidRPr="00F21162" w:rsidRDefault="003B5461" w:rsidP="000B23D3">
            <w:pPr>
              <w:jc w:val="both"/>
              <w:rPr>
                <w:rFonts w:eastAsia="Calibri"/>
                <w:sz w:val="20"/>
              </w:rPr>
            </w:pPr>
            <w:r w:rsidRPr="00F21162">
              <w:rPr>
                <w:rFonts w:eastAsia="Calibri"/>
                <w:sz w:val="20"/>
              </w:rPr>
              <w:t>Application for leave to appeal filed</w:t>
            </w:r>
          </w:p>
        </w:tc>
      </w:tr>
    </w:tbl>
    <w:p w:rsidR="003B5461" w:rsidRPr="00F21162" w:rsidRDefault="003B5461" w:rsidP="003B5461">
      <w:pPr>
        <w:rPr>
          <w:sz w:val="20"/>
          <w:szCs w:val="20"/>
        </w:rPr>
      </w:pPr>
    </w:p>
    <w:p w:rsidR="003B5461" w:rsidRPr="00F21162" w:rsidRDefault="00B150CF" w:rsidP="003B5461">
      <w:pPr>
        <w:rPr>
          <w:sz w:val="20"/>
          <w:szCs w:val="20"/>
        </w:rPr>
      </w:pPr>
      <w:r>
        <w:rPr>
          <w:sz w:val="20"/>
          <w:szCs w:val="20"/>
          <w:lang w:val="fr-CA"/>
        </w:rPr>
        <w:pict>
          <v:rect id="_x0000_i1037" style="width:2in;height:1pt" o:hrpct="0" o:hralign="center" o:hrstd="t" o:hrnoshade="t" o:hr="t" fillcolor="black [3213]" stroked="f"/>
        </w:pict>
      </w:r>
    </w:p>
    <w:p w:rsidR="003B5461" w:rsidRPr="00F21162" w:rsidRDefault="003B5461" w:rsidP="003B5461">
      <w:pPr>
        <w:rPr>
          <w:sz w:val="20"/>
          <w:szCs w:val="20"/>
        </w:rPr>
      </w:pPr>
    </w:p>
    <w:p w:rsidR="003B5461" w:rsidRPr="00F21162" w:rsidRDefault="003B5461" w:rsidP="003B5461">
      <w:pPr>
        <w:rPr>
          <w:sz w:val="20"/>
          <w:szCs w:val="20"/>
          <w:u w:val="single"/>
          <w:lang w:val="fr-CA"/>
        </w:rPr>
      </w:pPr>
      <w:r w:rsidRPr="00F21162">
        <w:rPr>
          <w:sz w:val="20"/>
          <w:szCs w:val="20"/>
          <w:u w:val="single"/>
          <w:lang w:val="fr-CA"/>
        </w:rPr>
        <w:t>RÉSUMÉ DE L’AFFAIRE</w:t>
      </w:r>
    </w:p>
    <w:p w:rsidR="003B5461" w:rsidRPr="00F21162" w:rsidRDefault="003B5461" w:rsidP="003B5461">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3B5461" w:rsidRPr="00F21162" w:rsidTr="000B23D3">
        <w:tc>
          <w:tcPr>
            <w:tcW w:w="5000" w:type="pct"/>
            <w:gridSpan w:val="3"/>
          </w:tcPr>
          <w:p w:rsidR="003B5461" w:rsidRPr="00F21162" w:rsidRDefault="00300675" w:rsidP="000B23D3">
            <w:pPr>
              <w:jc w:val="both"/>
              <w:rPr>
                <w:sz w:val="20"/>
                <w:szCs w:val="20"/>
                <w:lang w:val="fr-CA"/>
              </w:rPr>
            </w:pPr>
            <w:r w:rsidRPr="00F21162">
              <w:rPr>
                <w:sz w:val="20"/>
                <w:szCs w:val="20"/>
                <w:lang w:val="fr-CA"/>
              </w:rPr>
              <w:t xml:space="preserve">Droit municipal – Personnes inhabiles à exercer la fonction de membre du conseil d’une municipalité – Intérêt direct ou indirect dans un contrat avec une municipalité ou un organisme municipal – </w:t>
            </w:r>
            <w:r w:rsidRPr="00F21162">
              <w:rPr>
                <w:i/>
                <w:sz w:val="20"/>
                <w:szCs w:val="20"/>
                <w:lang w:val="fr-CA"/>
              </w:rPr>
              <w:t>Loi sur les élections et les référendums dans les municipalités</w:t>
            </w:r>
            <w:r w:rsidRPr="00F21162">
              <w:rPr>
                <w:sz w:val="20"/>
                <w:szCs w:val="20"/>
                <w:lang w:val="fr-CA"/>
              </w:rPr>
              <w:t>, RLRQ ch. E-2.2, art. 304, 305 – La Cour d’appel a-t-elle eu tort de déclarer le demandeur inhabile à exercer la fonction?</w:t>
            </w:r>
          </w:p>
          <w:p w:rsidR="00300675" w:rsidRPr="00F21162" w:rsidRDefault="00300675" w:rsidP="000B23D3">
            <w:pPr>
              <w:jc w:val="both"/>
              <w:rPr>
                <w:rFonts w:eastAsia="Calibri"/>
                <w:sz w:val="20"/>
                <w:szCs w:val="20"/>
                <w:lang w:val="fr-CA"/>
              </w:rPr>
            </w:pPr>
          </w:p>
        </w:tc>
      </w:tr>
      <w:tr w:rsidR="003B5461" w:rsidRPr="00F21162" w:rsidTr="000B23D3">
        <w:tc>
          <w:tcPr>
            <w:tcW w:w="5000" w:type="pct"/>
            <w:gridSpan w:val="3"/>
          </w:tcPr>
          <w:p w:rsidR="00991953" w:rsidRPr="00F21162" w:rsidRDefault="00991953" w:rsidP="00991953">
            <w:pPr>
              <w:jc w:val="both"/>
              <w:rPr>
                <w:sz w:val="20"/>
                <w:szCs w:val="20"/>
                <w:lang w:val="fr-CA"/>
              </w:rPr>
            </w:pPr>
            <w:r w:rsidRPr="00F21162">
              <w:rPr>
                <w:sz w:val="20"/>
                <w:szCs w:val="20"/>
                <w:lang w:val="fr-CA"/>
              </w:rPr>
              <w:t xml:space="preserve">La municipalité de Saint-Augustin comprend le village Saint-Augustin et la communauté de </w:t>
            </w:r>
            <w:proofErr w:type="spellStart"/>
            <w:r w:rsidRPr="00F21162">
              <w:rPr>
                <w:sz w:val="20"/>
                <w:szCs w:val="20"/>
                <w:lang w:val="fr-CA"/>
              </w:rPr>
              <w:t>Pakuashipi</w:t>
            </w:r>
            <w:proofErr w:type="spellEnd"/>
            <w:r w:rsidRPr="00F21162">
              <w:rPr>
                <w:sz w:val="20"/>
                <w:szCs w:val="20"/>
                <w:lang w:val="fr-CA"/>
              </w:rPr>
              <w:t xml:space="preserve">, séparés par une rivière.  En 2008, M. McKinnon, le demandeur, et la municipalité ont signé un contrat par lequel la société par actions de M. McKinnon a accepté de fournir un service de traversier par hydroglisseur entre les deux rives.  En 2010, M. McKinnon a été élu conseiller municipal de Saint-Augustin.  Après l’élection, le procureur général du Québec a demandé à la Cour supérieure de le déclarer inhabile à exercer cette fonction en application de l’art. 304 de la </w:t>
            </w:r>
            <w:r w:rsidRPr="00F21162">
              <w:rPr>
                <w:i/>
                <w:sz w:val="20"/>
                <w:szCs w:val="20"/>
                <w:lang w:val="fr-CA"/>
              </w:rPr>
              <w:t>Loi sur les élections et les référendums dans les municipalités</w:t>
            </w:r>
            <w:r w:rsidRPr="00F21162">
              <w:rPr>
                <w:sz w:val="20"/>
                <w:szCs w:val="20"/>
                <w:lang w:val="fr-CA"/>
              </w:rPr>
              <w:t>, RLRQ ch. E-2.2 (la « </w:t>
            </w:r>
            <w:r w:rsidRPr="00F21162">
              <w:rPr>
                <w:i/>
                <w:sz w:val="20"/>
                <w:szCs w:val="20"/>
                <w:lang w:val="fr-CA"/>
              </w:rPr>
              <w:t>Loi</w:t>
            </w:r>
            <w:r w:rsidRPr="00F21162">
              <w:rPr>
                <w:sz w:val="20"/>
                <w:szCs w:val="20"/>
                <w:lang w:val="fr-CA"/>
              </w:rPr>
              <w:t> »).  L’article 304 prévoit ce qui suit : « [e]</w:t>
            </w:r>
            <w:r w:rsidRPr="00F21162">
              <w:rPr>
                <w:iCs/>
                <w:sz w:val="20"/>
                <w:szCs w:val="20"/>
                <w:lang w:val="fr-CA"/>
              </w:rPr>
              <w:t>st inhabile à exercer la fonction de membre du conseil de toute municipalité la personne qui sciemment, pendant la durée de son mandat de membre du conseil d'une municipalité ou de membre d'un organisme municipal, a un intérêt direct ou indirect dans un contrat avec la municipalité ou l'organisme</w:t>
            </w:r>
            <w:r w:rsidRPr="00F21162">
              <w:rPr>
                <w:sz w:val="20"/>
                <w:szCs w:val="20"/>
                <w:lang w:val="fr-CA"/>
              </w:rPr>
              <w:t xml:space="preserve"> ».  La Cour supérieure a rejeté la requête du procureur général, concluant que même si tous les éléments de l’art. 304 avaient été établis, certaines exceptions énumérées à l’art. 305 de la </w:t>
            </w:r>
            <w:r w:rsidRPr="00F21162">
              <w:rPr>
                <w:i/>
                <w:sz w:val="20"/>
                <w:szCs w:val="20"/>
                <w:lang w:val="fr-CA"/>
              </w:rPr>
              <w:t>Loi</w:t>
            </w:r>
            <w:r w:rsidRPr="00F21162">
              <w:rPr>
                <w:sz w:val="20"/>
                <w:szCs w:val="20"/>
                <w:lang w:val="fr-CA"/>
              </w:rPr>
              <w:t xml:space="preserve"> s’appliquaient à la situation de M. McKinnon.  La Cour d’appel a accueilli l’appel et a déclaré M. McKinnon inhabile.</w:t>
            </w:r>
          </w:p>
          <w:p w:rsidR="003B5461" w:rsidRPr="00F21162" w:rsidRDefault="003B5461" w:rsidP="000B23D3">
            <w:pPr>
              <w:jc w:val="both"/>
              <w:rPr>
                <w:sz w:val="20"/>
                <w:lang w:val="fr-CA"/>
              </w:rPr>
            </w:pPr>
          </w:p>
        </w:tc>
      </w:tr>
      <w:tr w:rsidR="003B5461" w:rsidRPr="00F21162" w:rsidTr="000B23D3">
        <w:trPr>
          <w:cantSplit/>
        </w:trPr>
        <w:tc>
          <w:tcPr>
            <w:tcW w:w="2427" w:type="pct"/>
          </w:tcPr>
          <w:p w:rsidR="000447E6" w:rsidRPr="00F21162" w:rsidRDefault="000447E6" w:rsidP="000447E6">
            <w:pPr>
              <w:jc w:val="both"/>
              <w:rPr>
                <w:sz w:val="20"/>
                <w:szCs w:val="20"/>
                <w:lang w:val="fr-CA"/>
              </w:rPr>
            </w:pPr>
            <w:r w:rsidRPr="00F21162">
              <w:rPr>
                <w:sz w:val="20"/>
                <w:szCs w:val="20"/>
                <w:lang w:val="fr-CA"/>
              </w:rPr>
              <w:t>7 décembre 2012</w:t>
            </w:r>
          </w:p>
          <w:p w:rsidR="000447E6" w:rsidRPr="00F21162" w:rsidRDefault="000447E6" w:rsidP="000447E6">
            <w:pPr>
              <w:jc w:val="both"/>
              <w:rPr>
                <w:sz w:val="20"/>
                <w:szCs w:val="20"/>
                <w:lang w:val="fr-CA"/>
              </w:rPr>
            </w:pPr>
            <w:r w:rsidRPr="00F21162">
              <w:rPr>
                <w:sz w:val="20"/>
                <w:szCs w:val="20"/>
                <w:lang w:val="fr-CA"/>
              </w:rPr>
              <w:t>Cour supérieure du Québec</w:t>
            </w:r>
          </w:p>
          <w:p w:rsidR="000447E6" w:rsidRPr="00F21162" w:rsidRDefault="000447E6" w:rsidP="000447E6">
            <w:pPr>
              <w:jc w:val="both"/>
              <w:rPr>
                <w:sz w:val="20"/>
                <w:szCs w:val="20"/>
                <w:lang w:val="fr-CA"/>
              </w:rPr>
            </w:pPr>
            <w:r w:rsidRPr="00F21162">
              <w:rPr>
                <w:sz w:val="20"/>
                <w:szCs w:val="20"/>
                <w:lang w:val="fr-CA"/>
              </w:rPr>
              <w:t xml:space="preserve">(Juge </w:t>
            </w:r>
            <w:proofErr w:type="spellStart"/>
            <w:r w:rsidRPr="00F21162">
              <w:rPr>
                <w:sz w:val="20"/>
                <w:szCs w:val="20"/>
                <w:lang w:val="fr-CA"/>
              </w:rPr>
              <w:t>Corriveau</w:t>
            </w:r>
            <w:proofErr w:type="spellEnd"/>
            <w:r w:rsidRPr="00F21162">
              <w:rPr>
                <w:sz w:val="20"/>
                <w:szCs w:val="20"/>
                <w:lang w:val="fr-CA"/>
              </w:rPr>
              <w:t>)</w:t>
            </w:r>
          </w:p>
          <w:p w:rsidR="000447E6" w:rsidRPr="00F21162" w:rsidRDefault="00B150CF" w:rsidP="000447E6">
            <w:pPr>
              <w:jc w:val="both"/>
              <w:rPr>
                <w:sz w:val="20"/>
                <w:szCs w:val="20"/>
                <w:lang w:val="fr-CA"/>
              </w:rPr>
            </w:pPr>
            <w:hyperlink r:id="rId38" w:history="1">
              <w:r w:rsidR="000447E6" w:rsidRPr="00F21162">
                <w:rPr>
                  <w:color w:val="0000FF" w:themeColor="hyperlink"/>
                  <w:sz w:val="20"/>
                  <w:szCs w:val="20"/>
                  <w:u w:val="single"/>
                  <w:lang w:val="fr-CA"/>
                </w:rPr>
                <w:t>2012 QCCS 6698</w:t>
              </w:r>
            </w:hyperlink>
          </w:p>
          <w:p w:rsidR="003B5461" w:rsidRPr="00F21162" w:rsidRDefault="003B5461" w:rsidP="000B23D3">
            <w:pPr>
              <w:jc w:val="both"/>
              <w:rPr>
                <w:rFonts w:eastAsia="Calibri"/>
                <w:sz w:val="20"/>
                <w:lang w:val="fr-CA"/>
              </w:rPr>
            </w:pPr>
          </w:p>
        </w:tc>
        <w:tc>
          <w:tcPr>
            <w:tcW w:w="243" w:type="pct"/>
          </w:tcPr>
          <w:p w:rsidR="003B5461" w:rsidRPr="00F21162" w:rsidRDefault="003B5461" w:rsidP="000B23D3">
            <w:pPr>
              <w:jc w:val="both"/>
              <w:rPr>
                <w:rFonts w:eastAsia="Calibri"/>
                <w:sz w:val="20"/>
                <w:lang w:val="fr-CA"/>
              </w:rPr>
            </w:pPr>
          </w:p>
        </w:tc>
        <w:tc>
          <w:tcPr>
            <w:tcW w:w="2330" w:type="pct"/>
          </w:tcPr>
          <w:p w:rsidR="000447E6" w:rsidRPr="00F21162" w:rsidRDefault="000447E6" w:rsidP="000447E6">
            <w:pPr>
              <w:jc w:val="both"/>
              <w:rPr>
                <w:sz w:val="20"/>
                <w:szCs w:val="20"/>
                <w:lang w:val="fr-CA"/>
              </w:rPr>
            </w:pPr>
            <w:r w:rsidRPr="00F21162">
              <w:rPr>
                <w:sz w:val="20"/>
                <w:szCs w:val="20"/>
                <w:lang w:val="fr-CA"/>
              </w:rPr>
              <w:t>Rejet de la requête en déclaration d’inhabilité</w:t>
            </w:r>
          </w:p>
          <w:p w:rsidR="003B5461" w:rsidRPr="00F21162" w:rsidRDefault="003B5461" w:rsidP="000B23D3">
            <w:pPr>
              <w:jc w:val="both"/>
              <w:rPr>
                <w:rFonts w:eastAsia="Calibri"/>
                <w:sz w:val="20"/>
                <w:lang w:val="fr-CA"/>
              </w:rPr>
            </w:pPr>
          </w:p>
        </w:tc>
      </w:tr>
      <w:tr w:rsidR="003B5461" w:rsidRPr="00F21162" w:rsidTr="000B23D3">
        <w:trPr>
          <w:cantSplit/>
        </w:trPr>
        <w:tc>
          <w:tcPr>
            <w:tcW w:w="2427" w:type="pct"/>
          </w:tcPr>
          <w:p w:rsidR="000447E6" w:rsidRPr="00F21162" w:rsidRDefault="000447E6" w:rsidP="000447E6">
            <w:pPr>
              <w:jc w:val="both"/>
              <w:rPr>
                <w:sz w:val="20"/>
                <w:szCs w:val="20"/>
                <w:lang w:val="fr-CA"/>
              </w:rPr>
            </w:pPr>
            <w:r w:rsidRPr="00F21162">
              <w:rPr>
                <w:sz w:val="20"/>
                <w:szCs w:val="20"/>
                <w:lang w:val="fr-CA"/>
              </w:rPr>
              <w:t>25 février 2015</w:t>
            </w:r>
          </w:p>
          <w:p w:rsidR="000447E6" w:rsidRPr="00F21162" w:rsidRDefault="000447E6" w:rsidP="000447E6">
            <w:pPr>
              <w:jc w:val="both"/>
              <w:rPr>
                <w:sz w:val="20"/>
                <w:szCs w:val="20"/>
                <w:lang w:val="fr-CA"/>
              </w:rPr>
            </w:pPr>
            <w:r w:rsidRPr="00F21162">
              <w:rPr>
                <w:sz w:val="20"/>
                <w:szCs w:val="20"/>
                <w:lang w:val="fr-CA"/>
              </w:rPr>
              <w:t>Cour d’appel du Québec (Québec)</w:t>
            </w:r>
          </w:p>
          <w:p w:rsidR="000447E6" w:rsidRPr="00F21162" w:rsidRDefault="000447E6" w:rsidP="000447E6">
            <w:pPr>
              <w:jc w:val="both"/>
              <w:rPr>
                <w:sz w:val="20"/>
                <w:szCs w:val="20"/>
                <w:lang w:val="fr-CA"/>
              </w:rPr>
            </w:pPr>
            <w:r w:rsidRPr="00F21162">
              <w:rPr>
                <w:sz w:val="20"/>
                <w:szCs w:val="20"/>
                <w:lang w:val="fr-CA"/>
              </w:rPr>
              <w:t>(Juges Giroux, Bélanger et Gagnon)</w:t>
            </w:r>
          </w:p>
          <w:p w:rsidR="000447E6" w:rsidRPr="00F21162" w:rsidRDefault="00B150CF" w:rsidP="000447E6">
            <w:pPr>
              <w:jc w:val="both"/>
              <w:rPr>
                <w:sz w:val="20"/>
                <w:szCs w:val="20"/>
                <w:lang w:val="fr-CA"/>
              </w:rPr>
            </w:pPr>
            <w:hyperlink r:id="rId39" w:history="1">
              <w:r w:rsidR="000447E6" w:rsidRPr="00F21162">
                <w:rPr>
                  <w:color w:val="0000FF" w:themeColor="hyperlink"/>
                  <w:sz w:val="20"/>
                  <w:szCs w:val="20"/>
                  <w:u w:val="single"/>
                  <w:lang w:val="fr-CA"/>
                </w:rPr>
                <w:t>2015 QCCA 397</w:t>
              </w:r>
            </w:hyperlink>
          </w:p>
          <w:p w:rsidR="003B5461" w:rsidRPr="00F21162" w:rsidRDefault="003B5461" w:rsidP="000B23D3">
            <w:pPr>
              <w:jc w:val="both"/>
              <w:rPr>
                <w:rFonts w:eastAsia="Calibri"/>
                <w:sz w:val="20"/>
                <w:lang w:val="fr-CA"/>
              </w:rPr>
            </w:pPr>
          </w:p>
        </w:tc>
        <w:tc>
          <w:tcPr>
            <w:tcW w:w="243" w:type="pct"/>
          </w:tcPr>
          <w:p w:rsidR="003B5461" w:rsidRPr="00F21162" w:rsidRDefault="003B5461" w:rsidP="000B23D3">
            <w:pPr>
              <w:jc w:val="both"/>
              <w:rPr>
                <w:rFonts w:eastAsia="Calibri"/>
                <w:sz w:val="20"/>
                <w:lang w:val="fr-CA"/>
              </w:rPr>
            </w:pPr>
          </w:p>
        </w:tc>
        <w:tc>
          <w:tcPr>
            <w:tcW w:w="2330" w:type="pct"/>
          </w:tcPr>
          <w:p w:rsidR="000447E6" w:rsidRPr="00F21162" w:rsidRDefault="000447E6" w:rsidP="000447E6">
            <w:pPr>
              <w:jc w:val="both"/>
              <w:rPr>
                <w:sz w:val="20"/>
                <w:szCs w:val="20"/>
                <w:lang w:val="fr-CA"/>
              </w:rPr>
            </w:pPr>
            <w:r w:rsidRPr="00F21162">
              <w:rPr>
                <w:sz w:val="20"/>
                <w:szCs w:val="20"/>
                <w:lang w:val="fr-CA"/>
              </w:rPr>
              <w:t xml:space="preserve">Arrêt accueillant l’appel et déclarant le demandeur inhabile à exercer la fonction de membre du conseil de la municipalité de Saint-Augustin en application de l’art. 304 de la </w:t>
            </w:r>
            <w:r w:rsidRPr="00F21162">
              <w:rPr>
                <w:i/>
                <w:sz w:val="20"/>
                <w:szCs w:val="20"/>
                <w:lang w:val="fr-CA"/>
              </w:rPr>
              <w:t>Loi sur les élections et les référendums dans les municipalités</w:t>
            </w:r>
            <w:r w:rsidRPr="00F21162">
              <w:rPr>
                <w:sz w:val="20"/>
                <w:szCs w:val="20"/>
                <w:lang w:val="fr-CA"/>
              </w:rPr>
              <w:t>, RLRQ ch. E-2.2</w:t>
            </w:r>
          </w:p>
          <w:p w:rsidR="003B5461" w:rsidRPr="00F21162" w:rsidRDefault="003B5461" w:rsidP="000B23D3">
            <w:pPr>
              <w:jc w:val="both"/>
              <w:rPr>
                <w:rFonts w:eastAsia="Calibri"/>
                <w:sz w:val="20"/>
                <w:lang w:val="fr-CA"/>
              </w:rPr>
            </w:pPr>
          </w:p>
        </w:tc>
      </w:tr>
      <w:tr w:rsidR="003B5461" w:rsidRPr="00F21162" w:rsidTr="000B23D3">
        <w:trPr>
          <w:cantSplit/>
        </w:trPr>
        <w:tc>
          <w:tcPr>
            <w:tcW w:w="2427" w:type="pct"/>
          </w:tcPr>
          <w:p w:rsidR="003B5461" w:rsidRPr="00F21162" w:rsidRDefault="000447E6" w:rsidP="000B23D3">
            <w:pPr>
              <w:jc w:val="both"/>
              <w:rPr>
                <w:rFonts w:eastAsia="Calibri"/>
                <w:sz w:val="20"/>
                <w:lang w:val="fr-CA"/>
              </w:rPr>
            </w:pPr>
            <w:r w:rsidRPr="00F21162">
              <w:rPr>
                <w:rFonts w:eastAsia="Calibri"/>
                <w:sz w:val="20"/>
                <w:lang w:val="fr-CA"/>
              </w:rPr>
              <w:t>21</w:t>
            </w:r>
            <w:r w:rsidR="003B5461" w:rsidRPr="00F21162">
              <w:rPr>
                <w:rFonts w:eastAsia="Calibri"/>
                <w:sz w:val="20"/>
                <w:lang w:val="fr-CA"/>
              </w:rPr>
              <w:t xml:space="preserve"> </w:t>
            </w:r>
            <w:r w:rsidRPr="00F21162">
              <w:rPr>
                <w:rFonts w:eastAsia="Calibri"/>
                <w:sz w:val="20"/>
                <w:lang w:val="fr-CA"/>
              </w:rPr>
              <w:t>avril</w:t>
            </w:r>
            <w:r w:rsidR="003B5461" w:rsidRPr="00F21162">
              <w:rPr>
                <w:rFonts w:eastAsia="Calibri"/>
                <w:sz w:val="20"/>
                <w:lang w:val="fr-CA"/>
              </w:rPr>
              <w:t xml:space="preserve"> 2015</w:t>
            </w:r>
          </w:p>
          <w:p w:rsidR="003B5461" w:rsidRPr="00F21162" w:rsidRDefault="003B5461" w:rsidP="000B23D3">
            <w:pPr>
              <w:jc w:val="both"/>
              <w:rPr>
                <w:rFonts w:eastAsia="Calibri"/>
                <w:sz w:val="20"/>
                <w:lang w:val="fr-CA"/>
              </w:rPr>
            </w:pPr>
            <w:r w:rsidRPr="00F21162">
              <w:rPr>
                <w:rFonts w:eastAsia="Calibri"/>
                <w:sz w:val="20"/>
                <w:lang w:val="fr-CA"/>
              </w:rPr>
              <w:t>Cour suprême du Canada</w:t>
            </w:r>
          </w:p>
        </w:tc>
        <w:tc>
          <w:tcPr>
            <w:tcW w:w="243" w:type="pct"/>
          </w:tcPr>
          <w:p w:rsidR="003B5461" w:rsidRPr="00F21162" w:rsidRDefault="003B5461" w:rsidP="000B23D3">
            <w:pPr>
              <w:jc w:val="both"/>
              <w:rPr>
                <w:rFonts w:eastAsia="Calibri"/>
                <w:sz w:val="20"/>
                <w:lang w:val="fr-CA"/>
              </w:rPr>
            </w:pPr>
          </w:p>
        </w:tc>
        <w:tc>
          <w:tcPr>
            <w:tcW w:w="2330" w:type="pct"/>
          </w:tcPr>
          <w:p w:rsidR="000447E6" w:rsidRPr="00F21162" w:rsidRDefault="000447E6" w:rsidP="000447E6">
            <w:pPr>
              <w:jc w:val="both"/>
              <w:rPr>
                <w:sz w:val="20"/>
                <w:szCs w:val="20"/>
                <w:lang w:val="fr-CA"/>
              </w:rPr>
            </w:pPr>
            <w:r w:rsidRPr="00F21162">
              <w:rPr>
                <w:sz w:val="20"/>
                <w:szCs w:val="20"/>
                <w:lang w:val="fr-CA"/>
              </w:rPr>
              <w:t>Dépôt de la demande d’autorisation d’appel</w:t>
            </w:r>
          </w:p>
          <w:p w:rsidR="003B5461" w:rsidRPr="00F21162" w:rsidRDefault="003B5461" w:rsidP="000B23D3">
            <w:pPr>
              <w:jc w:val="both"/>
              <w:rPr>
                <w:rFonts w:eastAsia="Calibri"/>
                <w:sz w:val="20"/>
                <w:lang w:val="fr-CA"/>
              </w:rPr>
            </w:pPr>
          </w:p>
        </w:tc>
      </w:tr>
    </w:tbl>
    <w:p w:rsidR="003B5461" w:rsidRPr="00F21162" w:rsidRDefault="003B5461" w:rsidP="003B5461">
      <w:pPr>
        <w:rPr>
          <w:sz w:val="20"/>
          <w:szCs w:val="20"/>
        </w:rPr>
      </w:pPr>
    </w:p>
    <w:p w:rsidR="003B5461" w:rsidRPr="00F21162" w:rsidRDefault="00B150CF" w:rsidP="003B5461">
      <w:pPr>
        <w:rPr>
          <w:sz w:val="20"/>
          <w:szCs w:val="20"/>
        </w:rPr>
      </w:pPr>
      <w:r>
        <w:rPr>
          <w:sz w:val="20"/>
          <w:szCs w:val="20"/>
          <w:lang w:val="fr-CA"/>
        </w:rPr>
        <w:pict>
          <v:rect id="_x0000_i1038" style="width:2in;height:1pt" o:hrpct="0" o:hralign="center" o:hrstd="t" o:hrnoshade="t" o:hr="t" fillcolor="black [3213]" stroked="f"/>
        </w:pict>
      </w:r>
    </w:p>
    <w:p w:rsidR="003B5461" w:rsidRPr="00F21162" w:rsidRDefault="003B5461" w:rsidP="003B546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3C07E4" w:rsidRPr="00F21162" w:rsidTr="000B23D3">
        <w:trPr>
          <w:cantSplit/>
        </w:trPr>
        <w:tc>
          <w:tcPr>
            <w:tcW w:w="1458" w:type="dxa"/>
          </w:tcPr>
          <w:p w:rsidR="003C07E4" w:rsidRPr="00F21162" w:rsidRDefault="003C07E4" w:rsidP="000B23D3">
            <w:pPr>
              <w:rPr>
                <w:sz w:val="20"/>
                <w:szCs w:val="20"/>
              </w:rPr>
            </w:pPr>
            <w:r w:rsidRPr="00F21162">
              <w:rPr>
                <w:rStyle w:val="SCCFileNumberChar"/>
                <w:sz w:val="20"/>
                <w:szCs w:val="20"/>
              </w:rPr>
              <w:t>36501</w:t>
            </w:r>
          </w:p>
          <w:p w:rsidR="003C07E4" w:rsidRPr="00F21162" w:rsidRDefault="003C07E4" w:rsidP="000B23D3">
            <w:pPr>
              <w:rPr>
                <w:b/>
                <w:sz w:val="20"/>
                <w:szCs w:val="20"/>
                <w:lang w:val="fr-CA"/>
              </w:rPr>
            </w:pPr>
          </w:p>
        </w:tc>
        <w:tc>
          <w:tcPr>
            <w:tcW w:w="8118" w:type="dxa"/>
          </w:tcPr>
          <w:p w:rsidR="003C07E4" w:rsidRPr="00F21162" w:rsidRDefault="00E142AF" w:rsidP="000B23D3">
            <w:pPr>
              <w:rPr>
                <w:sz w:val="20"/>
                <w:szCs w:val="20"/>
              </w:rPr>
            </w:pPr>
            <w:r w:rsidRPr="00F21162">
              <w:rPr>
                <w:rStyle w:val="SCCLsocChar"/>
                <w:sz w:val="20"/>
                <w:szCs w:val="20"/>
                <w:lang w:val="en-CA"/>
              </w:rPr>
              <w:t>Shelley Davidson and Richard Davidson</w:t>
            </w:r>
            <w:r w:rsidR="003C07E4" w:rsidRPr="00F21162">
              <w:rPr>
                <w:rStyle w:val="SCCLsocChar"/>
                <w:sz w:val="20"/>
                <w:szCs w:val="20"/>
                <w:lang w:val="en-CA"/>
              </w:rPr>
              <w:t xml:space="preserve"> v. </w:t>
            </w:r>
            <w:r w:rsidRPr="00F21162">
              <w:rPr>
                <w:rStyle w:val="SCCLsocChar"/>
                <w:sz w:val="20"/>
                <w:szCs w:val="20"/>
                <w:lang w:val="en-CA"/>
              </w:rPr>
              <w:t>1773907 Alberta Ltd.</w:t>
            </w:r>
            <w:r w:rsidR="003C07E4" w:rsidRPr="00F21162">
              <w:rPr>
                <w:sz w:val="20"/>
                <w:szCs w:val="20"/>
              </w:rPr>
              <w:t xml:space="preserve"> (</w:t>
            </w:r>
            <w:r w:rsidRPr="00F21162">
              <w:rPr>
                <w:sz w:val="20"/>
                <w:szCs w:val="20"/>
              </w:rPr>
              <w:t>Alta</w:t>
            </w:r>
            <w:r w:rsidR="003C07E4" w:rsidRPr="00F21162">
              <w:rPr>
                <w:sz w:val="20"/>
                <w:szCs w:val="20"/>
              </w:rPr>
              <w:t>.) (Civil) (By Leave)</w:t>
            </w:r>
          </w:p>
          <w:p w:rsidR="003C07E4" w:rsidRPr="00F21162" w:rsidRDefault="003C07E4" w:rsidP="000B23D3">
            <w:pPr>
              <w:rPr>
                <w:sz w:val="20"/>
                <w:szCs w:val="20"/>
              </w:rPr>
            </w:pPr>
          </w:p>
        </w:tc>
      </w:tr>
      <w:tr w:rsidR="003C07E4" w:rsidRPr="00F21162" w:rsidTr="000B23D3">
        <w:trPr>
          <w:cantSplit/>
        </w:trPr>
        <w:tc>
          <w:tcPr>
            <w:tcW w:w="1458" w:type="dxa"/>
          </w:tcPr>
          <w:p w:rsidR="003C07E4" w:rsidRPr="00F21162" w:rsidRDefault="003C07E4" w:rsidP="000B23D3">
            <w:pPr>
              <w:rPr>
                <w:sz w:val="20"/>
                <w:szCs w:val="20"/>
              </w:rPr>
            </w:pPr>
            <w:r w:rsidRPr="00F21162">
              <w:rPr>
                <w:sz w:val="20"/>
                <w:szCs w:val="20"/>
              </w:rPr>
              <w:t>Coram :</w:t>
            </w:r>
          </w:p>
        </w:tc>
        <w:tc>
          <w:tcPr>
            <w:tcW w:w="8118" w:type="dxa"/>
          </w:tcPr>
          <w:p w:rsidR="003C07E4" w:rsidRPr="00F21162" w:rsidRDefault="008545EF" w:rsidP="000B23D3">
            <w:pPr>
              <w:rPr>
                <w:sz w:val="20"/>
                <w:szCs w:val="20"/>
              </w:rPr>
            </w:pPr>
            <w:proofErr w:type="spellStart"/>
            <w:r w:rsidRPr="00F21162">
              <w:rPr>
                <w:rStyle w:val="SCCCoramChar"/>
                <w:sz w:val="20"/>
                <w:szCs w:val="20"/>
                <w:lang w:val="en-CA"/>
              </w:rPr>
              <w:t>McLachlin</w:t>
            </w:r>
            <w:proofErr w:type="spellEnd"/>
            <w:r w:rsidRPr="00F21162">
              <w:rPr>
                <w:rStyle w:val="SCCCoramChar"/>
                <w:sz w:val="20"/>
                <w:szCs w:val="20"/>
                <w:lang w:val="en-CA"/>
              </w:rPr>
              <w:t xml:space="preserve"> C.J. and</w:t>
            </w:r>
            <w:r w:rsidR="003C07E4" w:rsidRPr="00F21162">
              <w:rPr>
                <w:rStyle w:val="SCCCoramChar"/>
                <w:sz w:val="20"/>
                <w:szCs w:val="20"/>
                <w:lang w:val="en-CA"/>
              </w:rPr>
              <w:t xml:space="preserve"> </w:t>
            </w:r>
            <w:proofErr w:type="spellStart"/>
            <w:r w:rsidRPr="00F21162">
              <w:rPr>
                <w:rStyle w:val="SCCCoramChar"/>
                <w:sz w:val="20"/>
                <w:szCs w:val="20"/>
                <w:lang w:val="en-CA"/>
              </w:rPr>
              <w:t>Moldaver</w:t>
            </w:r>
            <w:proofErr w:type="spellEnd"/>
            <w:r w:rsidRPr="00F21162">
              <w:rPr>
                <w:rStyle w:val="SCCCoramChar"/>
                <w:sz w:val="20"/>
                <w:szCs w:val="20"/>
                <w:lang w:val="en-CA"/>
              </w:rPr>
              <w:t xml:space="preserve"> </w:t>
            </w:r>
            <w:r w:rsidR="003C07E4" w:rsidRPr="00F21162">
              <w:rPr>
                <w:rStyle w:val="SCCCoramChar"/>
                <w:sz w:val="20"/>
                <w:szCs w:val="20"/>
                <w:lang w:val="en-CA"/>
              </w:rPr>
              <w:t xml:space="preserve">and </w:t>
            </w:r>
            <w:proofErr w:type="spellStart"/>
            <w:r w:rsidRPr="00F21162">
              <w:rPr>
                <w:rStyle w:val="SCCCoramChar"/>
                <w:sz w:val="20"/>
                <w:szCs w:val="20"/>
                <w:lang w:val="en-CA"/>
              </w:rPr>
              <w:t>Gascon</w:t>
            </w:r>
            <w:proofErr w:type="spellEnd"/>
            <w:r w:rsidR="003C07E4" w:rsidRPr="00F21162">
              <w:rPr>
                <w:rStyle w:val="SCCCoramChar"/>
                <w:sz w:val="20"/>
                <w:szCs w:val="20"/>
                <w:lang w:val="en-CA"/>
              </w:rPr>
              <w:t xml:space="preserve"> JJ.</w:t>
            </w:r>
          </w:p>
          <w:p w:rsidR="003C07E4" w:rsidRPr="00F21162" w:rsidRDefault="003C07E4" w:rsidP="000B23D3">
            <w:pPr>
              <w:rPr>
                <w:sz w:val="20"/>
                <w:szCs w:val="20"/>
                <w:u w:val="single"/>
              </w:rPr>
            </w:pPr>
          </w:p>
        </w:tc>
      </w:tr>
      <w:tr w:rsidR="003C07E4" w:rsidRPr="00F21162" w:rsidTr="000B23D3">
        <w:trPr>
          <w:cantSplit/>
        </w:trPr>
        <w:tc>
          <w:tcPr>
            <w:tcW w:w="9576" w:type="dxa"/>
            <w:gridSpan w:val="2"/>
          </w:tcPr>
          <w:p w:rsidR="003C07E4" w:rsidRPr="00F21162" w:rsidRDefault="00FB7B65" w:rsidP="000B23D3">
            <w:pPr>
              <w:pStyle w:val="SCCShortJudgment"/>
              <w:rPr>
                <w:szCs w:val="20"/>
                <w:lang w:val="fr-CA"/>
              </w:rPr>
            </w:pPr>
            <w:r w:rsidRPr="00F21162">
              <w:t>The application for leave to appeal from the judgment of the</w:t>
            </w:r>
            <w:bookmarkStart w:id="1" w:name="BM_1_"/>
            <w:bookmarkEnd w:id="1"/>
            <w:r w:rsidRPr="00F21162">
              <w:t xml:space="preserve"> Court of Appeal of Alberta (Calgary), Number 1401-0081-AC, 2015 ABCA 150, dated May 1, 2015, is dismissed with costs.</w:t>
            </w:r>
          </w:p>
          <w:p w:rsidR="003C07E4" w:rsidRPr="00F21162" w:rsidRDefault="003C07E4" w:rsidP="000B23D3">
            <w:pPr>
              <w:pStyle w:val="SCCShortJudgment"/>
              <w:rPr>
                <w:szCs w:val="20"/>
                <w:lang w:val="fr-CA"/>
              </w:rPr>
            </w:pPr>
          </w:p>
          <w:p w:rsidR="003C07E4" w:rsidRPr="00F21162" w:rsidRDefault="00FB7B65" w:rsidP="00FB7B65">
            <w:pPr>
              <w:pStyle w:val="SCCShortJudgment"/>
              <w:rPr>
                <w:szCs w:val="20"/>
              </w:rPr>
            </w:pPr>
            <w:r w:rsidRPr="00F21162">
              <w:rPr>
                <w:lang w:val="fr-CA"/>
              </w:rPr>
              <w:t xml:space="preserve">La demande d’autorisation d’appel de l’arrêt de la </w:t>
            </w:r>
            <w:r w:rsidRPr="00F21162">
              <w:rPr>
                <w:lang w:val="fr-FR"/>
              </w:rPr>
              <w:t>Cour d’appel de l’Alberta (Calgary)</w:t>
            </w:r>
            <w:r w:rsidRPr="00F21162">
              <w:rPr>
                <w:lang w:val="fr-CA"/>
              </w:rPr>
              <w:t xml:space="preserve">, numéro </w:t>
            </w:r>
            <w:r w:rsidRPr="00F21162">
              <w:rPr>
                <w:lang w:val="fr-FR"/>
              </w:rPr>
              <w:t>1401-0081-AC, 2015 ABCA 150</w:t>
            </w:r>
            <w:r w:rsidRPr="00F21162">
              <w:rPr>
                <w:lang w:val="fr-CA"/>
              </w:rPr>
              <w:t xml:space="preserve">, daté du </w:t>
            </w:r>
            <w:r w:rsidRPr="00F21162">
              <w:rPr>
                <w:lang w:val="fr-FR"/>
              </w:rPr>
              <w:t>1 mai 2015</w:t>
            </w:r>
            <w:r w:rsidRPr="00F21162">
              <w:rPr>
                <w:lang w:val="fr-CA"/>
              </w:rPr>
              <w:t>, est rejet</w:t>
            </w:r>
            <w:r w:rsidRPr="00F21162">
              <w:rPr>
                <w:rFonts w:cs="Times New Roman"/>
                <w:lang w:val="fr-CA"/>
              </w:rPr>
              <w:t>é</w:t>
            </w:r>
            <w:r w:rsidRPr="00F21162">
              <w:rPr>
                <w:lang w:val="fr-CA"/>
              </w:rPr>
              <w:t>e avec d</w:t>
            </w:r>
            <w:r w:rsidRPr="00F21162">
              <w:rPr>
                <w:rFonts w:cs="Times New Roman"/>
                <w:lang w:val="fr-CA"/>
              </w:rPr>
              <w:t>é</w:t>
            </w:r>
            <w:r w:rsidRPr="00F21162">
              <w:rPr>
                <w:lang w:val="fr-CA"/>
              </w:rPr>
              <w:t>pens.</w:t>
            </w:r>
          </w:p>
        </w:tc>
      </w:tr>
    </w:tbl>
    <w:p w:rsidR="003C07E4" w:rsidRPr="00F21162" w:rsidRDefault="003C07E4" w:rsidP="003C07E4">
      <w:pPr>
        <w:rPr>
          <w:sz w:val="20"/>
          <w:szCs w:val="20"/>
          <w:u w:val="single"/>
        </w:rPr>
      </w:pPr>
      <w:r w:rsidRPr="00F21162">
        <w:rPr>
          <w:sz w:val="20"/>
          <w:szCs w:val="20"/>
          <w:u w:val="single"/>
        </w:rPr>
        <w:t>CASE SUMMARY</w:t>
      </w:r>
    </w:p>
    <w:p w:rsidR="003C07E4" w:rsidRPr="00F21162" w:rsidRDefault="003C07E4" w:rsidP="003C07E4">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3C07E4" w:rsidRPr="00F21162" w:rsidTr="000B23D3">
        <w:tc>
          <w:tcPr>
            <w:tcW w:w="5000" w:type="pct"/>
            <w:gridSpan w:val="3"/>
          </w:tcPr>
          <w:p w:rsidR="003C07E4" w:rsidRPr="00F21162" w:rsidRDefault="00564431" w:rsidP="000B23D3">
            <w:pPr>
              <w:jc w:val="both"/>
              <w:rPr>
                <w:sz w:val="20"/>
                <w:szCs w:val="20"/>
              </w:rPr>
            </w:pPr>
            <w:r w:rsidRPr="00F21162">
              <w:rPr>
                <w:sz w:val="20"/>
                <w:szCs w:val="20"/>
              </w:rPr>
              <w:t xml:space="preserve">Civil Procedure – Parties – Substitution – </w:t>
            </w:r>
            <w:proofErr w:type="spellStart"/>
            <w:r w:rsidRPr="00F21162">
              <w:rPr>
                <w:sz w:val="20"/>
                <w:szCs w:val="20"/>
              </w:rPr>
              <w:t>Champerty</w:t>
            </w:r>
            <w:proofErr w:type="spellEnd"/>
            <w:r w:rsidRPr="00F21162">
              <w:rPr>
                <w:sz w:val="20"/>
                <w:szCs w:val="20"/>
              </w:rPr>
              <w:t xml:space="preserve"> and Maintenance – In what circumstances is an assignment of a cause of action permitted?</w:t>
            </w:r>
          </w:p>
          <w:p w:rsidR="00564431" w:rsidRPr="00F21162" w:rsidRDefault="00564431" w:rsidP="000B23D3">
            <w:pPr>
              <w:jc w:val="both"/>
              <w:rPr>
                <w:rFonts w:eastAsia="Calibri"/>
                <w:sz w:val="20"/>
                <w:szCs w:val="20"/>
              </w:rPr>
            </w:pPr>
          </w:p>
        </w:tc>
      </w:tr>
      <w:tr w:rsidR="003C07E4" w:rsidRPr="00F21162" w:rsidTr="000B23D3">
        <w:tc>
          <w:tcPr>
            <w:tcW w:w="5000" w:type="pct"/>
            <w:gridSpan w:val="3"/>
          </w:tcPr>
          <w:p w:rsidR="00564431" w:rsidRPr="00F21162" w:rsidRDefault="00564431" w:rsidP="00564431">
            <w:pPr>
              <w:jc w:val="both"/>
              <w:rPr>
                <w:rFonts w:eastAsia="Times New Roman" w:cs="Times New Roman"/>
                <w:sz w:val="20"/>
                <w:szCs w:val="20"/>
                <w:lang w:eastAsia="en-CA"/>
              </w:rPr>
            </w:pPr>
            <w:r w:rsidRPr="00F21162">
              <w:rPr>
                <w:rFonts w:eastAsia="Times New Roman" w:cs="Times New Roman"/>
                <w:sz w:val="20"/>
                <w:szCs w:val="20"/>
                <w:lang w:eastAsia="en-CA"/>
              </w:rPr>
              <w:t xml:space="preserve">The applicant Shelley Davidson is a former employee of Silverado Oilfield Ventures Ltd (Silverado). Silverado alleged that while employed as the company’s Financial Administrative Manager, Davidson defrauded the company of $1.5 million. Silverado sued Davidson and her husband to recover the funds it says were fraudulently taken. </w:t>
            </w:r>
          </w:p>
          <w:p w:rsidR="00564431" w:rsidRPr="00F21162" w:rsidRDefault="00564431" w:rsidP="00564431">
            <w:pPr>
              <w:jc w:val="both"/>
              <w:rPr>
                <w:rFonts w:eastAsia="Times New Roman" w:cs="Times New Roman"/>
                <w:sz w:val="20"/>
                <w:szCs w:val="20"/>
                <w:lang w:eastAsia="en-CA"/>
              </w:rPr>
            </w:pPr>
          </w:p>
          <w:p w:rsidR="003C07E4" w:rsidRPr="00F21162" w:rsidRDefault="00564431" w:rsidP="00564431">
            <w:pPr>
              <w:jc w:val="both"/>
              <w:rPr>
                <w:rFonts w:eastAsia="Times New Roman" w:cs="Times New Roman"/>
                <w:sz w:val="20"/>
                <w:szCs w:val="20"/>
                <w:lang w:eastAsia="en-CA"/>
              </w:rPr>
            </w:pPr>
            <w:r w:rsidRPr="00F21162">
              <w:rPr>
                <w:rFonts w:eastAsia="Times New Roman" w:cs="Times New Roman"/>
                <w:sz w:val="20"/>
                <w:szCs w:val="20"/>
                <w:lang w:eastAsia="en-CA"/>
              </w:rPr>
              <w:t xml:space="preserve">Before this action was prosecuted, Silverado went into receivership. A receiver was appointed pursuant to the terms of the bank’s security agreement. The assets of Silverado, including the action, were seized by the receiver. The receiver negotiated the sale of Silverado’s assets, including the action, to the respondent numbered company (177 Ltd.). The sale was subject to court approval. 177 Ltd. is owned by the parents of the wife of the former CEO of Silverado. Court approval was granted and shortly thereafter notice of the assignment of the action was given to the applicants. Upon being notified of the assignment, the applicants applied for an order striking 177 </w:t>
            </w:r>
            <w:proofErr w:type="spellStart"/>
            <w:r w:rsidRPr="00F21162">
              <w:rPr>
                <w:rFonts w:eastAsia="Times New Roman" w:cs="Times New Roman"/>
                <w:sz w:val="20"/>
                <w:szCs w:val="20"/>
                <w:lang w:eastAsia="en-CA"/>
              </w:rPr>
              <w:t>Ltd’s</w:t>
            </w:r>
            <w:proofErr w:type="spellEnd"/>
            <w:r w:rsidRPr="00F21162">
              <w:rPr>
                <w:rFonts w:eastAsia="Times New Roman" w:cs="Times New Roman"/>
                <w:sz w:val="20"/>
                <w:szCs w:val="20"/>
                <w:lang w:eastAsia="en-CA"/>
              </w:rPr>
              <w:t xml:space="preserve"> claim against them. The case management judge found that the assignment of the action from Silverado to 177 Ltd was tainted by </w:t>
            </w:r>
            <w:proofErr w:type="spellStart"/>
            <w:r w:rsidRPr="00F21162">
              <w:rPr>
                <w:rFonts w:eastAsia="Times New Roman" w:cs="Times New Roman"/>
                <w:sz w:val="20"/>
                <w:szCs w:val="20"/>
                <w:lang w:eastAsia="en-CA"/>
              </w:rPr>
              <w:t>champerty</w:t>
            </w:r>
            <w:proofErr w:type="spellEnd"/>
            <w:r w:rsidRPr="00F21162">
              <w:rPr>
                <w:rFonts w:eastAsia="Times New Roman" w:cs="Times New Roman"/>
                <w:sz w:val="20"/>
                <w:szCs w:val="20"/>
                <w:lang w:eastAsia="en-CA"/>
              </w:rPr>
              <w:t xml:space="preserve"> and maintenance. The application to strike was granted. The appeal was allowed.</w:t>
            </w:r>
          </w:p>
          <w:p w:rsidR="00564431" w:rsidRPr="00F21162" w:rsidRDefault="00564431" w:rsidP="00564431">
            <w:pPr>
              <w:jc w:val="both"/>
              <w:rPr>
                <w:rFonts w:eastAsia="Calibri"/>
                <w:sz w:val="20"/>
              </w:rPr>
            </w:pPr>
          </w:p>
        </w:tc>
      </w:tr>
      <w:tr w:rsidR="003C07E4" w:rsidRPr="00F21162" w:rsidTr="000B23D3">
        <w:trPr>
          <w:cantSplit/>
        </w:trPr>
        <w:tc>
          <w:tcPr>
            <w:tcW w:w="2427" w:type="pct"/>
          </w:tcPr>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April 11, 2014</w:t>
            </w:r>
          </w:p>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Court of Queen’s Bench of Alberta</w:t>
            </w:r>
          </w:p>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(Romaine J.)</w:t>
            </w:r>
          </w:p>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 xml:space="preserve">Neutral citation: </w:t>
            </w:r>
            <w:hyperlink r:id="rId40" w:history="1">
              <w:r w:rsidRPr="00F21162">
                <w:rPr>
                  <w:rFonts w:eastAsia="Times New Roman" w:cs="Times New Roman"/>
                  <w:color w:val="0000FF" w:themeColor="hyperlink"/>
                  <w:sz w:val="20"/>
                  <w:szCs w:val="20"/>
                  <w:u w:val="single"/>
                  <w:lang w:eastAsia="en-CA"/>
                </w:rPr>
                <w:t>2014 ABQB 218</w:t>
              </w:r>
            </w:hyperlink>
          </w:p>
          <w:p w:rsidR="003C07E4" w:rsidRPr="00F21162" w:rsidRDefault="003C07E4" w:rsidP="000B23D3">
            <w:pPr>
              <w:jc w:val="both"/>
              <w:rPr>
                <w:rFonts w:eastAsia="Calibri"/>
                <w:sz w:val="20"/>
              </w:rPr>
            </w:pPr>
          </w:p>
        </w:tc>
        <w:tc>
          <w:tcPr>
            <w:tcW w:w="243" w:type="pct"/>
          </w:tcPr>
          <w:p w:rsidR="003C07E4" w:rsidRPr="00F21162" w:rsidRDefault="003C07E4" w:rsidP="000B23D3">
            <w:pPr>
              <w:jc w:val="both"/>
              <w:rPr>
                <w:rFonts w:eastAsia="Calibri"/>
                <w:sz w:val="20"/>
              </w:rPr>
            </w:pPr>
          </w:p>
        </w:tc>
        <w:tc>
          <w:tcPr>
            <w:tcW w:w="2330" w:type="pct"/>
          </w:tcPr>
          <w:p w:rsidR="002E3F55" w:rsidRPr="00F21162" w:rsidRDefault="002E3F55" w:rsidP="002E3F55">
            <w:pPr>
              <w:jc w:val="both"/>
              <w:rPr>
                <w:rFonts w:eastAsia="Times New Roman" w:cs="Times New Roman"/>
                <w:sz w:val="20"/>
                <w:szCs w:val="20"/>
                <w:lang w:eastAsia="en-CA"/>
              </w:rPr>
            </w:pPr>
            <w:r w:rsidRPr="00F21162">
              <w:rPr>
                <w:rFonts w:eastAsia="Times New Roman" w:cs="Times New Roman"/>
                <w:sz w:val="20"/>
                <w:szCs w:val="20"/>
                <w:lang w:eastAsia="en-CA"/>
              </w:rPr>
              <w:t xml:space="preserve">Application to lift the stay and substitute 1773907 as the new plaintiff allowed. Action is struck as abuse of process as assignment of the action is tainted by </w:t>
            </w:r>
            <w:proofErr w:type="spellStart"/>
            <w:r w:rsidRPr="00F21162">
              <w:rPr>
                <w:rFonts w:eastAsia="Times New Roman" w:cs="Times New Roman"/>
                <w:sz w:val="20"/>
                <w:szCs w:val="20"/>
                <w:lang w:eastAsia="en-CA"/>
              </w:rPr>
              <w:t>champerty</w:t>
            </w:r>
            <w:proofErr w:type="spellEnd"/>
            <w:r w:rsidRPr="00F21162">
              <w:rPr>
                <w:rFonts w:eastAsia="Times New Roman" w:cs="Times New Roman"/>
                <w:sz w:val="20"/>
                <w:szCs w:val="20"/>
                <w:lang w:eastAsia="en-CA"/>
              </w:rPr>
              <w:t xml:space="preserve"> and maintenance.</w:t>
            </w:r>
          </w:p>
          <w:p w:rsidR="003C07E4" w:rsidRPr="00F21162" w:rsidRDefault="003C07E4" w:rsidP="000B23D3">
            <w:pPr>
              <w:jc w:val="both"/>
              <w:rPr>
                <w:rFonts w:eastAsia="Calibri"/>
                <w:sz w:val="20"/>
              </w:rPr>
            </w:pPr>
          </w:p>
        </w:tc>
      </w:tr>
      <w:tr w:rsidR="003C07E4" w:rsidRPr="00F21162" w:rsidTr="000B23D3">
        <w:trPr>
          <w:cantSplit/>
        </w:trPr>
        <w:tc>
          <w:tcPr>
            <w:tcW w:w="2427" w:type="pct"/>
          </w:tcPr>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May 1, 2015</w:t>
            </w:r>
          </w:p>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Court of Appeal of Alberta (Calgary)</w:t>
            </w:r>
          </w:p>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 xml:space="preserve">(Berger, </w:t>
            </w:r>
            <w:proofErr w:type="spellStart"/>
            <w:r w:rsidRPr="00F21162">
              <w:rPr>
                <w:rFonts w:eastAsia="Times New Roman" w:cs="Times New Roman"/>
                <w:sz w:val="20"/>
                <w:szCs w:val="20"/>
                <w:lang w:eastAsia="en-CA"/>
              </w:rPr>
              <w:t>O'Ferrall</w:t>
            </w:r>
            <w:proofErr w:type="spellEnd"/>
            <w:r w:rsidRPr="00F21162">
              <w:rPr>
                <w:rFonts w:eastAsia="Times New Roman" w:cs="Times New Roman"/>
                <w:sz w:val="20"/>
                <w:szCs w:val="20"/>
                <w:lang w:eastAsia="en-CA"/>
              </w:rPr>
              <w:t xml:space="preserve"> and Jeffrey JJ.A.)</w:t>
            </w:r>
          </w:p>
          <w:p w:rsidR="002E3F55" w:rsidRPr="00F21162" w:rsidRDefault="002E3F55" w:rsidP="002E3F55">
            <w:pPr>
              <w:rPr>
                <w:rFonts w:eastAsia="Times New Roman" w:cs="Times New Roman"/>
                <w:sz w:val="20"/>
                <w:szCs w:val="20"/>
                <w:lang w:eastAsia="en-CA"/>
              </w:rPr>
            </w:pPr>
            <w:r w:rsidRPr="00F21162">
              <w:rPr>
                <w:rFonts w:eastAsia="Times New Roman" w:cs="Times New Roman"/>
                <w:sz w:val="20"/>
                <w:szCs w:val="20"/>
                <w:lang w:eastAsia="en-CA"/>
              </w:rPr>
              <w:t xml:space="preserve">Neutral citation: </w:t>
            </w:r>
            <w:hyperlink r:id="rId41" w:history="1">
              <w:r w:rsidRPr="00F21162">
                <w:rPr>
                  <w:rFonts w:eastAsia="Times New Roman" w:cs="Times New Roman"/>
                  <w:color w:val="0000FF" w:themeColor="hyperlink"/>
                  <w:sz w:val="20"/>
                  <w:szCs w:val="20"/>
                  <w:u w:val="single"/>
                  <w:lang w:eastAsia="en-CA"/>
                </w:rPr>
                <w:t>2015 ABCA 150</w:t>
              </w:r>
            </w:hyperlink>
          </w:p>
          <w:p w:rsidR="003C07E4" w:rsidRPr="00F21162" w:rsidRDefault="003C07E4" w:rsidP="000B23D3">
            <w:pPr>
              <w:jc w:val="both"/>
              <w:rPr>
                <w:rFonts w:eastAsia="Calibri"/>
                <w:sz w:val="20"/>
              </w:rPr>
            </w:pPr>
          </w:p>
        </w:tc>
        <w:tc>
          <w:tcPr>
            <w:tcW w:w="243" w:type="pct"/>
          </w:tcPr>
          <w:p w:rsidR="003C07E4" w:rsidRPr="00F21162" w:rsidRDefault="003C07E4" w:rsidP="000B23D3">
            <w:pPr>
              <w:jc w:val="both"/>
              <w:rPr>
                <w:rFonts w:eastAsia="Calibri"/>
                <w:sz w:val="20"/>
              </w:rPr>
            </w:pPr>
          </w:p>
        </w:tc>
        <w:tc>
          <w:tcPr>
            <w:tcW w:w="2330" w:type="pct"/>
          </w:tcPr>
          <w:p w:rsidR="003C07E4" w:rsidRPr="00F21162" w:rsidRDefault="003C07E4" w:rsidP="002E3F55">
            <w:pPr>
              <w:jc w:val="both"/>
              <w:rPr>
                <w:rFonts w:eastAsia="Calibri"/>
                <w:sz w:val="20"/>
              </w:rPr>
            </w:pPr>
            <w:r w:rsidRPr="00F21162">
              <w:rPr>
                <w:sz w:val="20"/>
                <w:szCs w:val="20"/>
              </w:rPr>
              <w:t>Appeal allowed</w:t>
            </w:r>
            <w:r w:rsidR="002E3F55" w:rsidRPr="00F21162">
              <w:rPr>
                <w:sz w:val="20"/>
                <w:szCs w:val="20"/>
              </w:rPr>
              <w:t>.</w:t>
            </w:r>
          </w:p>
        </w:tc>
      </w:tr>
      <w:tr w:rsidR="003C07E4" w:rsidRPr="00F21162" w:rsidTr="000B23D3">
        <w:trPr>
          <w:cantSplit/>
        </w:trPr>
        <w:tc>
          <w:tcPr>
            <w:tcW w:w="2427" w:type="pct"/>
          </w:tcPr>
          <w:p w:rsidR="003C07E4" w:rsidRPr="00F21162" w:rsidRDefault="002E3F55" w:rsidP="000B23D3">
            <w:pPr>
              <w:jc w:val="both"/>
              <w:rPr>
                <w:rFonts w:eastAsia="Calibri"/>
                <w:sz w:val="20"/>
              </w:rPr>
            </w:pPr>
            <w:r w:rsidRPr="00F21162">
              <w:rPr>
                <w:rFonts w:eastAsia="Calibri"/>
                <w:sz w:val="20"/>
              </w:rPr>
              <w:t>June 30</w:t>
            </w:r>
            <w:r w:rsidR="003C07E4" w:rsidRPr="00F21162">
              <w:rPr>
                <w:rFonts w:eastAsia="Calibri"/>
                <w:sz w:val="20"/>
              </w:rPr>
              <w:t>, 2015</w:t>
            </w:r>
          </w:p>
          <w:p w:rsidR="003C07E4" w:rsidRPr="00F21162" w:rsidRDefault="003C07E4" w:rsidP="000B23D3">
            <w:pPr>
              <w:jc w:val="both"/>
              <w:rPr>
                <w:rFonts w:eastAsia="Calibri"/>
                <w:sz w:val="20"/>
              </w:rPr>
            </w:pPr>
            <w:r w:rsidRPr="00F21162">
              <w:rPr>
                <w:rFonts w:eastAsia="Calibri"/>
                <w:sz w:val="20"/>
              </w:rPr>
              <w:t>Supreme Court of Canada</w:t>
            </w:r>
          </w:p>
        </w:tc>
        <w:tc>
          <w:tcPr>
            <w:tcW w:w="243" w:type="pct"/>
          </w:tcPr>
          <w:p w:rsidR="003C07E4" w:rsidRPr="00F21162" w:rsidRDefault="003C07E4" w:rsidP="000B23D3">
            <w:pPr>
              <w:jc w:val="both"/>
              <w:rPr>
                <w:rFonts w:eastAsia="Calibri"/>
                <w:sz w:val="20"/>
              </w:rPr>
            </w:pPr>
          </w:p>
        </w:tc>
        <w:tc>
          <w:tcPr>
            <w:tcW w:w="2330" w:type="pct"/>
          </w:tcPr>
          <w:p w:rsidR="003C07E4" w:rsidRPr="00F21162" w:rsidRDefault="003C07E4" w:rsidP="000B23D3">
            <w:pPr>
              <w:jc w:val="both"/>
              <w:rPr>
                <w:rFonts w:eastAsia="Calibri"/>
                <w:sz w:val="20"/>
              </w:rPr>
            </w:pPr>
            <w:r w:rsidRPr="00F21162">
              <w:rPr>
                <w:rFonts w:eastAsia="Calibri"/>
                <w:sz w:val="20"/>
              </w:rPr>
              <w:t>Application for leave to appeal filed</w:t>
            </w:r>
          </w:p>
        </w:tc>
      </w:tr>
    </w:tbl>
    <w:p w:rsidR="003C07E4" w:rsidRPr="00F21162" w:rsidRDefault="003C07E4" w:rsidP="003C07E4">
      <w:pPr>
        <w:rPr>
          <w:sz w:val="20"/>
          <w:szCs w:val="20"/>
        </w:rPr>
      </w:pPr>
    </w:p>
    <w:p w:rsidR="003C07E4" w:rsidRPr="00F21162" w:rsidRDefault="00B150CF" w:rsidP="003C07E4">
      <w:pPr>
        <w:rPr>
          <w:sz w:val="20"/>
          <w:szCs w:val="20"/>
        </w:rPr>
      </w:pPr>
      <w:r>
        <w:rPr>
          <w:sz w:val="20"/>
          <w:szCs w:val="20"/>
          <w:lang w:val="fr-CA"/>
        </w:rPr>
        <w:pict>
          <v:rect id="_x0000_i1039" style="width:2in;height:1pt" o:hrpct="0" o:hralign="center" o:hrstd="t" o:hrnoshade="t" o:hr="t" fillcolor="black [3213]" stroked="f"/>
        </w:pict>
      </w:r>
    </w:p>
    <w:p w:rsidR="003C07E4" w:rsidRPr="00F21162" w:rsidRDefault="003C07E4" w:rsidP="003C07E4">
      <w:pPr>
        <w:rPr>
          <w:sz w:val="20"/>
          <w:szCs w:val="20"/>
        </w:rPr>
      </w:pPr>
    </w:p>
    <w:p w:rsidR="003C07E4" w:rsidRPr="00F21162" w:rsidRDefault="003C07E4" w:rsidP="003C07E4">
      <w:pPr>
        <w:rPr>
          <w:sz w:val="20"/>
          <w:szCs w:val="20"/>
          <w:u w:val="single"/>
          <w:lang w:val="fr-CA"/>
        </w:rPr>
      </w:pPr>
      <w:r w:rsidRPr="00F21162">
        <w:rPr>
          <w:sz w:val="20"/>
          <w:szCs w:val="20"/>
          <w:u w:val="single"/>
          <w:lang w:val="fr-CA"/>
        </w:rPr>
        <w:t>RÉSUMÉ DE L’AFFAIRE</w:t>
      </w:r>
    </w:p>
    <w:p w:rsidR="003C07E4" w:rsidRPr="00F21162" w:rsidRDefault="003C07E4" w:rsidP="003C07E4">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3C07E4" w:rsidRPr="00F21162" w:rsidTr="000B23D3">
        <w:tc>
          <w:tcPr>
            <w:tcW w:w="5000" w:type="pct"/>
            <w:gridSpan w:val="3"/>
          </w:tcPr>
          <w:p w:rsidR="003C07E4" w:rsidRPr="00F21162" w:rsidRDefault="000C36D9" w:rsidP="000B23D3">
            <w:pPr>
              <w:jc w:val="both"/>
              <w:rPr>
                <w:sz w:val="20"/>
                <w:szCs w:val="20"/>
                <w:lang w:val="fr-CA"/>
              </w:rPr>
            </w:pPr>
            <w:r w:rsidRPr="00F21162">
              <w:rPr>
                <w:sz w:val="20"/>
                <w:szCs w:val="20"/>
                <w:lang w:val="fr-CA"/>
              </w:rPr>
              <w:t xml:space="preserve">Procédure civile – Parties – Substitution - </w:t>
            </w:r>
            <w:proofErr w:type="spellStart"/>
            <w:r w:rsidRPr="00F21162">
              <w:rPr>
                <w:sz w:val="20"/>
                <w:szCs w:val="20"/>
                <w:lang w:val="fr-CA"/>
              </w:rPr>
              <w:t>Champartie</w:t>
            </w:r>
            <w:proofErr w:type="spellEnd"/>
            <w:r w:rsidRPr="00F21162">
              <w:rPr>
                <w:sz w:val="20"/>
                <w:szCs w:val="20"/>
                <w:lang w:val="fr-CA"/>
              </w:rPr>
              <w:t xml:space="preserve"> et soutien abusif – Dans quelles situations la cession d’une cause d’action est-elle permise?</w:t>
            </w:r>
          </w:p>
          <w:p w:rsidR="000C36D9" w:rsidRPr="00F21162" w:rsidRDefault="000C36D9" w:rsidP="000B23D3">
            <w:pPr>
              <w:jc w:val="both"/>
              <w:rPr>
                <w:rFonts w:eastAsia="Calibri"/>
                <w:sz w:val="20"/>
                <w:szCs w:val="20"/>
                <w:lang w:val="fr-CA"/>
              </w:rPr>
            </w:pPr>
          </w:p>
        </w:tc>
      </w:tr>
      <w:tr w:rsidR="003C07E4" w:rsidRPr="00F21162" w:rsidTr="000B23D3">
        <w:tc>
          <w:tcPr>
            <w:tcW w:w="5000" w:type="pct"/>
            <w:gridSpan w:val="3"/>
          </w:tcPr>
          <w:p w:rsidR="000C36D9" w:rsidRPr="00F21162" w:rsidRDefault="000C36D9" w:rsidP="000C36D9">
            <w:pPr>
              <w:jc w:val="both"/>
              <w:rPr>
                <w:rFonts w:eastAsia="Times New Roman" w:cs="Times New Roman"/>
                <w:sz w:val="20"/>
                <w:szCs w:val="20"/>
                <w:lang w:val="fr-CA" w:eastAsia="en-CA"/>
              </w:rPr>
            </w:pPr>
            <w:r w:rsidRPr="00F21162">
              <w:rPr>
                <w:rFonts w:eastAsia="Times New Roman" w:cs="Times New Roman"/>
                <w:sz w:val="20"/>
                <w:szCs w:val="20"/>
                <w:lang w:val="fr-CA" w:eastAsia="en-CA"/>
              </w:rPr>
              <w:t xml:space="preserve">La demanderesse Shelley Davidson est une ancienne employée de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w:t>
            </w:r>
            <w:proofErr w:type="spellStart"/>
            <w:r w:rsidRPr="00F21162">
              <w:rPr>
                <w:rFonts w:eastAsia="Times New Roman" w:cs="Times New Roman"/>
                <w:sz w:val="20"/>
                <w:szCs w:val="20"/>
                <w:lang w:val="fr-CA" w:eastAsia="en-CA"/>
              </w:rPr>
              <w:t>Oilfield</w:t>
            </w:r>
            <w:proofErr w:type="spellEnd"/>
            <w:r w:rsidRPr="00F21162">
              <w:rPr>
                <w:rFonts w:eastAsia="Times New Roman" w:cs="Times New Roman"/>
                <w:sz w:val="20"/>
                <w:szCs w:val="20"/>
                <w:lang w:val="fr-CA" w:eastAsia="en-CA"/>
              </w:rPr>
              <w:t xml:space="preserve"> Ventures Ltd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Selon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pendant que Mme Davidson était au service de la compagnie à titre de directrice administrative, Finances, elle aurait commis une fraude de 1,5 million de dollars à l’endroit de la compagnie.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a poursuivi Mme Davidson et son époux pour recouvrer les sommes d’argent qui auraient été frauduleusement prises. </w:t>
            </w:r>
          </w:p>
          <w:p w:rsidR="000C36D9" w:rsidRPr="00F21162" w:rsidRDefault="000C36D9" w:rsidP="000C36D9">
            <w:pPr>
              <w:jc w:val="both"/>
              <w:rPr>
                <w:rFonts w:eastAsia="Times New Roman" w:cs="Times New Roman"/>
                <w:sz w:val="20"/>
                <w:szCs w:val="20"/>
                <w:lang w:val="fr-CA" w:eastAsia="en-CA"/>
              </w:rPr>
            </w:pPr>
          </w:p>
          <w:p w:rsidR="003C07E4" w:rsidRPr="00F21162" w:rsidRDefault="000C36D9" w:rsidP="000C36D9">
            <w:pPr>
              <w:jc w:val="both"/>
              <w:rPr>
                <w:rFonts w:eastAsia="Times New Roman" w:cs="Times New Roman"/>
                <w:sz w:val="20"/>
                <w:szCs w:val="20"/>
                <w:lang w:val="fr-CA" w:eastAsia="en-CA"/>
              </w:rPr>
            </w:pPr>
            <w:r w:rsidRPr="00F21162">
              <w:rPr>
                <w:rFonts w:eastAsia="Times New Roman" w:cs="Times New Roman"/>
                <w:sz w:val="20"/>
                <w:szCs w:val="20"/>
                <w:lang w:val="fr-CA" w:eastAsia="en-CA"/>
              </w:rPr>
              <w:t xml:space="preserve">Avant l’instruction de l’action,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a été mise sous séquestre. Un séquestre a été nommé en exécution des conditions du contrat de sûreté de la banque. Le séquestre a saisi les biens de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y compris l’action. Le séquestre a négocié la vente des biens de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y compris l’action, à la société à dénomination numérique intimée (177 Ltd.). La vente était assujettie à l’approbation du tribunal. La société 177 Ltd. appartient aux parents de l’épouse de l’ancien directeur général de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Le tribunal a approuvé la vente et, peu de temps après, un avis de la cession de l’action a été donné aux demandeurs. Dès qu’ils ont été avisés de la cession, les demandeurs ont sollicité une ordonnance en radiation de la demande de 177 Ltd. contre eux. Le juge responsable de la gestion de l’instance a conclu que la cession de l’action de </w:t>
            </w:r>
            <w:proofErr w:type="spellStart"/>
            <w:r w:rsidRPr="00F21162">
              <w:rPr>
                <w:rFonts w:eastAsia="Times New Roman" w:cs="Times New Roman"/>
                <w:sz w:val="20"/>
                <w:szCs w:val="20"/>
                <w:lang w:val="fr-CA" w:eastAsia="en-CA"/>
              </w:rPr>
              <w:t>Silverado</w:t>
            </w:r>
            <w:proofErr w:type="spellEnd"/>
            <w:r w:rsidRPr="00F21162">
              <w:rPr>
                <w:rFonts w:eastAsia="Times New Roman" w:cs="Times New Roman"/>
                <w:sz w:val="20"/>
                <w:szCs w:val="20"/>
                <w:lang w:val="fr-CA" w:eastAsia="en-CA"/>
              </w:rPr>
              <w:t xml:space="preserve"> à 177 Ltd était entachée pour cause de </w:t>
            </w:r>
            <w:proofErr w:type="spellStart"/>
            <w:r w:rsidRPr="00F21162">
              <w:rPr>
                <w:rFonts w:eastAsia="Times New Roman" w:cs="Times New Roman"/>
                <w:sz w:val="20"/>
                <w:szCs w:val="20"/>
                <w:lang w:val="fr-CA" w:eastAsia="en-CA"/>
              </w:rPr>
              <w:t>champartie</w:t>
            </w:r>
            <w:proofErr w:type="spellEnd"/>
            <w:r w:rsidRPr="00F21162">
              <w:rPr>
                <w:rFonts w:eastAsia="Times New Roman" w:cs="Times New Roman"/>
                <w:sz w:val="20"/>
                <w:szCs w:val="20"/>
                <w:lang w:val="fr-CA" w:eastAsia="en-CA"/>
              </w:rPr>
              <w:t xml:space="preserve"> et de soutien abusif. La requête en radiation a été accueillie. L’appel a été accueilli.</w:t>
            </w:r>
          </w:p>
          <w:p w:rsidR="000C36D9" w:rsidRPr="00F21162" w:rsidRDefault="000C36D9" w:rsidP="000C36D9">
            <w:pPr>
              <w:jc w:val="both"/>
              <w:rPr>
                <w:sz w:val="20"/>
                <w:lang w:val="fr-CA"/>
              </w:rPr>
            </w:pPr>
          </w:p>
        </w:tc>
      </w:tr>
      <w:tr w:rsidR="003C07E4" w:rsidRPr="00F21162" w:rsidTr="000B23D3">
        <w:trPr>
          <w:cantSplit/>
        </w:trPr>
        <w:tc>
          <w:tcPr>
            <w:tcW w:w="2427" w:type="pct"/>
          </w:tcPr>
          <w:p w:rsidR="002A38F6" w:rsidRPr="00F21162" w:rsidRDefault="002A38F6" w:rsidP="002A38F6">
            <w:pPr>
              <w:rPr>
                <w:rFonts w:eastAsia="Times New Roman" w:cs="Times New Roman"/>
                <w:sz w:val="20"/>
                <w:szCs w:val="20"/>
                <w:lang w:val="fr-CA" w:eastAsia="en-CA"/>
              </w:rPr>
            </w:pPr>
            <w:r w:rsidRPr="00F21162">
              <w:rPr>
                <w:rFonts w:eastAsia="Times New Roman" w:cs="Times New Roman"/>
                <w:sz w:val="20"/>
                <w:szCs w:val="20"/>
                <w:lang w:val="fr-CA" w:eastAsia="en-CA"/>
              </w:rPr>
              <w:t>11 avril 2014</w:t>
            </w:r>
          </w:p>
          <w:p w:rsidR="002A38F6" w:rsidRPr="00F21162" w:rsidRDefault="002A38F6" w:rsidP="002A38F6">
            <w:pPr>
              <w:rPr>
                <w:rFonts w:eastAsia="Times New Roman" w:cs="Times New Roman"/>
                <w:sz w:val="20"/>
                <w:szCs w:val="20"/>
                <w:lang w:val="fr-CA" w:eastAsia="en-CA"/>
              </w:rPr>
            </w:pPr>
            <w:r w:rsidRPr="00F21162">
              <w:rPr>
                <w:rFonts w:eastAsia="Times New Roman" w:cs="Times New Roman"/>
                <w:sz w:val="20"/>
                <w:szCs w:val="20"/>
                <w:lang w:val="fr-CA" w:eastAsia="en-CA"/>
              </w:rPr>
              <w:t>Cour du Banc de la Reine de l’Alberta</w:t>
            </w:r>
          </w:p>
          <w:p w:rsidR="002A38F6" w:rsidRPr="00F21162" w:rsidRDefault="002A38F6" w:rsidP="002A38F6">
            <w:pPr>
              <w:rPr>
                <w:rFonts w:eastAsia="Times New Roman" w:cs="Times New Roman"/>
                <w:sz w:val="20"/>
                <w:szCs w:val="20"/>
                <w:lang w:val="fr-CA" w:eastAsia="en-CA"/>
              </w:rPr>
            </w:pPr>
            <w:r w:rsidRPr="00F21162">
              <w:rPr>
                <w:rFonts w:eastAsia="Times New Roman" w:cs="Times New Roman"/>
                <w:sz w:val="20"/>
                <w:szCs w:val="20"/>
                <w:lang w:val="fr-CA" w:eastAsia="en-CA"/>
              </w:rPr>
              <w:t>(Juge Romaine)</w:t>
            </w:r>
          </w:p>
          <w:p w:rsidR="002A38F6" w:rsidRPr="00F21162" w:rsidRDefault="002A38F6" w:rsidP="002A38F6">
            <w:pPr>
              <w:rPr>
                <w:rFonts w:eastAsia="Times New Roman" w:cs="Times New Roman"/>
                <w:sz w:val="20"/>
                <w:szCs w:val="20"/>
                <w:lang w:val="fr-CA" w:eastAsia="en-CA"/>
              </w:rPr>
            </w:pPr>
            <w:r w:rsidRPr="00F21162">
              <w:rPr>
                <w:rFonts w:eastAsia="Times New Roman" w:cs="Times New Roman"/>
                <w:sz w:val="20"/>
                <w:szCs w:val="20"/>
                <w:lang w:val="fr-CA" w:eastAsia="en-CA"/>
              </w:rPr>
              <w:t xml:space="preserve">Référence neutre : </w:t>
            </w:r>
            <w:hyperlink r:id="rId42" w:history="1">
              <w:r w:rsidRPr="00F21162">
                <w:rPr>
                  <w:rFonts w:eastAsia="Times New Roman" w:cs="Times New Roman"/>
                  <w:color w:val="0000FF" w:themeColor="hyperlink"/>
                  <w:sz w:val="20"/>
                  <w:szCs w:val="20"/>
                  <w:u w:val="single"/>
                  <w:lang w:val="fr-CA" w:eastAsia="en-CA"/>
                </w:rPr>
                <w:t>2014 ABQB 218</w:t>
              </w:r>
            </w:hyperlink>
          </w:p>
          <w:p w:rsidR="003C07E4" w:rsidRPr="00F21162" w:rsidRDefault="003C07E4" w:rsidP="000B23D3">
            <w:pPr>
              <w:jc w:val="both"/>
              <w:rPr>
                <w:rFonts w:eastAsia="Calibri"/>
                <w:sz w:val="20"/>
                <w:lang w:val="fr-CA"/>
              </w:rPr>
            </w:pPr>
          </w:p>
        </w:tc>
        <w:tc>
          <w:tcPr>
            <w:tcW w:w="243" w:type="pct"/>
          </w:tcPr>
          <w:p w:rsidR="003C07E4" w:rsidRPr="00F21162" w:rsidRDefault="003C07E4" w:rsidP="000B23D3">
            <w:pPr>
              <w:jc w:val="both"/>
              <w:rPr>
                <w:rFonts w:eastAsia="Calibri"/>
                <w:sz w:val="20"/>
                <w:lang w:val="fr-CA"/>
              </w:rPr>
            </w:pPr>
          </w:p>
        </w:tc>
        <w:tc>
          <w:tcPr>
            <w:tcW w:w="2330" w:type="pct"/>
          </w:tcPr>
          <w:p w:rsidR="002A38F6" w:rsidRPr="00F21162" w:rsidRDefault="002A38F6" w:rsidP="002A38F6">
            <w:pPr>
              <w:jc w:val="both"/>
              <w:rPr>
                <w:rFonts w:eastAsia="Times New Roman" w:cs="Times New Roman"/>
                <w:sz w:val="20"/>
                <w:szCs w:val="20"/>
                <w:lang w:val="fr-CA" w:eastAsia="en-CA"/>
              </w:rPr>
            </w:pPr>
            <w:r w:rsidRPr="00F21162">
              <w:rPr>
                <w:rFonts w:eastAsia="Times New Roman" w:cs="Times New Roman"/>
                <w:sz w:val="20"/>
                <w:szCs w:val="20"/>
                <w:lang w:val="fr-CA" w:eastAsia="en-CA"/>
              </w:rPr>
              <w:t xml:space="preserve">Jugement accueillant la demande en levée de la suspension et en substitution pour que 1773907 soit constituée nouvelle demanderesse. Radiation de l’action pour le motif qu’elle constitue un abus de procédure du fait que la cession de l’action est entachée pour cause de </w:t>
            </w:r>
            <w:proofErr w:type="spellStart"/>
            <w:r w:rsidRPr="00F21162">
              <w:rPr>
                <w:rFonts w:eastAsia="Times New Roman" w:cs="Times New Roman"/>
                <w:sz w:val="20"/>
                <w:szCs w:val="20"/>
                <w:lang w:val="fr-CA" w:eastAsia="en-CA"/>
              </w:rPr>
              <w:t>champartie</w:t>
            </w:r>
            <w:proofErr w:type="spellEnd"/>
            <w:r w:rsidRPr="00F21162">
              <w:rPr>
                <w:rFonts w:eastAsia="Times New Roman" w:cs="Times New Roman"/>
                <w:sz w:val="20"/>
                <w:szCs w:val="20"/>
                <w:lang w:val="fr-CA" w:eastAsia="en-CA"/>
              </w:rPr>
              <w:t xml:space="preserve"> et de soutien abusif.</w:t>
            </w:r>
          </w:p>
          <w:p w:rsidR="003C07E4" w:rsidRPr="00F21162" w:rsidRDefault="003C07E4" w:rsidP="000B23D3">
            <w:pPr>
              <w:jc w:val="both"/>
              <w:rPr>
                <w:rFonts w:eastAsia="Calibri"/>
                <w:sz w:val="20"/>
                <w:lang w:val="fr-CA"/>
              </w:rPr>
            </w:pPr>
          </w:p>
        </w:tc>
      </w:tr>
      <w:tr w:rsidR="003C07E4" w:rsidRPr="00F21162" w:rsidTr="000B23D3">
        <w:trPr>
          <w:cantSplit/>
        </w:trPr>
        <w:tc>
          <w:tcPr>
            <w:tcW w:w="2427" w:type="pct"/>
          </w:tcPr>
          <w:p w:rsidR="006349C5" w:rsidRPr="00F21162" w:rsidRDefault="006349C5" w:rsidP="006349C5">
            <w:pPr>
              <w:rPr>
                <w:rFonts w:eastAsia="Times New Roman" w:cs="Times New Roman"/>
                <w:sz w:val="20"/>
                <w:szCs w:val="20"/>
                <w:lang w:val="fr-CA" w:eastAsia="en-CA"/>
              </w:rPr>
            </w:pPr>
            <w:r w:rsidRPr="00F21162">
              <w:rPr>
                <w:rFonts w:eastAsia="Times New Roman" w:cs="Times New Roman"/>
                <w:sz w:val="20"/>
                <w:szCs w:val="20"/>
                <w:lang w:val="fr-CA" w:eastAsia="en-CA"/>
              </w:rPr>
              <w:t>1</w:t>
            </w:r>
            <w:r w:rsidRPr="00F21162">
              <w:rPr>
                <w:rFonts w:eastAsia="Times New Roman" w:cs="Times New Roman"/>
                <w:sz w:val="20"/>
                <w:szCs w:val="20"/>
                <w:vertAlign w:val="superscript"/>
                <w:lang w:val="fr-CA" w:eastAsia="en-CA"/>
              </w:rPr>
              <w:t>er</w:t>
            </w:r>
            <w:r w:rsidRPr="00F21162">
              <w:rPr>
                <w:rFonts w:eastAsia="Times New Roman" w:cs="Times New Roman"/>
                <w:sz w:val="20"/>
                <w:szCs w:val="20"/>
                <w:lang w:val="fr-CA" w:eastAsia="en-CA"/>
              </w:rPr>
              <w:t xml:space="preserve"> mai 2015</w:t>
            </w:r>
          </w:p>
          <w:p w:rsidR="006349C5" w:rsidRPr="00F21162" w:rsidRDefault="006349C5" w:rsidP="006349C5">
            <w:pPr>
              <w:rPr>
                <w:rFonts w:eastAsia="Times New Roman" w:cs="Times New Roman"/>
                <w:sz w:val="20"/>
                <w:szCs w:val="20"/>
                <w:lang w:val="fr-CA" w:eastAsia="en-CA"/>
              </w:rPr>
            </w:pPr>
            <w:r w:rsidRPr="00F21162">
              <w:rPr>
                <w:rFonts w:eastAsia="Times New Roman" w:cs="Times New Roman"/>
                <w:sz w:val="20"/>
                <w:szCs w:val="20"/>
                <w:lang w:val="fr-CA" w:eastAsia="en-CA"/>
              </w:rPr>
              <w:t>Cour d’appel de l’Alberta (Calgary)</w:t>
            </w:r>
          </w:p>
          <w:p w:rsidR="006349C5" w:rsidRPr="00F21162" w:rsidRDefault="006349C5" w:rsidP="006349C5">
            <w:pPr>
              <w:rPr>
                <w:rFonts w:eastAsia="Times New Roman" w:cs="Times New Roman"/>
                <w:sz w:val="20"/>
                <w:szCs w:val="20"/>
                <w:lang w:val="fr-CA" w:eastAsia="en-CA"/>
              </w:rPr>
            </w:pPr>
            <w:r w:rsidRPr="00F21162">
              <w:rPr>
                <w:rFonts w:eastAsia="Times New Roman" w:cs="Times New Roman"/>
                <w:sz w:val="20"/>
                <w:szCs w:val="20"/>
                <w:lang w:val="fr-CA" w:eastAsia="en-CA"/>
              </w:rPr>
              <w:t xml:space="preserve">(Juges Berger, </w:t>
            </w:r>
            <w:proofErr w:type="spellStart"/>
            <w:r w:rsidRPr="00F21162">
              <w:rPr>
                <w:rFonts w:eastAsia="Times New Roman" w:cs="Times New Roman"/>
                <w:sz w:val="20"/>
                <w:szCs w:val="20"/>
                <w:lang w:val="fr-CA" w:eastAsia="en-CA"/>
              </w:rPr>
              <w:t>O'Ferrall</w:t>
            </w:r>
            <w:proofErr w:type="spellEnd"/>
            <w:r w:rsidRPr="00F21162">
              <w:rPr>
                <w:rFonts w:eastAsia="Times New Roman" w:cs="Times New Roman"/>
                <w:sz w:val="20"/>
                <w:szCs w:val="20"/>
                <w:lang w:val="fr-CA" w:eastAsia="en-CA"/>
              </w:rPr>
              <w:t xml:space="preserve"> et Jeffrey)</w:t>
            </w:r>
          </w:p>
          <w:p w:rsidR="006349C5" w:rsidRPr="00F21162" w:rsidRDefault="006349C5" w:rsidP="006349C5">
            <w:pPr>
              <w:rPr>
                <w:rFonts w:eastAsia="Times New Roman" w:cs="Times New Roman"/>
                <w:sz w:val="20"/>
                <w:szCs w:val="20"/>
                <w:lang w:val="fr-CA" w:eastAsia="en-CA"/>
              </w:rPr>
            </w:pPr>
            <w:r w:rsidRPr="00F21162">
              <w:rPr>
                <w:rFonts w:eastAsia="Times New Roman" w:cs="Times New Roman"/>
                <w:sz w:val="20"/>
                <w:szCs w:val="20"/>
                <w:lang w:val="fr-CA" w:eastAsia="en-CA"/>
              </w:rPr>
              <w:t xml:space="preserve">Référence neutre : </w:t>
            </w:r>
            <w:hyperlink r:id="rId43" w:history="1">
              <w:r w:rsidRPr="00F21162">
                <w:rPr>
                  <w:rFonts w:eastAsia="Times New Roman" w:cs="Times New Roman"/>
                  <w:color w:val="0000FF" w:themeColor="hyperlink"/>
                  <w:sz w:val="20"/>
                  <w:szCs w:val="20"/>
                  <w:u w:val="single"/>
                  <w:lang w:val="fr-CA" w:eastAsia="en-CA"/>
                </w:rPr>
                <w:t>2015 ABCA 150</w:t>
              </w:r>
            </w:hyperlink>
          </w:p>
          <w:p w:rsidR="003C07E4" w:rsidRPr="00F21162" w:rsidRDefault="003C07E4" w:rsidP="000B23D3">
            <w:pPr>
              <w:jc w:val="both"/>
              <w:rPr>
                <w:rFonts w:eastAsia="Calibri"/>
                <w:sz w:val="20"/>
                <w:lang w:val="fr-CA"/>
              </w:rPr>
            </w:pPr>
          </w:p>
        </w:tc>
        <w:tc>
          <w:tcPr>
            <w:tcW w:w="243" w:type="pct"/>
          </w:tcPr>
          <w:p w:rsidR="003C07E4" w:rsidRPr="00F21162" w:rsidRDefault="003C07E4" w:rsidP="000B23D3">
            <w:pPr>
              <w:jc w:val="both"/>
              <w:rPr>
                <w:rFonts w:eastAsia="Calibri"/>
                <w:sz w:val="20"/>
                <w:lang w:val="fr-CA"/>
              </w:rPr>
            </w:pPr>
          </w:p>
        </w:tc>
        <w:tc>
          <w:tcPr>
            <w:tcW w:w="2330" w:type="pct"/>
          </w:tcPr>
          <w:p w:rsidR="006349C5" w:rsidRPr="00F21162" w:rsidRDefault="006349C5" w:rsidP="006349C5">
            <w:pPr>
              <w:jc w:val="both"/>
              <w:rPr>
                <w:rFonts w:eastAsia="Times New Roman" w:cs="Times New Roman"/>
                <w:sz w:val="20"/>
                <w:szCs w:val="20"/>
                <w:lang w:val="fr-CA" w:eastAsia="en-CA"/>
              </w:rPr>
            </w:pPr>
            <w:r w:rsidRPr="00F21162">
              <w:rPr>
                <w:rFonts w:eastAsia="Times New Roman" w:cs="Times New Roman"/>
                <w:sz w:val="20"/>
                <w:szCs w:val="20"/>
                <w:lang w:val="fr-CA" w:eastAsia="en-CA"/>
              </w:rPr>
              <w:t>Arrêt accueillant l’appel.</w:t>
            </w:r>
          </w:p>
          <w:p w:rsidR="003C07E4" w:rsidRPr="00F21162" w:rsidRDefault="003C07E4" w:rsidP="000B23D3">
            <w:pPr>
              <w:jc w:val="both"/>
              <w:rPr>
                <w:rFonts w:eastAsia="Calibri"/>
                <w:sz w:val="20"/>
                <w:lang w:val="fr-CA"/>
              </w:rPr>
            </w:pPr>
          </w:p>
        </w:tc>
      </w:tr>
      <w:tr w:rsidR="003C07E4" w:rsidRPr="00F21162" w:rsidTr="000B23D3">
        <w:trPr>
          <w:cantSplit/>
        </w:trPr>
        <w:tc>
          <w:tcPr>
            <w:tcW w:w="2427" w:type="pct"/>
          </w:tcPr>
          <w:p w:rsidR="003C07E4" w:rsidRPr="00F21162" w:rsidRDefault="006349C5" w:rsidP="000B23D3">
            <w:pPr>
              <w:jc w:val="both"/>
              <w:rPr>
                <w:rFonts w:eastAsia="Calibri"/>
                <w:sz w:val="20"/>
                <w:lang w:val="fr-CA"/>
              </w:rPr>
            </w:pPr>
            <w:r w:rsidRPr="00F21162">
              <w:rPr>
                <w:rFonts w:eastAsia="Calibri"/>
                <w:sz w:val="20"/>
                <w:lang w:val="fr-CA"/>
              </w:rPr>
              <w:t>30 juin</w:t>
            </w:r>
            <w:r w:rsidR="003C07E4" w:rsidRPr="00F21162">
              <w:rPr>
                <w:rFonts w:eastAsia="Calibri"/>
                <w:sz w:val="20"/>
                <w:lang w:val="fr-CA"/>
              </w:rPr>
              <w:t xml:space="preserve"> 2015</w:t>
            </w:r>
          </w:p>
          <w:p w:rsidR="003C07E4" w:rsidRPr="00F21162" w:rsidRDefault="003C07E4" w:rsidP="000B23D3">
            <w:pPr>
              <w:jc w:val="both"/>
              <w:rPr>
                <w:rFonts w:eastAsia="Calibri"/>
                <w:sz w:val="20"/>
                <w:lang w:val="fr-CA"/>
              </w:rPr>
            </w:pPr>
            <w:r w:rsidRPr="00F21162">
              <w:rPr>
                <w:rFonts w:eastAsia="Calibri"/>
                <w:sz w:val="20"/>
                <w:lang w:val="fr-CA"/>
              </w:rPr>
              <w:t>Cour suprême du Canada</w:t>
            </w:r>
          </w:p>
        </w:tc>
        <w:tc>
          <w:tcPr>
            <w:tcW w:w="243" w:type="pct"/>
          </w:tcPr>
          <w:p w:rsidR="003C07E4" w:rsidRPr="00F21162" w:rsidRDefault="003C07E4" w:rsidP="000B23D3">
            <w:pPr>
              <w:jc w:val="both"/>
              <w:rPr>
                <w:rFonts w:eastAsia="Calibri"/>
                <w:sz w:val="20"/>
                <w:lang w:val="fr-CA"/>
              </w:rPr>
            </w:pPr>
          </w:p>
        </w:tc>
        <w:tc>
          <w:tcPr>
            <w:tcW w:w="2330" w:type="pct"/>
          </w:tcPr>
          <w:p w:rsidR="003C07E4" w:rsidRPr="00F21162" w:rsidRDefault="003C07E4" w:rsidP="000B23D3">
            <w:pPr>
              <w:jc w:val="both"/>
              <w:rPr>
                <w:sz w:val="20"/>
                <w:szCs w:val="20"/>
                <w:lang w:val="fr-CA"/>
              </w:rPr>
            </w:pPr>
            <w:r w:rsidRPr="00F21162">
              <w:rPr>
                <w:sz w:val="20"/>
                <w:szCs w:val="20"/>
                <w:lang w:val="fr-CA"/>
              </w:rPr>
              <w:t>Dépôt de la demande d’autorisation d’appel</w:t>
            </w:r>
            <w:r w:rsidR="006349C5" w:rsidRPr="00F21162">
              <w:rPr>
                <w:sz w:val="20"/>
                <w:szCs w:val="20"/>
                <w:lang w:val="fr-CA"/>
              </w:rPr>
              <w:t>.</w:t>
            </w:r>
          </w:p>
          <w:p w:rsidR="003C07E4" w:rsidRPr="00F21162" w:rsidRDefault="003C07E4" w:rsidP="000B23D3">
            <w:pPr>
              <w:jc w:val="both"/>
              <w:rPr>
                <w:rFonts w:eastAsia="Calibri"/>
                <w:sz w:val="20"/>
                <w:lang w:val="fr-CA"/>
              </w:rPr>
            </w:pPr>
          </w:p>
        </w:tc>
      </w:tr>
    </w:tbl>
    <w:p w:rsidR="003C07E4" w:rsidRPr="00F21162" w:rsidRDefault="003C07E4" w:rsidP="003C07E4">
      <w:pPr>
        <w:rPr>
          <w:sz w:val="20"/>
          <w:szCs w:val="20"/>
        </w:rPr>
      </w:pPr>
    </w:p>
    <w:p w:rsidR="003C07E4" w:rsidRPr="00F21162" w:rsidRDefault="00B150CF" w:rsidP="003C07E4">
      <w:pPr>
        <w:rPr>
          <w:sz w:val="20"/>
          <w:szCs w:val="20"/>
        </w:rPr>
      </w:pPr>
      <w:r>
        <w:rPr>
          <w:sz w:val="20"/>
          <w:szCs w:val="20"/>
          <w:lang w:val="fr-CA"/>
        </w:rPr>
        <w:pict>
          <v:rect id="_x0000_i1040" style="width:2in;height:1pt" o:hrpct="0" o:hralign="center" o:hrstd="t" o:hrnoshade="t" o:hr="t" fillcolor="black [3213]" stroked="f"/>
        </w:pict>
      </w:r>
    </w:p>
    <w:p w:rsidR="003C07E4" w:rsidRPr="00F21162" w:rsidRDefault="003C07E4" w:rsidP="003C07E4">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BF5990" w:rsidRPr="00F21162" w:rsidTr="000B23D3">
        <w:trPr>
          <w:cantSplit/>
        </w:trPr>
        <w:tc>
          <w:tcPr>
            <w:tcW w:w="1458" w:type="dxa"/>
          </w:tcPr>
          <w:p w:rsidR="00BF5990" w:rsidRPr="00F21162" w:rsidRDefault="00BF5990" w:rsidP="000B23D3">
            <w:pPr>
              <w:rPr>
                <w:sz w:val="20"/>
                <w:szCs w:val="20"/>
              </w:rPr>
            </w:pPr>
            <w:r w:rsidRPr="00F21162">
              <w:rPr>
                <w:rStyle w:val="SCCFileNumberChar"/>
                <w:sz w:val="20"/>
                <w:szCs w:val="20"/>
              </w:rPr>
              <w:t>36520</w:t>
            </w:r>
          </w:p>
          <w:p w:rsidR="00BF5990" w:rsidRPr="00F21162" w:rsidRDefault="00BF5990" w:rsidP="000B23D3">
            <w:pPr>
              <w:rPr>
                <w:b/>
                <w:sz w:val="20"/>
                <w:szCs w:val="20"/>
                <w:lang w:val="fr-CA"/>
              </w:rPr>
            </w:pPr>
          </w:p>
        </w:tc>
        <w:tc>
          <w:tcPr>
            <w:tcW w:w="8118" w:type="dxa"/>
          </w:tcPr>
          <w:p w:rsidR="00BF5990" w:rsidRPr="00F21162" w:rsidRDefault="001E0827" w:rsidP="000B23D3">
            <w:pPr>
              <w:rPr>
                <w:sz w:val="20"/>
                <w:szCs w:val="20"/>
              </w:rPr>
            </w:pPr>
            <w:proofErr w:type="spellStart"/>
            <w:r w:rsidRPr="00F21162">
              <w:rPr>
                <w:rStyle w:val="SCCLsocChar"/>
                <w:sz w:val="20"/>
                <w:szCs w:val="20"/>
                <w:lang w:val="en-CA"/>
              </w:rPr>
              <w:t>Janusz</w:t>
            </w:r>
            <w:proofErr w:type="spellEnd"/>
            <w:r w:rsidRPr="00F21162">
              <w:rPr>
                <w:rStyle w:val="SCCLsocChar"/>
                <w:sz w:val="20"/>
                <w:szCs w:val="20"/>
                <w:lang w:val="en-CA"/>
              </w:rPr>
              <w:t xml:space="preserve"> </w:t>
            </w:r>
            <w:proofErr w:type="spellStart"/>
            <w:r w:rsidRPr="00F21162">
              <w:rPr>
                <w:rStyle w:val="SCCLsocChar"/>
                <w:sz w:val="20"/>
                <w:szCs w:val="20"/>
                <w:lang w:val="en-CA"/>
              </w:rPr>
              <w:t>Teodor</w:t>
            </w:r>
            <w:proofErr w:type="spellEnd"/>
            <w:r w:rsidRPr="00F21162">
              <w:rPr>
                <w:rStyle w:val="SCCLsocChar"/>
                <w:sz w:val="20"/>
                <w:szCs w:val="20"/>
                <w:lang w:val="en-CA"/>
              </w:rPr>
              <w:t xml:space="preserve"> Kaminski</w:t>
            </w:r>
            <w:r w:rsidR="00BF5990" w:rsidRPr="00F21162">
              <w:rPr>
                <w:rStyle w:val="SCCLsocChar"/>
                <w:sz w:val="20"/>
                <w:szCs w:val="20"/>
                <w:lang w:val="en-CA"/>
              </w:rPr>
              <w:t xml:space="preserve"> v. </w:t>
            </w:r>
            <w:r w:rsidRPr="00F21162">
              <w:rPr>
                <w:rStyle w:val="SCCLsocChar"/>
                <w:sz w:val="20"/>
                <w:szCs w:val="20"/>
                <w:lang w:val="en-CA"/>
              </w:rPr>
              <w:t>Attorney General of Canada</w:t>
            </w:r>
            <w:r w:rsidR="00BF5990" w:rsidRPr="00F21162">
              <w:rPr>
                <w:sz w:val="20"/>
                <w:szCs w:val="20"/>
              </w:rPr>
              <w:t xml:space="preserve"> (</w:t>
            </w:r>
            <w:r w:rsidRPr="00F21162">
              <w:rPr>
                <w:sz w:val="20"/>
                <w:szCs w:val="20"/>
              </w:rPr>
              <w:t>F.C</w:t>
            </w:r>
            <w:r w:rsidR="00BF5990" w:rsidRPr="00F21162">
              <w:rPr>
                <w:sz w:val="20"/>
                <w:szCs w:val="20"/>
              </w:rPr>
              <w:t>.) (Civil) (By Leave)</w:t>
            </w:r>
          </w:p>
          <w:p w:rsidR="00BF5990" w:rsidRPr="00F21162" w:rsidRDefault="00BF5990" w:rsidP="000B23D3">
            <w:pPr>
              <w:rPr>
                <w:sz w:val="20"/>
                <w:szCs w:val="20"/>
              </w:rPr>
            </w:pPr>
          </w:p>
        </w:tc>
      </w:tr>
      <w:tr w:rsidR="00BF5990" w:rsidRPr="00F21162" w:rsidTr="000B23D3">
        <w:trPr>
          <w:cantSplit/>
        </w:trPr>
        <w:tc>
          <w:tcPr>
            <w:tcW w:w="1458" w:type="dxa"/>
          </w:tcPr>
          <w:p w:rsidR="00BF5990" w:rsidRPr="00F21162" w:rsidRDefault="00BF5990" w:rsidP="000B23D3">
            <w:pPr>
              <w:rPr>
                <w:sz w:val="20"/>
                <w:szCs w:val="20"/>
              </w:rPr>
            </w:pPr>
            <w:r w:rsidRPr="00F21162">
              <w:rPr>
                <w:sz w:val="20"/>
                <w:szCs w:val="20"/>
              </w:rPr>
              <w:t>Coram :</w:t>
            </w:r>
          </w:p>
        </w:tc>
        <w:tc>
          <w:tcPr>
            <w:tcW w:w="8118" w:type="dxa"/>
          </w:tcPr>
          <w:p w:rsidR="00BF5990" w:rsidRPr="00F21162" w:rsidRDefault="00C942CE" w:rsidP="000B23D3">
            <w:pPr>
              <w:rPr>
                <w:sz w:val="20"/>
                <w:szCs w:val="20"/>
              </w:rPr>
            </w:pPr>
            <w:proofErr w:type="spellStart"/>
            <w:r w:rsidRPr="00F21162">
              <w:rPr>
                <w:rStyle w:val="SCCCoramChar"/>
                <w:sz w:val="20"/>
                <w:szCs w:val="20"/>
                <w:lang w:val="en-CA"/>
              </w:rPr>
              <w:t>Abella</w:t>
            </w:r>
            <w:proofErr w:type="spellEnd"/>
            <w:r w:rsidRPr="00F21162">
              <w:rPr>
                <w:rStyle w:val="SCCCoramChar"/>
                <w:sz w:val="20"/>
                <w:szCs w:val="20"/>
                <w:lang w:val="en-CA"/>
              </w:rPr>
              <w:t xml:space="preserve">, </w:t>
            </w:r>
            <w:proofErr w:type="spellStart"/>
            <w:r w:rsidRPr="00F21162">
              <w:rPr>
                <w:rStyle w:val="SCCCoramChar"/>
                <w:sz w:val="20"/>
                <w:szCs w:val="20"/>
                <w:lang w:val="en-CA"/>
              </w:rPr>
              <w:t>Karakatsanis</w:t>
            </w:r>
            <w:proofErr w:type="spellEnd"/>
            <w:r w:rsidR="00BF5990" w:rsidRPr="00F21162">
              <w:rPr>
                <w:rStyle w:val="SCCCoramChar"/>
                <w:sz w:val="20"/>
                <w:szCs w:val="20"/>
                <w:lang w:val="en-CA"/>
              </w:rPr>
              <w:t xml:space="preserve"> and </w:t>
            </w:r>
            <w:r w:rsidRPr="00F21162">
              <w:rPr>
                <w:rStyle w:val="SCCCoramChar"/>
                <w:sz w:val="20"/>
                <w:szCs w:val="20"/>
                <w:lang w:val="en-CA"/>
              </w:rPr>
              <w:t>Brown</w:t>
            </w:r>
            <w:r w:rsidR="00BF5990" w:rsidRPr="00F21162">
              <w:rPr>
                <w:rStyle w:val="SCCCoramChar"/>
                <w:sz w:val="20"/>
                <w:szCs w:val="20"/>
                <w:lang w:val="en-CA"/>
              </w:rPr>
              <w:t xml:space="preserve"> JJ.</w:t>
            </w:r>
          </w:p>
          <w:p w:rsidR="00BF5990" w:rsidRPr="00F21162" w:rsidRDefault="00BF5990" w:rsidP="000B23D3">
            <w:pPr>
              <w:rPr>
                <w:sz w:val="20"/>
                <w:szCs w:val="20"/>
                <w:u w:val="single"/>
              </w:rPr>
            </w:pPr>
          </w:p>
        </w:tc>
      </w:tr>
      <w:tr w:rsidR="00BF5990" w:rsidRPr="00F21162" w:rsidTr="000B23D3">
        <w:trPr>
          <w:cantSplit/>
        </w:trPr>
        <w:tc>
          <w:tcPr>
            <w:tcW w:w="9576" w:type="dxa"/>
            <w:gridSpan w:val="2"/>
          </w:tcPr>
          <w:p w:rsidR="00BF5990" w:rsidRPr="00F21162" w:rsidRDefault="00AD2226" w:rsidP="000B23D3">
            <w:pPr>
              <w:pStyle w:val="SCCShortJudgment"/>
              <w:rPr>
                <w:szCs w:val="20"/>
                <w:lang w:val="fr-CA"/>
              </w:rPr>
            </w:pPr>
            <w:r w:rsidRPr="00F21162">
              <w:t>The motion for an extension of time to serve and file the application for leave to appeal is granted.  The motion to appoint counsel is dismissed. The application for leave to appeal from the direction of the Federal Court of Appeal, Number A-199-14, dated March 26, 2015, is dismissed for want of jurisdiction, without costs.</w:t>
            </w:r>
          </w:p>
          <w:p w:rsidR="00BF5990" w:rsidRPr="00F21162" w:rsidRDefault="00BF5990" w:rsidP="000B23D3">
            <w:pPr>
              <w:pStyle w:val="SCCShortJudgment"/>
              <w:rPr>
                <w:szCs w:val="20"/>
                <w:lang w:val="fr-CA"/>
              </w:rPr>
            </w:pPr>
          </w:p>
          <w:p w:rsidR="00BF5990" w:rsidRPr="00F21162" w:rsidRDefault="00AD2226" w:rsidP="00AD2226">
            <w:pPr>
              <w:pStyle w:val="SCCShortJudgment"/>
              <w:rPr>
                <w:szCs w:val="20"/>
              </w:rPr>
            </w:pPr>
            <w:r w:rsidRPr="00F21162">
              <w:rPr>
                <w:lang w:val="fr-CA"/>
              </w:rPr>
              <w:t xml:space="preserve">La requête en prorogation du délai de signification et de dépôt de la demande d’autorisation d’appel est accueillie. La requête en nomination d’un procureur est rejetée. La demande d’autorisation d’appel de la directive de la </w:t>
            </w:r>
            <w:r w:rsidRPr="00F21162">
              <w:rPr>
                <w:lang w:val="fr-FR"/>
              </w:rPr>
              <w:t>Cour d’appel fédérale</w:t>
            </w:r>
            <w:r w:rsidRPr="00F21162">
              <w:rPr>
                <w:lang w:val="fr-CA"/>
              </w:rPr>
              <w:t xml:space="preserve">, numéro </w:t>
            </w:r>
            <w:r w:rsidRPr="00F21162">
              <w:rPr>
                <w:lang w:val="fr-FR"/>
              </w:rPr>
              <w:t>A-199-14</w:t>
            </w:r>
            <w:r w:rsidRPr="00F21162">
              <w:rPr>
                <w:lang w:val="fr-CA"/>
              </w:rPr>
              <w:t xml:space="preserve">, datée du </w:t>
            </w:r>
            <w:r w:rsidRPr="00F21162">
              <w:rPr>
                <w:lang w:val="fr-FR"/>
              </w:rPr>
              <w:t>26 mars 2015</w:t>
            </w:r>
            <w:r w:rsidRPr="00F21162">
              <w:rPr>
                <w:lang w:val="fr-CA"/>
              </w:rPr>
              <w:t>, est rejetée pour défaut de compétence, sans dépens.</w:t>
            </w:r>
          </w:p>
        </w:tc>
      </w:tr>
    </w:tbl>
    <w:p w:rsidR="00BF5990" w:rsidRPr="00F21162" w:rsidRDefault="00BF5990" w:rsidP="00BF5990">
      <w:pPr>
        <w:rPr>
          <w:sz w:val="20"/>
          <w:szCs w:val="20"/>
          <w:lang w:val="fr-CA"/>
        </w:rPr>
      </w:pPr>
    </w:p>
    <w:p w:rsidR="00BF5990" w:rsidRPr="00F21162" w:rsidRDefault="00BF5990" w:rsidP="00BF5990">
      <w:pPr>
        <w:rPr>
          <w:sz w:val="20"/>
          <w:szCs w:val="20"/>
          <w:u w:val="single"/>
        </w:rPr>
      </w:pPr>
      <w:r w:rsidRPr="00F21162">
        <w:rPr>
          <w:sz w:val="20"/>
          <w:szCs w:val="20"/>
          <w:u w:val="single"/>
        </w:rPr>
        <w:t>CASE SUMMARY</w:t>
      </w:r>
    </w:p>
    <w:p w:rsidR="00BF5990" w:rsidRPr="00F21162" w:rsidRDefault="00BF5990" w:rsidP="00BF599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BF5990" w:rsidRPr="00F21162" w:rsidTr="000B23D3">
        <w:tc>
          <w:tcPr>
            <w:tcW w:w="5000" w:type="pct"/>
            <w:gridSpan w:val="3"/>
          </w:tcPr>
          <w:p w:rsidR="00BF5990" w:rsidRPr="00F21162" w:rsidRDefault="0054491D" w:rsidP="000B23D3">
            <w:pPr>
              <w:jc w:val="both"/>
              <w:rPr>
                <w:iCs/>
                <w:sz w:val="20"/>
                <w:szCs w:val="20"/>
              </w:rPr>
            </w:pPr>
            <w:r w:rsidRPr="00F21162">
              <w:rPr>
                <w:iCs/>
                <w:sz w:val="20"/>
                <w:szCs w:val="20"/>
              </w:rPr>
              <w:t>Pensions – Canada Pension Plan – Disability benefits – Appeals – Whether Federal Court of Appeal erred in refusing to reconsider its decision dismissing the Applicant's appeal for delay.</w:t>
            </w:r>
          </w:p>
          <w:p w:rsidR="0054491D" w:rsidRPr="00F21162" w:rsidRDefault="0054491D" w:rsidP="000B23D3">
            <w:pPr>
              <w:jc w:val="both"/>
              <w:rPr>
                <w:rFonts w:eastAsia="Calibri"/>
                <w:sz w:val="20"/>
                <w:szCs w:val="20"/>
              </w:rPr>
            </w:pPr>
          </w:p>
        </w:tc>
      </w:tr>
      <w:tr w:rsidR="00BF5990" w:rsidRPr="00F21162" w:rsidTr="000B23D3">
        <w:tc>
          <w:tcPr>
            <w:tcW w:w="5000" w:type="pct"/>
            <w:gridSpan w:val="3"/>
          </w:tcPr>
          <w:p w:rsidR="0054491D" w:rsidRPr="00F21162" w:rsidRDefault="0054491D" w:rsidP="0054491D">
            <w:pPr>
              <w:jc w:val="both"/>
              <w:rPr>
                <w:sz w:val="20"/>
                <w:szCs w:val="20"/>
              </w:rPr>
            </w:pPr>
            <w:r w:rsidRPr="00F21162">
              <w:rPr>
                <w:sz w:val="20"/>
                <w:szCs w:val="20"/>
              </w:rPr>
              <w:t xml:space="preserve">Mr. Kaminski first applied for Canada Pension Plan disability benefits in January 2003. His application was denied both initially and upon reconsideration by the Minister of Employment and Social Development Canada (formerly Human Resources and Skills Development Canada). His subsequent appeals to the Review Tribunal and the Appeal Board were also dismissed. Mr. Kaminski then sought judicial review of the Appeal Board’s decision to the Federal Court of Appeal which was also dismissed. In January 2009, the Supreme Court of Canada denied Mr. Kaminski’s application for leave to appeal. Mr. Kaminski then sought reconsideration by the Federal Court of Appeal, which was denied and he again sought leave to appeal of the Supreme Court of Canada to appeal the refusal to reconsider. His second application for leave to appeal was again dismissed. </w:t>
            </w:r>
          </w:p>
          <w:p w:rsidR="0054491D" w:rsidRPr="00F21162" w:rsidRDefault="0054491D" w:rsidP="0054491D">
            <w:pPr>
              <w:jc w:val="both"/>
              <w:rPr>
                <w:sz w:val="20"/>
                <w:szCs w:val="20"/>
              </w:rPr>
            </w:pPr>
          </w:p>
          <w:p w:rsidR="0054491D" w:rsidRPr="00F21162" w:rsidRDefault="0054491D" w:rsidP="0054491D">
            <w:pPr>
              <w:jc w:val="both"/>
              <w:rPr>
                <w:sz w:val="20"/>
                <w:szCs w:val="20"/>
              </w:rPr>
            </w:pPr>
            <w:r w:rsidRPr="00F21162">
              <w:rPr>
                <w:sz w:val="20"/>
                <w:szCs w:val="20"/>
              </w:rPr>
              <w:t>In August 2011, Mr. Kaminski made another application for Canada Pension Plan disability benefits. The Minister denied the 2011 application and upon reconsideration, finding that the Appeal Board’s decision in the 2003 application was final and binding with respect to whether Mr. Kaminski had a disability as of December 31, 2002 that entitled him to benefits. Mr. Kaminski again unsuccessfully appealed this decision to the Review Tribunal. The Appeal Board denied leave to appeal the Review Tribunal’s decision and the application for judicial review to the Federal Court was dismissed. Mr. Kaminski commenced an appeal of this decision to the Federal Court of Appeal. In March 2015, Mr. Kaminski’s appeal was dismissed for delay as he had not completed the steps necessary to advance the appeal. Following this, the Federal Court of Appeal issued a direction refusing to reconsider its decision to dismiss the appeal for delay.</w:t>
            </w:r>
          </w:p>
          <w:p w:rsidR="00BF5990" w:rsidRPr="00F21162" w:rsidRDefault="00BF5990" w:rsidP="000B23D3">
            <w:pPr>
              <w:jc w:val="both"/>
              <w:rPr>
                <w:rFonts w:eastAsia="Calibri"/>
                <w:sz w:val="20"/>
              </w:rPr>
            </w:pPr>
          </w:p>
        </w:tc>
      </w:tr>
      <w:tr w:rsidR="0035662F" w:rsidRPr="00F21162" w:rsidTr="000B23D3">
        <w:trPr>
          <w:cantSplit/>
        </w:trPr>
        <w:tc>
          <w:tcPr>
            <w:tcW w:w="2427" w:type="pct"/>
          </w:tcPr>
          <w:p w:rsidR="0035662F" w:rsidRPr="00F21162" w:rsidRDefault="0035662F" w:rsidP="0035662F">
            <w:pPr>
              <w:jc w:val="both"/>
              <w:rPr>
                <w:sz w:val="20"/>
                <w:szCs w:val="20"/>
              </w:rPr>
            </w:pPr>
            <w:r w:rsidRPr="00F21162">
              <w:rPr>
                <w:sz w:val="20"/>
                <w:szCs w:val="20"/>
              </w:rPr>
              <w:t>March 11, 2014</w:t>
            </w:r>
          </w:p>
          <w:p w:rsidR="0035662F" w:rsidRPr="00F21162" w:rsidRDefault="0035662F" w:rsidP="0035662F">
            <w:pPr>
              <w:jc w:val="both"/>
              <w:rPr>
                <w:sz w:val="20"/>
                <w:szCs w:val="20"/>
              </w:rPr>
            </w:pPr>
            <w:r w:rsidRPr="00F21162">
              <w:rPr>
                <w:sz w:val="20"/>
                <w:szCs w:val="20"/>
              </w:rPr>
              <w:t>Federal Court (Russell J.)</w:t>
            </w:r>
          </w:p>
          <w:p w:rsidR="0035662F" w:rsidRPr="00F21162" w:rsidRDefault="0035662F" w:rsidP="0035662F">
            <w:pPr>
              <w:jc w:val="both"/>
              <w:rPr>
                <w:sz w:val="20"/>
                <w:szCs w:val="20"/>
              </w:rPr>
            </w:pPr>
            <w:r w:rsidRPr="00F21162">
              <w:rPr>
                <w:sz w:val="20"/>
                <w:szCs w:val="20"/>
              </w:rPr>
              <w:t>2014 FC 238; T-448-13</w:t>
            </w:r>
          </w:p>
          <w:p w:rsidR="0035662F" w:rsidRPr="00F21162" w:rsidRDefault="0035662F" w:rsidP="0035662F">
            <w:pPr>
              <w:jc w:val="both"/>
              <w:rPr>
                <w:rFonts w:eastAsia="Calibri"/>
                <w:sz w:val="20"/>
              </w:rPr>
            </w:pPr>
          </w:p>
        </w:tc>
        <w:tc>
          <w:tcPr>
            <w:tcW w:w="243" w:type="pct"/>
          </w:tcPr>
          <w:p w:rsidR="0035662F" w:rsidRPr="00F21162" w:rsidRDefault="0035662F" w:rsidP="0035662F">
            <w:pPr>
              <w:jc w:val="both"/>
              <w:rPr>
                <w:rFonts w:eastAsia="Calibri"/>
                <w:sz w:val="20"/>
              </w:rPr>
            </w:pPr>
          </w:p>
        </w:tc>
        <w:tc>
          <w:tcPr>
            <w:tcW w:w="2330" w:type="pct"/>
          </w:tcPr>
          <w:p w:rsidR="0035662F" w:rsidRPr="00F21162" w:rsidRDefault="0035662F" w:rsidP="0035662F">
            <w:pPr>
              <w:rPr>
                <w:sz w:val="20"/>
                <w:szCs w:val="20"/>
              </w:rPr>
            </w:pPr>
            <w:r w:rsidRPr="00F21162">
              <w:rPr>
                <w:sz w:val="20"/>
                <w:szCs w:val="20"/>
              </w:rPr>
              <w:t>Application for judicial review dismissed</w:t>
            </w:r>
          </w:p>
        </w:tc>
      </w:tr>
      <w:tr w:rsidR="0035662F" w:rsidRPr="00F21162" w:rsidTr="000B23D3">
        <w:trPr>
          <w:cantSplit/>
        </w:trPr>
        <w:tc>
          <w:tcPr>
            <w:tcW w:w="2427" w:type="pct"/>
          </w:tcPr>
          <w:p w:rsidR="0035662F" w:rsidRPr="00F21162" w:rsidRDefault="0035662F" w:rsidP="0035662F">
            <w:pPr>
              <w:jc w:val="both"/>
              <w:rPr>
                <w:sz w:val="20"/>
                <w:szCs w:val="20"/>
              </w:rPr>
            </w:pPr>
            <w:r w:rsidRPr="00F21162">
              <w:rPr>
                <w:sz w:val="20"/>
                <w:szCs w:val="20"/>
              </w:rPr>
              <w:t>March 13, 2015</w:t>
            </w:r>
          </w:p>
          <w:p w:rsidR="0035662F" w:rsidRPr="00F21162" w:rsidRDefault="0035662F" w:rsidP="0035662F">
            <w:pPr>
              <w:jc w:val="both"/>
              <w:rPr>
                <w:sz w:val="20"/>
                <w:szCs w:val="20"/>
              </w:rPr>
            </w:pPr>
            <w:r w:rsidRPr="00F21162">
              <w:rPr>
                <w:sz w:val="20"/>
                <w:szCs w:val="20"/>
              </w:rPr>
              <w:t>Federal Court of Appeal</w:t>
            </w:r>
          </w:p>
          <w:p w:rsidR="0035662F" w:rsidRPr="00F21162" w:rsidRDefault="0035662F" w:rsidP="0035662F">
            <w:pPr>
              <w:jc w:val="both"/>
              <w:rPr>
                <w:sz w:val="20"/>
                <w:szCs w:val="20"/>
              </w:rPr>
            </w:pPr>
            <w:proofErr w:type="spellStart"/>
            <w:r w:rsidRPr="00F21162">
              <w:rPr>
                <w:sz w:val="20"/>
                <w:szCs w:val="20"/>
              </w:rPr>
              <w:t>Stratas</w:t>
            </w:r>
            <w:proofErr w:type="spellEnd"/>
            <w:r w:rsidRPr="00F21162">
              <w:rPr>
                <w:sz w:val="20"/>
                <w:szCs w:val="20"/>
              </w:rPr>
              <w:t xml:space="preserve">, </w:t>
            </w:r>
            <w:proofErr w:type="spellStart"/>
            <w:r w:rsidRPr="00F21162">
              <w:rPr>
                <w:sz w:val="20"/>
                <w:szCs w:val="20"/>
              </w:rPr>
              <w:t>Ryer</w:t>
            </w:r>
            <w:proofErr w:type="spellEnd"/>
            <w:r w:rsidRPr="00F21162">
              <w:rPr>
                <w:sz w:val="20"/>
                <w:szCs w:val="20"/>
              </w:rPr>
              <w:t xml:space="preserve"> and Near JJ.A.</w:t>
            </w:r>
          </w:p>
          <w:p w:rsidR="0035662F" w:rsidRPr="00F21162" w:rsidRDefault="0035662F" w:rsidP="0035662F">
            <w:pPr>
              <w:jc w:val="both"/>
              <w:rPr>
                <w:sz w:val="20"/>
                <w:szCs w:val="20"/>
              </w:rPr>
            </w:pPr>
            <w:r w:rsidRPr="00F21162">
              <w:rPr>
                <w:sz w:val="20"/>
                <w:szCs w:val="20"/>
              </w:rPr>
              <w:t>A-199-14</w:t>
            </w:r>
          </w:p>
          <w:p w:rsidR="0035662F" w:rsidRPr="00F21162" w:rsidRDefault="0035662F" w:rsidP="0035662F">
            <w:pPr>
              <w:jc w:val="both"/>
              <w:rPr>
                <w:rFonts w:eastAsia="Calibri"/>
                <w:sz w:val="20"/>
              </w:rPr>
            </w:pPr>
          </w:p>
        </w:tc>
        <w:tc>
          <w:tcPr>
            <w:tcW w:w="243" w:type="pct"/>
          </w:tcPr>
          <w:p w:rsidR="0035662F" w:rsidRPr="00F21162" w:rsidRDefault="0035662F" w:rsidP="0035662F">
            <w:pPr>
              <w:jc w:val="both"/>
              <w:rPr>
                <w:rFonts w:eastAsia="Calibri"/>
                <w:sz w:val="20"/>
              </w:rPr>
            </w:pPr>
          </w:p>
        </w:tc>
        <w:tc>
          <w:tcPr>
            <w:tcW w:w="2330" w:type="pct"/>
          </w:tcPr>
          <w:p w:rsidR="0035662F" w:rsidRPr="00F21162" w:rsidRDefault="0035662F" w:rsidP="0035662F">
            <w:pPr>
              <w:jc w:val="both"/>
              <w:rPr>
                <w:sz w:val="20"/>
                <w:szCs w:val="20"/>
              </w:rPr>
            </w:pPr>
            <w:r w:rsidRPr="00F21162">
              <w:rPr>
                <w:sz w:val="20"/>
                <w:szCs w:val="20"/>
              </w:rPr>
              <w:t>Appeal dismissed for delay</w:t>
            </w:r>
          </w:p>
          <w:p w:rsidR="0035662F" w:rsidRPr="00F21162" w:rsidRDefault="0035662F" w:rsidP="0035662F">
            <w:pPr>
              <w:jc w:val="both"/>
              <w:rPr>
                <w:rFonts w:eastAsia="Calibri"/>
                <w:sz w:val="20"/>
              </w:rPr>
            </w:pPr>
          </w:p>
        </w:tc>
      </w:tr>
      <w:tr w:rsidR="0035662F" w:rsidRPr="00F21162" w:rsidTr="000B23D3">
        <w:trPr>
          <w:cantSplit/>
        </w:trPr>
        <w:tc>
          <w:tcPr>
            <w:tcW w:w="2427" w:type="pct"/>
          </w:tcPr>
          <w:p w:rsidR="0035662F" w:rsidRPr="00F21162" w:rsidRDefault="0035662F" w:rsidP="0035662F">
            <w:pPr>
              <w:jc w:val="both"/>
              <w:rPr>
                <w:sz w:val="20"/>
                <w:szCs w:val="20"/>
              </w:rPr>
            </w:pPr>
            <w:r w:rsidRPr="00F21162">
              <w:rPr>
                <w:sz w:val="20"/>
                <w:szCs w:val="20"/>
              </w:rPr>
              <w:t>March 26, 2015</w:t>
            </w:r>
          </w:p>
          <w:p w:rsidR="0035662F" w:rsidRPr="00F21162" w:rsidRDefault="0035662F" w:rsidP="0035662F">
            <w:pPr>
              <w:jc w:val="both"/>
              <w:rPr>
                <w:sz w:val="20"/>
                <w:szCs w:val="20"/>
              </w:rPr>
            </w:pPr>
            <w:r w:rsidRPr="00F21162">
              <w:rPr>
                <w:sz w:val="20"/>
                <w:szCs w:val="20"/>
              </w:rPr>
              <w:t>Federal Court of Appeal</w:t>
            </w:r>
          </w:p>
          <w:p w:rsidR="0035662F" w:rsidRPr="00F21162" w:rsidRDefault="0035662F" w:rsidP="0035662F">
            <w:pPr>
              <w:jc w:val="both"/>
              <w:rPr>
                <w:sz w:val="20"/>
                <w:szCs w:val="20"/>
              </w:rPr>
            </w:pPr>
            <w:r w:rsidRPr="00F21162">
              <w:rPr>
                <w:sz w:val="20"/>
                <w:szCs w:val="20"/>
              </w:rPr>
              <w:t>(</w:t>
            </w:r>
            <w:proofErr w:type="spellStart"/>
            <w:r w:rsidRPr="00F21162">
              <w:rPr>
                <w:sz w:val="20"/>
                <w:szCs w:val="20"/>
              </w:rPr>
              <w:t>Stratas</w:t>
            </w:r>
            <w:proofErr w:type="spellEnd"/>
            <w:r w:rsidRPr="00F21162">
              <w:rPr>
                <w:sz w:val="20"/>
                <w:szCs w:val="20"/>
              </w:rPr>
              <w:t xml:space="preserve"> J.A.)</w:t>
            </w:r>
          </w:p>
          <w:p w:rsidR="0035662F" w:rsidRPr="00F21162" w:rsidRDefault="0035662F" w:rsidP="0035662F">
            <w:pPr>
              <w:jc w:val="both"/>
              <w:rPr>
                <w:rFonts w:eastAsia="Calibri"/>
                <w:sz w:val="20"/>
              </w:rPr>
            </w:pPr>
          </w:p>
        </w:tc>
        <w:tc>
          <w:tcPr>
            <w:tcW w:w="243" w:type="pct"/>
          </w:tcPr>
          <w:p w:rsidR="0035662F" w:rsidRPr="00F21162" w:rsidRDefault="0035662F" w:rsidP="0035662F">
            <w:pPr>
              <w:jc w:val="both"/>
              <w:rPr>
                <w:rFonts w:eastAsia="Calibri"/>
                <w:sz w:val="20"/>
              </w:rPr>
            </w:pPr>
          </w:p>
        </w:tc>
        <w:tc>
          <w:tcPr>
            <w:tcW w:w="2330" w:type="pct"/>
          </w:tcPr>
          <w:p w:rsidR="0035662F" w:rsidRPr="00F21162" w:rsidRDefault="0035662F" w:rsidP="0035662F">
            <w:pPr>
              <w:jc w:val="both"/>
              <w:rPr>
                <w:rFonts w:eastAsia="Calibri"/>
                <w:sz w:val="20"/>
              </w:rPr>
            </w:pPr>
            <w:r w:rsidRPr="00F21162">
              <w:rPr>
                <w:rFonts w:eastAsia="Calibri"/>
                <w:sz w:val="20"/>
              </w:rPr>
              <w:t>Direction refusing to reconsider decision</w:t>
            </w:r>
          </w:p>
        </w:tc>
      </w:tr>
      <w:tr w:rsidR="0035662F" w:rsidRPr="00F21162" w:rsidTr="000B23D3">
        <w:trPr>
          <w:cantSplit/>
        </w:trPr>
        <w:tc>
          <w:tcPr>
            <w:tcW w:w="2427" w:type="pct"/>
          </w:tcPr>
          <w:p w:rsidR="0035662F" w:rsidRPr="00F21162" w:rsidRDefault="0035662F" w:rsidP="0035662F">
            <w:pPr>
              <w:jc w:val="both"/>
              <w:rPr>
                <w:rFonts w:eastAsia="Calibri"/>
                <w:sz w:val="20"/>
              </w:rPr>
            </w:pPr>
            <w:r w:rsidRPr="00F21162">
              <w:rPr>
                <w:rFonts w:eastAsia="Calibri"/>
                <w:sz w:val="20"/>
              </w:rPr>
              <w:t>June 23, 2015</w:t>
            </w:r>
          </w:p>
          <w:p w:rsidR="0035662F" w:rsidRPr="00F21162" w:rsidRDefault="0035662F" w:rsidP="0035662F">
            <w:pPr>
              <w:jc w:val="both"/>
              <w:rPr>
                <w:rFonts w:eastAsia="Calibri"/>
                <w:sz w:val="20"/>
              </w:rPr>
            </w:pPr>
            <w:r w:rsidRPr="00F21162">
              <w:rPr>
                <w:rFonts w:eastAsia="Calibri"/>
                <w:sz w:val="20"/>
              </w:rPr>
              <w:t>Supreme Court of Canada</w:t>
            </w:r>
          </w:p>
        </w:tc>
        <w:tc>
          <w:tcPr>
            <w:tcW w:w="243" w:type="pct"/>
          </w:tcPr>
          <w:p w:rsidR="0035662F" w:rsidRPr="00F21162" w:rsidRDefault="0035662F" w:rsidP="0035662F">
            <w:pPr>
              <w:jc w:val="both"/>
              <w:rPr>
                <w:rFonts w:eastAsia="Calibri"/>
                <w:sz w:val="20"/>
              </w:rPr>
            </w:pPr>
          </w:p>
        </w:tc>
        <w:tc>
          <w:tcPr>
            <w:tcW w:w="2330" w:type="pct"/>
          </w:tcPr>
          <w:p w:rsidR="0035662F" w:rsidRPr="00F21162" w:rsidRDefault="0035662F" w:rsidP="0035662F">
            <w:pPr>
              <w:rPr>
                <w:sz w:val="20"/>
                <w:szCs w:val="20"/>
              </w:rPr>
            </w:pPr>
            <w:r w:rsidRPr="00F21162">
              <w:rPr>
                <w:sz w:val="20"/>
                <w:szCs w:val="20"/>
              </w:rPr>
              <w:t>Motion for extension of time; Motion to appoint counsel; and Application for leave to appeal filed</w:t>
            </w:r>
          </w:p>
        </w:tc>
      </w:tr>
    </w:tbl>
    <w:p w:rsidR="00BF5990" w:rsidRPr="00F21162" w:rsidRDefault="00BF5990" w:rsidP="00BF5990">
      <w:pPr>
        <w:rPr>
          <w:sz w:val="20"/>
          <w:szCs w:val="20"/>
        </w:rPr>
      </w:pPr>
    </w:p>
    <w:p w:rsidR="00BF5990" w:rsidRPr="00F21162" w:rsidRDefault="00B150CF" w:rsidP="00BF5990">
      <w:pPr>
        <w:rPr>
          <w:sz w:val="20"/>
          <w:szCs w:val="20"/>
        </w:rPr>
      </w:pPr>
      <w:r>
        <w:rPr>
          <w:sz w:val="20"/>
          <w:szCs w:val="20"/>
          <w:lang w:val="fr-CA"/>
        </w:rPr>
        <w:pict>
          <v:rect id="_x0000_i1041" style="width:2in;height:1pt" o:hrpct="0" o:hralign="center" o:hrstd="t" o:hrnoshade="t" o:hr="t" fillcolor="black [3213]" stroked="f"/>
        </w:pict>
      </w:r>
    </w:p>
    <w:p w:rsidR="00BF5990" w:rsidRPr="00F21162" w:rsidRDefault="00BF5990" w:rsidP="00BF5990">
      <w:pPr>
        <w:rPr>
          <w:sz w:val="20"/>
          <w:szCs w:val="20"/>
        </w:rPr>
      </w:pPr>
    </w:p>
    <w:p w:rsidR="00BF5990" w:rsidRPr="00F21162" w:rsidRDefault="00BF5990" w:rsidP="00BF5990">
      <w:pPr>
        <w:rPr>
          <w:sz w:val="20"/>
          <w:szCs w:val="20"/>
          <w:u w:val="single"/>
          <w:lang w:val="fr-CA"/>
        </w:rPr>
      </w:pPr>
      <w:r w:rsidRPr="00F21162">
        <w:rPr>
          <w:sz w:val="20"/>
          <w:szCs w:val="20"/>
          <w:u w:val="single"/>
          <w:lang w:val="fr-CA"/>
        </w:rPr>
        <w:t>RÉSUMÉ DE L’AFFAIRE</w:t>
      </w:r>
    </w:p>
    <w:p w:rsidR="00BF5990" w:rsidRPr="00F21162" w:rsidRDefault="00BF5990" w:rsidP="00BF5990">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BF5990" w:rsidRPr="00F21162" w:rsidTr="000B23D3">
        <w:tc>
          <w:tcPr>
            <w:tcW w:w="5000" w:type="pct"/>
            <w:gridSpan w:val="3"/>
          </w:tcPr>
          <w:p w:rsidR="00BF5990" w:rsidRPr="00F21162" w:rsidRDefault="00372EA8" w:rsidP="000B23D3">
            <w:pPr>
              <w:jc w:val="both"/>
              <w:rPr>
                <w:iCs/>
                <w:sz w:val="20"/>
                <w:szCs w:val="20"/>
                <w:lang w:val="fr-CA"/>
              </w:rPr>
            </w:pPr>
            <w:r w:rsidRPr="00F21162">
              <w:rPr>
                <w:iCs/>
                <w:sz w:val="20"/>
                <w:szCs w:val="20"/>
                <w:lang w:val="fr-CA"/>
              </w:rPr>
              <w:t xml:space="preserve">Pensions – Régime de pensions du Canada – Prestations d’invalidité – Appels – La Cour d’appel </w:t>
            </w:r>
            <w:proofErr w:type="gramStart"/>
            <w:r w:rsidRPr="00F21162">
              <w:rPr>
                <w:iCs/>
                <w:sz w:val="20"/>
                <w:szCs w:val="20"/>
                <w:lang w:val="fr-CA"/>
              </w:rPr>
              <w:t>fédérale</w:t>
            </w:r>
            <w:proofErr w:type="gramEnd"/>
            <w:r w:rsidRPr="00F21162">
              <w:rPr>
                <w:iCs/>
                <w:sz w:val="20"/>
                <w:szCs w:val="20"/>
                <w:lang w:val="fr-CA"/>
              </w:rPr>
              <w:t xml:space="preserve"> a-t-elle eu tort de refuser de réexaminer sa décision de rejeter l’appel du demandeur pour cause de retard?</w:t>
            </w:r>
          </w:p>
          <w:p w:rsidR="00372EA8" w:rsidRPr="00F21162" w:rsidRDefault="00372EA8" w:rsidP="000B23D3">
            <w:pPr>
              <w:jc w:val="both"/>
              <w:rPr>
                <w:rFonts w:eastAsia="Calibri"/>
                <w:sz w:val="20"/>
                <w:szCs w:val="20"/>
                <w:lang w:val="fr-CA"/>
              </w:rPr>
            </w:pPr>
          </w:p>
        </w:tc>
      </w:tr>
      <w:tr w:rsidR="00BF5990" w:rsidRPr="00F21162" w:rsidTr="000B23D3">
        <w:tc>
          <w:tcPr>
            <w:tcW w:w="5000" w:type="pct"/>
            <w:gridSpan w:val="3"/>
          </w:tcPr>
          <w:p w:rsidR="00372EA8" w:rsidRPr="00F21162" w:rsidRDefault="00372EA8" w:rsidP="00372EA8">
            <w:pPr>
              <w:jc w:val="both"/>
              <w:rPr>
                <w:rFonts w:eastAsia="Calibri" w:cs="Times New Roman"/>
                <w:sz w:val="20"/>
                <w:szCs w:val="20"/>
                <w:lang w:val="fr-CA"/>
              </w:rPr>
            </w:pPr>
            <w:r w:rsidRPr="00F21162">
              <w:rPr>
                <w:rFonts w:eastAsia="Calibri" w:cs="Times New Roman"/>
                <w:sz w:val="20"/>
                <w:szCs w:val="20"/>
                <w:lang w:val="fr-CA"/>
              </w:rPr>
              <w:t xml:space="preserve">Monsieur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a d’abord fait une demande de prestations d’invalidité dans le cadre du Régime de pensions du Canada en janvier 2003. Le ministre de l’Emploi et du Développement social Canada (auparavant Ressources humaines et Développement des compétences Canada) a rejeté sa demande, dès le départ et après réexamen. Ses appels subséquents au tribunal de révision et à la Commission d’appel ont également été rejetés. Monsieur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a ensuite sollicité le contrôle judiciaire de la décision de la Commission d’appel en s’adressant à la Cour d’appel fédérale qui a rejeté sa demande. En janvier 2009, la Cour suprême du Canada a rejeté la demande d’autorisation d’appel de M.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Monsieur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w:t>
            </w:r>
            <w:proofErr w:type="gramStart"/>
            <w:r w:rsidRPr="00F21162">
              <w:rPr>
                <w:rFonts w:eastAsia="Calibri" w:cs="Times New Roman"/>
                <w:sz w:val="20"/>
                <w:szCs w:val="20"/>
                <w:lang w:val="fr-CA"/>
              </w:rPr>
              <w:t>a</w:t>
            </w:r>
            <w:proofErr w:type="gramEnd"/>
            <w:r w:rsidRPr="00F21162">
              <w:rPr>
                <w:rFonts w:eastAsia="Calibri" w:cs="Times New Roman"/>
                <w:sz w:val="20"/>
                <w:szCs w:val="20"/>
                <w:lang w:val="fr-CA"/>
              </w:rPr>
              <w:t xml:space="preserve"> ensuite demandé le réexamen de l’affaire par la Cour d’appel fédérale, demande qui a été rejetée, et il a une fois de plus demandé l’autorisation d’appel à la Cour suprême du Canada pour se pourvoir du refus de la demande de réexamen. Sa deuxième demande d’autorisation d’appel a encore une fois été rejetée. </w:t>
            </w:r>
          </w:p>
          <w:p w:rsidR="00372EA8" w:rsidRPr="00F21162" w:rsidRDefault="00372EA8" w:rsidP="00372EA8">
            <w:pPr>
              <w:jc w:val="both"/>
              <w:rPr>
                <w:rFonts w:eastAsia="Calibri" w:cs="Times New Roman"/>
                <w:sz w:val="20"/>
                <w:szCs w:val="20"/>
                <w:lang w:val="fr-CA"/>
              </w:rPr>
            </w:pPr>
          </w:p>
          <w:p w:rsidR="00372EA8" w:rsidRPr="00F21162" w:rsidRDefault="00372EA8" w:rsidP="00372EA8">
            <w:pPr>
              <w:jc w:val="both"/>
              <w:rPr>
                <w:rFonts w:eastAsia="Calibri" w:cs="Times New Roman"/>
                <w:sz w:val="20"/>
                <w:szCs w:val="20"/>
                <w:lang w:val="fr-CA"/>
              </w:rPr>
            </w:pPr>
            <w:r w:rsidRPr="00F21162">
              <w:rPr>
                <w:rFonts w:eastAsia="Calibri" w:cs="Times New Roman"/>
                <w:sz w:val="20"/>
                <w:szCs w:val="20"/>
                <w:lang w:val="fr-CA"/>
              </w:rPr>
              <w:t>En août 2011, M.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a déposé une autre demande de prestations d’invalidité en vertu du Régime de pensions du Canada. Le ministre a rejeté la demande de 2011 une première fois et après réexamen, après avoir conclu que la décision de la Commission d’appel relative à la demande de 2003 était définitive et tranchait la question de savoir si M.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souffrait d’une invalidité le 31 décembre 2002 lui ouvrant le droit à des prestations. Monsieur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a encore une fois interjeté appel de cette décision au tribunal de révision, sans succès. La Commission d’appel a rejeté la demande d’autorisation d’appel de la décision du tribunal de révision et la Cour fédérale a rejeté la demande de contrôle judiciaire. Monsieur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a interjeté appel de cette décision à la Cour d’appel fédérale. En mars 2015, l’appel de M. </w:t>
            </w:r>
            <w:proofErr w:type="spellStart"/>
            <w:r w:rsidRPr="00F21162">
              <w:rPr>
                <w:rFonts w:eastAsia="Calibri" w:cs="Times New Roman"/>
                <w:sz w:val="20"/>
                <w:szCs w:val="20"/>
                <w:lang w:val="fr-CA"/>
              </w:rPr>
              <w:t>Kaminski</w:t>
            </w:r>
            <w:proofErr w:type="spellEnd"/>
            <w:r w:rsidRPr="00F21162">
              <w:rPr>
                <w:rFonts w:eastAsia="Calibri" w:cs="Times New Roman"/>
                <w:sz w:val="20"/>
                <w:szCs w:val="20"/>
                <w:lang w:val="fr-CA"/>
              </w:rPr>
              <w:t xml:space="preserve"> a été rejeté pour cause de retard, puisqu’il n’avait pas fait les démarches nécessaires pour que l’appel suive son cours. La Cour d’appel fédérale a ensuite émis une directive refusant le réexamen de sa décision de rejeter l’appel pour cause de retard.</w:t>
            </w:r>
          </w:p>
          <w:p w:rsidR="00BF5990" w:rsidRPr="00F21162" w:rsidRDefault="00BF5990" w:rsidP="000B23D3">
            <w:pPr>
              <w:jc w:val="both"/>
              <w:rPr>
                <w:sz w:val="20"/>
                <w:lang w:val="fr-CA"/>
              </w:rPr>
            </w:pPr>
          </w:p>
        </w:tc>
      </w:tr>
      <w:tr w:rsidR="00BF5990" w:rsidRPr="00F21162" w:rsidTr="000B23D3">
        <w:trPr>
          <w:cantSplit/>
        </w:trPr>
        <w:tc>
          <w:tcPr>
            <w:tcW w:w="2427" w:type="pct"/>
          </w:tcPr>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11 mars 2014</w:t>
            </w:r>
          </w:p>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Cour fédérale (Juge Russell)</w:t>
            </w:r>
          </w:p>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2014 FC 238; T-448-13</w:t>
            </w:r>
          </w:p>
          <w:p w:rsidR="00BF5990" w:rsidRPr="00F21162" w:rsidRDefault="00BF5990" w:rsidP="000B23D3">
            <w:pPr>
              <w:jc w:val="both"/>
              <w:rPr>
                <w:rFonts w:eastAsia="Calibri"/>
                <w:sz w:val="20"/>
                <w:lang w:val="fr-CA"/>
              </w:rPr>
            </w:pPr>
          </w:p>
        </w:tc>
        <w:tc>
          <w:tcPr>
            <w:tcW w:w="243" w:type="pct"/>
          </w:tcPr>
          <w:p w:rsidR="00BF5990" w:rsidRPr="00F21162" w:rsidRDefault="00BF5990" w:rsidP="000B23D3">
            <w:pPr>
              <w:jc w:val="both"/>
              <w:rPr>
                <w:rFonts w:eastAsia="Calibri"/>
                <w:sz w:val="20"/>
                <w:lang w:val="fr-CA"/>
              </w:rPr>
            </w:pPr>
          </w:p>
        </w:tc>
        <w:tc>
          <w:tcPr>
            <w:tcW w:w="2330" w:type="pct"/>
          </w:tcPr>
          <w:p w:rsidR="0001331B" w:rsidRPr="00F21162" w:rsidRDefault="0001331B" w:rsidP="0001331B">
            <w:pPr>
              <w:spacing w:line="276" w:lineRule="auto"/>
              <w:jc w:val="both"/>
              <w:rPr>
                <w:sz w:val="20"/>
                <w:szCs w:val="20"/>
                <w:lang w:val="fr-CA"/>
              </w:rPr>
            </w:pPr>
            <w:r w:rsidRPr="00F21162">
              <w:rPr>
                <w:sz w:val="20"/>
                <w:szCs w:val="20"/>
                <w:lang w:val="fr-CA"/>
              </w:rPr>
              <w:t>Rejet de la demande de contrôle judiciaire</w:t>
            </w:r>
          </w:p>
          <w:p w:rsidR="00BF5990" w:rsidRPr="00F21162" w:rsidRDefault="00BF5990" w:rsidP="000B23D3">
            <w:pPr>
              <w:jc w:val="both"/>
              <w:rPr>
                <w:rFonts w:eastAsia="Calibri"/>
                <w:sz w:val="20"/>
                <w:lang w:val="fr-CA"/>
              </w:rPr>
            </w:pPr>
          </w:p>
        </w:tc>
      </w:tr>
      <w:tr w:rsidR="00BF5990" w:rsidRPr="00F21162" w:rsidTr="000B23D3">
        <w:trPr>
          <w:cantSplit/>
        </w:trPr>
        <w:tc>
          <w:tcPr>
            <w:tcW w:w="2427" w:type="pct"/>
          </w:tcPr>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13 mars 2015</w:t>
            </w:r>
          </w:p>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Cour d’appel fédérale</w:t>
            </w:r>
          </w:p>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 xml:space="preserve">(Juges </w:t>
            </w:r>
            <w:proofErr w:type="spellStart"/>
            <w:r w:rsidRPr="00F21162">
              <w:rPr>
                <w:rFonts w:eastAsia="Calibri" w:cs="Times New Roman"/>
                <w:sz w:val="20"/>
                <w:szCs w:val="20"/>
                <w:lang w:val="fr-CA"/>
              </w:rPr>
              <w:t>Stratas</w:t>
            </w:r>
            <w:proofErr w:type="spellEnd"/>
            <w:r w:rsidRPr="00F21162">
              <w:rPr>
                <w:rFonts w:eastAsia="Calibri" w:cs="Times New Roman"/>
                <w:sz w:val="20"/>
                <w:szCs w:val="20"/>
                <w:lang w:val="fr-CA"/>
              </w:rPr>
              <w:t xml:space="preserve">, </w:t>
            </w:r>
            <w:proofErr w:type="spellStart"/>
            <w:r w:rsidRPr="00F21162">
              <w:rPr>
                <w:rFonts w:eastAsia="Calibri" w:cs="Times New Roman"/>
                <w:sz w:val="20"/>
                <w:szCs w:val="20"/>
                <w:lang w:val="fr-CA"/>
              </w:rPr>
              <w:t>Ryer</w:t>
            </w:r>
            <w:proofErr w:type="spellEnd"/>
            <w:r w:rsidRPr="00F21162">
              <w:rPr>
                <w:rFonts w:eastAsia="Calibri" w:cs="Times New Roman"/>
                <w:sz w:val="20"/>
                <w:szCs w:val="20"/>
                <w:lang w:val="fr-CA"/>
              </w:rPr>
              <w:t xml:space="preserve"> et Near)</w:t>
            </w:r>
          </w:p>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A-199-14</w:t>
            </w:r>
          </w:p>
          <w:p w:rsidR="00BF5990" w:rsidRPr="00F21162" w:rsidRDefault="00BF5990" w:rsidP="000B23D3">
            <w:pPr>
              <w:jc w:val="both"/>
              <w:rPr>
                <w:rFonts w:eastAsia="Calibri"/>
                <w:sz w:val="20"/>
                <w:lang w:val="fr-CA"/>
              </w:rPr>
            </w:pPr>
          </w:p>
        </w:tc>
        <w:tc>
          <w:tcPr>
            <w:tcW w:w="243" w:type="pct"/>
          </w:tcPr>
          <w:p w:rsidR="00BF5990" w:rsidRPr="00F21162" w:rsidRDefault="00BF5990" w:rsidP="000B23D3">
            <w:pPr>
              <w:jc w:val="both"/>
              <w:rPr>
                <w:rFonts w:eastAsia="Calibri"/>
                <w:sz w:val="20"/>
                <w:lang w:val="fr-CA"/>
              </w:rPr>
            </w:pPr>
          </w:p>
        </w:tc>
        <w:tc>
          <w:tcPr>
            <w:tcW w:w="2330" w:type="pct"/>
          </w:tcPr>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Rejet de l’appel pour cause de retard</w:t>
            </w:r>
          </w:p>
          <w:p w:rsidR="00BF5990" w:rsidRPr="00F21162" w:rsidRDefault="00BF5990" w:rsidP="000B23D3">
            <w:pPr>
              <w:jc w:val="both"/>
              <w:rPr>
                <w:rFonts w:eastAsia="Calibri"/>
                <w:sz w:val="20"/>
                <w:lang w:val="fr-CA"/>
              </w:rPr>
            </w:pPr>
          </w:p>
        </w:tc>
      </w:tr>
      <w:tr w:rsidR="0001331B" w:rsidRPr="00F21162" w:rsidTr="000B23D3">
        <w:trPr>
          <w:cantSplit/>
        </w:trPr>
        <w:tc>
          <w:tcPr>
            <w:tcW w:w="2427" w:type="pct"/>
          </w:tcPr>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26 mars 2015</w:t>
            </w:r>
          </w:p>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Cour d’appel fédérale</w:t>
            </w:r>
          </w:p>
          <w:p w:rsidR="0001331B" w:rsidRPr="00F21162" w:rsidRDefault="0001331B" w:rsidP="0001331B">
            <w:pPr>
              <w:jc w:val="both"/>
              <w:rPr>
                <w:rFonts w:eastAsia="Calibri" w:cs="Times New Roman"/>
                <w:sz w:val="20"/>
                <w:szCs w:val="20"/>
                <w:lang w:val="fr-CA"/>
              </w:rPr>
            </w:pPr>
            <w:r w:rsidRPr="00F21162">
              <w:rPr>
                <w:rFonts w:eastAsia="Calibri" w:cs="Times New Roman"/>
                <w:sz w:val="20"/>
                <w:szCs w:val="20"/>
                <w:lang w:val="fr-CA"/>
              </w:rPr>
              <w:t xml:space="preserve">(Juge </w:t>
            </w:r>
            <w:proofErr w:type="spellStart"/>
            <w:r w:rsidRPr="00F21162">
              <w:rPr>
                <w:rFonts w:eastAsia="Calibri" w:cs="Times New Roman"/>
                <w:sz w:val="20"/>
                <w:szCs w:val="20"/>
                <w:lang w:val="fr-CA"/>
              </w:rPr>
              <w:t>Stratas</w:t>
            </w:r>
            <w:proofErr w:type="spellEnd"/>
            <w:r w:rsidRPr="00F21162">
              <w:rPr>
                <w:rFonts w:eastAsia="Calibri" w:cs="Times New Roman"/>
                <w:sz w:val="20"/>
                <w:szCs w:val="20"/>
                <w:lang w:val="fr-CA"/>
              </w:rPr>
              <w:t>)</w:t>
            </w:r>
          </w:p>
          <w:p w:rsidR="0001331B" w:rsidRPr="00F21162" w:rsidRDefault="0001331B" w:rsidP="000B23D3">
            <w:pPr>
              <w:jc w:val="both"/>
              <w:rPr>
                <w:rFonts w:eastAsia="Calibri"/>
                <w:sz w:val="20"/>
                <w:lang w:val="fr-CA"/>
              </w:rPr>
            </w:pPr>
          </w:p>
        </w:tc>
        <w:tc>
          <w:tcPr>
            <w:tcW w:w="243" w:type="pct"/>
          </w:tcPr>
          <w:p w:rsidR="0001331B" w:rsidRPr="00F21162" w:rsidRDefault="0001331B" w:rsidP="000B23D3">
            <w:pPr>
              <w:jc w:val="both"/>
              <w:rPr>
                <w:rFonts w:eastAsia="Calibri"/>
                <w:sz w:val="20"/>
                <w:lang w:val="fr-CA"/>
              </w:rPr>
            </w:pPr>
          </w:p>
        </w:tc>
        <w:tc>
          <w:tcPr>
            <w:tcW w:w="2330" w:type="pct"/>
          </w:tcPr>
          <w:p w:rsidR="0001331B" w:rsidRPr="00F21162" w:rsidRDefault="0001331B" w:rsidP="0001331B">
            <w:pPr>
              <w:spacing w:line="276" w:lineRule="auto"/>
              <w:jc w:val="both"/>
              <w:rPr>
                <w:sz w:val="20"/>
                <w:szCs w:val="20"/>
                <w:lang w:val="fr-CA"/>
              </w:rPr>
            </w:pPr>
            <w:r w:rsidRPr="00F21162">
              <w:rPr>
                <w:sz w:val="20"/>
                <w:szCs w:val="20"/>
                <w:lang w:val="fr-CA"/>
              </w:rPr>
              <w:t>Directive refusant de réexaminer la décision</w:t>
            </w:r>
          </w:p>
          <w:p w:rsidR="0001331B" w:rsidRPr="00F21162" w:rsidRDefault="0001331B" w:rsidP="000B23D3">
            <w:pPr>
              <w:jc w:val="both"/>
              <w:rPr>
                <w:sz w:val="20"/>
                <w:szCs w:val="20"/>
                <w:lang w:val="fr-CA"/>
              </w:rPr>
            </w:pPr>
          </w:p>
        </w:tc>
      </w:tr>
      <w:tr w:rsidR="00BF5990" w:rsidRPr="00F21162" w:rsidTr="000B23D3">
        <w:trPr>
          <w:cantSplit/>
        </w:trPr>
        <w:tc>
          <w:tcPr>
            <w:tcW w:w="2427" w:type="pct"/>
          </w:tcPr>
          <w:p w:rsidR="00BF5990" w:rsidRPr="00F21162" w:rsidRDefault="0001331B" w:rsidP="000B23D3">
            <w:pPr>
              <w:jc w:val="both"/>
              <w:rPr>
                <w:rFonts w:eastAsia="Calibri"/>
                <w:sz w:val="20"/>
                <w:lang w:val="fr-CA"/>
              </w:rPr>
            </w:pPr>
            <w:r w:rsidRPr="00F21162">
              <w:rPr>
                <w:rFonts w:eastAsia="Calibri"/>
                <w:sz w:val="20"/>
                <w:lang w:val="fr-CA"/>
              </w:rPr>
              <w:t>2</w:t>
            </w:r>
            <w:r w:rsidR="00BF5990" w:rsidRPr="00F21162">
              <w:rPr>
                <w:rFonts w:eastAsia="Calibri"/>
                <w:sz w:val="20"/>
                <w:lang w:val="fr-CA"/>
              </w:rPr>
              <w:t>3 juin 2015</w:t>
            </w:r>
          </w:p>
          <w:p w:rsidR="00BF5990" w:rsidRPr="00F21162" w:rsidRDefault="00BF5990" w:rsidP="000B23D3">
            <w:pPr>
              <w:jc w:val="both"/>
              <w:rPr>
                <w:rFonts w:eastAsia="Calibri"/>
                <w:sz w:val="20"/>
                <w:lang w:val="fr-CA"/>
              </w:rPr>
            </w:pPr>
            <w:r w:rsidRPr="00F21162">
              <w:rPr>
                <w:rFonts w:eastAsia="Calibri"/>
                <w:sz w:val="20"/>
                <w:lang w:val="fr-CA"/>
              </w:rPr>
              <w:t>Cour suprême du Canada</w:t>
            </w:r>
          </w:p>
        </w:tc>
        <w:tc>
          <w:tcPr>
            <w:tcW w:w="243" w:type="pct"/>
          </w:tcPr>
          <w:p w:rsidR="00BF5990" w:rsidRPr="00F21162" w:rsidRDefault="00BF5990" w:rsidP="000B23D3">
            <w:pPr>
              <w:jc w:val="both"/>
              <w:rPr>
                <w:rFonts w:eastAsia="Calibri"/>
                <w:sz w:val="20"/>
                <w:lang w:val="fr-CA"/>
              </w:rPr>
            </w:pPr>
          </w:p>
        </w:tc>
        <w:tc>
          <w:tcPr>
            <w:tcW w:w="2330" w:type="pct"/>
          </w:tcPr>
          <w:p w:rsidR="0001331B" w:rsidRPr="00F21162" w:rsidRDefault="0001331B" w:rsidP="0001331B">
            <w:pPr>
              <w:spacing w:line="276" w:lineRule="auto"/>
              <w:jc w:val="both"/>
              <w:rPr>
                <w:sz w:val="20"/>
                <w:szCs w:val="20"/>
                <w:lang w:val="fr-CA"/>
              </w:rPr>
            </w:pPr>
            <w:r w:rsidRPr="00F21162">
              <w:rPr>
                <w:sz w:val="20"/>
                <w:szCs w:val="20"/>
                <w:lang w:val="fr-CA"/>
              </w:rPr>
              <w:t>Dépôt de la requête en prorogation de délai, de la requête en nomination de procureur et de la demande d’autorisation d’appel</w:t>
            </w:r>
          </w:p>
          <w:p w:rsidR="00BF5990" w:rsidRPr="00F21162" w:rsidRDefault="00BF5990" w:rsidP="000B23D3">
            <w:pPr>
              <w:jc w:val="both"/>
              <w:rPr>
                <w:rFonts w:eastAsia="Calibri"/>
                <w:sz w:val="20"/>
                <w:lang w:val="fr-CA"/>
              </w:rPr>
            </w:pPr>
          </w:p>
        </w:tc>
      </w:tr>
    </w:tbl>
    <w:p w:rsidR="00BF5990" w:rsidRPr="00F21162" w:rsidRDefault="00BF5990" w:rsidP="00BF5990">
      <w:pPr>
        <w:rPr>
          <w:sz w:val="20"/>
          <w:szCs w:val="20"/>
        </w:rPr>
      </w:pPr>
    </w:p>
    <w:p w:rsidR="00BF5990" w:rsidRPr="00F21162" w:rsidRDefault="00B150CF" w:rsidP="00BF5990">
      <w:pPr>
        <w:rPr>
          <w:sz w:val="20"/>
          <w:szCs w:val="20"/>
        </w:rPr>
      </w:pPr>
      <w:r>
        <w:rPr>
          <w:sz w:val="20"/>
          <w:szCs w:val="20"/>
          <w:lang w:val="fr-CA"/>
        </w:rPr>
        <w:pict>
          <v:rect id="_x0000_i1042" style="width:2in;height:1pt" o:hrpct="0" o:hralign="center" o:hrstd="t" o:hrnoshade="t" o:hr="t" fillcolor="black [3213]" stroked="f"/>
        </w:pict>
      </w:r>
    </w:p>
    <w:p w:rsidR="00BF5990" w:rsidRPr="00F21162" w:rsidRDefault="00BF5990" w:rsidP="00BF5990">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6C5A64" w:rsidRPr="00F21162" w:rsidTr="000B23D3">
        <w:trPr>
          <w:cantSplit/>
        </w:trPr>
        <w:tc>
          <w:tcPr>
            <w:tcW w:w="1458" w:type="dxa"/>
          </w:tcPr>
          <w:p w:rsidR="006C5A64" w:rsidRPr="00F21162" w:rsidRDefault="006C5A64" w:rsidP="000B23D3">
            <w:pPr>
              <w:rPr>
                <w:sz w:val="20"/>
                <w:szCs w:val="20"/>
              </w:rPr>
            </w:pPr>
            <w:r w:rsidRPr="00F21162">
              <w:rPr>
                <w:rStyle w:val="SCCFileNumberChar"/>
                <w:sz w:val="20"/>
                <w:szCs w:val="20"/>
              </w:rPr>
              <w:t>36526</w:t>
            </w:r>
          </w:p>
          <w:p w:rsidR="006C5A64" w:rsidRPr="00F21162" w:rsidRDefault="006C5A64" w:rsidP="000B23D3">
            <w:pPr>
              <w:rPr>
                <w:b/>
                <w:sz w:val="20"/>
                <w:szCs w:val="20"/>
                <w:lang w:val="fr-CA"/>
              </w:rPr>
            </w:pPr>
          </w:p>
        </w:tc>
        <w:tc>
          <w:tcPr>
            <w:tcW w:w="8118" w:type="dxa"/>
          </w:tcPr>
          <w:p w:rsidR="006C5A64" w:rsidRPr="00F21162" w:rsidRDefault="00D619C6" w:rsidP="000B23D3">
            <w:pPr>
              <w:rPr>
                <w:sz w:val="20"/>
                <w:szCs w:val="20"/>
              </w:rPr>
            </w:pPr>
            <w:r w:rsidRPr="00F21162">
              <w:rPr>
                <w:rStyle w:val="SCCLsocChar"/>
                <w:sz w:val="20"/>
                <w:szCs w:val="20"/>
                <w:lang w:val="en-CA"/>
              </w:rPr>
              <w:t>Marcel</w:t>
            </w:r>
            <w:r w:rsidR="006C5A64" w:rsidRPr="00F21162">
              <w:rPr>
                <w:rStyle w:val="SCCLsocChar"/>
                <w:sz w:val="20"/>
                <w:szCs w:val="20"/>
                <w:lang w:val="en-CA"/>
              </w:rPr>
              <w:t xml:space="preserve"> </w:t>
            </w:r>
            <w:r w:rsidRPr="00F21162">
              <w:rPr>
                <w:rStyle w:val="SCCLsocChar"/>
                <w:sz w:val="20"/>
                <w:szCs w:val="20"/>
                <w:lang w:val="en-CA"/>
              </w:rPr>
              <w:t>René</w:t>
            </w:r>
            <w:r w:rsidR="006C5A64" w:rsidRPr="00F21162">
              <w:rPr>
                <w:rStyle w:val="SCCLsocChar"/>
                <w:sz w:val="20"/>
                <w:szCs w:val="20"/>
                <w:lang w:val="en-CA"/>
              </w:rPr>
              <w:t xml:space="preserve"> </w:t>
            </w:r>
            <w:r w:rsidRPr="00F21162">
              <w:rPr>
                <w:rStyle w:val="SCCLsocChar"/>
                <w:sz w:val="20"/>
                <w:szCs w:val="20"/>
                <w:lang w:val="en-CA"/>
              </w:rPr>
              <w:t xml:space="preserve">Provost </w:t>
            </w:r>
            <w:r w:rsidR="006C5A64" w:rsidRPr="00F21162">
              <w:rPr>
                <w:rStyle w:val="SCCLsocChar"/>
                <w:sz w:val="20"/>
                <w:szCs w:val="20"/>
                <w:lang w:val="en-CA"/>
              </w:rPr>
              <w:t>v. Attorney General of Canada</w:t>
            </w:r>
            <w:r w:rsidRPr="00F21162">
              <w:rPr>
                <w:rStyle w:val="SCCLsocChar"/>
                <w:sz w:val="20"/>
                <w:szCs w:val="20"/>
                <w:lang w:val="en-CA"/>
              </w:rPr>
              <w:t xml:space="preserve"> representing the United States of America</w:t>
            </w:r>
            <w:r w:rsidR="006C5A64" w:rsidRPr="00F21162">
              <w:rPr>
                <w:sz w:val="20"/>
                <w:szCs w:val="20"/>
              </w:rPr>
              <w:t xml:space="preserve"> (</w:t>
            </w:r>
            <w:r w:rsidRPr="00F21162">
              <w:rPr>
                <w:sz w:val="20"/>
                <w:szCs w:val="20"/>
              </w:rPr>
              <w:t>Que</w:t>
            </w:r>
            <w:r w:rsidR="006C5A64" w:rsidRPr="00F21162">
              <w:rPr>
                <w:sz w:val="20"/>
                <w:szCs w:val="20"/>
              </w:rPr>
              <w:t>.) (C</w:t>
            </w:r>
            <w:r w:rsidRPr="00F21162">
              <w:rPr>
                <w:sz w:val="20"/>
                <w:szCs w:val="20"/>
              </w:rPr>
              <w:t>r</w:t>
            </w:r>
            <w:r w:rsidR="006C5A64" w:rsidRPr="00F21162">
              <w:rPr>
                <w:sz w:val="20"/>
                <w:szCs w:val="20"/>
              </w:rPr>
              <w:t>i</w:t>
            </w:r>
            <w:r w:rsidRPr="00F21162">
              <w:rPr>
                <w:sz w:val="20"/>
                <w:szCs w:val="20"/>
              </w:rPr>
              <w:t>m</w:t>
            </w:r>
            <w:r w:rsidR="006C5A64" w:rsidRPr="00F21162">
              <w:rPr>
                <w:sz w:val="20"/>
                <w:szCs w:val="20"/>
              </w:rPr>
              <w:t>i</w:t>
            </w:r>
            <w:r w:rsidRPr="00F21162">
              <w:rPr>
                <w:sz w:val="20"/>
                <w:szCs w:val="20"/>
              </w:rPr>
              <w:t>na</w:t>
            </w:r>
            <w:r w:rsidR="006C5A64" w:rsidRPr="00F21162">
              <w:rPr>
                <w:sz w:val="20"/>
                <w:szCs w:val="20"/>
              </w:rPr>
              <w:t>l) (By Leave)</w:t>
            </w:r>
          </w:p>
          <w:p w:rsidR="006C5A64" w:rsidRPr="00F21162" w:rsidRDefault="006C5A64" w:rsidP="000B23D3">
            <w:pPr>
              <w:rPr>
                <w:sz w:val="20"/>
                <w:szCs w:val="20"/>
              </w:rPr>
            </w:pPr>
          </w:p>
        </w:tc>
      </w:tr>
      <w:tr w:rsidR="006C5A64" w:rsidRPr="00F21162" w:rsidTr="000B23D3">
        <w:trPr>
          <w:cantSplit/>
        </w:trPr>
        <w:tc>
          <w:tcPr>
            <w:tcW w:w="1458" w:type="dxa"/>
          </w:tcPr>
          <w:p w:rsidR="006C5A64" w:rsidRPr="00F21162" w:rsidRDefault="006C5A64" w:rsidP="000B23D3">
            <w:pPr>
              <w:rPr>
                <w:sz w:val="20"/>
                <w:szCs w:val="20"/>
              </w:rPr>
            </w:pPr>
            <w:r w:rsidRPr="00F21162">
              <w:rPr>
                <w:sz w:val="20"/>
                <w:szCs w:val="20"/>
              </w:rPr>
              <w:t>Coram :</w:t>
            </w:r>
          </w:p>
        </w:tc>
        <w:tc>
          <w:tcPr>
            <w:tcW w:w="8118" w:type="dxa"/>
          </w:tcPr>
          <w:p w:rsidR="006C5A64" w:rsidRPr="00F21162" w:rsidRDefault="006C5A64" w:rsidP="000B23D3">
            <w:pPr>
              <w:rPr>
                <w:sz w:val="20"/>
                <w:szCs w:val="20"/>
              </w:rPr>
            </w:pPr>
            <w:proofErr w:type="spellStart"/>
            <w:r w:rsidRPr="00F21162">
              <w:rPr>
                <w:rStyle w:val="SCCCoramChar"/>
                <w:sz w:val="20"/>
                <w:szCs w:val="20"/>
                <w:lang w:val="en-CA"/>
              </w:rPr>
              <w:t>Abella</w:t>
            </w:r>
            <w:proofErr w:type="spellEnd"/>
            <w:r w:rsidRPr="00F21162">
              <w:rPr>
                <w:rStyle w:val="SCCCoramChar"/>
                <w:sz w:val="20"/>
                <w:szCs w:val="20"/>
                <w:lang w:val="en-CA"/>
              </w:rPr>
              <w:t xml:space="preserve">, </w:t>
            </w:r>
            <w:proofErr w:type="spellStart"/>
            <w:r w:rsidRPr="00F21162">
              <w:rPr>
                <w:rStyle w:val="SCCCoramChar"/>
                <w:sz w:val="20"/>
                <w:szCs w:val="20"/>
                <w:lang w:val="en-CA"/>
              </w:rPr>
              <w:t>Karakatsanis</w:t>
            </w:r>
            <w:proofErr w:type="spellEnd"/>
            <w:r w:rsidRPr="00F21162">
              <w:rPr>
                <w:rStyle w:val="SCCCoramChar"/>
                <w:sz w:val="20"/>
                <w:szCs w:val="20"/>
                <w:lang w:val="en-CA"/>
              </w:rPr>
              <w:t xml:space="preserve"> and Brown JJ.</w:t>
            </w:r>
          </w:p>
          <w:p w:rsidR="006C5A64" w:rsidRPr="00F21162" w:rsidRDefault="006C5A64" w:rsidP="000B23D3">
            <w:pPr>
              <w:rPr>
                <w:sz w:val="20"/>
                <w:szCs w:val="20"/>
                <w:u w:val="single"/>
              </w:rPr>
            </w:pPr>
          </w:p>
        </w:tc>
      </w:tr>
      <w:tr w:rsidR="006C5A64" w:rsidRPr="00F21162" w:rsidTr="000B23D3">
        <w:trPr>
          <w:cantSplit/>
        </w:trPr>
        <w:tc>
          <w:tcPr>
            <w:tcW w:w="9576" w:type="dxa"/>
            <w:gridSpan w:val="2"/>
          </w:tcPr>
          <w:p w:rsidR="006C5A64" w:rsidRPr="00F21162" w:rsidRDefault="00A75B38" w:rsidP="000B23D3">
            <w:pPr>
              <w:pStyle w:val="SCCShortJudgment"/>
              <w:rPr>
                <w:szCs w:val="20"/>
                <w:lang w:val="fr-CA"/>
              </w:rPr>
            </w:pPr>
            <w:r w:rsidRPr="00F21162">
              <w:t>The application for leave to appeal from the judgment of the Court of Appeal of Quebec (Montréal), Number 500-10-005578-149, 2015 QCCA 1172, dated June 25, 2015, is dismissed.</w:t>
            </w:r>
          </w:p>
          <w:p w:rsidR="006C5A64" w:rsidRPr="00F21162" w:rsidRDefault="006C5A64" w:rsidP="000B23D3">
            <w:pPr>
              <w:pStyle w:val="SCCShortJudgment"/>
              <w:rPr>
                <w:szCs w:val="20"/>
                <w:lang w:val="fr-CA"/>
              </w:rPr>
            </w:pPr>
          </w:p>
          <w:p w:rsidR="006C5A64" w:rsidRPr="00F21162" w:rsidRDefault="00A75B38" w:rsidP="00A75B38">
            <w:pPr>
              <w:pStyle w:val="SCCShortJudgment"/>
              <w:rPr>
                <w:szCs w:val="20"/>
              </w:rPr>
            </w:pPr>
            <w:r w:rsidRPr="00F21162">
              <w:rPr>
                <w:lang w:val="fr-CA"/>
              </w:rPr>
              <w:t xml:space="preserve">La demande d’autorisation d’appel de l’arrêt de la </w:t>
            </w:r>
            <w:r w:rsidRPr="00F21162">
              <w:rPr>
                <w:lang w:val="fr-FR"/>
              </w:rPr>
              <w:t>Cour d’appel du Québec (Montréal)</w:t>
            </w:r>
            <w:r w:rsidRPr="00F21162">
              <w:rPr>
                <w:lang w:val="fr-CA"/>
              </w:rPr>
              <w:t xml:space="preserve">, numéro </w:t>
            </w:r>
            <w:r w:rsidRPr="00F21162">
              <w:rPr>
                <w:lang w:val="fr-FR"/>
              </w:rPr>
              <w:t>500-10-005578-149</w:t>
            </w:r>
            <w:r w:rsidRPr="00F21162">
              <w:rPr>
                <w:lang w:val="fr-CA"/>
              </w:rPr>
              <w:t xml:space="preserve">, </w:t>
            </w:r>
            <w:r w:rsidRPr="00F21162">
              <w:rPr>
                <w:lang w:val="fr-FR"/>
              </w:rPr>
              <w:t xml:space="preserve">2015 QCCA 1172, </w:t>
            </w:r>
            <w:r w:rsidRPr="00F21162">
              <w:rPr>
                <w:lang w:val="fr-CA"/>
              </w:rPr>
              <w:t xml:space="preserve">daté du </w:t>
            </w:r>
            <w:r w:rsidRPr="00F21162">
              <w:rPr>
                <w:lang w:val="fr-FR"/>
              </w:rPr>
              <w:t>25 juin 2015</w:t>
            </w:r>
            <w:r w:rsidRPr="00F21162">
              <w:rPr>
                <w:lang w:val="fr-CA"/>
              </w:rPr>
              <w:t>, est rejetée.</w:t>
            </w:r>
          </w:p>
        </w:tc>
      </w:tr>
    </w:tbl>
    <w:p w:rsidR="006C5A64" w:rsidRPr="00F21162" w:rsidRDefault="006C5A64" w:rsidP="006C5A64">
      <w:pPr>
        <w:rPr>
          <w:sz w:val="20"/>
          <w:szCs w:val="20"/>
          <w:lang w:val="fr-CA"/>
        </w:rPr>
      </w:pPr>
    </w:p>
    <w:p w:rsidR="006C5A64" w:rsidRPr="00F21162" w:rsidRDefault="006C5A64" w:rsidP="006C5A64">
      <w:pPr>
        <w:rPr>
          <w:sz w:val="20"/>
          <w:szCs w:val="20"/>
          <w:u w:val="single"/>
        </w:rPr>
      </w:pPr>
      <w:r w:rsidRPr="00F21162">
        <w:rPr>
          <w:sz w:val="20"/>
          <w:szCs w:val="20"/>
          <w:u w:val="single"/>
        </w:rPr>
        <w:t>CASE SUMMARY</w:t>
      </w:r>
    </w:p>
    <w:p w:rsidR="006C5A64" w:rsidRPr="00F21162" w:rsidRDefault="006C5A64" w:rsidP="006C5A64">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6C5A64" w:rsidRPr="00F21162" w:rsidTr="000B23D3">
        <w:tc>
          <w:tcPr>
            <w:tcW w:w="5000" w:type="pct"/>
            <w:gridSpan w:val="3"/>
          </w:tcPr>
          <w:p w:rsidR="006C5A64" w:rsidRPr="00F21162" w:rsidRDefault="00326115" w:rsidP="000B23D3">
            <w:pPr>
              <w:jc w:val="both"/>
              <w:rPr>
                <w:sz w:val="20"/>
                <w:szCs w:val="20"/>
              </w:rPr>
            </w:pPr>
            <w:r w:rsidRPr="00F21162">
              <w:rPr>
                <w:i/>
                <w:sz w:val="20"/>
                <w:szCs w:val="20"/>
              </w:rPr>
              <w:t xml:space="preserve">Canadian Charter of Rights and Freedoms </w:t>
            </w:r>
            <w:r w:rsidRPr="00F21162">
              <w:rPr>
                <w:sz w:val="20"/>
                <w:szCs w:val="20"/>
              </w:rPr>
              <w:t xml:space="preserve">– Criminal law – Extradition – Whether the Court of Appeal erred in law and in law and fact when it decided that the civil commitment process in the State of Virginia did not violate Section 7 of the </w:t>
            </w:r>
            <w:r w:rsidRPr="00F21162">
              <w:rPr>
                <w:i/>
                <w:sz w:val="20"/>
                <w:szCs w:val="20"/>
              </w:rPr>
              <w:t xml:space="preserve">Charter </w:t>
            </w:r>
            <w:r w:rsidRPr="00F21162">
              <w:rPr>
                <w:sz w:val="20"/>
                <w:szCs w:val="20"/>
              </w:rPr>
              <w:t xml:space="preserve">to the extent that it would shock the conscience of Canadians and that the decision of the Minister was reasonable – Whether the civil commitment process violates the Applicant’s right to liberty and security of the person because his surrender to the United States, after completing sentence, implies indefinite detention or release under very severe conditions, even though he is not of unsound mind. </w:t>
            </w:r>
            <w:r w:rsidRPr="00F21162">
              <w:rPr>
                <w:i/>
                <w:sz w:val="20"/>
                <w:szCs w:val="20"/>
              </w:rPr>
              <w:t>Canadian Charter of Rights and Freedoms</w:t>
            </w:r>
            <w:r w:rsidRPr="00F21162">
              <w:rPr>
                <w:sz w:val="20"/>
                <w:szCs w:val="20"/>
              </w:rPr>
              <w:t>, ss. 7 and 12.</w:t>
            </w:r>
          </w:p>
          <w:p w:rsidR="00326115" w:rsidRPr="00F21162" w:rsidRDefault="00326115" w:rsidP="000B23D3">
            <w:pPr>
              <w:jc w:val="both"/>
              <w:rPr>
                <w:rFonts w:eastAsia="Calibri"/>
                <w:sz w:val="20"/>
                <w:szCs w:val="20"/>
              </w:rPr>
            </w:pPr>
          </w:p>
        </w:tc>
      </w:tr>
      <w:tr w:rsidR="006C5A64" w:rsidRPr="00F21162" w:rsidTr="000B23D3">
        <w:tc>
          <w:tcPr>
            <w:tcW w:w="5000" w:type="pct"/>
            <w:gridSpan w:val="3"/>
          </w:tcPr>
          <w:p w:rsidR="00326115" w:rsidRPr="00F21162" w:rsidRDefault="00326115" w:rsidP="00326115">
            <w:pPr>
              <w:jc w:val="both"/>
              <w:rPr>
                <w:sz w:val="20"/>
                <w:szCs w:val="20"/>
              </w:rPr>
            </w:pPr>
            <w:r w:rsidRPr="00F21162">
              <w:rPr>
                <w:sz w:val="20"/>
                <w:szCs w:val="20"/>
              </w:rPr>
              <w:t xml:space="preserve">On May 30, 2007, the Applicant pleaded guilty in Virginia to the offence of carnal knowledge of a minor, contrary to the </w:t>
            </w:r>
            <w:r w:rsidRPr="00F21162">
              <w:rPr>
                <w:i/>
                <w:sz w:val="20"/>
                <w:szCs w:val="20"/>
              </w:rPr>
              <w:t>Virginia Code</w:t>
            </w:r>
            <w:r w:rsidRPr="00F21162">
              <w:rPr>
                <w:sz w:val="20"/>
                <w:szCs w:val="20"/>
              </w:rPr>
              <w:t xml:space="preserve">. He was sentenced to five years imprisonment but the sentence was suspended on certain conditions which included supervision by a probation officer and various probation orders. In August 2007, the Applicant applied to the Virginia Court to temporarily return to Canada but his request was denied.  He subsequently left Virginia and returned to Canada in violation of the order which required him to remain in the United States until all details for the transfer of his probation to Canada were completed. He contacted his probation officer and told him he was not going back to the United States. The probation officer then suggested revoking the suspended sentence which ensued and an arrest warrant was delivered. On October 31, 2013, the United States requested the Applicant’s extradition for the enforcement of his sentence. On December 18, 2013, the Minister of Justice issued an Authority to Proceed pursuant to s. 15 of the </w:t>
            </w:r>
            <w:r w:rsidRPr="00F21162">
              <w:rPr>
                <w:i/>
                <w:sz w:val="20"/>
                <w:szCs w:val="20"/>
              </w:rPr>
              <w:t>Extradition Act</w:t>
            </w:r>
            <w:r w:rsidRPr="00F21162">
              <w:rPr>
                <w:sz w:val="20"/>
                <w:szCs w:val="20"/>
              </w:rPr>
              <w:t>. The Applicant’s committal into custody was ordered by the Superior Court on February 7, 2014 and on August 25, 2014, the Justice Minister issued an order of surrender.</w:t>
            </w:r>
          </w:p>
          <w:p w:rsidR="006C5A64" w:rsidRPr="00F21162" w:rsidRDefault="006C5A64" w:rsidP="000B23D3">
            <w:pPr>
              <w:jc w:val="both"/>
              <w:rPr>
                <w:rFonts w:eastAsia="Calibri"/>
                <w:sz w:val="20"/>
              </w:rPr>
            </w:pPr>
          </w:p>
        </w:tc>
      </w:tr>
      <w:tr w:rsidR="00326115" w:rsidRPr="00F21162" w:rsidTr="000B23D3">
        <w:trPr>
          <w:cantSplit/>
        </w:trPr>
        <w:tc>
          <w:tcPr>
            <w:tcW w:w="2427" w:type="pct"/>
          </w:tcPr>
          <w:p w:rsidR="00326115" w:rsidRPr="00F21162" w:rsidRDefault="00326115" w:rsidP="00326115">
            <w:pPr>
              <w:jc w:val="both"/>
              <w:rPr>
                <w:sz w:val="20"/>
                <w:szCs w:val="20"/>
              </w:rPr>
            </w:pPr>
            <w:r w:rsidRPr="00F21162">
              <w:rPr>
                <w:sz w:val="20"/>
                <w:szCs w:val="20"/>
              </w:rPr>
              <w:t>August 25, 2014</w:t>
            </w:r>
          </w:p>
          <w:p w:rsidR="00326115" w:rsidRPr="00F21162" w:rsidRDefault="00326115" w:rsidP="00326115">
            <w:pPr>
              <w:jc w:val="both"/>
              <w:rPr>
                <w:sz w:val="20"/>
                <w:szCs w:val="20"/>
              </w:rPr>
            </w:pPr>
            <w:r w:rsidRPr="00F21162">
              <w:rPr>
                <w:sz w:val="20"/>
                <w:szCs w:val="20"/>
              </w:rPr>
              <w:t>Minister of Justice</w:t>
            </w:r>
          </w:p>
          <w:p w:rsidR="00326115" w:rsidRPr="00F21162" w:rsidRDefault="00326115" w:rsidP="00326115">
            <w:pPr>
              <w:jc w:val="both"/>
              <w:rPr>
                <w:sz w:val="20"/>
                <w:szCs w:val="20"/>
              </w:rPr>
            </w:pPr>
            <w:r w:rsidRPr="00F21162">
              <w:rPr>
                <w:sz w:val="20"/>
                <w:szCs w:val="20"/>
              </w:rPr>
              <w:t>(Hon. P. Mackay)</w:t>
            </w:r>
          </w:p>
          <w:p w:rsidR="00326115" w:rsidRPr="00F21162" w:rsidRDefault="00326115" w:rsidP="00326115">
            <w:pPr>
              <w:jc w:val="both"/>
              <w:rPr>
                <w:rFonts w:eastAsia="Calibri"/>
                <w:sz w:val="20"/>
              </w:rPr>
            </w:pPr>
          </w:p>
        </w:tc>
        <w:tc>
          <w:tcPr>
            <w:tcW w:w="243" w:type="pct"/>
          </w:tcPr>
          <w:p w:rsidR="00326115" w:rsidRPr="00F21162" w:rsidRDefault="00326115" w:rsidP="00326115">
            <w:pPr>
              <w:jc w:val="both"/>
              <w:rPr>
                <w:rFonts w:eastAsia="Calibri"/>
                <w:sz w:val="20"/>
              </w:rPr>
            </w:pPr>
          </w:p>
        </w:tc>
        <w:tc>
          <w:tcPr>
            <w:tcW w:w="2330" w:type="pct"/>
          </w:tcPr>
          <w:p w:rsidR="00326115" w:rsidRPr="00F21162" w:rsidRDefault="00326115" w:rsidP="00326115">
            <w:pPr>
              <w:rPr>
                <w:sz w:val="20"/>
                <w:szCs w:val="20"/>
              </w:rPr>
            </w:pPr>
            <w:r w:rsidRPr="00F21162">
              <w:rPr>
                <w:sz w:val="20"/>
                <w:szCs w:val="20"/>
              </w:rPr>
              <w:t>Order of surrender issued</w:t>
            </w:r>
          </w:p>
        </w:tc>
      </w:tr>
      <w:tr w:rsidR="006C5A64" w:rsidRPr="00F21162" w:rsidTr="000B23D3">
        <w:trPr>
          <w:cantSplit/>
        </w:trPr>
        <w:tc>
          <w:tcPr>
            <w:tcW w:w="2427" w:type="pct"/>
          </w:tcPr>
          <w:p w:rsidR="00326115" w:rsidRPr="00F21162" w:rsidRDefault="00326115" w:rsidP="00326115">
            <w:pPr>
              <w:jc w:val="both"/>
              <w:rPr>
                <w:sz w:val="20"/>
                <w:szCs w:val="20"/>
              </w:rPr>
            </w:pPr>
            <w:r w:rsidRPr="00F21162">
              <w:rPr>
                <w:sz w:val="20"/>
                <w:szCs w:val="20"/>
              </w:rPr>
              <w:t>June 25, 2015</w:t>
            </w:r>
          </w:p>
          <w:p w:rsidR="00326115" w:rsidRPr="00F21162" w:rsidRDefault="00326115" w:rsidP="00326115">
            <w:pPr>
              <w:jc w:val="both"/>
              <w:rPr>
                <w:sz w:val="20"/>
                <w:szCs w:val="20"/>
              </w:rPr>
            </w:pPr>
            <w:r w:rsidRPr="00F21162">
              <w:rPr>
                <w:sz w:val="20"/>
                <w:szCs w:val="20"/>
              </w:rPr>
              <w:t>Court of Appeal of Quebec (Montréal)</w:t>
            </w:r>
          </w:p>
          <w:p w:rsidR="00326115" w:rsidRPr="00F21162" w:rsidRDefault="00326115" w:rsidP="00326115">
            <w:pPr>
              <w:jc w:val="both"/>
              <w:rPr>
                <w:sz w:val="20"/>
                <w:szCs w:val="20"/>
                <w:lang w:val="en-US"/>
              </w:rPr>
            </w:pPr>
            <w:r w:rsidRPr="00F21162">
              <w:rPr>
                <w:sz w:val="20"/>
                <w:szCs w:val="20"/>
                <w:lang w:val="en-US"/>
              </w:rPr>
              <w:t>(</w:t>
            </w:r>
            <w:proofErr w:type="spellStart"/>
            <w:r w:rsidRPr="00F21162">
              <w:rPr>
                <w:sz w:val="20"/>
                <w:szCs w:val="20"/>
                <w:lang w:val="en-US"/>
              </w:rPr>
              <w:t>Dutil</w:t>
            </w:r>
            <w:proofErr w:type="spellEnd"/>
            <w:r w:rsidRPr="00F21162">
              <w:rPr>
                <w:sz w:val="20"/>
                <w:szCs w:val="20"/>
                <w:lang w:val="en-US"/>
              </w:rPr>
              <w:t>, Gagnon and St-Pierre JJ.A.)</w:t>
            </w:r>
          </w:p>
          <w:p w:rsidR="00326115" w:rsidRPr="00F21162" w:rsidRDefault="00B150CF" w:rsidP="00326115">
            <w:pPr>
              <w:rPr>
                <w:rFonts w:eastAsia="Times New Roman" w:cs="Times New Roman"/>
                <w:sz w:val="20"/>
                <w:szCs w:val="20"/>
                <w:lang w:eastAsia="en-CA"/>
              </w:rPr>
            </w:pPr>
            <w:hyperlink r:id="rId44" w:history="1">
              <w:r w:rsidR="00326115" w:rsidRPr="00F21162">
                <w:rPr>
                  <w:rFonts w:eastAsia="Times New Roman" w:cs="Times New Roman"/>
                  <w:color w:val="0000FF" w:themeColor="hyperlink"/>
                  <w:sz w:val="20"/>
                  <w:szCs w:val="20"/>
                  <w:u w:val="single"/>
                  <w:lang w:eastAsia="en-CA"/>
                </w:rPr>
                <w:t>2015 QCCA 1172</w:t>
              </w:r>
            </w:hyperlink>
          </w:p>
          <w:p w:rsidR="006C5A64" w:rsidRPr="00F21162" w:rsidRDefault="006C5A64" w:rsidP="000B23D3">
            <w:pPr>
              <w:jc w:val="both"/>
              <w:rPr>
                <w:rFonts w:eastAsia="Calibri"/>
                <w:sz w:val="20"/>
              </w:rPr>
            </w:pPr>
          </w:p>
        </w:tc>
        <w:tc>
          <w:tcPr>
            <w:tcW w:w="243" w:type="pct"/>
          </w:tcPr>
          <w:p w:rsidR="006C5A64" w:rsidRPr="00F21162" w:rsidRDefault="006C5A64" w:rsidP="000B23D3">
            <w:pPr>
              <w:jc w:val="both"/>
              <w:rPr>
                <w:rFonts w:eastAsia="Calibri"/>
                <w:sz w:val="20"/>
              </w:rPr>
            </w:pPr>
          </w:p>
        </w:tc>
        <w:tc>
          <w:tcPr>
            <w:tcW w:w="2330" w:type="pct"/>
          </w:tcPr>
          <w:p w:rsidR="00326115" w:rsidRPr="00F21162" w:rsidRDefault="00326115" w:rsidP="00326115">
            <w:pPr>
              <w:jc w:val="both"/>
              <w:rPr>
                <w:rFonts w:eastAsia="Times New Roman" w:cs="Times New Roman"/>
                <w:sz w:val="20"/>
                <w:szCs w:val="20"/>
                <w:lang w:eastAsia="en-CA"/>
              </w:rPr>
            </w:pPr>
            <w:r w:rsidRPr="00F21162">
              <w:rPr>
                <w:rFonts w:eastAsia="Times New Roman" w:cs="Times New Roman"/>
                <w:sz w:val="20"/>
                <w:szCs w:val="20"/>
                <w:lang w:eastAsia="en-CA"/>
              </w:rPr>
              <w:t>Judicial review dismissed</w:t>
            </w:r>
          </w:p>
          <w:p w:rsidR="006C5A64" w:rsidRPr="00F21162" w:rsidRDefault="006C5A64" w:rsidP="000B23D3">
            <w:pPr>
              <w:jc w:val="both"/>
              <w:rPr>
                <w:rFonts w:eastAsia="Calibri"/>
                <w:sz w:val="20"/>
              </w:rPr>
            </w:pPr>
          </w:p>
        </w:tc>
      </w:tr>
      <w:tr w:rsidR="006C5A64" w:rsidRPr="00F21162" w:rsidTr="000B23D3">
        <w:trPr>
          <w:cantSplit/>
        </w:trPr>
        <w:tc>
          <w:tcPr>
            <w:tcW w:w="2427" w:type="pct"/>
          </w:tcPr>
          <w:p w:rsidR="006C5A64" w:rsidRPr="00F21162" w:rsidRDefault="00326115" w:rsidP="000B23D3">
            <w:pPr>
              <w:jc w:val="both"/>
              <w:rPr>
                <w:rFonts w:eastAsia="Calibri"/>
                <w:sz w:val="20"/>
              </w:rPr>
            </w:pPr>
            <w:r w:rsidRPr="00F21162">
              <w:rPr>
                <w:rFonts w:eastAsia="Calibri"/>
                <w:sz w:val="20"/>
              </w:rPr>
              <w:t>September</w:t>
            </w:r>
            <w:r w:rsidR="006C5A64" w:rsidRPr="00F21162">
              <w:rPr>
                <w:rFonts w:eastAsia="Calibri"/>
                <w:sz w:val="20"/>
              </w:rPr>
              <w:t xml:space="preserve"> 2</w:t>
            </w:r>
            <w:r w:rsidRPr="00F21162">
              <w:rPr>
                <w:rFonts w:eastAsia="Calibri"/>
                <w:sz w:val="20"/>
              </w:rPr>
              <w:t>2</w:t>
            </w:r>
            <w:r w:rsidR="006C5A64" w:rsidRPr="00F21162">
              <w:rPr>
                <w:rFonts w:eastAsia="Calibri"/>
                <w:sz w:val="20"/>
              </w:rPr>
              <w:t>, 2015</w:t>
            </w:r>
          </w:p>
          <w:p w:rsidR="006C5A64" w:rsidRPr="00F21162" w:rsidRDefault="006C5A64" w:rsidP="000B23D3">
            <w:pPr>
              <w:jc w:val="both"/>
              <w:rPr>
                <w:rFonts w:eastAsia="Calibri"/>
                <w:sz w:val="20"/>
              </w:rPr>
            </w:pPr>
            <w:r w:rsidRPr="00F21162">
              <w:rPr>
                <w:rFonts w:eastAsia="Calibri"/>
                <w:sz w:val="20"/>
              </w:rPr>
              <w:t>Supreme Court of Canada</w:t>
            </w:r>
          </w:p>
        </w:tc>
        <w:tc>
          <w:tcPr>
            <w:tcW w:w="243" w:type="pct"/>
          </w:tcPr>
          <w:p w:rsidR="006C5A64" w:rsidRPr="00F21162" w:rsidRDefault="006C5A64" w:rsidP="000B23D3">
            <w:pPr>
              <w:jc w:val="both"/>
              <w:rPr>
                <w:rFonts w:eastAsia="Calibri"/>
                <w:sz w:val="20"/>
              </w:rPr>
            </w:pPr>
          </w:p>
        </w:tc>
        <w:tc>
          <w:tcPr>
            <w:tcW w:w="2330" w:type="pct"/>
          </w:tcPr>
          <w:p w:rsidR="00326115" w:rsidRPr="00F21162" w:rsidRDefault="007D22FD" w:rsidP="00326115">
            <w:pPr>
              <w:jc w:val="both"/>
              <w:rPr>
                <w:sz w:val="20"/>
                <w:szCs w:val="20"/>
              </w:rPr>
            </w:pPr>
            <w:r w:rsidRPr="00F21162">
              <w:rPr>
                <w:sz w:val="20"/>
                <w:szCs w:val="20"/>
              </w:rPr>
              <w:t>Application for leave to appeal filed</w:t>
            </w:r>
          </w:p>
          <w:p w:rsidR="006C5A64" w:rsidRPr="00F21162" w:rsidRDefault="006C5A64" w:rsidP="000B23D3">
            <w:pPr>
              <w:rPr>
                <w:sz w:val="20"/>
                <w:szCs w:val="20"/>
              </w:rPr>
            </w:pPr>
          </w:p>
        </w:tc>
      </w:tr>
    </w:tbl>
    <w:p w:rsidR="006C5A64" w:rsidRPr="00F21162" w:rsidRDefault="006C5A64" w:rsidP="006C5A64">
      <w:pPr>
        <w:rPr>
          <w:sz w:val="20"/>
          <w:szCs w:val="20"/>
        </w:rPr>
      </w:pPr>
    </w:p>
    <w:p w:rsidR="006C5A64" w:rsidRPr="00F21162" w:rsidRDefault="00B150CF" w:rsidP="006C5A64">
      <w:pPr>
        <w:rPr>
          <w:sz w:val="20"/>
          <w:szCs w:val="20"/>
        </w:rPr>
      </w:pPr>
      <w:r>
        <w:rPr>
          <w:sz w:val="20"/>
          <w:szCs w:val="20"/>
          <w:lang w:val="fr-CA"/>
        </w:rPr>
        <w:pict>
          <v:rect id="_x0000_i1043" style="width:2in;height:1pt" o:hrpct="0" o:hralign="center" o:hrstd="t" o:hrnoshade="t" o:hr="t" fillcolor="black [3213]" stroked="f"/>
        </w:pict>
      </w:r>
    </w:p>
    <w:p w:rsidR="006C5A64" w:rsidRPr="00F21162" w:rsidRDefault="006C5A64" w:rsidP="006C5A64">
      <w:pPr>
        <w:rPr>
          <w:sz w:val="20"/>
          <w:szCs w:val="20"/>
        </w:rPr>
      </w:pPr>
    </w:p>
    <w:p w:rsidR="006C5A64" w:rsidRPr="00F21162" w:rsidRDefault="006C5A64" w:rsidP="006C5A64">
      <w:pPr>
        <w:rPr>
          <w:sz w:val="20"/>
          <w:szCs w:val="20"/>
          <w:u w:val="single"/>
          <w:lang w:val="fr-CA"/>
        </w:rPr>
      </w:pPr>
      <w:r w:rsidRPr="00F21162">
        <w:rPr>
          <w:sz w:val="20"/>
          <w:szCs w:val="20"/>
          <w:u w:val="single"/>
          <w:lang w:val="fr-CA"/>
        </w:rPr>
        <w:t>RÉSUMÉ DE L’AFFAIRE</w:t>
      </w:r>
    </w:p>
    <w:p w:rsidR="006C5A64" w:rsidRPr="00F21162" w:rsidRDefault="006C5A64" w:rsidP="006C5A64">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6C5A64" w:rsidRPr="00F21162" w:rsidTr="000B23D3">
        <w:tc>
          <w:tcPr>
            <w:tcW w:w="5000" w:type="pct"/>
            <w:gridSpan w:val="3"/>
          </w:tcPr>
          <w:p w:rsidR="006C5A64" w:rsidRPr="00F21162" w:rsidRDefault="0093617E" w:rsidP="000B23D3">
            <w:pPr>
              <w:jc w:val="both"/>
              <w:rPr>
                <w:sz w:val="20"/>
                <w:szCs w:val="20"/>
                <w:lang w:val="fr-CA"/>
              </w:rPr>
            </w:pPr>
            <w:r w:rsidRPr="00F21162">
              <w:rPr>
                <w:i/>
                <w:sz w:val="20"/>
                <w:szCs w:val="20"/>
                <w:lang w:val="fr-CA"/>
              </w:rPr>
              <w:t xml:space="preserve">Charte canadienne des droits et libertés </w:t>
            </w:r>
            <w:r w:rsidRPr="00F21162">
              <w:rPr>
                <w:sz w:val="20"/>
                <w:szCs w:val="20"/>
                <w:lang w:val="fr-CA"/>
              </w:rPr>
              <w:t>– Droit criminel – Extradition – La Cour d’appel a-t-elle commis une erreur de droit et une erreur de droit et de fait en statuant que la procédure de « </w:t>
            </w:r>
            <w:r w:rsidRPr="00F21162">
              <w:rPr>
                <w:i/>
                <w:sz w:val="20"/>
                <w:szCs w:val="20"/>
                <w:lang w:val="fr-CA"/>
              </w:rPr>
              <w:t xml:space="preserve">civil </w:t>
            </w:r>
            <w:proofErr w:type="spellStart"/>
            <w:r w:rsidRPr="00F21162">
              <w:rPr>
                <w:i/>
                <w:sz w:val="20"/>
                <w:szCs w:val="20"/>
                <w:lang w:val="fr-CA"/>
              </w:rPr>
              <w:t>commitment</w:t>
            </w:r>
            <w:proofErr w:type="spellEnd"/>
            <w:r w:rsidRPr="00F21162">
              <w:rPr>
                <w:sz w:val="20"/>
                <w:szCs w:val="20"/>
                <w:lang w:val="fr-CA"/>
              </w:rPr>
              <w:t xml:space="preserve"> » de l’État de Virginie ne violait pas l’article 7 de la </w:t>
            </w:r>
            <w:r w:rsidRPr="00F21162">
              <w:rPr>
                <w:i/>
                <w:sz w:val="20"/>
                <w:szCs w:val="20"/>
                <w:lang w:val="fr-CA"/>
              </w:rPr>
              <w:t xml:space="preserve">Charte </w:t>
            </w:r>
            <w:r w:rsidRPr="00F21162">
              <w:rPr>
                <w:sz w:val="20"/>
                <w:szCs w:val="20"/>
                <w:lang w:val="fr-CA"/>
              </w:rPr>
              <w:t>dans la mesure où elle choquerait la conscience des Canadiens et que la décision du ministre était raisonnable? – La procédure de « </w:t>
            </w:r>
            <w:r w:rsidRPr="00F21162">
              <w:rPr>
                <w:i/>
                <w:sz w:val="20"/>
                <w:szCs w:val="20"/>
                <w:lang w:val="fr-CA"/>
              </w:rPr>
              <w:t xml:space="preserve">civil </w:t>
            </w:r>
            <w:proofErr w:type="spellStart"/>
            <w:r w:rsidRPr="00F21162">
              <w:rPr>
                <w:i/>
                <w:sz w:val="20"/>
                <w:szCs w:val="20"/>
                <w:lang w:val="fr-CA"/>
              </w:rPr>
              <w:t>commitment</w:t>
            </w:r>
            <w:proofErr w:type="spellEnd"/>
            <w:r w:rsidRPr="00F21162">
              <w:rPr>
                <w:sz w:val="20"/>
                <w:szCs w:val="20"/>
                <w:lang w:val="fr-CA"/>
              </w:rPr>
              <w:t xml:space="preserve"> » viole-t-elle le droit du demandeur à la liberté et à la sécurité de la personne du fait que son extradition aux États-Unis, après l’exécution de sa peine, entraîne une détention pour une durée indéterminée ou une libération assortie de conditions très sévères, même s’il n’est pas inapte d’esprit? </w:t>
            </w:r>
            <w:r w:rsidRPr="00F21162">
              <w:rPr>
                <w:i/>
                <w:sz w:val="20"/>
                <w:szCs w:val="20"/>
                <w:lang w:val="fr-CA"/>
              </w:rPr>
              <w:t>Charte canadienne des droits et libertés</w:t>
            </w:r>
            <w:r w:rsidRPr="00F21162">
              <w:rPr>
                <w:sz w:val="20"/>
                <w:szCs w:val="20"/>
                <w:lang w:val="fr-CA"/>
              </w:rPr>
              <w:t>, art. 7 et 12.</w:t>
            </w:r>
          </w:p>
          <w:p w:rsidR="0093617E" w:rsidRPr="00F21162" w:rsidRDefault="0093617E" w:rsidP="000B23D3">
            <w:pPr>
              <w:jc w:val="both"/>
              <w:rPr>
                <w:rFonts w:eastAsia="Calibri"/>
                <w:sz w:val="20"/>
                <w:szCs w:val="20"/>
                <w:lang w:val="fr-CA"/>
              </w:rPr>
            </w:pPr>
          </w:p>
        </w:tc>
      </w:tr>
      <w:tr w:rsidR="006C5A64" w:rsidRPr="00F21162" w:rsidTr="000B23D3">
        <w:tc>
          <w:tcPr>
            <w:tcW w:w="5000" w:type="pct"/>
            <w:gridSpan w:val="3"/>
          </w:tcPr>
          <w:p w:rsidR="0093617E" w:rsidRPr="00F21162" w:rsidRDefault="0093617E" w:rsidP="0093617E">
            <w:pPr>
              <w:jc w:val="both"/>
              <w:rPr>
                <w:rFonts w:eastAsia="Calibri" w:cs="Times New Roman"/>
                <w:sz w:val="20"/>
                <w:szCs w:val="20"/>
                <w:lang w:val="fr-CA"/>
              </w:rPr>
            </w:pPr>
            <w:r w:rsidRPr="00F21162">
              <w:rPr>
                <w:rFonts w:eastAsia="Calibri" w:cs="Times New Roman"/>
                <w:sz w:val="20"/>
                <w:szCs w:val="20"/>
                <w:lang w:val="fr-CA"/>
              </w:rPr>
              <w:t xml:space="preserve">Le 30 mai 2007, le demandeur a plaidé coupable en Virginie de rapports sexuels avec un mineur, une infraction prévue au </w:t>
            </w:r>
            <w:r w:rsidRPr="00F21162">
              <w:rPr>
                <w:rFonts w:eastAsia="Calibri" w:cs="Times New Roman"/>
                <w:i/>
                <w:sz w:val="20"/>
                <w:szCs w:val="20"/>
                <w:lang w:val="fr-CA"/>
              </w:rPr>
              <w:t>Virginia Code</w:t>
            </w:r>
            <w:r w:rsidRPr="00F21162">
              <w:rPr>
                <w:rFonts w:eastAsia="Calibri" w:cs="Times New Roman"/>
                <w:sz w:val="20"/>
                <w:szCs w:val="20"/>
                <w:lang w:val="fr-CA"/>
              </w:rPr>
              <w:t xml:space="preserve">. Il a été condamné à une peine de cinq ans d’emprisonnement, mais la peine a été suspendue à certaines conditions, y compris la surveillance par un agent de probation et diverses ordonnances de probation. En août 2007, le demandeur a présenté une requête au tribunal de Virginie afin de pouvoir retourner temporairement au  Canada, mais sa requête a été rejetée.  Il a par la suite quitté la Virginie et est retourné au Canada en contravention de l’ordonnance qui l’obligeait à demeurer aux États-Unis jusqu’à ce que les détails de son transfert vers le Canada soient réglés. Il a communiqué avec son agent de probation et lui a dit qu’il ne reviendrait plus aux États-Unis. L’agent de probation a alors recommandé la révocation de la suspension de la peine et un mandat d’arrestation a été délivré. Le 31 octobre 2013, les États-Unis ont demandé l’extradition du demandeur afin qu’il purge sa peine. Le 18 décembre 2013, le ministre de la Justice a pris un arrêté introductif d’instance en application de l’art. 15 de la </w:t>
            </w:r>
            <w:r w:rsidRPr="00F21162">
              <w:rPr>
                <w:rFonts w:eastAsia="Calibri" w:cs="Times New Roman"/>
                <w:i/>
                <w:sz w:val="20"/>
                <w:szCs w:val="20"/>
                <w:lang w:val="fr-CA"/>
              </w:rPr>
              <w:t>Loi sur l’extradition</w:t>
            </w:r>
            <w:r w:rsidRPr="00F21162">
              <w:rPr>
                <w:rFonts w:eastAsia="Calibri" w:cs="Times New Roman"/>
                <w:sz w:val="20"/>
                <w:szCs w:val="20"/>
                <w:lang w:val="fr-CA"/>
              </w:rPr>
              <w:t>. Le 7  </w:t>
            </w:r>
            <w:proofErr w:type="spellStart"/>
            <w:r w:rsidRPr="00F21162">
              <w:rPr>
                <w:rFonts w:eastAsia="Calibri" w:cs="Times New Roman"/>
                <w:sz w:val="20"/>
                <w:szCs w:val="20"/>
                <w:lang w:val="fr-CA"/>
              </w:rPr>
              <w:t>évrier</w:t>
            </w:r>
            <w:proofErr w:type="spellEnd"/>
            <w:r w:rsidRPr="00F21162">
              <w:rPr>
                <w:rFonts w:eastAsia="Calibri" w:cs="Times New Roman"/>
                <w:sz w:val="20"/>
                <w:szCs w:val="20"/>
                <w:lang w:val="fr-CA"/>
              </w:rPr>
              <w:t xml:space="preserve"> 2014, la Cour supérieure a ordonné l’incarcération du demandeur et le 25 août 2014, le ministre de la Justice a pris un arrêté d’extradition.</w:t>
            </w:r>
          </w:p>
          <w:p w:rsidR="006C5A64" w:rsidRPr="00F21162" w:rsidRDefault="006C5A64" w:rsidP="000B23D3">
            <w:pPr>
              <w:jc w:val="both"/>
              <w:rPr>
                <w:sz w:val="20"/>
                <w:lang w:val="fr-CA"/>
              </w:rPr>
            </w:pPr>
          </w:p>
        </w:tc>
      </w:tr>
      <w:tr w:rsidR="006C5A64" w:rsidRPr="00F21162" w:rsidTr="000B23D3">
        <w:trPr>
          <w:cantSplit/>
        </w:trPr>
        <w:tc>
          <w:tcPr>
            <w:tcW w:w="2427" w:type="pct"/>
          </w:tcPr>
          <w:p w:rsidR="00FA32CD" w:rsidRPr="00F21162" w:rsidRDefault="00FA32CD" w:rsidP="00FA32CD">
            <w:pPr>
              <w:jc w:val="both"/>
              <w:rPr>
                <w:rFonts w:eastAsia="Calibri" w:cs="Times New Roman"/>
                <w:sz w:val="20"/>
                <w:szCs w:val="20"/>
                <w:lang w:val="fr-CA"/>
              </w:rPr>
            </w:pPr>
            <w:r w:rsidRPr="00F21162">
              <w:rPr>
                <w:rFonts w:eastAsia="Calibri" w:cs="Times New Roman"/>
                <w:sz w:val="20"/>
                <w:szCs w:val="20"/>
                <w:lang w:val="fr-CA"/>
              </w:rPr>
              <w:t>25 août 2014</w:t>
            </w:r>
          </w:p>
          <w:p w:rsidR="00FA32CD" w:rsidRPr="00F21162" w:rsidRDefault="00FA32CD" w:rsidP="00FA32CD">
            <w:pPr>
              <w:jc w:val="both"/>
              <w:rPr>
                <w:rFonts w:eastAsia="Calibri" w:cs="Times New Roman"/>
                <w:sz w:val="20"/>
                <w:szCs w:val="20"/>
                <w:lang w:val="fr-CA"/>
              </w:rPr>
            </w:pPr>
            <w:r w:rsidRPr="00F21162">
              <w:rPr>
                <w:rFonts w:eastAsia="Calibri" w:cs="Times New Roman"/>
                <w:sz w:val="20"/>
                <w:szCs w:val="20"/>
                <w:lang w:val="fr-CA"/>
              </w:rPr>
              <w:t>Ministre de la Justice</w:t>
            </w:r>
          </w:p>
          <w:p w:rsidR="00FA32CD" w:rsidRPr="00F21162" w:rsidRDefault="00FA32CD" w:rsidP="00FA32CD">
            <w:pPr>
              <w:jc w:val="both"/>
              <w:rPr>
                <w:rFonts w:eastAsia="Calibri" w:cs="Times New Roman"/>
                <w:sz w:val="20"/>
                <w:szCs w:val="20"/>
                <w:lang w:val="fr-CA"/>
              </w:rPr>
            </w:pPr>
            <w:r w:rsidRPr="00F21162">
              <w:rPr>
                <w:rFonts w:eastAsia="Calibri" w:cs="Times New Roman"/>
                <w:sz w:val="20"/>
                <w:szCs w:val="20"/>
                <w:lang w:val="fr-CA"/>
              </w:rPr>
              <w:t>(Hon. P. Mackay)</w:t>
            </w:r>
          </w:p>
          <w:p w:rsidR="006C5A64" w:rsidRPr="00F21162" w:rsidRDefault="006C5A64" w:rsidP="000B23D3">
            <w:pPr>
              <w:jc w:val="both"/>
              <w:rPr>
                <w:rFonts w:eastAsia="Calibri"/>
                <w:sz w:val="20"/>
                <w:lang w:val="fr-CA"/>
              </w:rPr>
            </w:pPr>
          </w:p>
        </w:tc>
        <w:tc>
          <w:tcPr>
            <w:tcW w:w="243" w:type="pct"/>
          </w:tcPr>
          <w:p w:rsidR="006C5A64" w:rsidRPr="00F21162" w:rsidRDefault="006C5A64" w:rsidP="000B23D3">
            <w:pPr>
              <w:jc w:val="both"/>
              <w:rPr>
                <w:rFonts w:eastAsia="Calibri"/>
                <w:sz w:val="20"/>
                <w:lang w:val="fr-CA"/>
              </w:rPr>
            </w:pPr>
          </w:p>
        </w:tc>
        <w:tc>
          <w:tcPr>
            <w:tcW w:w="2330" w:type="pct"/>
          </w:tcPr>
          <w:p w:rsidR="00FA32CD" w:rsidRPr="00F21162" w:rsidRDefault="00FA32CD" w:rsidP="00FA32CD">
            <w:pPr>
              <w:spacing w:line="276" w:lineRule="auto"/>
              <w:jc w:val="both"/>
              <w:rPr>
                <w:sz w:val="20"/>
                <w:szCs w:val="20"/>
                <w:lang w:val="fr-CA"/>
              </w:rPr>
            </w:pPr>
            <w:r w:rsidRPr="00F21162">
              <w:rPr>
                <w:sz w:val="20"/>
                <w:szCs w:val="20"/>
                <w:lang w:val="fr-CA"/>
              </w:rPr>
              <w:t>Prise d’un arrêté d’extradition</w:t>
            </w:r>
          </w:p>
          <w:p w:rsidR="006C5A64" w:rsidRPr="00F21162" w:rsidRDefault="006C5A64" w:rsidP="000B23D3">
            <w:pPr>
              <w:jc w:val="both"/>
              <w:rPr>
                <w:rFonts w:eastAsia="Calibri"/>
                <w:sz w:val="20"/>
                <w:lang w:val="fr-CA"/>
              </w:rPr>
            </w:pPr>
          </w:p>
        </w:tc>
      </w:tr>
      <w:tr w:rsidR="006C5A64" w:rsidRPr="00F21162" w:rsidTr="000B23D3">
        <w:trPr>
          <w:cantSplit/>
        </w:trPr>
        <w:tc>
          <w:tcPr>
            <w:tcW w:w="2427" w:type="pct"/>
          </w:tcPr>
          <w:p w:rsidR="00FA32CD" w:rsidRPr="00F21162" w:rsidRDefault="00FA32CD" w:rsidP="00FA32CD">
            <w:pPr>
              <w:jc w:val="both"/>
              <w:rPr>
                <w:rFonts w:eastAsia="Calibri" w:cs="Times New Roman"/>
                <w:sz w:val="20"/>
                <w:szCs w:val="20"/>
                <w:lang w:val="fr-CA"/>
              </w:rPr>
            </w:pPr>
            <w:r w:rsidRPr="00F21162">
              <w:rPr>
                <w:rFonts w:eastAsia="Calibri" w:cs="Times New Roman"/>
                <w:sz w:val="20"/>
                <w:szCs w:val="20"/>
                <w:lang w:val="fr-CA"/>
              </w:rPr>
              <w:t>25 juin 2015</w:t>
            </w:r>
          </w:p>
          <w:p w:rsidR="00FA32CD" w:rsidRPr="00F21162" w:rsidRDefault="00FA32CD" w:rsidP="00FA32CD">
            <w:pPr>
              <w:jc w:val="both"/>
              <w:rPr>
                <w:rFonts w:eastAsia="Calibri" w:cs="Times New Roman"/>
                <w:sz w:val="20"/>
                <w:szCs w:val="20"/>
                <w:lang w:val="fr-CA"/>
              </w:rPr>
            </w:pPr>
            <w:r w:rsidRPr="00F21162">
              <w:rPr>
                <w:rFonts w:eastAsia="Calibri" w:cs="Times New Roman"/>
                <w:sz w:val="20"/>
                <w:szCs w:val="20"/>
                <w:lang w:val="fr-CA"/>
              </w:rPr>
              <w:t>Cour d’appel du Québec (Montréal)</w:t>
            </w:r>
          </w:p>
          <w:p w:rsidR="00FA32CD" w:rsidRPr="00F21162" w:rsidRDefault="00FA32CD" w:rsidP="00FA32CD">
            <w:pPr>
              <w:jc w:val="both"/>
              <w:rPr>
                <w:rFonts w:eastAsia="Calibri" w:cs="Times New Roman"/>
                <w:sz w:val="20"/>
                <w:szCs w:val="20"/>
                <w:lang w:val="fr-CA"/>
              </w:rPr>
            </w:pPr>
            <w:r w:rsidRPr="00F21162">
              <w:rPr>
                <w:rFonts w:eastAsia="Calibri" w:cs="Times New Roman"/>
                <w:sz w:val="20"/>
                <w:szCs w:val="20"/>
                <w:lang w:val="fr-CA"/>
              </w:rPr>
              <w:t xml:space="preserve">(Juges </w:t>
            </w:r>
            <w:proofErr w:type="spellStart"/>
            <w:r w:rsidRPr="00F21162">
              <w:rPr>
                <w:rFonts w:eastAsia="Calibri" w:cs="Times New Roman"/>
                <w:sz w:val="20"/>
                <w:szCs w:val="20"/>
                <w:lang w:val="fr-CA"/>
              </w:rPr>
              <w:t>Dutil</w:t>
            </w:r>
            <w:proofErr w:type="spellEnd"/>
            <w:r w:rsidRPr="00F21162">
              <w:rPr>
                <w:rFonts w:eastAsia="Calibri" w:cs="Times New Roman"/>
                <w:sz w:val="20"/>
                <w:szCs w:val="20"/>
                <w:lang w:val="fr-CA"/>
              </w:rPr>
              <w:t>, Gagnon et St-Pierre)</w:t>
            </w:r>
          </w:p>
          <w:p w:rsidR="00FA32CD" w:rsidRPr="00F21162" w:rsidRDefault="00B150CF" w:rsidP="00FA32CD">
            <w:pPr>
              <w:rPr>
                <w:rFonts w:eastAsia="Times New Roman" w:cs="Times New Roman"/>
                <w:sz w:val="20"/>
                <w:szCs w:val="20"/>
                <w:lang w:val="fr-CA" w:eastAsia="en-CA"/>
              </w:rPr>
            </w:pPr>
            <w:hyperlink r:id="rId45" w:history="1">
              <w:r w:rsidR="00FA32CD" w:rsidRPr="00F21162">
                <w:rPr>
                  <w:rFonts w:eastAsia="Times New Roman" w:cs="Times New Roman"/>
                  <w:color w:val="0000FF" w:themeColor="hyperlink"/>
                  <w:sz w:val="20"/>
                  <w:szCs w:val="20"/>
                  <w:u w:val="single"/>
                  <w:lang w:val="fr-CA" w:eastAsia="en-CA"/>
                </w:rPr>
                <w:t>2015 QCCA 1172</w:t>
              </w:r>
            </w:hyperlink>
          </w:p>
          <w:p w:rsidR="006C5A64" w:rsidRPr="00F21162" w:rsidRDefault="006C5A64" w:rsidP="000B23D3">
            <w:pPr>
              <w:jc w:val="both"/>
              <w:rPr>
                <w:rFonts w:eastAsia="Calibri"/>
                <w:sz w:val="20"/>
                <w:lang w:val="fr-CA"/>
              </w:rPr>
            </w:pPr>
          </w:p>
        </w:tc>
        <w:tc>
          <w:tcPr>
            <w:tcW w:w="243" w:type="pct"/>
          </w:tcPr>
          <w:p w:rsidR="006C5A64" w:rsidRPr="00F21162" w:rsidRDefault="006C5A64" w:rsidP="000B23D3">
            <w:pPr>
              <w:jc w:val="both"/>
              <w:rPr>
                <w:rFonts w:eastAsia="Calibri"/>
                <w:sz w:val="20"/>
                <w:lang w:val="fr-CA"/>
              </w:rPr>
            </w:pPr>
          </w:p>
        </w:tc>
        <w:tc>
          <w:tcPr>
            <w:tcW w:w="2330" w:type="pct"/>
          </w:tcPr>
          <w:p w:rsidR="00FA32CD" w:rsidRPr="00F21162" w:rsidRDefault="00FA32CD" w:rsidP="00FA32CD">
            <w:pPr>
              <w:jc w:val="both"/>
              <w:rPr>
                <w:rFonts w:eastAsia="Times New Roman" w:cs="Times New Roman"/>
                <w:sz w:val="20"/>
                <w:szCs w:val="20"/>
                <w:lang w:val="fr-CA" w:eastAsia="en-CA"/>
              </w:rPr>
            </w:pPr>
            <w:r w:rsidRPr="00F21162">
              <w:rPr>
                <w:rFonts w:eastAsia="Times New Roman" w:cs="Times New Roman"/>
                <w:sz w:val="20"/>
                <w:szCs w:val="20"/>
                <w:lang w:val="fr-CA" w:eastAsia="en-CA"/>
              </w:rPr>
              <w:t>Rejet de la demande de révision judiciaire</w:t>
            </w:r>
          </w:p>
          <w:p w:rsidR="006C5A64" w:rsidRPr="00F21162" w:rsidRDefault="006C5A64" w:rsidP="000B23D3">
            <w:pPr>
              <w:jc w:val="both"/>
              <w:rPr>
                <w:rFonts w:eastAsia="Calibri"/>
                <w:sz w:val="20"/>
                <w:lang w:val="fr-CA"/>
              </w:rPr>
            </w:pPr>
          </w:p>
        </w:tc>
      </w:tr>
      <w:tr w:rsidR="006C5A64" w:rsidRPr="00F21162" w:rsidTr="000B23D3">
        <w:trPr>
          <w:cantSplit/>
        </w:trPr>
        <w:tc>
          <w:tcPr>
            <w:tcW w:w="2427" w:type="pct"/>
          </w:tcPr>
          <w:p w:rsidR="006C5A64" w:rsidRPr="00F21162" w:rsidRDefault="006C5A64" w:rsidP="000B23D3">
            <w:pPr>
              <w:jc w:val="both"/>
              <w:rPr>
                <w:rFonts w:eastAsia="Calibri"/>
                <w:sz w:val="20"/>
                <w:lang w:val="fr-CA"/>
              </w:rPr>
            </w:pPr>
            <w:r w:rsidRPr="00F21162">
              <w:rPr>
                <w:rFonts w:eastAsia="Calibri"/>
                <w:sz w:val="20"/>
                <w:lang w:val="fr-CA"/>
              </w:rPr>
              <w:t>2</w:t>
            </w:r>
            <w:r w:rsidR="00FA32CD" w:rsidRPr="00F21162">
              <w:rPr>
                <w:rFonts w:eastAsia="Calibri"/>
                <w:sz w:val="20"/>
                <w:lang w:val="fr-CA"/>
              </w:rPr>
              <w:t>2</w:t>
            </w:r>
            <w:r w:rsidRPr="00F21162">
              <w:rPr>
                <w:rFonts w:eastAsia="Calibri"/>
                <w:sz w:val="20"/>
                <w:lang w:val="fr-CA"/>
              </w:rPr>
              <w:t xml:space="preserve"> </w:t>
            </w:r>
            <w:r w:rsidR="00FA32CD" w:rsidRPr="00F21162">
              <w:rPr>
                <w:rFonts w:eastAsia="Calibri"/>
                <w:sz w:val="20"/>
                <w:lang w:val="fr-CA"/>
              </w:rPr>
              <w:t xml:space="preserve">septembre </w:t>
            </w:r>
            <w:r w:rsidRPr="00F21162">
              <w:rPr>
                <w:rFonts w:eastAsia="Calibri"/>
                <w:sz w:val="20"/>
                <w:lang w:val="fr-CA"/>
              </w:rPr>
              <w:t>2015</w:t>
            </w:r>
          </w:p>
          <w:p w:rsidR="006C5A64" w:rsidRPr="00F21162" w:rsidRDefault="006C5A64" w:rsidP="000B23D3">
            <w:pPr>
              <w:jc w:val="both"/>
              <w:rPr>
                <w:rFonts w:eastAsia="Calibri"/>
                <w:sz w:val="20"/>
                <w:lang w:val="fr-CA"/>
              </w:rPr>
            </w:pPr>
            <w:r w:rsidRPr="00F21162">
              <w:rPr>
                <w:rFonts w:eastAsia="Calibri"/>
                <w:sz w:val="20"/>
                <w:lang w:val="fr-CA"/>
              </w:rPr>
              <w:t>Cour suprême du Canada</w:t>
            </w:r>
          </w:p>
        </w:tc>
        <w:tc>
          <w:tcPr>
            <w:tcW w:w="243" w:type="pct"/>
          </w:tcPr>
          <w:p w:rsidR="006C5A64" w:rsidRPr="00F21162" w:rsidRDefault="006C5A64" w:rsidP="000B23D3">
            <w:pPr>
              <w:jc w:val="both"/>
              <w:rPr>
                <w:rFonts w:eastAsia="Calibri"/>
                <w:sz w:val="20"/>
                <w:lang w:val="fr-CA"/>
              </w:rPr>
            </w:pPr>
          </w:p>
        </w:tc>
        <w:tc>
          <w:tcPr>
            <w:tcW w:w="2330" w:type="pct"/>
          </w:tcPr>
          <w:p w:rsidR="00FA32CD" w:rsidRPr="00F21162" w:rsidRDefault="00FA32CD" w:rsidP="00FA32CD">
            <w:pPr>
              <w:jc w:val="both"/>
              <w:rPr>
                <w:rFonts w:eastAsia="Calibri" w:cs="Times New Roman"/>
                <w:sz w:val="20"/>
                <w:szCs w:val="20"/>
                <w:lang w:val="fr-CA"/>
              </w:rPr>
            </w:pPr>
            <w:r w:rsidRPr="00F21162">
              <w:rPr>
                <w:rFonts w:eastAsia="Calibri" w:cs="Times New Roman"/>
                <w:sz w:val="20"/>
                <w:szCs w:val="20"/>
                <w:lang w:val="fr-CA"/>
              </w:rPr>
              <w:t>Dépôt de la demande d’autorisation d’appel</w:t>
            </w:r>
          </w:p>
          <w:p w:rsidR="006C5A64" w:rsidRPr="00F21162" w:rsidRDefault="006C5A64" w:rsidP="000B23D3">
            <w:pPr>
              <w:jc w:val="both"/>
              <w:rPr>
                <w:rFonts w:eastAsia="Calibri"/>
                <w:sz w:val="20"/>
                <w:lang w:val="fr-CA"/>
              </w:rPr>
            </w:pPr>
          </w:p>
        </w:tc>
      </w:tr>
    </w:tbl>
    <w:p w:rsidR="006C5A64" w:rsidRPr="00F21162" w:rsidRDefault="006C5A64" w:rsidP="006C5A64">
      <w:pPr>
        <w:rPr>
          <w:sz w:val="20"/>
          <w:szCs w:val="20"/>
        </w:rPr>
      </w:pPr>
    </w:p>
    <w:p w:rsidR="006C5A64" w:rsidRPr="00F21162" w:rsidRDefault="00B150CF" w:rsidP="006C5A64">
      <w:pPr>
        <w:rPr>
          <w:sz w:val="20"/>
          <w:szCs w:val="20"/>
        </w:rPr>
      </w:pPr>
      <w:r>
        <w:rPr>
          <w:sz w:val="20"/>
          <w:szCs w:val="20"/>
          <w:lang w:val="fr-CA"/>
        </w:rPr>
        <w:pict>
          <v:rect id="_x0000_i1044" style="width:2in;height:1pt" o:hrpct="0" o:hralign="center" o:hrstd="t" o:hrnoshade="t" o:hr="t" fillcolor="black [3213]" stroked="f"/>
        </w:pict>
      </w:r>
    </w:p>
    <w:p w:rsidR="006C5A64" w:rsidRPr="00F21162" w:rsidRDefault="006C5A64" w:rsidP="006C5A64">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177DAF" w:rsidRPr="00F21162" w:rsidTr="000B23D3">
        <w:trPr>
          <w:cantSplit/>
        </w:trPr>
        <w:tc>
          <w:tcPr>
            <w:tcW w:w="1458" w:type="dxa"/>
          </w:tcPr>
          <w:p w:rsidR="00177DAF" w:rsidRPr="00F21162" w:rsidRDefault="00177DAF" w:rsidP="000B23D3">
            <w:pPr>
              <w:rPr>
                <w:sz w:val="20"/>
                <w:szCs w:val="20"/>
              </w:rPr>
            </w:pPr>
            <w:r w:rsidRPr="00F21162">
              <w:rPr>
                <w:rStyle w:val="SCCFileNumberChar"/>
                <w:sz w:val="20"/>
                <w:szCs w:val="20"/>
              </w:rPr>
              <w:t>36544</w:t>
            </w:r>
          </w:p>
          <w:p w:rsidR="00177DAF" w:rsidRPr="00F21162" w:rsidRDefault="00177DAF" w:rsidP="000B23D3">
            <w:pPr>
              <w:rPr>
                <w:b/>
                <w:sz w:val="20"/>
                <w:szCs w:val="20"/>
                <w:lang w:val="fr-CA"/>
              </w:rPr>
            </w:pPr>
          </w:p>
        </w:tc>
        <w:tc>
          <w:tcPr>
            <w:tcW w:w="8118" w:type="dxa"/>
          </w:tcPr>
          <w:p w:rsidR="00177DAF" w:rsidRPr="00F21162" w:rsidRDefault="005A54E0" w:rsidP="000B23D3">
            <w:pPr>
              <w:rPr>
                <w:sz w:val="20"/>
                <w:szCs w:val="20"/>
              </w:rPr>
            </w:pPr>
            <w:r w:rsidRPr="00F21162">
              <w:rPr>
                <w:rStyle w:val="SCCLsocChar"/>
                <w:sz w:val="20"/>
                <w:szCs w:val="20"/>
                <w:lang w:val="en-CA"/>
              </w:rPr>
              <w:t xml:space="preserve">Frank A. </w:t>
            </w:r>
            <w:proofErr w:type="spellStart"/>
            <w:r w:rsidRPr="00F21162">
              <w:rPr>
                <w:rStyle w:val="SCCLsocChar"/>
                <w:sz w:val="20"/>
                <w:szCs w:val="20"/>
                <w:lang w:val="en-CA"/>
              </w:rPr>
              <w:t>Togstad</w:t>
            </w:r>
            <w:proofErr w:type="spellEnd"/>
            <w:r w:rsidR="00177DAF" w:rsidRPr="00F21162">
              <w:rPr>
                <w:rStyle w:val="SCCLsocChar"/>
                <w:sz w:val="20"/>
                <w:szCs w:val="20"/>
                <w:lang w:val="en-CA"/>
              </w:rPr>
              <w:t xml:space="preserve"> v. </w:t>
            </w:r>
            <w:r w:rsidRPr="00F21162">
              <w:rPr>
                <w:rStyle w:val="SCCLsocChar"/>
                <w:sz w:val="20"/>
                <w:szCs w:val="20"/>
                <w:lang w:val="en-CA"/>
              </w:rPr>
              <w:t xml:space="preserve">Surface Rights Board, </w:t>
            </w:r>
            <w:proofErr w:type="spellStart"/>
            <w:r w:rsidRPr="00F21162">
              <w:rPr>
                <w:rStyle w:val="SCCLsocChar"/>
                <w:sz w:val="20"/>
                <w:szCs w:val="20"/>
                <w:lang w:val="en-CA"/>
              </w:rPr>
              <w:t>Altalink</w:t>
            </w:r>
            <w:proofErr w:type="spellEnd"/>
            <w:r w:rsidRPr="00F21162">
              <w:rPr>
                <w:rStyle w:val="SCCLsocChar"/>
                <w:sz w:val="20"/>
                <w:szCs w:val="20"/>
                <w:lang w:val="en-CA"/>
              </w:rPr>
              <w:t xml:space="preserve"> Management Ltd. and Her Majesty the Queen in Right of Alberta – AND BETWEEN – Kurt A. Kure and Lois A. Kure v. Surface Rights Board, </w:t>
            </w:r>
            <w:proofErr w:type="spellStart"/>
            <w:r w:rsidRPr="00F21162">
              <w:rPr>
                <w:rStyle w:val="SCCLsocChar"/>
                <w:sz w:val="20"/>
                <w:szCs w:val="20"/>
                <w:lang w:val="en-CA"/>
              </w:rPr>
              <w:t>Altalink</w:t>
            </w:r>
            <w:proofErr w:type="spellEnd"/>
            <w:r w:rsidRPr="00F21162">
              <w:rPr>
                <w:rStyle w:val="SCCLsocChar"/>
                <w:sz w:val="20"/>
                <w:szCs w:val="20"/>
                <w:lang w:val="en-CA"/>
              </w:rPr>
              <w:t xml:space="preserve"> Management Ltd. and Her Majesty the Queen in Right of Alberta </w:t>
            </w:r>
            <w:r w:rsidRPr="00F21162">
              <w:rPr>
                <w:rStyle w:val="SCCLsocChar"/>
                <w:b w:val="0"/>
                <w:sz w:val="20"/>
                <w:szCs w:val="20"/>
                <w:u w:val="none"/>
                <w:lang w:val="en-CA"/>
              </w:rPr>
              <w:t>(</w:t>
            </w:r>
            <w:r w:rsidR="00104254" w:rsidRPr="00F21162">
              <w:rPr>
                <w:sz w:val="20"/>
                <w:szCs w:val="20"/>
              </w:rPr>
              <w:t>Alta</w:t>
            </w:r>
            <w:r w:rsidR="00177DAF" w:rsidRPr="00F21162">
              <w:rPr>
                <w:sz w:val="20"/>
                <w:szCs w:val="20"/>
              </w:rPr>
              <w:t>.) (Ci</w:t>
            </w:r>
            <w:r w:rsidR="00104254" w:rsidRPr="00F21162">
              <w:rPr>
                <w:sz w:val="20"/>
                <w:szCs w:val="20"/>
              </w:rPr>
              <w:t>v</w:t>
            </w:r>
            <w:r w:rsidR="00177DAF" w:rsidRPr="00F21162">
              <w:rPr>
                <w:sz w:val="20"/>
                <w:szCs w:val="20"/>
              </w:rPr>
              <w:t>il) (By Leave)</w:t>
            </w:r>
          </w:p>
          <w:p w:rsidR="00177DAF" w:rsidRPr="00F21162" w:rsidRDefault="00177DAF" w:rsidP="000B23D3">
            <w:pPr>
              <w:rPr>
                <w:sz w:val="20"/>
                <w:szCs w:val="20"/>
              </w:rPr>
            </w:pPr>
          </w:p>
        </w:tc>
      </w:tr>
      <w:tr w:rsidR="00177DAF" w:rsidRPr="00F21162" w:rsidTr="000B23D3">
        <w:trPr>
          <w:cantSplit/>
        </w:trPr>
        <w:tc>
          <w:tcPr>
            <w:tcW w:w="1458" w:type="dxa"/>
          </w:tcPr>
          <w:p w:rsidR="00177DAF" w:rsidRPr="00F21162" w:rsidRDefault="00177DAF" w:rsidP="000B23D3">
            <w:pPr>
              <w:rPr>
                <w:sz w:val="20"/>
                <w:szCs w:val="20"/>
              </w:rPr>
            </w:pPr>
            <w:r w:rsidRPr="00F21162">
              <w:rPr>
                <w:sz w:val="20"/>
                <w:szCs w:val="20"/>
              </w:rPr>
              <w:t>Coram :</w:t>
            </w:r>
          </w:p>
        </w:tc>
        <w:tc>
          <w:tcPr>
            <w:tcW w:w="8118" w:type="dxa"/>
          </w:tcPr>
          <w:p w:rsidR="00177DAF" w:rsidRPr="00F21162" w:rsidRDefault="00575329" w:rsidP="000B23D3">
            <w:pPr>
              <w:rPr>
                <w:sz w:val="20"/>
                <w:szCs w:val="20"/>
              </w:rPr>
            </w:pPr>
            <w:proofErr w:type="spellStart"/>
            <w:r w:rsidRPr="00F21162">
              <w:rPr>
                <w:rStyle w:val="SCCCoramChar"/>
                <w:sz w:val="20"/>
                <w:szCs w:val="20"/>
                <w:lang w:val="en-CA"/>
              </w:rPr>
              <w:t>McLachlin</w:t>
            </w:r>
            <w:proofErr w:type="spellEnd"/>
            <w:r w:rsidRPr="00F21162">
              <w:rPr>
                <w:rStyle w:val="SCCCoramChar"/>
                <w:sz w:val="20"/>
                <w:szCs w:val="20"/>
                <w:lang w:val="en-CA"/>
              </w:rPr>
              <w:t xml:space="preserve"> C.J. and </w:t>
            </w:r>
            <w:proofErr w:type="spellStart"/>
            <w:r w:rsidRPr="00F21162">
              <w:rPr>
                <w:rStyle w:val="SCCCoramChar"/>
                <w:sz w:val="20"/>
                <w:szCs w:val="20"/>
                <w:lang w:val="en-CA"/>
              </w:rPr>
              <w:t>Moldaver</w:t>
            </w:r>
            <w:proofErr w:type="spellEnd"/>
            <w:r w:rsidRPr="00F21162">
              <w:rPr>
                <w:rStyle w:val="SCCCoramChar"/>
                <w:sz w:val="20"/>
                <w:szCs w:val="20"/>
                <w:lang w:val="en-CA"/>
              </w:rPr>
              <w:t xml:space="preserve"> and</w:t>
            </w:r>
            <w:r w:rsidR="00177DAF" w:rsidRPr="00F21162">
              <w:rPr>
                <w:rStyle w:val="SCCCoramChar"/>
                <w:sz w:val="20"/>
                <w:szCs w:val="20"/>
                <w:lang w:val="en-CA"/>
              </w:rPr>
              <w:t xml:space="preserve"> </w:t>
            </w:r>
            <w:proofErr w:type="spellStart"/>
            <w:r w:rsidRPr="00F21162">
              <w:rPr>
                <w:rStyle w:val="SCCCoramChar"/>
                <w:sz w:val="20"/>
                <w:szCs w:val="20"/>
                <w:lang w:val="en-CA"/>
              </w:rPr>
              <w:t>Gascon</w:t>
            </w:r>
            <w:proofErr w:type="spellEnd"/>
            <w:r w:rsidR="00177DAF" w:rsidRPr="00F21162">
              <w:rPr>
                <w:rStyle w:val="SCCCoramChar"/>
                <w:sz w:val="20"/>
                <w:szCs w:val="20"/>
                <w:lang w:val="en-CA"/>
              </w:rPr>
              <w:t xml:space="preserve"> JJ.</w:t>
            </w:r>
          </w:p>
          <w:p w:rsidR="00177DAF" w:rsidRPr="00F21162" w:rsidRDefault="00177DAF" w:rsidP="000B23D3">
            <w:pPr>
              <w:rPr>
                <w:sz w:val="20"/>
                <w:szCs w:val="20"/>
                <w:u w:val="single"/>
              </w:rPr>
            </w:pPr>
          </w:p>
        </w:tc>
      </w:tr>
      <w:tr w:rsidR="00177DAF" w:rsidRPr="00F21162" w:rsidTr="000B23D3">
        <w:trPr>
          <w:cantSplit/>
        </w:trPr>
        <w:tc>
          <w:tcPr>
            <w:tcW w:w="9576" w:type="dxa"/>
            <w:gridSpan w:val="2"/>
          </w:tcPr>
          <w:p w:rsidR="00177DAF" w:rsidRPr="00F21162" w:rsidRDefault="002862D1" w:rsidP="000B23D3">
            <w:pPr>
              <w:pStyle w:val="SCCShortJudgment"/>
              <w:rPr>
                <w:szCs w:val="20"/>
                <w:lang w:val="fr-CA"/>
              </w:rPr>
            </w:pPr>
            <w:r w:rsidRPr="00F21162">
              <w:t xml:space="preserve">The application for leave to appeal from the judgment of the Court of Appeal of Alberta (Calgary), Numbers 1401 0192-AC and 1401 0250-AC, 2015 ABCA 192, dated June 9, 2015, is dismissed with costs to the respondent, </w:t>
            </w:r>
            <w:proofErr w:type="spellStart"/>
            <w:r w:rsidRPr="00F21162">
              <w:t>Altalink</w:t>
            </w:r>
            <w:proofErr w:type="spellEnd"/>
            <w:r w:rsidRPr="00F21162">
              <w:t xml:space="preserve"> Management Ltd.</w:t>
            </w:r>
          </w:p>
          <w:p w:rsidR="00177DAF" w:rsidRPr="00F21162" w:rsidRDefault="00177DAF" w:rsidP="000B23D3">
            <w:pPr>
              <w:pStyle w:val="SCCShortJudgment"/>
              <w:rPr>
                <w:szCs w:val="20"/>
                <w:lang w:val="fr-CA"/>
              </w:rPr>
            </w:pPr>
          </w:p>
          <w:p w:rsidR="00177DAF" w:rsidRPr="00F21162" w:rsidRDefault="002862D1" w:rsidP="002862D1">
            <w:pPr>
              <w:pStyle w:val="SCCShortJudgment"/>
              <w:rPr>
                <w:szCs w:val="20"/>
              </w:rPr>
            </w:pPr>
            <w:r w:rsidRPr="00F21162">
              <w:rPr>
                <w:lang w:val="fr-CA"/>
              </w:rPr>
              <w:t xml:space="preserve">La demande d’autorisation d’appel de l’arrêt de la </w:t>
            </w:r>
            <w:r w:rsidRPr="00F21162">
              <w:rPr>
                <w:lang w:val="fr-FR"/>
              </w:rPr>
              <w:t>Cour d’appel de l’Alberta (Calgary)</w:t>
            </w:r>
            <w:r w:rsidRPr="00F21162">
              <w:rPr>
                <w:lang w:val="fr-CA"/>
              </w:rPr>
              <w:t xml:space="preserve">, </w:t>
            </w:r>
            <w:r w:rsidRPr="00F21162">
              <w:rPr>
                <w:lang w:val="fr-FR"/>
              </w:rPr>
              <w:t>numéros 1401-0192-AC et 1401-0250-AC, 2015 ABCA 192</w:t>
            </w:r>
            <w:r w:rsidRPr="00F21162">
              <w:rPr>
                <w:lang w:val="fr-CA"/>
              </w:rPr>
              <w:t xml:space="preserve">, daté du </w:t>
            </w:r>
            <w:r w:rsidRPr="00F21162">
              <w:rPr>
                <w:lang w:val="fr-FR"/>
              </w:rPr>
              <w:t>9 juin 2015</w:t>
            </w:r>
            <w:r w:rsidRPr="00F21162">
              <w:rPr>
                <w:lang w:val="fr-CA"/>
              </w:rPr>
              <w:t>, est rejet</w:t>
            </w:r>
            <w:r w:rsidRPr="00F21162">
              <w:rPr>
                <w:rFonts w:cs="Times New Roman"/>
                <w:lang w:val="fr-CA"/>
              </w:rPr>
              <w:t>é</w:t>
            </w:r>
            <w:r w:rsidRPr="00F21162">
              <w:rPr>
                <w:lang w:val="fr-CA"/>
              </w:rPr>
              <w:t>e avec d</w:t>
            </w:r>
            <w:r w:rsidRPr="00F21162">
              <w:rPr>
                <w:rFonts w:cs="Times New Roman"/>
                <w:lang w:val="fr-CA"/>
              </w:rPr>
              <w:t>é</w:t>
            </w:r>
            <w:r w:rsidRPr="00F21162">
              <w:rPr>
                <w:lang w:val="fr-CA"/>
              </w:rPr>
              <w:t xml:space="preserve">pens en faveur de l’intimée, </w:t>
            </w:r>
            <w:proofErr w:type="spellStart"/>
            <w:r w:rsidRPr="00F21162">
              <w:rPr>
                <w:lang w:val="fr-CA"/>
              </w:rPr>
              <w:t>Altalink</w:t>
            </w:r>
            <w:proofErr w:type="spellEnd"/>
            <w:r w:rsidRPr="00F21162">
              <w:rPr>
                <w:lang w:val="fr-CA"/>
              </w:rPr>
              <w:t xml:space="preserve"> Management Ltd.</w:t>
            </w:r>
          </w:p>
        </w:tc>
      </w:tr>
    </w:tbl>
    <w:p w:rsidR="00177DAF" w:rsidRPr="00F21162" w:rsidRDefault="00177DAF" w:rsidP="00177DAF">
      <w:pPr>
        <w:rPr>
          <w:sz w:val="20"/>
          <w:szCs w:val="20"/>
          <w:lang w:val="fr-CA"/>
        </w:rPr>
      </w:pPr>
    </w:p>
    <w:p w:rsidR="00177DAF" w:rsidRPr="00F21162" w:rsidRDefault="00177DAF" w:rsidP="00177DAF">
      <w:pPr>
        <w:rPr>
          <w:sz w:val="20"/>
          <w:szCs w:val="20"/>
          <w:u w:val="single"/>
        </w:rPr>
      </w:pPr>
      <w:r w:rsidRPr="00F21162">
        <w:rPr>
          <w:sz w:val="20"/>
          <w:szCs w:val="20"/>
          <w:u w:val="single"/>
        </w:rPr>
        <w:t>CASE SUMMARY</w:t>
      </w:r>
    </w:p>
    <w:p w:rsidR="00177DAF" w:rsidRPr="00F21162" w:rsidRDefault="00177DAF" w:rsidP="00177DAF">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177DAF" w:rsidRPr="00F21162" w:rsidTr="000B23D3">
        <w:tc>
          <w:tcPr>
            <w:tcW w:w="5000" w:type="pct"/>
            <w:gridSpan w:val="3"/>
          </w:tcPr>
          <w:p w:rsidR="00177DAF" w:rsidRPr="00F21162" w:rsidRDefault="00341B4F" w:rsidP="000B23D3">
            <w:pPr>
              <w:jc w:val="both"/>
              <w:rPr>
                <w:sz w:val="20"/>
                <w:szCs w:val="20"/>
              </w:rPr>
            </w:pPr>
            <w:r w:rsidRPr="00F21162">
              <w:rPr>
                <w:sz w:val="20"/>
                <w:szCs w:val="20"/>
              </w:rPr>
              <w:t>Administrative law – Boards and tribunals – Jurisdiction – Surface Rights Board – Permits and licences – Public utilities – Electricity – Whether court erred in deciding that objection to jurisdiction of Surface Rights Board filed by applicants was a constitutional question and collateral attack – Whether court erred in failing to consider whether a common law doctrine could prevent Board from considering its jurisdiction with effect that Board was able to grant a right of entry order for interprovincial work, contrary to limits imposed by the province – Whether court erred in deciding that process before Board was fair.</w:t>
            </w:r>
          </w:p>
          <w:p w:rsidR="00341B4F" w:rsidRPr="00F21162" w:rsidRDefault="00341B4F" w:rsidP="000B23D3">
            <w:pPr>
              <w:jc w:val="both"/>
              <w:rPr>
                <w:rFonts w:eastAsia="Calibri"/>
                <w:sz w:val="20"/>
                <w:szCs w:val="20"/>
              </w:rPr>
            </w:pPr>
          </w:p>
        </w:tc>
      </w:tr>
      <w:tr w:rsidR="00177DAF" w:rsidRPr="00F21162" w:rsidTr="000B23D3">
        <w:tc>
          <w:tcPr>
            <w:tcW w:w="5000" w:type="pct"/>
            <w:gridSpan w:val="3"/>
          </w:tcPr>
          <w:p w:rsidR="00341B4F" w:rsidRPr="00F21162" w:rsidRDefault="00341B4F" w:rsidP="00341B4F">
            <w:pPr>
              <w:jc w:val="both"/>
              <w:rPr>
                <w:sz w:val="20"/>
                <w:szCs w:val="20"/>
              </w:rPr>
            </w:pPr>
            <w:r w:rsidRPr="00F21162">
              <w:rPr>
                <w:sz w:val="20"/>
                <w:szCs w:val="20"/>
              </w:rPr>
              <w:t xml:space="preserve">The respondent, </w:t>
            </w:r>
            <w:proofErr w:type="spellStart"/>
            <w:r w:rsidRPr="00F21162">
              <w:rPr>
                <w:sz w:val="20"/>
                <w:szCs w:val="20"/>
              </w:rPr>
              <w:t>Altalink</w:t>
            </w:r>
            <w:proofErr w:type="spellEnd"/>
            <w:r w:rsidRPr="00F21162">
              <w:rPr>
                <w:sz w:val="20"/>
                <w:szCs w:val="20"/>
              </w:rPr>
              <w:t xml:space="preserve"> Management Ltd. (“</w:t>
            </w:r>
            <w:proofErr w:type="spellStart"/>
            <w:r w:rsidRPr="00F21162">
              <w:rPr>
                <w:sz w:val="20"/>
                <w:szCs w:val="20"/>
              </w:rPr>
              <w:t>Altalink</w:t>
            </w:r>
            <w:proofErr w:type="spellEnd"/>
            <w:r w:rsidRPr="00F21162">
              <w:rPr>
                <w:sz w:val="20"/>
                <w:szCs w:val="20"/>
              </w:rPr>
              <w:t xml:space="preserve">”) obtained a permit and licence from the Alberta Utilities Commission (“AUC”) to construct and operate the Western Alberta Transmission Line (“WATL”) between Calgary and Edmonton. A public hearing process was conducted to determine the best route between the cities, taking into account the rights of property owners and the needs of </w:t>
            </w:r>
            <w:proofErr w:type="spellStart"/>
            <w:r w:rsidRPr="00F21162">
              <w:rPr>
                <w:sz w:val="20"/>
                <w:szCs w:val="20"/>
              </w:rPr>
              <w:t>Altalink</w:t>
            </w:r>
            <w:proofErr w:type="spellEnd"/>
            <w:r w:rsidRPr="00F21162">
              <w:rPr>
                <w:sz w:val="20"/>
                <w:szCs w:val="20"/>
              </w:rPr>
              <w:t xml:space="preserve">. In the course of the public hearing, the AUC heard and ruled on a notice of constitutional question alleging that the WATL was an international or interprovincial work or undertaking, depriving the AUC of jurisdiction. The AUC rejected this argument, ruling that it did have jurisdiction over the proposed WATL and that the work was wholly within the province of Alberta. The applicants did not appeal this decision. Subsequently, </w:t>
            </w:r>
            <w:proofErr w:type="spellStart"/>
            <w:r w:rsidRPr="00F21162">
              <w:rPr>
                <w:sz w:val="20"/>
                <w:szCs w:val="20"/>
              </w:rPr>
              <w:t>Altalink</w:t>
            </w:r>
            <w:proofErr w:type="spellEnd"/>
            <w:r w:rsidRPr="00F21162">
              <w:rPr>
                <w:sz w:val="20"/>
                <w:szCs w:val="20"/>
              </w:rPr>
              <w:t xml:space="preserve"> brought two separate applications before the Surface Rights Board to obtain a right of entry to lands owned by the applicants to construct the transmission line. The applicants all opposed the application on the basis, </w:t>
            </w:r>
            <w:r w:rsidRPr="00F21162">
              <w:rPr>
                <w:i/>
                <w:sz w:val="20"/>
                <w:szCs w:val="20"/>
              </w:rPr>
              <w:t>inter alia</w:t>
            </w:r>
            <w:r w:rsidRPr="00F21162">
              <w:rPr>
                <w:sz w:val="20"/>
                <w:szCs w:val="20"/>
              </w:rPr>
              <w:t>, that the electrical transmission lines were not “wholly in Alberta” and that the provincial Board therefore could not exercise jurisdiction.</w:t>
            </w:r>
          </w:p>
          <w:p w:rsidR="00177DAF" w:rsidRPr="00F21162" w:rsidRDefault="00177DAF" w:rsidP="000B23D3">
            <w:pPr>
              <w:jc w:val="both"/>
              <w:rPr>
                <w:rFonts w:eastAsia="Calibri"/>
                <w:sz w:val="20"/>
              </w:rPr>
            </w:pPr>
          </w:p>
        </w:tc>
      </w:tr>
      <w:tr w:rsidR="00177DAF" w:rsidRPr="00F21162" w:rsidTr="000B23D3">
        <w:trPr>
          <w:cantSplit/>
        </w:trPr>
        <w:tc>
          <w:tcPr>
            <w:tcW w:w="2427" w:type="pct"/>
          </w:tcPr>
          <w:p w:rsidR="000B23D3" w:rsidRPr="00F21162" w:rsidRDefault="000B23D3" w:rsidP="000B23D3">
            <w:pPr>
              <w:jc w:val="both"/>
              <w:rPr>
                <w:sz w:val="20"/>
                <w:szCs w:val="20"/>
              </w:rPr>
            </w:pPr>
            <w:r w:rsidRPr="00F21162">
              <w:rPr>
                <w:sz w:val="20"/>
                <w:szCs w:val="20"/>
              </w:rPr>
              <w:t>April 8, 2014</w:t>
            </w:r>
          </w:p>
          <w:p w:rsidR="000B23D3" w:rsidRPr="00F21162" w:rsidRDefault="000B23D3" w:rsidP="000B23D3">
            <w:pPr>
              <w:jc w:val="both"/>
              <w:rPr>
                <w:sz w:val="20"/>
                <w:szCs w:val="20"/>
              </w:rPr>
            </w:pPr>
            <w:r w:rsidRPr="00F21162">
              <w:rPr>
                <w:sz w:val="20"/>
                <w:szCs w:val="20"/>
              </w:rPr>
              <w:t>Alberta Surface Rights Board</w:t>
            </w:r>
          </w:p>
          <w:p w:rsidR="000B23D3" w:rsidRPr="00F21162" w:rsidRDefault="000B23D3" w:rsidP="000B23D3">
            <w:pPr>
              <w:jc w:val="both"/>
              <w:rPr>
                <w:sz w:val="20"/>
                <w:szCs w:val="20"/>
              </w:rPr>
            </w:pPr>
            <w:r w:rsidRPr="00F21162">
              <w:rPr>
                <w:sz w:val="20"/>
                <w:szCs w:val="20"/>
              </w:rPr>
              <w:t>(Gordon Chapman, Member)</w:t>
            </w:r>
          </w:p>
          <w:p w:rsidR="00177DAF" w:rsidRPr="00F21162" w:rsidRDefault="00177DAF" w:rsidP="000B23D3">
            <w:pPr>
              <w:jc w:val="both"/>
              <w:rPr>
                <w:rFonts w:eastAsia="Calibri"/>
                <w:sz w:val="20"/>
              </w:rPr>
            </w:pPr>
          </w:p>
        </w:tc>
        <w:tc>
          <w:tcPr>
            <w:tcW w:w="243" w:type="pct"/>
          </w:tcPr>
          <w:p w:rsidR="00177DAF" w:rsidRPr="00F21162" w:rsidRDefault="00177DAF" w:rsidP="000B23D3">
            <w:pPr>
              <w:jc w:val="both"/>
              <w:rPr>
                <w:rFonts w:eastAsia="Calibri"/>
                <w:sz w:val="20"/>
              </w:rPr>
            </w:pPr>
          </w:p>
        </w:tc>
        <w:tc>
          <w:tcPr>
            <w:tcW w:w="2330" w:type="pct"/>
          </w:tcPr>
          <w:p w:rsidR="00177DAF" w:rsidRPr="00F21162" w:rsidRDefault="000B23D3" w:rsidP="000B23D3">
            <w:pPr>
              <w:rPr>
                <w:sz w:val="20"/>
                <w:szCs w:val="20"/>
              </w:rPr>
            </w:pPr>
            <w:proofErr w:type="spellStart"/>
            <w:r w:rsidRPr="00F21162">
              <w:rPr>
                <w:sz w:val="20"/>
                <w:szCs w:val="20"/>
              </w:rPr>
              <w:t>Altalink’s</w:t>
            </w:r>
            <w:proofErr w:type="spellEnd"/>
            <w:r w:rsidRPr="00F21162">
              <w:rPr>
                <w:sz w:val="20"/>
                <w:szCs w:val="20"/>
              </w:rPr>
              <w:t xml:space="preserve"> application for right of entry on Mr. and Ms. Kure’s land granted</w:t>
            </w:r>
          </w:p>
        </w:tc>
      </w:tr>
      <w:tr w:rsidR="00177DAF" w:rsidRPr="00F21162" w:rsidTr="000B23D3">
        <w:trPr>
          <w:cantSplit/>
        </w:trPr>
        <w:tc>
          <w:tcPr>
            <w:tcW w:w="2427" w:type="pct"/>
          </w:tcPr>
          <w:p w:rsidR="000B23D3" w:rsidRPr="00F21162" w:rsidRDefault="000B23D3" w:rsidP="000B23D3">
            <w:pPr>
              <w:jc w:val="both"/>
              <w:rPr>
                <w:sz w:val="20"/>
                <w:szCs w:val="20"/>
              </w:rPr>
            </w:pPr>
            <w:r w:rsidRPr="00F21162">
              <w:rPr>
                <w:sz w:val="20"/>
                <w:szCs w:val="20"/>
              </w:rPr>
              <w:t>August 19, 2013</w:t>
            </w:r>
          </w:p>
          <w:p w:rsidR="000B23D3" w:rsidRPr="00F21162" w:rsidRDefault="000B23D3" w:rsidP="000B23D3">
            <w:pPr>
              <w:jc w:val="both"/>
              <w:rPr>
                <w:sz w:val="20"/>
                <w:szCs w:val="20"/>
              </w:rPr>
            </w:pPr>
            <w:r w:rsidRPr="00F21162">
              <w:rPr>
                <w:sz w:val="20"/>
                <w:szCs w:val="20"/>
              </w:rPr>
              <w:t>Alberta Surface Rights Board</w:t>
            </w:r>
          </w:p>
          <w:p w:rsidR="000B23D3" w:rsidRPr="00F21162" w:rsidRDefault="000B23D3" w:rsidP="000B23D3">
            <w:pPr>
              <w:jc w:val="both"/>
              <w:rPr>
                <w:sz w:val="20"/>
                <w:szCs w:val="20"/>
              </w:rPr>
            </w:pPr>
            <w:r w:rsidRPr="00F21162">
              <w:rPr>
                <w:sz w:val="20"/>
                <w:szCs w:val="20"/>
              </w:rPr>
              <w:t xml:space="preserve">(Edward </w:t>
            </w:r>
            <w:proofErr w:type="spellStart"/>
            <w:r w:rsidRPr="00F21162">
              <w:rPr>
                <w:sz w:val="20"/>
                <w:szCs w:val="20"/>
              </w:rPr>
              <w:t>Zenko</w:t>
            </w:r>
            <w:proofErr w:type="spellEnd"/>
            <w:r w:rsidRPr="00F21162">
              <w:rPr>
                <w:sz w:val="20"/>
                <w:szCs w:val="20"/>
              </w:rPr>
              <w:t>, Member)</w:t>
            </w:r>
          </w:p>
          <w:p w:rsidR="00177DAF" w:rsidRPr="00F21162" w:rsidRDefault="00B150CF" w:rsidP="000B23D3">
            <w:pPr>
              <w:jc w:val="both"/>
              <w:rPr>
                <w:color w:val="0000FF" w:themeColor="hyperlink"/>
                <w:sz w:val="20"/>
                <w:szCs w:val="20"/>
                <w:u w:val="single"/>
              </w:rPr>
            </w:pPr>
            <w:hyperlink r:id="rId46" w:history="1">
              <w:r w:rsidR="000B23D3" w:rsidRPr="00F21162">
                <w:rPr>
                  <w:color w:val="0000FF" w:themeColor="hyperlink"/>
                  <w:sz w:val="20"/>
                  <w:szCs w:val="20"/>
                  <w:u w:val="single"/>
                </w:rPr>
                <w:t>2013 ABSRB 571</w:t>
              </w:r>
            </w:hyperlink>
          </w:p>
          <w:p w:rsidR="000B23D3" w:rsidRPr="00F21162" w:rsidRDefault="000B23D3" w:rsidP="000B23D3">
            <w:pPr>
              <w:jc w:val="both"/>
              <w:rPr>
                <w:rFonts w:eastAsia="Calibri"/>
                <w:sz w:val="20"/>
              </w:rPr>
            </w:pPr>
          </w:p>
        </w:tc>
        <w:tc>
          <w:tcPr>
            <w:tcW w:w="243" w:type="pct"/>
          </w:tcPr>
          <w:p w:rsidR="00177DAF" w:rsidRPr="00F21162" w:rsidRDefault="00177DAF" w:rsidP="000B23D3">
            <w:pPr>
              <w:jc w:val="both"/>
              <w:rPr>
                <w:rFonts w:eastAsia="Calibri"/>
                <w:sz w:val="20"/>
              </w:rPr>
            </w:pPr>
          </w:p>
        </w:tc>
        <w:tc>
          <w:tcPr>
            <w:tcW w:w="2330" w:type="pct"/>
          </w:tcPr>
          <w:p w:rsidR="00177DAF" w:rsidRPr="00F21162" w:rsidRDefault="000B23D3" w:rsidP="000B23D3">
            <w:pPr>
              <w:jc w:val="both"/>
              <w:rPr>
                <w:rFonts w:eastAsia="Calibri"/>
                <w:sz w:val="20"/>
              </w:rPr>
            </w:pPr>
            <w:proofErr w:type="spellStart"/>
            <w:r w:rsidRPr="00F21162">
              <w:rPr>
                <w:rFonts w:eastAsia="Times New Roman" w:cs="Times New Roman"/>
                <w:sz w:val="20"/>
                <w:szCs w:val="20"/>
                <w:lang w:eastAsia="en-CA"/>
              </w:rPr>
              <w:t>Altalink’s</w:t>
            </w:r>
            <w:proofErr w:type="spellEnd"/>
            <w:r w:rsidRPr="00F21162">
              <w:rPr>
                <w:rFonts w:eastAsia="Times New Roman" w:cs="Times New Roman"/>
                <w:sz w:val="20"/>
                <w:szCs w:val="20"/>
                <w:lang w:eastAsia="en-CA"/>
              </w:rPr>
              <w:t xml:space="preserve"> application for right of entry on Mr. </w:t>
            </w:r>
            <w:proofErr w:type="spellStart"/>
            <w:r w:rsidRPr="00F21162">
              <w:rPr>
                <w:rFonts w:eastAsia="Times New Roman" w:cs="Times New Roman"/>
                <w:sz w:val="20"/>
                <w:szCs w:val="20"/>
                <w:lang w:eastAsia="en-CA"/>
              </w:rPr>
              <w:t>Togstad’s</w:t>
            </w:r>
            <w:proofErr w:type="spellEnd"/>
            <w:r w:rsidRPr="00F21162">
              <w:rPr>
                <w:rFonts w:eastAsia="Times New Roman" w:cs="Times New Roman"/>
                <w:sz w:val="20"/>
                <w:szCs w:val="20"/>
                <w:lang w:eastAsia="en-CA"/>
              </w:rPr>
              <w:t xml:space="preserve"> land granted</w:t>
            </w:r>
          </w:p>
        </w:tc>
      </w:tr>
      <w:tr w:rsidR="004678EB" w:rsidRPr="00F21162" w:rsidTr="000B23D3">
        <w:trPr>
          <w:cantSplit/>
        </w:trPr>
        <w:tc>
          <w:tcPr>
            <w:tcW w:w="2427" w:type="pct"/>
          </w:tcPr>
          <w:p w:rsidR="000B23D3" w:rsidRPr="00F21162" w:rsidRDefault="000B23D3" w:rsidP="000B23D3">
            <w:pPr>
              <w:jc w:val="both"/>
              <w:rPr>
                <w:sz w:val="20"/>
                <w:szCs w:val="20"/>
              </w:rPr>
            </w:pPr>
            <w:r w:rsidRPr="00F21162">
              <w:rPr>
                <w:sz w:val="20"/>
                <w:szCs w:val="20"/>
              </w:rPr>
              <w:t>August 7, 2014</w:t>
            </w:r>
          </w:p>
          <w:p w:rsidR="000B23D3" w:rsidRPr="00F21162" w:rsidRDefault="000B23D3" w:rsidP="000B23D3">
            <w:pPr>
              <w:jc w:val="both"/>
              <w:rPr>
                <w:sz w:val="20"/>
                <w:szCs w:val="20"/>
              </w:rPr>
            </w:pPr>
            <w:r w:rsidRPr="00F21162">
              <w:rPr>
                <w:sz w:val="20"/>
                <w:szCs w:val="20"/>
              </w:rPr>
              <w:t>Court of Queen’s Bench of Alberta</w:t>
            </w:r>
          </w:p>
          <w:p w:rsidR="000B23D3" w:rsidRPr="00F21162" w:rsidRDefault="000B23D3" w:rsidP="000B23D3">
            <w:pPr>
              <w:jc w:val="both"/>
              <w:rPr>
                <w:sz w:val="20"/>
                <w:szCs w:val="20"/>
              </w:rPr>
            </w:pPr>
            <w:r w:rsidRPr="00F21162">
              <w:rPr>
                <w:sz w:val="20"/>
                <w:szCs w:val="20"/>
              </w:rPr>
              <w:t>(McCarthy J.)</w:t>
            </w:r>
          </w:p>
          <w:p w:rsidR="000B23D3" w:rsidRPr="00F21162" w:rsidRDefault="00B150CF" w:rsidP="000B23D3">
            <w:pPr>
              <w:jc w:val="both"/>
              <w:rPr>
                <w:color w:val="0000FF" w:themeColor="hyperlink"/>
                <w:sz w:val="20"/>
                <w:szCs w:val="20"/>
                <w:u w:val="single"/>
              </w:rPr>
            </w:pPr>
            <w:hyperlink r:id="rId47" w:history="1">
              <w:r w:rsidR="000B23D3" w:rsidRPr="00F21162">
                <w:rPr>
                  <w:color w:val="0000FF" w:themeColor="hyperlink"/>
                  <w:sz w:val="20"/>
                  <w:szCs w:val="20"/>
                  <w:u w:val="single"/>
                </w:rPr>
                <w:t>2014 ABQB 485</w:t>
              </w:r>
            </w:hyperlink>
          </w:p>
          <w:p w:rsidR="004678EB" w:rsidRPr="00F21162" w:rsidRDefault="004678EB" w:rsidP="000B23D3">
            <w:pPr>
              <w:jc w:val="both"/>
              <w:rPr>
                <w:rFonts w:eastAsia="Calibri"/>
                <w:sz w:val="20"/>
              </w:rPr>
            </w:pPr>
          </w:p>
        </w:tc>
        <w:tc>
          <w:tcPr>
            <w:tcW w:w="243" w:type="pct"/>
          </w:tcPr>
          <w:p w:rsidR="004678EB" w:rsidRPr="00F21162" w:rsidRDefault="004678EB" w:rsidP="000B23D3">
            <w:pPr>
              <w:jc w:val="both"/>
              <w:rPr>
                <w:rFonts w:eastAsia="Calibri"/>
                <w:sz w:val="20"/>
              </w:rPr>
            </w:pPr>
          </w:p>
        </w:tc>
        <w:tc>
          <w:tcPr>
            <w:tcW w:w="2330" w:type="pct"/>
          </w:tcPr>
          <w:p w:rsidR="000B23D3" w:rsidRPr="00F21162" w:rsidRDefault="000B23D3" w:rsidP="000B23D3">
            <w:pPr>
              <w:jc w:val="both"/>
              <w:rPr>
                <w:sz w:val="20"/>
                <w:szCs w:val="20"/>
              </w:rPr>
            </w:pPr>
            <w:r w:rsidRPr="00F21162">
              <w:rPr>
                <w:sz w:val="20"/>
                <w:szCs w:val="20"/>
              </w:rPr>
              <w:t>Application for judicial review of decision of Surface Rights Board brought by respondent, Mr. </w:t>
            </w:r>
            <w:proofErr w:type="spellStart"/>
            <w:r w:rsidRPr="00F21162">
              <w:rPr>
                <w:sz w:val="20"/>
                <w:szCs w:val="20"/>
              </w:rPr>
              <w:t>Togstad</w:t>
            </w:r>
            <w:proofErr w:type="spellEnd"/>
            <w:r w:rsidRPr="00F21162">
              <w:rPr>
                <w:sz w:val="20"/>
                <w:szCs w:val="20"/>
              </w:rPr>
              <w:t>, dismissed</w:t>
            </w:r>
          </w:p>
          <w:p w:rsidR="004678EB" w:rsidRPr="00F21162" w:rsidRDefault="004678EB" w:rsidP="000B23D3">
            <w:pPr>
              <w:jc w:val="both"/>
              <w:rPr>
                <w:sz w:val="20"/>
                <w:szCs w:val="20"/>
              </w:rPr>
            </w:pPr>
          </w:p>
        </w:tc>
      </w:tr>
      <w:tr w:rsidR="004678EB" w:rsidRPr="00F21162" w:rsidTr="000B23D3">
        <w:trPr>
          <w:cantSplit/>
        </w:trPr>
        <w:tc>
          <w:tcPr>
            <w:tcW w:w="2427" w:type="pct"/>
          </w:tcPr>
          <w:p w:rsidR="000B23D3" w:rsidRPr="00F21162" w:rsidRDefault="000B23D3" w:rsidP="000B23D3">
            <w:pPr>
              <w:jc w:val="both"/>
              <w:rPr>
                <w:sz w:val="20"/>
                <w:szCs w:val="20"/>
              </w:rPr>
            </w:pPr>
            <w:r w:rsidRPr="00F21162">
              <w:rPr>
                <w:sz w:val="20"/>
                <w:szCs w:val="20"/>
              </w:rPr>
              <w:t>September 16, 2014</w:t>
            </w:r>
          </w:p>
          <w:p w:rsidR="000B23D3" w:rsidRPr="00F21162" w:rsidRDefault="000B23D3" w:rsidP="000B23D3">
            <w:pPr>
              <w:jc w:val="both"/>
              <w:rPr>
                <w:sz w:val="20"/>
                <w:szCs w:val="20"/>
              </w:rPr>
            </w:pPr>
            <w:r w:rsidRPr="00F21162">
              <w:rPr>
                <w:sz w:val="20"/>
                <w:szCs w:val="20"/>
              </w:rPr>
              <w:t>Court of Queen’s Bench of Alberta</w:t>
            </w:r>
          </w:p>
          <w:p w:rsidR="000B23D3" w:rsidRPr="00F21162" w:rsidRDefault="000B23D3" w:rsidP="000B23D3">
            <w:pPr>
              <w:jc w:val="both"/>
              <w:rPr>
                <w:sz w:val="20"/>
                <w:szCs w:val="20"/>
              </w:rPr>
            </w:pPr>
            <w:r w:rsidRPr="00F21162">
              <w:rPr>
                <w:sz w:val="20"/>
                <w:szCs w:val="20"/>
              </w:rPr>
              <w:t>(Sisson J.)</w:t>
            </w:r>
          </w:p>
          <w:p w:rsidR="000B23D3" w:rsidRPr="00F21162" w:rsidRDefault="00B150CF" w:rsidP="000B23D3">
            <w:pPr>
              <w:jc w:val="both"/>
              <w:rPr>
                <w:sz w:val="20"/>
                <w:szCs w:val="20"/>
              </w:rPr>
            </w:pPr>
            <w:hyperlink r:id="rId48" w:history="1">
              <w:r w:rsidR="000B23D3" w:rsidRPr="00F21162">
                <w:rPr>
                  <w:color w:val="0000FF" w:themeColor="hyperlink"/>
                  <w:sz w:val="20"/>
                  <w:szCs w:val="20"/>
                  <w:u w:val="single"/>
                </w:rPr>
                <w:t>2014 ABQB 572</w:t>
              </w:r>
            </w:hyperlink>
          </w:p>
          <w:p w:rsidR="004678EB" w:rsidRPr="00F21162" w:rsidRDefault="004678EB" w:rsidP="000B23D3">
            <w:pPr>
              <w:jc w:val="both"/>
              <w:rPr>
                <w:rFonts w:eastAsia="Calibri"/>
                <w:sz w:val="20"/>
              </w:rPr>
            </w:pPr>
          </w:p>
        </w:tc>
        <w:tc>
          <w:tcPr>
            <w:tcW w:w="243" w:type="pct"/>
          </w:tcPr>
          <w:p w:rsidR="004678EB" w:rsidRPr="00F21162" w:rsidRDefault="004678EB" w:rsidP="000B23D3">
            <w:pPr>
              <w:jc w:val="both"/>
              <w:rPr>
                <w:rFonts w:eastAsia="Calibri"/>
                <w:sz w:val="20"/>
              </w:rPr>
            </w:pPr>
          </w:p>
        </w:tc>
        <w:tc>
          <w:tcPr>
            <w:tcW w:w="2330" w:type="pct"/>
          </w:tcPr>
          <w:p w:rsidR="004678EB" w:rsidRPr="00F21162" w:rsidRDefault="000B23D3" w:rsidP="000B23D3">
            <w:pPr>
              <w:jc w:val="both"/>
              <w:rPr>
                <w:sz w:val="20"/>
                <w:szCs w:val="20"/>
              </w:rPr>
            </w:pPr>
            <w:r w:rsidRPr="00F21162">
              <w:rPr>
                <w:sz w:val="20"/>
                <w:szCs w:val="20"/>
              </w:rPr>
              <w:t>Application for judicial review of decision of Surface Rights Board brought by respondents, Mr. and Ms. Kure, dismissed</w:t>
            </w:r>
          </w:p>
        </w:tc>
      </w:tr>
      <w:tr w:rsidR="004678EB" w:rsidRPr="00F21162" w:rsidTr="000B23D3">
        <w:trPr>
          <w:cantSplit/>
        </w:trPr>
        <w:tc>
          <w:tcPr>
            <w:tcW w:w="2427" w:type="pct"/>
          </w:tcPr>
          <w:p w:rsidR="00E54434" w:rsidRPr="00F21162" w:rsidRDefault="00E54434" w:rsidP="00E54434">
            <w:pPr>
              <w:jc w:val="both"/>
              <w:rPr>
                <w:sz w:val="20"/>
                <w:szCs w:val="20"/>
              </w:rPr>
            </w:pPr>
            <w:r w:rsidRPr="00F21162">
              <w:rPr>
                <w:sz w:val="20"/>
                <w:szCs w:val="20"/>
              </w:rPr>
              <w:t>June 9, 2015</w:t>
            </w:r>
          </w:p>
          <w:p w:rsidR="00E54434" w:rsidRPr="00F21162" w:rsidRDefault="00E54434" w:rsidP="00E54434">
            <w:pPr>
              <w:jc w:val="both"/>
              <w:rPr>
                <w:sz w:val="20"/>
                <w:szCs w:val="20"/>
              </w:rPr>
            </w:pPr>
            <w:r w:rsidRPr="00F21162">
              <w:rPr>
                <w:sz w:val="20"/>
                <w:szCs w:val="20"/>
              </w:rPr>
              <w:t>Court of Appeal of Alberta (Calgary)</w:t>
            </w:r>
          </w:p>
          <w:p w:rsidR="00E54434" w:rsidRPr="00F21162" w:rsidRDefault="00E54434" w:rsidP="00E54434">
            <w:pPr>
              <w:jc w:val="both"/>
              <w:rPr>
                <w:sz w:val="20"/>
                <w:szCs w:val="20"/>
              </w:rPr>
            </w:pPr>
            <w:r w:rsidRPr="00F21162">
              <w:rPr>
                <w:sz w:val="20"/>
                <w:szCs w:val="20"/>
              </w:rPr>
              <w:t>(</w:t>
            </w:r>
            <w:proofErr w:type="spellStart"/>
            <w:r w:rsidRPr="00F21162">
              <w:rPr>
                <w:sz w:val="20"/>
                <w:szCs w:val="20"/>
              </w:rPr>
              <w:t>Costigan</w:t>
            </w:r>
            <w:proofErr w:type="spellEnd"/>
            <w:r w:rsidRPr="00F21162">
              <w:rPr>
                <w:sz w:val="20"/>
                <w:szCs w:val="20"/>
              </w:rPr>
              <w:t xml:space="preserve">, </w:t>
            </w:r>
            <w:proofErr w:type="spellStart"/>
            <w:r w:rsidRPr="00F21162">
              <w:rPr>
                <w:sz w:val="20"/>
                <w:szCs w:val="20"/>
              </w:rPr>
              <w:t>Slatter</w:t>
            </w:r>
            <w:proofErr w:type="spellEnd"/>
            <w:r w:rsidRPr="00F21162">
              <w:rPr>
                <w:sz w:val="20"/>
                <w:szCs w:val="20"/>
              </w:rPr>
              <w:t xml:space="preserve"> and </w:t>
            </w:r>
            <w:proofErr w:type="spellStart"/>
            <w:r w:rsidRPr="00F21162">
              <w:rPr>
                <w:sz w:val="20"/>
                <w:szCs w:val="20"/>
              </w:rPr>
              <w:t>Wakeling</w:t>
            </w:r>
            <w:proofErr w:type="spellEnd"/>
            <w:r w:rsidRPr="00F21162">
              <w:rPr>
                <w:sz w:val="20"/>
                <w:szCs w:val="20"/>
              </w:rPr>
              <w:t xml:space="preserve"> JJ.A.)</w:t>
            </w:r>
          </w:p>
          <w:p w:rsidR="00E54434" w:rsidRPr="00F21162" w:rsidRDefault="00B150CF" w:rsidP="00E54434">
            <w:pPr>
              <w:jc w:val="both"/>
              <w:rPr>
                <w:sz w:val="20"/>
                <w:szCs w:val="20"/>
              </w:rPr>
            </w:pPr>
            <w:hyperlink r:id="rId49" w:history="1">
              <w:r w:rsidR="00E54434" w:rsidRPr="00F21162">
                <w:rPr>
                  <w:color w:val="0000FF" w:themeColor="hyperlink"/>
                  <w:sz w:val="20"/>
                  <w:szCs w:val="20"/>
                  <w:u w:val="single"/>
                </w:rPr>
                <w:t>2015 ABCA 192</w:t>
              </w:r>
            </w:hyperlink>
          </w:p>
          <w:p w:rsidR="004678EB" w:rsidRPr="00F21162" w:rsidRDefault="004678EB" w:rsidP="000B23D3">
            <w:pPr>
              <w:jc w:val="both"/>
              <w:rPr>
                <w:rFonts w:eastAsia="Calibri"/>
                <w:sz w:val="20"/>
              </w:rPr>
            </w:pPr>
          </w:p>
        </w:tc>
        <w:tc>
          <w:tcPr>
            <w:tcW w:w="243" w:type="pct"/>
          </w:tcPr>
          <w:p w:rsidR="004678EB" w:rsidRPr="00F21162" w:rsidRDefault="004678EB" w:rsidP="000B23D3">
            <w:pPr>
              <w:jc w:val="both"/>
              <w:rPr>
                <w:rFonts w:eastAsia="Calibri"/>
                <w:sz w:val="20"/>
              </w:rPr>
            </w:pPr>
          </w:p>
        </w:tc>
        <w:tc>
          <w:tcPr>
            <w:tcW w:w="2330" w:type="pct"/>
          </w:tcPr>
          <w:p w:rsidR="00E54434" w:rsidRPr="00F21162" w:rsidRDefault="00E54434" w:rsidP="00E54434">
            <w:pPr>
              <w:jc w:val="both"/>
              <w:rPr>
                <w:sz w:val="20"/>
                <w:szCs w:val="20"/>
              </w:rPr>
            </w:pPr>
            <w:r w:rsidRPr="00F21162">
              <w:rPr>
                <w:sz w:val="20"/>
                <w:szCs w:val="20"/>
              </w:rPr>
              <w:t>Applicants’ appeals dismissed</w:t>
            </w:r>
          </w:p>
          <w:p w:rsidR="004678EB" w:rsidRPr="00F21162" w:rsidRDefault="004678EB" w:rsidP="000B23D3">
            <w:pPr>
              <w:jc w:val="both"/>
              <w:rPr>
                <w:sz w:val="20"/>
                <w:szCs w:val="20"/>
              </w:rPr>
            </w:pPr>
          </w:p>
        </w:tc>
      </w:tr>
      <w:tr w:rsidR="00177DAF" w:rsidRPr="00F21162" w:rsidTr="000B23D3">
        <w:trPr>
          <w:cantSplit/>
        </w:trPr>
        <w:tc>
          <w:tcPr>
            <w:tcW w:w="2427" w:type="pct"/>
          </w:tcPr>
          <w:p w:rsidR="00177DAF" w:rsidRPr="00F21162" w:rsidRDefault="00E54434" w:rsidP="000B23D3">
            <w:pPr>
              <w:jc w:val="both"/>
              <w:rPr>
                <w:rFonts w:eastAsia="Calibri"/>
                <w:sz w:val="20"/>
              </w:rPr>
            </w:pPr>
            <w:r w:rsidRPr="00F21162">
              <w:rPr>
                <w:rFonts w:eastAsia="Calibri"/>
                <w:sz w:val="20"/>
              </w:rPr>
              <w:t>August</w:t>
            </w:r>
            <w:r w:rsidR="00177DAF" w:rsidRPr="00F21162">
              <w:rPr>
                <w:rFonts w:eastAsia="Calibri"/>
                <w:sz w:val="20"/>
              </w:rPr>
              <w:t xml:space="preserve"> </w:t>
            </w:r>
            <w:r w:rsidRPr="00F21162">
              <w:rPr>
                <w:rFonts w:eastAsia="Calibri"/>
                <w:sz w:val="20"/>
              </w:rPr>
              <w:t>5</w:t>
            </w:r>
            <w:r w:rsidR="00177DAF" w:rsidRPr="00F21162">
              <w:rPr>
                <w:rFonts w:eastAsia="Calibri"/>
                <w:sz w:val="20"/>
              </w:rPr>
              <w:t>, 2015</w:t>
            </w:r>
          </w:p>
          <w:p w:rsidR="00177DAF" w:rsidRPr="00F21162" w:rsidRDefault="00177DAF" w:rsidP="000B23D3">
            <w:pPr>
              <w:jc w:val="both"/>
              <w:rPr>
                <w:rFonts w:eastAsia="Calibri"/>
                <w:sz w:val="20"/>
              </w:rPr>
            </w:pPr>
            <w:r w:rsidRPr="00F21162">
              <w:rPr>
                <w:rFonts w:eastAsia="Calibri"/>
                <w:sz w:val="20"/>
              </w:rPr>
              <w:t>Supreme Court of Canada</w:t>
            </w:r>
          </w:p>
        </w:tc>
        <w:tc>
          <w:tcPr>
            <w:tcW w:w="243" w:type="pct"/>
          </w:tcPr>
          <w:p w:rsidR="00177DAF" w:rsidRPr="00F21162" w:rsidRDefault="00177DAF" w:rsidP="000B23D3">
            <w:pPr>
              <w:jc w:val="both"/>
              <w:rPr>
                <w:rFonts w:eastAsia="Calibri"/>
                <w:sz w:val="20"/>
              </w:rPr>
            </w:pPr>
          </w:p>
        </w:tc>
        <w:tc>
          <w:tcPr>
            <w:tcW w:w="2330" w:type="pct"/>
          </w:tcPr>
          <w:p w:rsidR="00177DAF" w:rsidRPr="00F21162" w:rsidRDefault="00177DAF" w:rsidP="000B23D3">
            <w:pPr>
              <w:jc w:val="both"/>
              <w:rPr>
                <w:sz w:val="20"/>
                <w:szCs w:val="20"/>
              </w:rPr>
            </w:pPr>
            <w:r w:rsidRPr="00F21162">
              <w:rPr>
                <w:sz w:val="20"/>
                <w:szCs w:val="20"/>
              </w:rPr>
              <w:t>Application for leave to appeal filed</w:t>
            </w:r>
          </w:p>
          <w:p w:rsidR="00177DAF" w:rsidRPr="00F21162" w:rsidRDefault="00177DAF" w:rsidP="000B23D3">
            <w:pPr>
              <w:rPr>
                <w:sz w:val="20"/>
                <w:szCs w:val="20"/>
              </w:rPr>
            </w:pPr>
          </w:p>
        </w:tc>
      </w:tr>
    </w:tbl>
    <w:p w:rsidR="00177DAF" w:rsidRPr="00F21162" w:rsidRDefault="00177DAF" w:rsidP="00177DAF">
      <w:pPr>
        <w:rPr>
          <w:sz w:val="20"/>
          <w:szCs w:val="20"/>
        </w:rPr>
      </w:pPr>
    </w:p>
    <w:p w:rsidR="00177DAF" w:rsidRPr="00F21162" w:rsidRDefault="00B150CF" w:rsidP="00177DAF">
      <w:pPr>
        <w:rPr>
          <w:sz w:val="20"/>
          <w:szCs w:val="20"/>
        </w:rPr>
      </w:pPr>
      <w:r>
        <w:rPr>
          <w:sz w:val="20"/>
          <w:szCs w:val="20"/>
          <w:lang w:val="fr-CA"/>
        </w:rPr>
        <w:pict>
          <v:rect id="_x0000_i1045" style="width:2in;height:1pt" o:hrpct="0" o:hralign="center" o:hrstd="t" o:hrnoshade="t" o:hr="t" fillcolor="black [3213]" stroked="f"/>
        </w:pict>
      </w:r>
    </w:p>
    <w:p w:rsidR="00177DAF" w:rsidRPr="00F21162" w:rsidRDefault="00177DAF" w:rsidP="00177DAF">
      <w:pPr>
        <w:rPr>
          <w:sz w:val="20"/>
          <w:szCs w:val="20"/>
        </w:rPr>
      </w:pPr>
    </w:p>
    <w:p w:rsidR="00177DAF" w:rsidRPr="00F21162" w:rsidRDefault="00177DAF" w:rsidP="00177DAF">
      <w:pPr>
        <w:rPr>
          <w:sz w:val="20"/>
          <w:szCs w:val="20"/>
          <w:u w:val="single"/>
          <w:lang w:val="fr-CA"/>
        </w:rPr>
      </w:pPr>
      <w:r w:rsidRPr="00F21162">
        <w:rPr>
          <w:sz w:val="20"/>
          <w:szCs w:val="20"/>
          <w:u w:val="single"/>
          <w:lang w:val="fr-CA"/>
        </w:rPr>
        <w:t>RÉSUMÉ DE L’AFFAIRE</w:t>
      </w:r>
    </w:p>
    <w:p w:rsidR="00177DAF" w:rsidRPr="00F21162" w:rsidRDefault="00177DAF" w:rsidP="00177DAF">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177DAF" w:rsidRPr="00F21162" w:rsidTr="000B23D3">
        <w:tc>
          <w:tcPr>
            <w:tcW w:w="5000" w:type="pct"/>
            <w:gridSpan w:val="3"/>
          </w:tcPr>
          <w:p w:rsidR="00177DAF" w:rsidRPr="00F21162" w:rsidRDefault="00AA27B3" w:rsidP="000B23D3">
            <w:pPr>
              <w:jc w:val="both"/>
              <w:rPr>
                <w:sz w:val="20"/>
                <w:szCs w:val="20"/>
                <w:lang w:val="fr-CA"/>
              </w:rPr>
            </w:pPr>
            <w:r w:rsidRPr="00F21162">
              <w:rPr>
                <w:sz w:val="20"/>
                <w:szCs w:val="20"/>
                <w:lang w:val="fr-CA"/>
              </w:rPr>
              <w:t xml:space="preserve">Droit administratif – Organismes et tribunaux administratifs – Compétence – Conseil des droits de surface – Permis et licences – Services publics – Électricité – La cour a-t-elle eu tort de statuer que l’objection à la compétence du conseil des droits de surface déposée par les demandeurs était une question constitutionnelle et une contestation indirecte? – La cour a-t-elle eu tort de ne pas se demander si une doctrine de </w:t>
            </w:r>
            <w:proofErr w:type="spellStart"/>
            <w:r w:rsidRPr="00F21162">
              <w:rPr>
                <w:sz w:val="20"/>
                <w:szCs w:val="20"/>
                <w:lang w:val="fr-CA"/>
              </w:rPr>
              <w:t>common</w:t>
            </w:r>
            <w:proofErr w:type="spellEnd"/>
            <w:r w:rsidRPr="00F21162">
              <w:rPr>
                <w:sz w:val="20"/>
                <w:szCs w:val="20"/>
                <w:lang w:val="fr-CA"/>
              </w:rPr>
              <w:t xml:space="preserve"> </w:t>
            </w:r>
            <w:proofErr w:type="spellStart"/>
            <w:r w:rsidRPr="00F21162">
              <w:rPr>
                <w:sz w:val="20"/>
                <w:szCs w:val="20"/>
                <w:lang w:val="fr-CA"/>
              </w:rPr>
              <w:t>law</w:t>
            </w:r>
            <w:proofErr w:type="spellEnd"/>
            <w:r w:rsidRPr="00F21162">
              <w:rPr>
                <w:sz w:val="20"/>
                <w:szCs w:val="20"/>
                <w:lang w:val="fr-CA"/>
              </w:rPr>
              <w:t xml:space="preserve"> pouvait empêcher le conseil de se pencher sur sa compétence, permettant ainsi au conseil de délivrer une ordonnance d’accès aux terres pour l’exécution d’un ouvrage interprovincial, contrairement aux limites imposées par la Province? – La cour a-t-elle eu tort de statuer que le processus devant le conseil avait été équitable?</w:t>
            </w:r>
          </w:p>
          <w:p w:rsidR="00AA27B3" w:rsidRPr="00F21162" w:rsidRDefault="00AA27B3" w:rsidP="000B23D3">
            <w:pPr>
              <w:jc w:val="both"/>
              <w:rPr>
                <w:rFonts w:eastAsia="Calibri"/>
                <w:sz w:val="20"/>
                <w:szCs w:val="20"/>
                <w:lang w:val="fr-CA"/>
              </w:rPr>
            </w:pPr>
          </w:p>
        </w:tc>
      </w:tr>
      <w:tr w:rsidR="00177DAF" w:rsidRPr="00F21162" w:rsidTr="000B23D3">
        <w:tc>
          <w:tcPr>
            <w:tcW w:w="5000" w:type="pct"/>
            <w:gridSpan w:val="3"/>
          </w:tcPr>
          <w:p w:rsidR="00AA27B3" w:rsidRPr="00F21162" w:rsidRDefault="00AA27B3" w:rsidP="00AA27B3">
            <w:pPr>
              <w:jc w:val="both"/>
              <w:rPr>
                <w:rFonts w:eastAsia="Calibri" w:cs="Times New Roman"/>
                <w:sz w:val="20"/>
                <w:szCs w:val="20"/>
                <w:lang w:val="fr-CA"/>
              </w:rPr>
            </w:pPr>
            <w:r w:rsidRPr="00F21162">
              <w:rPr>
                <w:rFonts w:eastAsia="Calibri" w:cs="Times New Roman"/>
                <w:sz w:val="20"/>
                <w:szCs w:val="20"/>
                <w:lang w:val="fr-CA"/>
              </w:rPr>
              <w:t xml:space="preserve">L’intimée, </w:t>
            </w:r>
            <w:proofErr w:type="spellStart"/>
            <w:r w:rsidRPr="00F21162">
              <w:rPr>
                <w:rFonts w:eastAsia="Calibri" w:cs="Times New Roman"/>
                <w:sz w:val="20"/>
                <w:szCs w:val="20"/>
                <w:lang w:val="fr-CA"/>
              </w:rPr>
              <w:t>Altalink</w:t>
            </w:r>
            <w:proofErr w:type="spellEnd"/>
            <w:r w:rsidRPr="00F21162">
              <w:rPr>
                <w:rFonts w:eastAsia="Calibri" w:cs="Times New Roman"/>
                <w:sz w:val="20"/>
                <w:szCs w:val="20"/>
                <w:lang w:val="fr-CA"/>
              </w:rPr>
              <w:t xml:space="preserve"> Management Ltd. (« </w:t>
            </w:r>
            <w:proofErr w:type="spellStart"/>
            <w:r w:rsidRPr="00F21162">
              <w:rPr>
                <w:rFonts w:eastAsia="Calibri" w:cs="Times New Roman"/>
                <w:sz w:val="20"/>
                <w:szCs w:val="20"/>
                <w:lang w:val="fr-CA"/>
              </w:rPr>
              <w:t>Altalink</w:t>
            </w:r>
            <w:proofErr w:type="spellEnd"/>
            <w:r w:rsidRPr="00F21162">
              <w:rPr>
                <w:rFonts w:eastAsia="Calibri" w:cs="Times New Roman"/>
                <w:sz w:val="20"/>
                <w:szCs w:val="20"/>
                <w:lang w:val="fr-CA"/>
              </w:rPr>
              <w:t> ») a obtenu un permis et une licence de l’Alberta Utilities Commission (« AUC ») l’autorisant à construire et à exploiter la Western Alberta Transmission Line (« WATL ») entre Calgary et Edmonton. Un processus d’audience publique a été mis en œuvre pour déterminer le meilleur tracé entre les villes, prenant en compte les droits des propriétaires fonciers et les besoins d’</w:t>
            </w:r>
            <w:proofErr w:type="spellStart"/>
            <w:r w:rsidRPr="00F21162">
              <w:rPr>
                <w:rFonts w:eastAsia="Calibri" w:cs="Times New Roman"/>
                <w:sz w:val="20"/>
                <w:szCs w:val="20"/>
                <w:lang w:val="fr-CA"/>
              </w:rPr>
              <w:t>Altalink</w:t>
            </w:r>
            <w:proofErr w:type="spellEnd"/>
            <w:r w:rsidRPr="00F21162">
              <w:rPr>
                <w:rFonts w:eastAsia="Calibri" w:cs="Times New Roman"/>
                <w:sz w:val="20"/>
                <w:szCs w:val="20"/>
                <w:lang w:val="fr-CA"/>
              </w:rPr>
              <w:t xml:space="preserve">. Au cours de l’audience publique, l’AUC a entendu et tranché un avis de question constitutionnelle alléguant que  la WATL était un ouvrage ou une entreprise international ou interprovincial, niant la compétence de l’AUC. L’AUC a rejeté cet argument, statuant qu’elle avait compétence à l’égard de la WATL projetée et que l’ouvrage se situait entièrement à l’intérieur de la province de l’Alberta. Les demandeurs n’ont pas interjeté appel de cette décision. Par la suite, </w:t>
            </w:r>
            <w:proofErr w:type="spellStart"/>
            <w:r w:rsidRPr="00F21162">
              <w:rPr>
                <w:rFonts w:eastAsia="Calibri" w:cs="Times New Roman"/>
                <w:sz w:val="20"/>
                <w:szCs w:val="20"/>
                <w:lang w:val="fr-CA"/>
              </w:rPr>
              <w:t>Altalink</w:t>
            </w:r>
            <w:proofErr w:type="spellEnd"/>
            <w:r w:rsidRPr="00F21162">
              <w:rPr>
                <w:rFonts w:eastAsia="Calibri" w:cs="Times New Roman"/>
                <w:sz w:val="20"/>
                <w:szCs w:val="20"/>
                <w:lang w:val="fr-CA"/>
              </w:rPr>
              <w:t xml:space="preserve"> a présenté deux demandes distinctes au conseil des droits de surface pour obtenir le droit de pénétrer sur des biens-fonds appartenant aux demandeurs pour construire la ligne de transmission. Les demandeurs se sont tous opposés à la demande, plaidant notamment que les lignes de transmission d’électricité n’étaient pas [</w:t>
            </w:r>
            <w:r w:rsidRPr="00F21162">
              <w:rPr>
                <w:rFonts w:eastAsia="Calibri" w:cs="Times New Roman"/>
                <w:smallCaps/>
                <w:sz w:val="20"/>
                <w:szCs w:val="20"/>
                <w:lang w:val="fr-CA"/>
              </w:rPr>
              <w:t>traduction</w:t>
            </w:r>
            <w:r w:rsidRPr="00F21162">
              <w:rPr>
                <w:rFonts w:eastAsia="Calibri" w:cs="Times New Roman"/>
                <w:sz w:val="20"/>
                <w:szCs w:val="20"/>
                <w:lang w:val="fr-CA"/>
              </w:rPr>
              <w:t>] « entièrement situées en Alberta » et que le conseil provincial n’avait pas compétence en l’espèce.</w:t>
            </w:r>
          </w:p>
          <w:p w:rsidR="00177DAF" w:rsidRPr="00F21162" w:rsidRDefault="00177DAF" w:rsidP="000B23D3">
            <w:pPr>
              <w:jc w:val="both"/>
              <w:rPr>
                <w:sz w:val="20"/>
                <w:lang w:val="fr-CA"/>
              </w:rPr>
            </w:pPr>
          </w:p>
        </w:tc>
      </w:tr>
      <w:tr w:rsidR="00177DAF" w:rsidRPr="00F21162" w:rsidTr="000B23D3">
        <w:trPr>
          <w:cantSplit/>
        </w:trPr>
        <w:tc>
          <w:tcPr>
            <w:tcW w:w="2427" w:type="pct"/>
          </w:tcPr>
          <w:p w:rsidR="00EB3F67" w:rsidRPr="00F21162" w:rsidRDefault="00EB3F67" w:rsidP="00EB3F67">
            <w:pPr>
              <w:jc w:val="both"/>
              <w:rPr>
                <w:rFonts w:eastAsia="Calibri" w:cs="Times New Roman"/>
                <w:sz w:val="20"/>
                <w:szCs w:val="20"/>
                <w:lang w:val="fr-CA"/>
              </w:rPr>
            </w:pPr>
            <w:r w:rsidRPr="00F21162">
              <w:rPr>
                <w:rFonts w:eastAsia="Calibri" w:cs="Times New Roman"/>
                <w:sz w:val="20"/>
                <w:szCs w:val="20"/>
                <w:lang w:val="fr-CA"/>
              </w:rPr>
              <w:t>8 avril 2014</w:t>
            </w:r>
          </w:p>
          <w:p w:rsidR="00EB3F67" w:rsidRPr="00F21162" w:rsidRDefault="00EB3F67" w:rsidP="00EB3F67">
            <w:pPr>
              <w:jc w:val="both"/>
              <w:rPr>
                <w:rFonts w:eastAsia="Calibri" w:cs="Times New Roman"/>
                <w:sz w:val="20"/>
                <w:szCs w:val="20"/>
                <w:lang w:val="fr-CA"/>
              </w:rPr>
            </w:pPr>
            <w:r w:rsidRPr="00F21162">
              <w:rPr>
                <w:rFonts w:eastAsia="Calibri" w:cs="Times New Roman"/>
                <w:sz w:val="20"/>
                <w:szCs w:val="20"/>
                <w:lang w:val="fr-CA"/>
              </w:rPr>
              <w:t xml:space="preserve">Alberta Surface </w:t>
            </w:r>
            <w:proofErr w:type="spellStart"/>
            <w:r w:rsidRPr="00F21162">
              <w:rPr>
                <w:rFonts w:eastAsia="Calibri" w:cs="Times New Roman"/>
                <w:sz w:val="20"/>
                <w:szCs w:val="20"/>
                <w:lang w:val="fr-CA"/>
              </w:rPr>
              <w:t>Rights</w:t>
            </w:r>
            <w:proofErr w:type="spellEnd"/>
            <w:r w:rsidRPr="00F21162">
              <w:rPr>
                <w:rFonts w:eastAsia="Calibri" w:cs="Times New Roman"/>
                <w:sz w:val="20"/>
                <w:szCs w:val="20"/>
                <w:lang w:val="fr-CA"/>
              </w:rPr>
              <w:t xml:space="preserve"> </w:t>
            </w:r>
            <w:proofErr w:type="spellStart"/>
            <w:r w:rsidRPr="00F21162">
              <w:rPr>
                <w:rFonts w:eastAsia="Calibri" w:cs="Times New Roman"/>
                <w:sz w:val="20"/>
                <w:szCs w:val="20"/>
                <w:lang w:val="fr-CA"/>
              </w:rPr>
              <w:t>Board</w:t>
            </w:r>
            <w:proofErr w:type="spellEnd"/>
          </w:p>
          <w:p w:rsidR="00EB3F67" w:rsidRPr="00F21162" w:rsidRDefault="00EB3F67" w:rsidP="00EB3F67">
            <w:pPr>
              <w:jc w:val="both"/>
              <w:rPr>
                <w:rFonts w:eastAsia="Calibri" w:cs="Times New Roman"/>
                <w:sz w:val="20"/>
                <w:szCs w:val="20"/>
                <w:lang w:val="fr-CA"/>
              </w:rPr>
            </w:pPr>
            <w:r w:rsidRPr="00F21162">
              <w:rPr>
                <w:rFonts w:eastAsia="Calibri" w:cs="Times New Roman"/>
                <w:sz w:val="20"/>
                <w:szCs w:val="20"/>
                <w:lang w:val="fr-CA"/>
              </w:rPr>
              <w:t>(Gordon Chapman, membre)</w:t>
            </w:r>
          </w:p>
          <w:p w:rsidR="00177DAF" w:rsidRPr="00F21162" w:rsidRDefault="00177DAF" w:rsidP="000B23D3">
            <w:pPr>
              <w:jc w:val="both"/>
              <w:rPr>
                <w:rFonts w:eastAsia="Calibri"/>
                <w:sz w:val="20"/>
                <w:lang w:val="fr-CA"/>
              </w:rPr>
            </w:pPr>
          </w:p>
        </w:tc>
        <w:tc>
          <w:tcPr>
            <w:tcW w:w="243" w:type="pct"/>
          </w:tcPr>
          <w:p w:rsidR="00177DAF" w:rsidRPr="00F21162" w:rsidRDefault="00177DAF" w:rsidP="000B23D3">
            <w:pPr>
              <w:jc w:val="both"/>
              <w:rPr>
                <w:rFonts w:eastAsia="Calibri"/>
                <w:sz w:val="20"/>
                <w:lang w:val="fr-CA"/>
              </w:rPr>
            </w:pPr>
          </w:p>
        </w:tc>
        <w:tc>
          <w:tcPr>
            <w:tcW w:w="2330" w:type="pct"/>
          </w:tcPr>
          <w:p w:rsidR="00177DAF" w:rsidRPr="00F21162" w:rsidRDefault="00EB3F67" w:rsidP="000B23D3">
            <w:pPr>
              <w:jc w:val="both"/>
              <w:rPr>
                <w:rFonts w:eastAsia="Calibri"/>
                <w:sz w:val="20"/>
                <w:szCs w:val="20"/>
                <w:lang w:val="fr-CA"/>
              </w:rPr>
            </w:pPr>
            <w:r w:rsidRPr="00F21162">
              <w:rPr>
                <w:sz w:val="20"/>
                <w:szCs w:val="20"/>
                <w:lang w:val="fr-CA"/>
              </w:rPr>
              <w:t>Décision accueillant la demande d’</w:t>
            </w:r>
            <w:proofErr w:type="spellStart"/>
            <w:r w:rsidRPr="00F21162">
              <w:rPr>
                <w:sz w:val="20"/>
                <w:szCs w:val="20"/>
                <w:lang w:val="fr-CA"/>
              </w:rPr>
              <w:t>Altalink</w:t>
            </w:r>
            <w:proofErr w:type="spellEnd"/>
            <w:r w:rsidRPr="00F21162">
              <w:rPr>
                <w:sz w:val="20"/>
                <w:szCs w:val="20"/>
                <w:lang w:val="fr-CA"/>
              </w:rPr>
              <w:t xml:space="preserve"> en vue d’obtenir le droit de pénétrer sur le bien-fonds de M. et Mme Kure</w:t>
            </w:r>
          </w:p>
        </w:tc>
      </w:tr>
      <w:tr w:rsidR="00177DAF" w:rsidRPr="00F21162" w:rsidTr="000B23D3">
        <w:trPr>
          <w:cantSplit/>
        </w:trPr>
        <w:tc>
          <w:tcPr>
            <w:tcW w:w="2427" w:type="pct"/>
          </w:tcPr>
          <w:p w:rsidR="00EB3F67" w:rsidRPr="00F21162" w:rsidRDefault="00EB3F67" w:rsidP="00EB3F67">
            <w:pPr>
              <w:jc w:val="both"/>
              <w:rPr>
                <w:rFonts w:eastAsia="Calibri" w:cs="Times New Roman"/>
                <w:sz w:val="20"/>
                <w:szCs w:val="20"/>
                <w:lang w:val="en-US"/>
              </w:rPr>
            </w:pPr>
            <w:r w:rsidRPr="00F21162">
              <w:rPr>
                <w:rFonts w:eastAsia="Calibri" w:cs="Times New Roman"/>
                <w:sz w:val="20"/>
                <w:szCs w:val="20"/>
                <w:lang w:val="en-US"/>
              </w:rPr>
              <w:t xml:space="preserve">19 </w:t>
            </w:r>
            <w:proofErr w:type="spellStart"/>
            <w:r w:rsidRPr="00F21162">
              <w:rPr>
                <w:rFonts w:eastAsia="Calibri" w:cs="Times New Roman"/>
                <w:sz w:val="20"/>
                <w:szCs w:val="20"/>
                <w:lang w:val="en-US"/>
              </w:rPr>
              <w:t>août</w:t>
            </w:r>
            <w:proofErr w:type="spellEnd"/>
            <w:r w:rsidRPr="00F21162">
              <w:rPr>
                <w:rFonts w:eastAsia="Calibri" w:cs="Times New Roman"/>
                <w:sz w:val="20"/>
                <w:szCs w:val="20"/>
                <w:lang w:val="en-US"/>
              </w:rPr>
              <w:t xml:space="preserve"> 2013</w:t>
            </w:r>
          </w:p>
          <w:p w:rsidR="00EB3F67" w:rsidRPr="00F21162" w:rsidRDefault="00EB3F67" w:rsidP="00EB3F67">
            <w:pPr>
              <w:jc w:val="both"/>
              <w:rPr>
                <w:rFonts w:eastAsia="Calibri" w:cs="Times New Roman"/>
                <w:sz w:val="20"/>
                <w:szCs w:val="20"/>
                <w:lang w:val="en-US"/>
              </w:rPr>
            </w:pPr>
            <w:r w:rsidRPr="00F21162">
              <w:rPr>
                <w:rFonts w:eastAsia="Calibri" w:cs="Times New Roman"/>
                <w:sz w:val="20"/>
                <w:szCs w:val="20"/>
                <w:lang w:val="en-US"/>
              </w:rPr>
              <w:t>Alberta Surface Rights Board</w:t>
            </w:r>
          </w:p>
          <w:p w:rsidR="00EB3F67" w:rsidRPr="00F21162" w:rsidRDefault="00EB3F67" w:rsidP="00EB3F67">
            <w:pPr>
              <w:jc w:val="both"/>
              <w:rPr>
                <w:rFonts w:eastAsia="Calibri" w:cs="Times New Roman"/>
                <w:sz w:val="20"/>
                <w:szCs w:val="20"/>
                <w:lang w:val="en-US"/>
              </w:rPr>
            </w:pPr>
            <w:r w:rsidRPr="00F21162">
              <w:rPr>
                <w:rFonts w:eastAsia="Calibri" w:cs="Times New Roman"/>
                <w:sz w:val="20"/>
                <w:szCs w:val="20"/>
                <w:lang w:val="en-US"/>
              </w:rPr>
              <w:t xml:space="preserve">(Edward </w:t>
            </w:r>
            <w:proofErr w:type="spellStart"/>
            <w:r w:rsidRPr="00F21162">
              <w:rPr>
                <w:rFonts w:eastAsia="Calibri" w:cs="Times New Roman"/>
                <w:sz w:val="20"/>
                <w:szCs w:val="20"/>
                <w:lang w:val="en-US"/>
              </w:rPr>
              <w:t>Zenko</w:t>
            </w:r>
            <w:proofErr w:type="spellEnd"/>
            <w:r w:rsidRPr="00F21162">
              <w:rPr>
                <w:rFonts w:eastAsia="Calibri" w:cs="Times New Roman"/>
                <w:sz w:val="20"/>
                <w:szCs w:val="20"/>
                <w:lang w:val="en-US"/>
              </w:rPr>
              <w:t xml:space="preserve">, </w:t>
            </w:r>
            <w:proofErr w:type="spellStart"/>
            <w:r w:rsidRPr="00F21162">
              <w:rPr>
                <w:rFonts w:eastAsia="Calibri" w:cs="Times New Roman"/>
                <w:sz w:val="20"/>
                <w:szCs w:val="20"/>
                <w:lang w:val="en-US"/>
              </w:rPr>
              <w:t>membre</w:t>
            </w:r>
            <w:proofErr w:type="spellEnd"/>
            <w:r w:rsidRPr="00F21162">
              <w:rPr>
                <w:rFonts w:eastAsia="Calibri" w:cs="Times New Roman"/>
                <w:sz w:val="20"/>
                <w:szCs w:val="20"/>
                <w:lang w:val="en-US"/>
              </w:rPr>
              <w:t>)</w:t>
            </w:r>
          </w:p>
          <w:p w:rsidR="00EB3F67" w:rsidRPr="00F21162" w:rsidRDefault="00B150CF" w:rsidP="00EB3F67">
            <w:pPr>
              <w:jc w:val="both"/>
              <w:rPr>
                <w:rFonts w:eastAsia="Calibri" w:cs="Times New Roman"/>
                <w:color w:val="0000FF" w:themeColor="hyperlink"/>
                <w:sz w:val="20"/>
                <w:szCs w:val="20"/>
                <w:u w:val="single"/>
                <w:lang w:val="fr-CA"/>
              </w:rPr>
            </w:pPr>
            <w:hyperlink r:id="rId50" w:history="1">
              <w:r w:rsidR="00EB3F67" w:rsidRPr="00F21162">
                <w:rPr>
                  <w:rFonts w:eastAsia="Calibri" w:cs="Times New Roman"/>
                  <w:color w:val="0000FF" w:themeColor="hyperlink"/>
                  <w:sz w:val="20"/>
                  <w:szCs w:val="20"/>
                  <w:u w:val="single"/>
                  <w:lang w:val="fr-CA"/>
                </w:rPr>
                <w:t>2013 ABSRB 571</w:t>
              </w:r>
            </w:hyperlink>
          </w:p>
          <w:p w:rsidR="00177DAF" w:rsidRPr="00F21162" w:rsidRDefault="00177DAF" w:rsidP="000B23D3">
            <w:pPr>
              <w:jc w:val="both"/>
              <w:rPr>
                <w:rFonts w:eastAsia="Calibri"/>
                <w:sz w:val="20"/>
                <w:lang w:val="fr-CA"/>
              </w:rPr>
            </w:pPr>
          </w:p>
        </w:tc>
        <w:tc>
          <w:tcPr>
            <w:tcW w:w="243" w:type="pct"/>
          </w:tcPr>
          <w:p w:rsidR="00177DAF" w:rsidRPr="00F21162" w:rsidRDefault="00177DAF" w:rsidP="000B23D3">
            <w:pPr>
              <w:jc w:val="both"/>
              <w:rPr>
                <w:rFonts w:eastAsia="Calibri"/>
                <w:sz w:val="20"/>
                <w:lang w:val="fr-CA"/>
              </w:rPr>
            </w:pPr>
          </w:p>
        </w:tc>
        <w:tc>
          <w:tcPr>
            <w:tcW w:w="2330" w:type="pct"/>
          </w:tcPr>
          <w:p w:rsidR="00177DAF" w:rsidRPr="00F21162" w:rsidRDefault="00EB3F67" w:rsidP="000B23D3">
            <w:pPr>
              <w:jc w:val="both"/>
              <w:rPr>
                <w:rFonts w:eastAsia="Calibri"/>
                <w:sz w:val="20"/>
                <w:szCs w:val="20"/>
                <w:lang w:val="fr-CA"/>
              </w:rPr>
            </w:pPr>
            <w:r w:rsidRPr="00F21162">
              <w:rPr>
                <w:sz w:val="20"/>
                <w:szCs w:val="20"/>
                <w:lang w:val="fr-CA"/>
              </w:rPr>
              <w:t>Décision accueillant la demande d’</w:t>
            </w:r>
            <w:proofErr w:type="spellStart"/>
            <w:r w:rsidRPr="00F21162">
              <w:rPr>
                <w:sz w:val="20"/>
                <w:szCs w:val="20"/>
                <w:lang w:val="fr-CA"/>
              </w:rPr>
              <w:t>Altalink</w:t>
            </w:r>
            <w:proofErr w:type="spellEnd"/>
            <w:r w:rsidRPr="00F21162">
              <w:rPr>
                <w:sz w:val="20"/>
                <w:szCs w:val="20"/>
                <w:lang w:val="fr-CA"/>
              </w:rPr>
              <w:t xml:space="preserve"> en vue d’obtenir le droit de pénétrer sur le bien-fonds de M. </w:t>
            </w:r>
            <w:proofErr w:type="spellStart"/>
            <w:r w:rsidRPr="00F21162">
              <w:rPr>
                <w:sz w:val="20"/>
                <w:szCs w:val="20"/>
                <w:lang w:val="fr-CA"/>
              </w:rPr>
              <w:t>Togstad</w:t>
            </w:r>
            <w:proofErr w:type="spellEnd"/>
            <w:r w:rsidRPr="00F21162">
              <w:rPr>
                <w:sz w:val="20"/>
                <w:szCs w:val="20"/>
                <w:lang w:val="fr-CA"/>
              </w:rPr>
              <w:t xml:space="preserve"> </w:t>
            </w:r>
          </w:p>
        </w:tc>
      </w:tr>
      <w:tr w:rsidR="00EB3F67" w:rsidRPr="00F21162" w:rsidTr="000B23D3">
        <w:trPr>
          <w:cantSplit/>
        </w:trPr>
        <w:tc>
          <w:tcPr>
            <w:tcW w:w="2427" w:type="pct"/>
          </w:tcPr>
          <w:p w:rsidR="00EB3F67" w:rsidRPr="00F21162" w:rsidRDefault="00EB3F67" w:rsidP="00EB3F67">
            <w:pPr>
              <w:rPr>
                <w:sz w:val="20"/>
                <w:szCs w:val="20"/>
                <w:lang w:val="fr-CA"/>
              </w:rPr>
            </w:pPr>
            <w:r w:rsidRPr="00F21162">
              <w:rPr>
                <w:sz w:val="20"/>
                <w:szCs w:val="20"/>
                <w:lang w:val="fr-CA"/>
              </w:rPr>
              <w:t>7 août 2014</w:t>
            </w:r>
          </w:p>
          <w:p w:rsidR="00EB3F67" w:rsidRPr="00F21162" w:rsidRDefault="00EB3F67" w:rsidP="00EB3F67">
            <w:pPr>
              <w:rPr>
                <w:sz w:val="20"/>
                <w:szCs w:val="20"/>
                <w:lang w:val="fr-CA"/>
              </w:rPr>
            </w:pPr>
            <w:r w:rsidRPr="00F21162">
              <w:rPr>
                <w:sz w:val="20"/>
                <w:szCs w:val="20"/>
                <w:lang w:val="fr-CA"/>
              </w:rPr>
              <w:t>Cour du Banc de la Reine de l’Alberta</w:t>
            </w:r>
          </w:p>
          <w:p w:rsidR="00EB3F67" w:rsidRPr="00F21162" w:rsidRDefault="00EB3F67" w:rsidP="00EB3F67">
            <w:pPr>
              <w:rPr>
                <w:sz w:val="20"/>
                <w:szCs w:val="20"/>
                <w:lang w:val="fr-CA"/>
              </w:rPr>
            </w:pPr>
            <w:r w:rsidRPr="00F21162">
              <w:rPr>
                <w:sz w:val="20"/>
                <w:szCs w:val="20"/>
                <w:lang w:val="fr-CA"/>
              </w:rPr>
              <w:t>(Juge McCarthy)</w:t>
            </w:r>
          </w:p>
          <w:p w:rsidR="00EB3F67" w:rsidRPr="00F21162" w:rsidRDefault="00B150CF" w:rsidP="00EB3F67">
            <w:pPr>
              <w:rPr>
                <w:rStyle w:val="Hyperlink"/>
                <w:sz w:val="20"/>
                <w:szCs w:val="20"/>
              </w:rPr>
            </w:pPr>
            <w:hyperlink r:id="rId51" w:history="1">
              <w:r w:rsidR="00EB3F67" w:rsidRPr="00F21162">
                <w:rPr>
                  <w:rStyle w:val="Hyperlink"/>
                  <w:sz w:val="20"/>
                  <w:szCs w:val="20"/>
                  <w:lang w:val="fr-CA"/>
                </w:rPr>
                <w:t>2014 ABQB 485</w:t>
              </w:r>
            </w:hyperlink>
          </w:p>
          <w:p w:rsidR="00EB3F67" w:rsidRPr="00F21162" w:rsidRDefault="00EB3F67" w:rsidP="000B23D3">
            <w:pPr>
              <w:jc w:val="both"/>
              <w:rPr>
                <w:rFonts w:eastAsia="Calibri"/>
                <w:sz w:val="20"/>
                <w:lang w:val="fr-CA"/>
              </w:rPr>
            </w:pPr>
          </w:p>
        </w:tc>
        <w:tc>
          <w:tcPr>
            <w:tcW w:w="243" w:type="pct"/>
          </w:tcPr>
          <w:p w:rsidR="00EB3F67" w:rsidRPr="00F21162" w:rsidRDefault="00EB3F67" w:rsidP="000B23D3">
            <w:pPr>
              <w:jc w:val="both"/>
              <w:rPr>
                <w:rFonts w:eastAsia="Calibri"/>
                <w:sz w:val="20"/>
                <w:lang w:val="fr-CA"/>
              </w:rPr>
            </w:pPr>
          </w:p>
        </w:tc>
        <w:tc>
          <w:tcPr>
            <w:tcW w:w="2330" w:type="pct"/>
          </w:tcPr>
          <w:p w:rsidR="00EB3F67" w:rsidRPr="00F21162" w:rsidRDefault="00EB3F67" w:rsidP="00EB3F67">
            <w:pPr>
              <w:rPr>
                <w:sz w:val="20"/>
                <w:szCs w:val="20"/>
                <w:lang w:val="fr-CA"/>
              </w:rPr>
            </w:pPr>
            <w:r w:rsidRPr="00F21162">
              <w:rPr>
                <w:sz w:val="20"/>
                <w:szCs w:val="20"/>
                <w:lang w:val="fr-CA"/>
              </w:rPr>
              <w:t xml:space="preserve">Rejet de la demande de contrôle judiciaire, présentée par M. </w:t>
            </w:r>
            <w:proofErr w:type="spellStart"/>
            <w:r w:rsidRPr="00F21162">
              <w:rPr>
                <w:sz w:val="20"/>
                <w:szCs w:val="20"/>
                <w:lang w:val="fr-CA"/>
              </w:rPr>
              <w:t>Togstad</w:t>
            </w:r>
            <w:proofErr w:type="spellEnd"/>
            <w:r w:rsidRPr="00F21162">
              <w:rPr>
                <w:sz w:val="20"/>
                <w:szCs w:val="20"/>
                <w:lang w:val="fr-CA"/>
              </w:rPr>
              <w:t xml:space="preserve">, de la décision du conseil des droits de surface </w:t>
            </w:r>
          </w:p>
          <w:p w:rsidR="00EB3F67" w:rsidRPr="00F21162" w:rsidRDefault="00EB3F67" w:rsidP="000B23D3">
            <w:pPr>
              <w:jc w:val="both"/>
              <w:rPr>
                <w:rFonts w:eastAsia="Calibri" w:cs="Times New Roman"/>
                <w:sz w:val="20"/>
                <w:szCs w:val="20"/>
                <w:lang w:val="fr-CA"/>
              </w:rPr>
            </w:pPr>
          </w:p>
        </w:tc>
      </w:tr>
      <w:tr w:rsidR="00EB3F67" w:rsidRPr="00F21162" w:rsidTr="000B23D3">
        <w:trPr>
          <w:cantSplit/>
        </w:trPr>
        <w:tc>
          <w:tcPr>
            <w:tcW w:w="2427" w:type="pct"/>
          </w:tcPr>
          <w:p w:rsidR="00EB3F67" w:rsidRPr="00F21162" w:rsidRDefault="00EB3F67" w:rsidP="00EB3F67">
            <w:pPr>
              <w:jc w:val="both"/>
              <w:rPr>
                <w:rFonts w:eastAsia="Calibri" w:cs="Times New Roman"/>
                <w:sz w:val="20"/>
                <w:szCs w:val="20"/>
                <w:lang w:val="fr-CA"/>
              </w:rPr>
            </w:pPr>
            <w:r w:rsidRPr="00F21162">
              <w:rPr>
                <w:rFonts w:eastAsia="Calibri" w:cs="Times New Roman"/>
                <w:sz w:val="20"/>
                <w:szCs w:val="20"/>
                <w:lang w:val="fr-CA"/>
              </w:rPr>
              <w:t>16 septembre 2014</w:t>
            </w:r>
          </w:p>
          <w:p w:rsidR="00EB3F67" w:rsidRPr="00F21162" w:rsidRDefault="00EB3F67" w:rsidP="00EB3F67">
            <w:pPr>
              <w:jc w:val="both"/>
              <w:rPr>
                <w:rFonts w:eastAsia="Calibri" w:cs="Times New Roman"/>
                <w:sz w:val="20"/>
                <w:szCs w:val="20"/>
                <w:lang w:val="fr-CA"/>
              </w:rPr>
            </w:pPr>
            <w:r w:rsidRPr="00F21162">
              <w:rPr>
                <w:rFonts w:eastAsia="Calibri" w:cs="Times New Roman"/>
                <w:sz w:val="20"/>
                <w:szCs w:val="20"/>
                <w:lang w:val="fr-CA"/>
              </w:rPr>
              <w:t>Cour du Banc de la Reine de l’Alberta</w:t>
            </w:r>
          </w:p>
          <w:p w:rsidR="00EB3F67" w:rsidRPr="00F21162" w:rsidRDefault="00EB3F67" w:rsidP="00EB3F67">
            <w:pPr>
              <w:jc w:val="both"/>
              <w:rPr>
                <w:rFonts w:eastAsia="Calibri" w:cs="Times New Roman"/>
                <w:sz w:val="20"/>
                <w:szCs w:val="20"/>
                <w:lang w:val="fr-CA"/>
              </w:rPr>
            </w:pPr>
            <w:r w:rsidRPr="00F21162">
              <w:rPr>
                <w:rFonts w:eastAsia="Calibri" w:cs="Times New Roman"/>
                <w:sz w:val="20"/>
                <w:szCs w:val="20"/>
                <w:lang w:val="fr-CA"/>
              </w:rPr>
              <w:t>(Juge Sisson)</w:t>
            </w:r>
          </w:p>
          <w:p w:rsidR="00EB3F67" w:rsidRPr="00F21162" w:rsidRDefault="00B150CF" w:rsidP="00EB3F67">
            <w:pPr>
              <w:jc w:val="both"/>
              <w:rPr>
                <w:rFonts w:eastAsia="Calibri" w:cs="Times New Roman"/>
                <w:sz w:val="20"/>
                <w:szCs w:val="20"/>
                <w:lang w:val="fr-CA"/>
              </w:rPr>
            </w:pPr>
            <w:hyperlink r:id="rId52" w:history="1">
              <w:r w:rsidR="00EB3F67" w:rsidRPr="00F21162">
                <w:rPr>
                  <w:rFonts w:eastAsia="Calibri" w:cs="Times New Roman"/>
                  <w:color w:val="0000FF" w:themeColor="hyperlink"/>
                  <w:sz w:val="20"/>
                  <w:szCs w:val="20"/>
                  <w:u w:val="single"/>
                  <w:lang w:val="fr-CA"/>
                </w:rPr>
                <w:t>2014 ABQB 572</w:t>
              </w:r>
            </w:hyperlink>
          </w:p>
          <w:p w:rsidR="00EB3F67" w:rsidRPr="00F21162" w:rsidRDefault="00EB3F67" w:rsidP="000B23D3">
            <w:pPr>
              <w:jc w:val="both"/>
              <w:rPr>
                <w:rFonts w:eastAsia="Calibri"/>
                <w:sz w:val="20"/>
                <w:lang w:val="fr-CA"/>
              </w:rPr>
            </w:pPr>
          </w:p>
        </w:tc>
        <w:tc>
          <w:tcPr>
            <w:tcW w:w="243" w:type="pct"/>
          </w:tcPr>
          <w:p w:rsidR="00EB3F67" w:rsidRPr="00F21162" w:rsidRDefault="00EB3F67" w:rsidP="000B23D3">
            <w:pPr>
              <w:jc w:val="both"/>
              <w:rPr>
                <w:rFonts w:eastAsia="Calibri"/>
                <w:sz w:val="20"/>
                <w:szCs w:val="20"/>
                <w:lang w:val="fr-CA"/>
              </w:rPr>
            </w:pPr>
          </w:p>
        </w:tc>
        <w:tc>
          <w:tcPr>
            <w:tcW w:w="2330" w:type="pct"/>
          </w:tcPr>
          <w:p w:rsidR="00EB3F67" w:rsidRPr="00F21162" w:rsidRDefault="00EB3F67" w:rsidP="00EB3F67">
            <w:pPr>
              <w:rPr>
                <w:sz w:val="20"/>
                <w:szCs w:val="20"/>
                <w:lang w:val="fr-CA"/>
              </w:rPr>
            </w:pPr>
            <w:r w:rsidRPr="00F21162">
              <w:rPr>
                <w:sz w:val="20"/>
                <w:szCs w:val="20"/>
                <w:lang w:val="fr-CA"/>
              </w:rPr>
              <w:t>Rejet de la demande de contrôle judiciaire, présentée par M. et Mme Kure, de la décision du conseil des droits de surface</w:t>
            </w:r>
          </w:p>
          <w:p w:rsidR="00EB3F67" w:rsidRPr="00F21162" w:rsidRDefault="00EB3F67" w:rsidP="000B23D3">
            <w:pPr>
              <w:jc w:val="both"/>
              <w:rPr>
                <w:rFonts w:eastAsia="Calibri" w:cs="Times New Roman"/>
                <w:sz w:val="20"/>
                <w:szCs w:val="20"/>
                <w:lang w:val="fr-CA"/>
              </w:rPr>
            </w:pPr>
          </w:p>
        </w:tc>
      </w:tr>
      <w:tr w:rsidR="00EB3F67" w:rsidRPr="00F21162" w:rsidTr="000B23D3">
        <w:trPr>
          <w:cantSplit/>
        </w:trPr>
        <w:tc>
          <w:tcPr>
            <w:tcW w:w="2427" w:type="pct"/>
          </w:tcPr>
          <w:p w:rsidR="00DE0FCB" w:rsidRPr="00F21162" w:rsidRDefault="00DE0FCB" w:rsidP="00DE0FCB">
            <w:pPr>
              <w:jc w:val="both"/>
              <w:rPr>
                <w:rFonts w:eastAsia="Calibri" w:cs="Times New Roman"/>
                <w:sz w:val="20"/>
                <w:szCs w:val="20"/>
                <w:lang w:val="fr-CA"/>
              </w:rPr>
            </w:pPr>
            <w:r w:rsidRPr="00F21162">
              <w:rPr>
                <w:rFonts w:eastAsia="Calibri" w:cs="Times New Roman"/>
                <w:sz w:val="20"/>
                <w:szCs w:val="20"/>
                <w:lang w:val="fr-CA"/>
              </w:rPr>
              <w:t>9 juin 2015</w:t>
            </w:r>
          </w:p>
          <w:p w:rsidR="00DE0FCB" w:rsidRPr="00F21162" w:rsidRDefault="00DE0FCB" w:rsidP="00DE0FCB">
            <w:pPr>
              <w:jc w:val="both"/>
              <w:rPr>
                <w:rFonts w:eastAsia="Calibri" w:cs="Times New Roman"/>
                <w:sz w:val="20"/>
                <w:szCs w:val="20"/>
                <w:lang w:val="fr-CA"/>
              </w:rPr>
            </w:pPr>
            <w:r w:rsidRPr="00F21162">
              <w:rPr>
                <w:rFonts w:eastAsia="Calibri" w:cs="Times New Roman"/>
                <w:sz w:val="20"/>
                <w:szCs w:val="20"/>
                <w:lang w:val="fr-CA"/>
              </w:rPr>
              <w:t>Cour d’appel de l’Alberta (Calgary)</w:t>
            </w:r>
          </w:p>
          <w:p w:rsidR="00DE0FCB" w:rsidRPr="00F21162" w:rsidRDefault="00DE0FCB" w:rsidP="00DE0FCB">
            <w:pPr>
              <w:jc w:val="both"/>
              <w:rPr>
                <w:rFonts w:eastAsia="Calibri" w:cs="Times New Roman"/>
                <w:sz w:val="20"/>
                <w:szCs w:val="20"/>
                <w:lang w:val="en-US"/>
              </w:rPr>
            </w:pPr>
            <w:r w:rsidRPr="00F21162">
              <w:rPr>
                <w:rFonts w:eastAsia="Calibri" w:cs="Times New Roman"/>
                <w:sz w:val="20"/>
                <w:szCs w:val="20"/>
                <w:lang w:val="en-US"/>
              </w:rPr>
              <w:t>(</w:t>
            </w:r>
            <w:proofErr w:type="spellStart"/>
            <w:r w:rsidRPr="00F21162">
              <w:rPr>
                <w:rFonts w:eastAsia="Calibri" w:cs="Times New Roman"/>
                <w:sz w:val="20"/>
                <w:szCs w:val="20"/>
                <w:lang w:val="en-US"/>
              </w:rPr>
              <w:t>Juges</w:t>
            </w:r>
            <w:proofErr w:type="spellEnd"/>
            <w:r w:rsidRPr="00F21162">
              <w:rPr>
                <w:rFonts w:eastAsia="Calibri" w:cs="Times New Roman"/>
                <w:sz w:val="20"/>
                <w:szCs w:val="20"/>
                <w:lang w:val="en-US"/>
              </w:rPr>
              <w:t xml:space="preserve"> </w:t>
            </w:r>
            <w:proofErr w:type="spellStart"/>
            <w:r w:rsidRPr="00F21162">
              <w:rPr>
                <w:rFonts w:eastAsia="Calibri" w:cs="Times New Roman"/>
                <w:sz w:val="20"/>
                <w:szCs w:val="20"/>
                <w:lang w:val="en-US"/>
              </w:rPr>
              <w:t>Costigan</w:t>
            </w:r>
            <w:proofErr w:type="spellEnd"/>
            <w:r w:rsidRPr="00F21162">
              <w:rPr>
                <w:rFonts w:eastAsia="Calibri" w:cs="Times New Roman"/>
                <w:sz w:val="20"/>
                <w:szCs w:val="20"/>
                <w:lang w:val="en-US"/>
              </w:rPr>
              <w:t xml:space="preserve">, </w:t>
            </w:r>
            <w:proofErr w:type="spellStart"/>
            <w:r w:rsidRPr="00F21162">
              <w:rPr>
                <w:rFonts w:eastAsia="Calibri" w:cs="Times New Roman"/>
                <w:sz w:val="20"/>
                <w:szCs w:val="20"/>
                <w:lang w:val="en-US"/>
              </w:rPr>
              <w:t>Slatter</w:t>
            </w:r>
            <w:proofErr w:type="spellEnd"/>
            <w:r w:rsidRPr="00F21162">
              <w:rPr>
                <w:rFonts w:eastAsia="Calibri" w:cs="Times New Roman"/>
                <w:sz w:val="20"/>
                <w:szCs w:val="20"/>
                <w:lang w:val="en-US"/>
              </w:rPr>
              <w:t xml:space="preserve"> et </w:t>
            </w:r>
            <w:proofErr w:type="spellStart"/>
            <w:r w:rsidRPr="00F21162">
              <w:rPr>
                <w:rFonts w:eastAsia="Calibri" w:cs="Times New Roman"/>
                <w:sz w:val="20"/>
                <w:szCs w:val="20"/>
                <w:lang w:val="en-US"/>
              </w:rPr>
              <w:t>Wakeling</w:t>
            </w:r>
            <w:proofErr w:type="spellEnd"/>
            <w:r w:rsidRPr="00F21162">
              <w:rPr>
                <w:rFonts w:eastAsia="Calibri" w:cs="Times New Roman"/>
                <w:sz w:val="20"/>
                <w:szCs w:val="20"/>
                <w:lang w:val="en-US"/>
              </w:rPr>
              <w:t>)</w:t>
            </w:r>
          </w:p>
          <w:p w:rsidR="00DE0FCB" w:rsidRPr="00F21162" w:rsidRDefault="00B150CF" w:rsidP="00DE0FCB">
            <w:pPr>
              <w:jc w:val="both"/>
              <w:rPr>
                <w:rFonts w:eastAsia="Calibri" w:cs="Times New Roman"/>
                <w:sz w:val="20"/>
                <w:szCs w:val="20"/>
                <w:lang w:val="en-US"/>
              </w:rPr>
            </w:pPr>
            <w:hyperlink r:id="rId53" w:history="1">
              <w:r w:rsidR="00DE0FCB" w:rsidRPr="00F21162">
                <w:rPr>
                  <w:rFonts w:eastAsia="Calibri" w:cs="Times New Roman"/>
                  <w:color w:val="0000FF" w:themeColor="hyperlink"/>
                  <w:sz w:val="20"/>
                  <w:szCs w:val="20"/>
                  <w:u w:val="single"/>
                  <w:lang w:val="en-US"/>
                </w:rPr>
                <w:t>2015 ABCA 192</w:t>
              </w:r>
            </w:hyperlink>
          </w:p>
          <w:p w:rsidR="00EB3F67" w:rsidRPr="00F21162" w:rsidRDefault="00EB3F67" w:rsidP="000B23D3">
            <w:pPr>
              <w:jc w:val="both"/>
              <w:rPr>
                <w:rFonts w:eastAsia="Calibri"/>
                <w:sz w:val="20"/>
                <w:lang w:val="fr-CA"/>
              </w:rPr>
            </w:pPr>
          </w:p>
        </w:tc>
        <w:tc>
          <w:tcPr>
            <w:tcW w:w="243" w:type="pct"/>
          </w:tcPr>
          <w:p w:rsidR="00EB3F67" w:rsidRPr="00F21162" w:rsidRDefault="00EB3F67" w:rsidP="000B23D3">
            <w:pPr>
              <w:jc w:val="both"/>
              <w:rPr>
                <w:rFonts w:eastAsia="Calibri"/>
                <w:sz w:val="20"/>
                <w:lang w:val="fr-CA"/>
              </w:rPr>
            </w:pPr>
          </w:p>
        </w:tc>
        <w:tc>
          <w:tcPr>
            <w:tcW w:w="2330" w:type="pct"/>
          </w:tcPr>
          <w:p w:rsidR="00DE0FCB" w:rsidRPr="00F21162" w:rsidRDefault="00DE0FCB" w:rsidP="00DE0FCB">
            <w:pPr>
              <w:jc w:val="both"/>
              <w:rPr>
                <w:rFonts w:eastAsia="Calibri" w:cs="Times New Roman"/>
                <w:sz w:val="20"/>
                <w:szCs w:val="20"/>
                <w:lang w:val="fr-CA"/>
              </w:rPr>
            </w:pPr>
            <w:r w:rsidRPr="00F21162">
              <w:rPr>
                <w:rFonts w:eastAsia="Calibri" w:cs="Times New Roman"/>
                <w:sz w:val="20"/>
                <w:szCs w:val="20"/>
                <w:lang w:val="fr-CA"/>
              </w:rPr>
              <w:t>Rejet des appels des demandeurs</w:t>
            </w:r>
          </w:p>
          <w:p w:rsidR="00EB3F67" w:rsidRPr="00F21162" w:rsidRDefault="00EB3F67" w:rsidP="00DE0FCB">
            <w:pPr>
              <w:rPr>
                <w:rFonts w:eastAsia="Calibri" w:cs="Times New Roman"/>
                <w:sz w:val="20"/>
                <w:szCs w:val="20"/>
                <w:lang w:val="fr-CA"/>
              </w:rPr>
            </w:pPr>
          </w:p>
        </w:tc>
      </w:tr>
      <w:tr w:rsidR="00177DAF" w:rsidRPr="00F21162" w:rsidTr="000B23D3">
        <w:trPr>
          <w:cantSplit/>
        </w:trPr>
        <w:tc>
          <w:tcPr>
            <w:tcW w:w="2427" w:type="pct"/>
          </w:tcPr>
          <w:p w:rsidR="00DE0FCB" w:rsidRPr="00F21162" w:rsidRDefault="00DE0FCB" w:rsidP="00DE0FCB">
            <w:pPr>
              <w:jc w:val="both"/>
              <w:rPr>
                <w:rFonts w:eastAsia="Calibri" w:cs="Times New Roman"/>
                <w:sz w:val="20"/>
                <w:szCs w:val="20"/>
                <w:lang w:val="fr-CA"/>
              </w:rPr>
            </w:pPr>
            <w:r w:rsidRPr="00F21162">
              <w:rPr>
                <w:rFonts w:eastAsia="Calibri" w:cs="Times New Roman"/>
                <w:sz w:val="20"/>
                <w:szCs w:val="20"/>
                <w:lang w:val="fr-CA"/>
              </w:rPr>
              <w:t>5 août 2015</w:t>
            </w:r>
          </w:p>
          <w:p w:rsidR="00177DAF" w:rsidRPr="00F21162" w:rsidRDefault="00177DAF" w:rsidP="000B23D3">
            <w:pPr>
              <w:jc w:val="both"/>
              <w:rPr>
                <w:rFonts w:eastAsia="Calibri"/>
                <w:sz w:val="20"/>
                <w:lang w:val="fr-CA"/>
              </w:rPr>
            </w:pPr>
            <w:r w:rsidRPr="00F21162">
              <w:rPr>
                <w:rFonts w:eastAsia="Calibri"/>
                <w:sz w:val="20"/>
                <w:lang w:val="fr-CA"/>
              </w:rPr>
              <w:t>Cour suprême du Canada</w:t>
            </w:r>
          </w:p>
        </w:tc>
        <w:tc>
          <w:tcPr>
            <w:tcW w:w="243" w:type="pct"/>
          </w:tcPr>
          <w:p w:rsidR="00177DAF" w:rsidRPr="00F21162" w:rsidRDefault="00177DAF" w:rsidP="000B23D3">
            <w:pPr>
              <w:jc w:val="both"/>
              <w:rPr>
                <w:rFonts w:eastAsia="Calibri"/>
                <w:sz w:val="20"/>
                <w:lang w:val="fr-CA"/>
              </w:rPr>
            </w:pPr>
          </w:p>
        </w:tc>
        <w:tc>
          <w:tcPr>
            <w:tcW w:w="2330" w:type="pct"/>
          </w:tcPr>
          <w:p w:rsidR="00177DAF" w:rsidRPr="00F21162" w:rsidRDefault="00177DAF" w:rsidP="000B23D3">
            <w:pPr>
              <w:jc w:val="both"/>
              <w:rPr>
                <w:rFonts w:eastAsia="Calibri" w:cs="Times New Roman"/>
                <w:sz w:val="20"/>
                <w:szCs w:val="20"/>
                <w:lang w:val="fr-CA"/>
              </w:rPr>
            </w:pPr>
            <w:r w:rsidRPr="00F21162">
              <w:rPr>
                <w:rFonts w:eastAsia="Calibri" w:cs="Times New Roman"/>
                <w:sz w:val="20"/>
                <w:szCs w:val="20"/>
                <w:lang w:val="fr-CA"/>
              </w:rPr>
              <w:t>Dépôt de la demande d’autorisation d’appel</w:t>
            </w:r>
          </w:p>
          <w:p w:rsidR="00177DAF" w:rsidRPr="00F21162" w:rsidRDefault="00177DAF" w:rsidP="000B23D3">
            <w:pPr>
              <w:jc w:val="both"/>
              <w:rPr>
                <w:rFonts w:eastAsia="Calibri"/>
                <w:sz w:val="20"/>
                <w:lang w:val="fr-CA"/>
              </w:rPr>
            </w:pPr>
          </w:p>
        </w:tc>
      </w:tr>
    </w:tbl>
    <w:p w:rsidR="00177DAF" w:rsidRPr="00F21162" w:rsidRDefault="00177DAF" w:rsidP="00177DAF">
      <w:pPr>
        <w:rPr>
          <w:sz w:val="20"/>
          <w:szCs w:val="20"/>
        </w:rPr>
      </w:pPr>
    </w:p>
    <w:p w:rsidR="00177DAF" w:rsidRPr="00F21162" w:rsidRDefault="00B150CF" w:rsidP="00177DAF">
      <w:pPr>
        <w:rPr>
          <w:sz w:val="20"/>
          <w:szCs w:val="20"/>
        </w:rPr>
      </w:pPr>
      <w:r>
        <w:rPr>
          <w:sz w:val="20"/>
          <w:szCs w:val="20"/>
          <w:lang w:val="fr-CA"/>
        </w:rPr>
        <w:pict>
          <v:rect id="_x0000_i1046" style="width:2in;height:1pt" o:hrpct="0" o:hralign="center" o:hrstd="t" o:hrnoshade="t" o:hr="t" fillcolor="black [3213]" stroked="f"/>
        </w:pict>
      </w:r>
    </w:p>
    <w:p w:rsidR="00177DAF" w:rsidRPr="00F21162" w:rsidRDefault="00177DAF" w:rsidP="00177DAF">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5E1C19" w:rsidRPr="00F21162" w:rsidTr="00373255">
        <w:trPr>
          <w:cantSplit/>
        </w:trPr>
        <w:tc>
          <w:tcPr>
            <w:tcW w:w="1458" w:type="dxa"/>
          </w:tcPr>
          <w:p w:rsidR="005E1C19" w:rsidRPr="00F21162" w:rsidRDefault="005E1C19" w:rsidP="00373255">
            <w:pPr>
              <w:rPr>
                <w:sz w:val="20"/>
                <w:szCs w:val="20"/>
              </w:rPr>
            </w:pPr>
            <w:r w:rsidRPr="00F21162">
              <w:rPr>
                <w:rStyle w:val="SCCFileNumberChar"/>
                <w:sz w:val="20"/>
                <w:szCs w:val="20"/>
              </w:rPr>
              <w:t>36548</w:t>
            </w:r>
          </w:p>
          <w:p w:rsidR="005E1C19" w:rsidRPr="00F21162" w:rsidRDefault="005E1C19" w:rsidP="00373255">
            <w:pPr>
              <w:rPr>
                <w:b/>
                <w:sz w:val="20"/>
                <w:szCs w:val="20"/>
                <w:lang w:val="fr-CA"/>
              </w:rPr>
            </w:pPr>
          </w:p>
        </w:tc>
        <w:tc>
          <w:tcPr>
            <w:tcW w:w="8118" w:type="dxa"/>
          </w:tcPr>
          <w:p w:rsidR="005E1C19" w:rsidRPr="00F21162" w:rsidRDefault="005E1C19" w:rsidP="00373255">
            <w:pPr>
              <w:rPr>
                <w:sz w:val="20"/>
                <w:szCs w:val="20"/>
              </w:rPr>
            </w:pPr>
            <w:r w:rsidRPr="00F21162">
              <w:rPr>
                <w:rStyle w:val="SCCLsocChar"/>
                <w:sz w:val="20"/>
                <w:szCs w:val="20"/>
                <w:lang w:val="en-CA"/>
              </w:rPr>
              <w:t xml:space="preserve">Noel </w:t>
            </w:r>
            <w:proofErr w:type="spellStart"/>
            <w:r w:rsidRPr="00F21162">
              <w:rPr>
                <w:rStyle w:val="SCCLsocChar"/>
                <w:sz w:val="20"/>
                <w:szCs w:val="20"/>
                <w:lang w:val="en-CA"/>
              </w:rPr>
              <w:t>Ayangma</w:t>
            </w:r>
            <w:proofErr w:type="spellEnd"/>
            <w:r w:rsidRPr="00F21162">
              <w:rPr>
                <w:rStyle w:val="SCCLsocChar"/>
                <w:sz w:val="20"/>
                <w:szCs w:val="20"/>
                <w:lang w:val="en-CA"/>
              </w:rPr>
              <w:t xml:space="preserve"> v. Prince Edward Island Human Rights Commission and Commission </w:t>
            </w:r>
            <w:proofErr w:type="spellStart"/>
            <w:r w:rsidRPr="00F21162">
              <w:rPr>
                <w:rStyle w:val="SCCLsocChar"/>
                <w:sz w:val="20"/>
                <w:szCs w:val="20"/>
                <w:lang w:val="en-CA"/>
              </w:rPr>
              <w:t>Scolaire</w:t>
            </w:r>
            <w:proofErr w:type="spellEnd"/>
            <w:r w:rsidRPr="00F21162">
              <w:rPr>
                <w:rStyle w:val="SCCLsocChar"/>
                <w:sz w:val="20"/>
                <w:szCs w:val="20"/>
                <w:lang w:val="en-CA"/>
              </w:rPr>
              <w:t xml:space="preserve"> de la Langue </w:t>
            </w:r>
            <w:proofErr w:type="spellStart"/>
            <w:r w:rsidRPr="00F21162">
              <w:rPr>
                <w:rStyle w:val="SCCLsocChar"/>
                <w:sz w:val="20"/>
                <w:szCs w:val="20"/>
                <w:lang w:val="en-CA"/>
              </w:rPr>
              <w:t>Française</w:t>
            </w:r>
            <w:proofErr w:type="spellEnd"/>
            <w:r w:rsidRPr="00F21162">
              <w:rPr>
                <w:rStyle w:val="SCCLsocChar"/>
                <w:sz w:val="20"/>
                <w:szCs w:val="20"/>
                <w:lang w:val="en-CA"/>
              </w:rPr>
              <w:t xml:space="preserve"> </w:t>
            </w:r>
            <w:r w:rsidRPr="00F21162">
              <w:rPr>
                <w:rStyle w:val="SCCLsocChar"/>
                <w:b w:val="0"/>
                <w:sz w:val="20"/>
                <w:szCs w:val="20"/>
                <w:u w:val="none"/>
                <w:lang w:val="en-CA"/>
              </w:rPr>
              <w:t>(P.E.I.</w:t>
            </w:r>
            <w:r w:rsidRPr="00F21162">
              <w:rPr>
                <w:sz w:val="20"/>
                <w:szCs w:val="20"/>
              </w:rPr>
              <w:t>) (Civil) (By Leave)</w:t>
            </w:r>
          </w:p>
          <w:p w:rsidR="005E1C19" w:rsidRPr="00F21162" w:rsidRDefault="005E1C19" w:rsidP="00373255">
            <w:pPr>
              <w:rPr>
                <w:sz w:val="20"/>
                <w:szCs w:val="20"/>
              </w:rPr>
            </w:pPr>
          </w:p>
        </w:tc>
      </w:tr>
      <w:tr w:rsidR="005E1C19" w:rsidRPr="00F21162" w:rsidTr="00373255">
        <w:trPr>
          <w:cantSplit/>
        </w:trPr>
        <w:tc>
          <w:tcPr>
            <w:tcW w:w="1458" w:type="dxa"/>
          </w:tcPr>
          <w:p w:rsidR="005E1C19" w:rsidRPr="00F21162" w:rsidRDefault="005E1C19" w:rsidP="00373255">
            <w:pPr>
              <w:rPr>
                <w:sz w:val="20"/>
                <w:szCs w:val="20"/>
              </w:rPr>
            </w:pPr>
            <w:r w:rsidRPr="00F21162">
              <w:rPr>
                <w:sz w:val="20"/>
                <w:szCs w:val="20"/>
              </w:rPr>
              <w:t>Coram :</w:t>
            </w:r>
          </w:p>
        </w:tc>
        <w:tc>
          <w:tcPr>
            <w:tcW w:w="8118" w:type="dxa"/>
          </w:tcPr>
          <w:p w:rsidR="005E1C19" w:rsidRPr="00F21162" w:rsidRDefault="00CF684D" w:rsidP="00373255">
            <w:pPr>
              <w:rPr>
                <w:sz w:val="20"/>
                <w:szCs w:val="20"/>
              </w:rPr>
            </w:pPr>
            <w:proofErr w:type="spellStart"/>
            <w:r w:rsidRPr="00F21162">
              <w:rPr>
                <w:rStyle w:val="SCCCoramChar"/>
                <w:sz w:val="20"/>
                <w:szCs w:val="20"/>
                <w:lang w:val="en-CA"/>
              </w:rPr>
              <w:t>Abella</w:t>
            </w:r>
            <w:proofErr w:type="spellEnd"/>
            <w:r w:rsidRPr="00F21162">
              <w:rPr>
                <w:rStyle w:val="SCCCoramChar"/>
                <w:sz w:val="20"/>
                <w:szCs w:val="20"/>
                <w:lang w:val="en-CA"/>
              </w:rPr>
              <w:t>,</w:t>
            </w:r>
            <w:r w:rsidR="005E1C19" w:rsidRPr="00F21162">
              <w:rPr>
                <w:rStyle w:val="SCCCoramChar"/>
                <w:sz w:val="20"/>
                <w:szCs w:val="20"/>
                <w:lang w:val="en-CA"/>
              </w:rPr>
              <w:t xml:space="preserve"> </w:t>
            </w:r>
            <w:proofErr w:type="spellStart"/>
            <w:r w:rsidRPr="00F21162">
              <w:rPr>
                <w:rStyle w:val="SCCCoramChar"/>
                <w:sz w:val="20"/>
                <w:szCs w:val="20"/>
                <w:lang w:val="en-CA"/>
              </w:rPr>
              <w:t>Karakatsanis</w:t>
            </w:r>
            <w:proofErr w:type="spellEnd"/>
            <w:r w:rsidRPr="00F21162">
              <w:rPr>
                <w:rStyle w:val="SCCCoramChar"/>
                <w:sz w:val="20"/>
                <w:szCs w:val="20"/>
                <w:lang w:val="en-CA"/>
              </w:rPr>
              <w:t xml:space="preserve"> </w:t>
            </w:r>
            <w:r w:rsidR="005E1C19" w:rsidRPr="00F21162">
              <w:rPr>
                <w:rStyle w:val="SCCCoramChar"/>
                <w:sz w:val="20"/>
                <w:szCs w:val="20"/>
                <w:lang w:val="en-CA"/>
              </w:rPr>
              <w:t xml:space="preserve">and </w:t>
            </w:r>
            <w:r w:rsidRPr="00F21162">
              <w:rPr>
                <w:rStyle w:val="SCCCoramChar"/>
                <w:sz w:val="20"/>
                <w:szCs w:val="20"/>
                <w:lang w:val="en-CA"/>
              </w:rPr>
              <w:t>Brown</w:t>
            </w:r>
            <w:r w:rsidR="005E1C19" w:rsidRPr="00F21162">
              <w:rPr>
                <w:rStyle w:val="SCCCoramChar"/>
                <w:sz w:val="20"/>
                <w:szCs w:val="20"/>
                <w:lang w:val="en-CA"/>
              </w:rPr>
              <w:t xml:space="preserve"> JJ.</w:t>
            </w:r>
          </w:p>
          <w:p w:rsidR="005E1C19" w:rsidRPr="00F21162" w:rsidRDefault="005E1C19" w:rsidP="00373255">
            <w:pPr>
              <w:rPr>
                <w:sz w:val="20"/>
                <w:szCs w:val="20"/>
                <w:u w:val="single"/>
              </w:rPr>
            </w:pPr>
          </w:p>
        </w:tc>
      </w:tr>
      <w:tr w:rsidR="005E1C19" w:rsidRPr="00F21162" w:rsidTr="00373255">
        <w:trPr>
          <w:cantSplit/>
        </w:trPr>
        <w:tc>
          <w:tcPr>
            <w:tcW w:w="9576" w:type="dxa"/>
            <w:gridSpan w:val="2"/>
          </w:tcPr>
          <w:p w:rsidR="005E1C19" w:rsidRPr="00F21162" w:rsidRDefault="00D84B33" w:rsidP="00373255">
            <w:pPr>
              <w:pStyle w:val="SCCShortJudgment"/>
              <w:rPr>
                <w:szCs w:val="20"/>
                <w:lang w:val="fr-CA"/>
              </w:rPr>
            </w:pPr>
            <w:r w:rsidRPr="00F21162">
              <w:t xml:space="preserve">The motion for an extension of time to serve and file the application for leave to appeal is granted. The application for leave to appeal from the judgment of the Prince Edward Island Court of Appeal, Number S1-CA-1298, 2015 PECA 4, dated March 26, 2015, is dismissed with costs to the respondent, the Commission </w:t>
            </w:r>
            <w:proofErr w:type="spellStart"/>
            <w:r w:rsidRPr="00F21162">
              <w:t>Scolaire</w:t>
            </w:r>
            <w:proofErr w:type="spellEnd"/>
            <w:r w:rsidRPr="00F21162">
              <w:t xml:space="preserve"> de la Langue </w:t>
            </w:r>
            <w:proofErr w:type="spellStart"/>
            <w:r w:rsidRPr="00F21162">
              <w:t>Française</w:t>
            </w:r>
            <w:proofErr w:type="spellEnd"/>
            <w:r w:rsidRPr="00F21162">
              <w:t>.</w:t>
            </w:r>
          </w:p>
          <w:p w:rsidR="005E1C19" w:rsidRPr="00F21162" w:rsidRDefault="005E1C19" w:rsidP="00373255">
            <w:pPr>
              <w:pStyle w:val="SCCShortJudgment"/>
              <w:rPr>
                <w:szCs w:val="20"/>
                <w:lang w:val="fr-CA"/>
              </w:rPr>
            </w:pPr>
          </w:p>
          <w:p w:rsidR="005E1C19" w:rsidRPr="00F21162" w:rsidRDefault="00D84B33" w:rsidP="00D84B33">
            <w:pPr>
              <w:pStyle w:val="SCCShortJudgment"/>
              <w:rPr>
                <w:szCs w:val="20"/>
              </w:rPr>
            </w:pPr>
            <w:r w:rsidRPr="00F21162">
              <w:rPr>
                <w:lang w:val="fr-CA"/>
              </w:rPr>
              <w:t xml:space="preserve">La requête en prorogation du délai de signification et de dépôt de la demande d’autorisation d’appel est accueillie. La demande d’autorisation d’appel de l’arrêt de la </w:t>
            </w:r>
            <w:r w:rsidRPr="00F21162">
              <w:rPr>
                <w:lang w:val="fr-FR"/>
              </w:rPr>
              <w:t>Cour d’appel de l’Île-du-Prince-Édouard</w:t>
            </w:r>
            <w:r w:rsidRPr="00F21162">
              <w:rPr>
                <w:lang w:val="fr-CA"/>
              </w:rPr>
              <w:t xml:space="preserve">, numéro </w:t>
            </w:r>
            <w:r w:rsidRPr="00F21162">
              <w:rPr>
                <w:lang w:val="fr-FR"/>
              </w:rPr>
              <w:t>S1-CA-1298, 2015 PECA 4</w:t>
            </w:r>
            <w:r w:rsidRPr="00F21162">
              <w:rPr>
                <w:lang w:val="fr-CA"/>
              </w:rPr>
              <w:t xml:space="preserve">, daté du </w:t>
            </w:r>
            <w:r w:rsidRPr="00F21162">
              <w:rPr>
                <w:lang w:val="fr-FR"/>
              </w:rPr>
              <w:t>26 mars 2015</w:t>
            </w:r>
            <w:r w:rsidRPr="00F21162">
              <w:rPr>
                <w:lang w:val="fr-CA"/>
              </w:rPr>
              <w:t>, est rejetée avec dépens en faveur de l’intim</w:t>
            </w:r>
            <w:r w:rsidRPr="00F21162">
              <w:rPr>
                <w:rFonts w:cs="Times New Roman"/>
                <w:lang w:val="fr-CA"/>
              </w:rPr>
              <w:t>ée,</w:t>
            </w:r>
            <w:r w:rsidRPr="00F21162">
              <w:rPr>
                <w:lang w:val="fr-CA"/>
              </w:rPr>
              <w:t xml:space="preserve"> la Commission scolaire de la langue française.</w:t>
            </w:r>
          </w:p>
        </w:tc>
      </w:tr>
    </w:tbl>
    <w:p w:rsidR="005E1C19" w:rsidRPr="00F21162" w:rsidRDefault="005E1C19" w:rsidP="005E1C19">
      <w:pPr>
        <w:rPr>
          <w:sz w:val="20"/>
          <w:szCs w:val="20"/>
          <w:lang w:val="fr-CA"/>
        </w:rPr>
      </w:pPr>
    </w:p>
    <w:p w:rsidR="005E1C19" w:rsidRPr="00F21162" w:rsidRDefault="005E1C19" w:rsidP="005E1C19">
      <w:pPr>
        <w:rPr>
          <w:sz w:val="20"/>
          <w:szCs w:val="20"/>
          <w:u w:val="single"/>
        </w:rPr>
      </w:pPr>
      <w:r w:rsidRPr="00F21162">
        <w:rPr>
          <w:sz w:val="20"/>
          <w:szCs w:val="20"/>
          <w:u w:val="single"/>
        </w:rPr>
        <w:t>CASE SUMMARY</w:t>
      </w:r>
    </w:p>
    <w:p w:rsidR="005E1C19" w:rsidRPr="00F21162" w:rsidRDefault="005E1C19" w:rsidP="005E1C1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E1C19" w:rsidRPr="00F21162" w:rsidTr="00373255">
        <w:tc>
          <w:tcPr>
            <w:tcW w:w="5000" w:type="pct"/>
            <w:gridSpan w:val="3"/>
          </w:tcPr>
          <w:p w:rsidR="005E1C19" w:rsidRPr="00F21162" w:rsidRDefault="006C1C53" w:rsidP="00373255">
            <w:pPr>
              <w:jc w:val="both"/>
              <w:rPr>
                <w:sz w:val="20"/>
                <w:szCs w:val="20"/>
              </w:rPr>
            </w:pPr>
            <w:r w:rsidRPr="00F21162">
              <w:rPr>
                <w:sz w:val="20"/>
                <w:szCs w:val="20"/>
              </w:rPr>
              <w:t>Civil procedure – Appeals – Whether Court of Appeal’s refusal to hear applicant’s applications and motions for review of single judge’s decision denying a stay of proceeding, a stay of execution of the writ of execution of costs awarded against him and for reconsideration of its decision to dismiss his appeal, constituted denial of right to be heard, to an excess of jurisdiction or an abuse of discretion – Whether Court of Appeal erred in law in failing to vacate order for security for costs – Whether this was abuse of process or excess of jurisdiction.</w:t>
            </w:r>
          </w:p>
          <w:p w:rsidR="006C1C53" w:rsidRPr="00F21162" w:rsidRDefault="006C1C53" w:rsidP="00373255">
            <w:pPr>
              <w:jc w:val="both"/>
              <w:rPr>
                <w:rFonts w:eastAsia="Calibri"/>
                <w:sz w:val="20"/>
                <w:szCs w:val="20"/>
              </w:rPr>
            </w:pPr>
          </w:p>
        </w:tc>
      </w:tr>
      <w:tr w:rsidR="005E1C19" w:rsidRPr="00F21162" w:rsidTr="00373255">
        <w:tc>
          <w:tcPr>
            <w:tcW w:w="5000" w:type="pct"/>
            <w:gridSpan w:val="3"/>
          </w:tcPr>
          <w:p w:rsidR="003D6561" w:rsidRPr="00F21162" w:rsidRDefault="003D6561" w:rsidP="003D6561">
            <w:pPr>
              <w:jc w:val="both"/>
              <w:rPr>
                <w:sz w:val="20"/>
                <w:szCs w:val="20"/>
              </w:rPr>
            </w:pPr>
            <w:r w:rsidRPr="00F21162">
              <w:rPr>
                <w:sz w:val="20"/>
                <w:szCs w:val="20"/>
              </w:rPr>
              <w:t>In 2013, the applicant filed a complaint with the Prince Edward Island Human Rights Commission, alleging that he had been the subject of discrimination with respect to a job competition. When that complaint was dismissed, the applicant sought judicial review. That application was dismissed and the applicant was ordered to pay costs of $14,500. The applicant filed a notice of appeal and also moved to have the costs award stayed. The motion was dismissed.   The respondent sought an order to stay the appeal pending payment of the costs award and for security for costs on appeal. Eventually, on April 10, 2015, the applicant’s appeal was dismissed for failure to post security for costs.</w:t>
            </w:r>
          </w:p>
          <w:p w:rsidR="005E1C19" w:rsidRPr="00F21162" w:rsidRDefault="005E1C19" w:rsidP="00373255">
            <w:pPr>
              <w:jc w:val="both"/>
              <w:rPr>
                <w:rFonts w:eastAsia="Calibri"/>
                <w:sz w:val="20"/>
              </w:rPr>
            </w:pPr>
          </w:p>
        </w:tc>
      </w:tr>
      <w:tr w:rsidR="005E1C19" w:rsidRPr="00F21162" w:rsidTr="00373255">
        <w:trPr>
          <w:cantSplit/>
        </w:trPr>
        <w:tc>
          <w:tcPr>
            <w:tcW w:w="2427" w:type="pct"/>
          </w:tcPr>
          <w:p w:rsidR="007A43B8" w:rsidRPr="00F21162" w:rsidRDefault="007A43B8" w:rsidP="007A43B8">
            <w:pPr>
              <w:jc w:val="both"/>
              <w:rPr>
                <w:sz w:val="20"/>
                <w:szCs w:val="20"/>
              </w:rPr>
            </w:pPr>
            <w:r w:rsidRPr="00F21162">
              <w:rPr>
                <w:sz w:val="20"/>
                <w:szCs w:val="20"/>
              </w:rPr>
              <w:t>June 23, 2014</w:t>
            </w:r>
          </w:p>
          <w:p w:rsidR="007A43B8" w:rsidRPr="00F21162" w:rsidRDefault="007A43B8" w:rsidP="007A43B8">
            <w:pPr>
              <w:jc w:val="both"/>
              <w:rPr>
                <w:sz w:val="20"/>
                <w:szCs w:val="20"/>
              </w:rPr>
            </w:pPr>
            <w:r w:rsidRPr="00F21162">
              <w:rPr>
                <w:sz w:val="20"/>
                <w:szCs w:val="20"/>
              </w:rPr>
              <w:t>Supreme Court of Prince  Edward Island, Trial Division</w:t>
            </w:r>
          </w:p>
          <w:p w:rsidR="007A43B8" w:rsidRPr="00F21162" w:rsidRDefault="007A43B8" w:rsidP="007A43B8">
            <w:pPr>
              <w:jc w:val="both"/>
              <w:rPr>
                <w:sz w:val="20"/>
                <w:szCs w:val="20"/>
              </w:rPr>
            </w:pPr>
            <w:r w:rsidRPr="00F21162">
              <w:rPr>
                <w:sz w:val="20"/>
                <w:szCs w:val="20"/>
              </w:rPr>
              <w:t>(Key J.)</w:t>
            </w:r>
          </w:p>
          <w:p w:rsidR="007A43B8" w:rsidRPr="00F21162" w:rsidRDefault="00B150CF" w:rsidP="007A43B8">
            <w:pPr>
              <w:jc w:val="both"/>
              <w:rPr>
                <w:color w:val="0000FF" w:themeColor="hyperlink"/>
                <w:sz w:val="20"/>
                <w:szCs w:val="20"/>
                <w:u w:val="single"/>
              </w:rPr>
            </w:pPr>
            <w:hyperlink r:id="rId54" w:history="1">
              <w:r w:rsidR="007A43B8" w:rsidRPr="00F21162">
                <w:rPr>
                  <w:color w:val="0000FF" w:themeColor="hyperlink"/>
                  <w:sz w:val="20"/>
                  <w:szCs w:val="20"/>
                  <w:u w:val="single"/>
                </w:rPr>
                <w:t>2014 PESC 18</w:t>
              </w:r>
            </w:hyperlink>
          </w:p>
          <w:p w:rsidR="005E1C19" w:rsidRPr="00F21162" w:rsidRDefault="005E1C19" w:rsidP="00373255">
            <w:pPr>
              <w:jc w:val="both"/>
              <w:rPr>
                <w:rFonts w:eastAsia="Calibri"/>
                <w:sz w:val="20"/>
              </w:rPr>
            </w:pPr>
          </w:p>
        </w:tc>
        <w:tc>
          <w:tcPr>
            <w:tcW w:w="243" w:type="pct"/>
          </w:tcPr>
          <w:p w:rsidR="005E1C19" w:rsidRPr="00F21162" w:rsidRDefault="005E1C19" w:rsidP="00373255">
            <w:pPr>
              <w:jc w:val="both"/>
              <w:rPr>
                <w:rFonts w:eastAsia="Calibri"/>
                <w:sz w:val="20"/>
              </w:rPr>
            </w:pPr>
          </w:p>
        </w:tc>
        <w:tc>
          <w:tcPr>
            <w:tcW w:w="2330" w:type="pct"/>
          </w:tcPr>
          <w:p w:rsidR="007A43B8" w:rsidRPr="00F21162" w:rsidRDefault="007A43B8" w:rsidP="007A43B8">
            <w:pPr>
              <w:jc w:val="both"/>
              <w:rPr>
                <w:sz w:val="20"/>
                <w:szCs w:val="20"/>
              </w:rPr>
            </w:pPr>
            <w:r w:rsidRPr="00F21162">
              <w:rPr>
                <w:sz w:val="20"/>
                <w:szCs w:val="20"/>
              </w:rPr>
              <w:t>Applicant’s application for judicial review of decision of Human Rights Commission dismissed</w:t>
            </w:r>
          </w:p>
          <w:p w:rsidR="005E1C19" w:rsidRPr="00F21162" w:rsidRDefault="005E1C19" w:rsidP="00373255">
            <w:pPr>
              <w:rPr>
                <w:sz w:val="20"/>
                <w:szCs w:val="20"/>
              </w:rPr>
            </w:pPr>
          </w:p>
        </w:tc>
      </w:tr>
      <w:tr w:rsidR="005E1C19" w:rsidRPr="00F21162" w:rsidTr="00373255">
        <w:trPr>
          <w:cantSplit/>
        </w:trPr>
        <w:tc>
          <w:tcPr>
            <w:tcW w:w="2427" w:type="pct"/>
          </w:tcPr>
          <w:p w:rsidR="007A43B8" w:rsidRPr="00F21162" w:rsidRDefault="007A43B8" w:rsidP="007A43B8">
            <w:pPr>
              <w:jc w:val="both"/>
              <w:rPr>
                <w:sz w:val="20"/>
                <w:szCs w:val="20"/>
              </w:rPr>
            </w:pPr>
            <w:r w:rsidRPr="00F21162">
              <w:rPr>
                <w:sz w:val="20"/>
                <w:szCs w:val="20"/>
              </w:rPr>
              <w:t>July 22, 2014</w:t>
            </w:r>
          </w:p>
          <w:p w:rsidR="007A43B8" w:rsidRPr="00F21162" w:rsidRDefault="007A43B8" w:rsidP="007A43B8">
            <w:pPr>
              <w:jc w:val="both"/>
              <w:rPr>
                <w:sz w:val="20"/>
                <w:szCs w:val="20"/>
              </w:rPr>
            </w:pPr>
            <w:r w:rsidRPr="00F21162">
              <w:rPr>
                <w:sz w:val="20"/>
                <w:szCs w:val="20"/>
              </w:rPr>
              <w:t>Prince Edward Island Court of Appeal</w:t>
            </w:r>
          </w:p>
          <w:p w:rsidR="007A43B8" w:rsidRPr="00F21162" w:rsidRDefault="007A43B8" w:rsidP="007A43B8">
            <w:pPr>
              <w:jc w:val="both"/>
              <w:rPr>
                <w:sz w:val="20"/>
                <w:szCs w:val="20"/>
              </w:rPr>
            </w:pPr>
            <w:r w:rsidRPr="00F21162">
              <w:rPr>
                <w:sz w:val="20"/>
                <w:szCs w:val="20"/>
              </w:rPr>
              <w:t>(Mitchell J.A.)</w:t>
            </w:r>
          </w:p>
          <w:p w:rsidR="007A43B8" w:rsidRPr="00F21162" w:rsidRDefault="007A43B8" w:rsidP="007A43B8">
            <w:pPr>
              <w:jc w:val="both"/>
              <w:rPr>
                <w:sz w:val="20"/>
                <w:szCs w:val="20"/>
              </w:rPr>
            </w:pPr>
            <w:r w:rsidRPr="00F21162">
              <w:rPr>
                <w:sz w:val="20"/>
                <w:szCs w:val="20"/>
              </w:rPr>
              <w:t>Unreported</w:t>
            </w:r>
          </w:p>
          <w:p w:rsidR="005E1C19" w:rsidRPr="00F21162" w:rsidRDefault="005E1C19" w:rsidP="00373255">
            <w:pPr>
              <w:jc w:val="both"/>
              <w:rPr>
                <w:rFonts w:eastAsia="Calibri"/>
                <w:sz w:val="20"/>
              </w:rPr>
            </w:pPr>
          </w:p>
        </w:tc>
        <w:tc>
          <w:tcPr>
            <w:tcW w:w="243" w:type="pct"/>
          </w:tcPr>
          <w:p w:rsidR="005E1C19" w:rsidRPr="00F21162" w:rsidRDefault="005E1C19" w:rsidP="00373255">
            <w:pPr>
              <w:jc w:val="both"/>
              <w:rPr>
                <w:rFonts w:eastAsia="Calibri"/>
                <w:sz w:val="20"/>
              </w:rPr>
            </w:pPr>
          </w:p>
        </w:tc>
        <w:tc>
          <w:tcPr>
            <w:tcW w:w="2330" w:type="pct"/>
          </w:tcPr>
          <w:p w:rsidR="007A43B8" w:rsidRPr="00F21162" w:rsidRDefault="007A43B8" w:rsidP="007A43B8">
            <w:pPr>
              <w:jc w:val="both"/>
              <w:rPr>
                <w:sz w:val="20"/>
                <w:szCs w:val="20"/>
              </w:rPr>
            </w:pPr>
            <w:r w:rsidRPr="00F21162">
              <w:rPr>
                <w:sz w:val="20"/>
                <w:szCs w:val="20"/>
              </w:rPr>
              <w:t>Applicant’s motion for stay of proceedings dismissed</w:t>
            </w:r>
          </w:p>
          <w:p w:rsidR="005E1C19" w:rsidRPr="00F21162" w:rsidRDefault="005E1C19" w:rsidP="00373255">
            <w:pPr>
              <w:jc w:val="both"/>
              <w:rPr>
                <w:rFonts w:eastAsia="Calibri"/>
                <w:sz w:val="20"/>
              </w:rPr>
            </w:pPr>
          </w:p>
        </w:tc>
      </w:tr>
      <w:tr w:rsidR="005E1C19" w:rsidRPr="00F21162" w:rsidTr="00373255">
        <w:trPr>
          <w:cantSplit/>
        </w:trPr>
        <w:tc>
          <w:tcPr>
            <w:tcW w:w="2427" w:type="pct"/>
          </w:tcPr>
          <w:p w:rsidR="007A43B8" w:rsidRPr="00F21162" w:rsidRDefault="007A43B8" w:rsidP="007A43B8">
            <w:pPr>
              <w:jc w:val="both"/>
              <w:rPr>
                <w:sz w:val="20"/>
                <w:szCs w:val="20"/>
              </w:rPr>
            </w:pPr>
            <w:r w:rsidRPr="00F21162">
              <w:rPr>
                <w:sz w:val="20"/>
                <w:szCs w:val="20"/>
              </w:rPr>
              <w:t>September 4, 2014</w:t>
            </w:r>
          </w:p>
          <w:p w:rsidR="007A43B8" w:rsidRPr="00F21162" w:rsidRDefault="007A43B8" w:rsidP="007A43B8">
            <w:pPr>
              <w:jc w:val="both"/>
              <w:rPr>
                <w:sz w:val="20"/>
                <w:szCs w:val="20"/>
              </w:rPr>
            </w:pPr>
            <w:r w:rsidRPr="00F21162">
              <w:rPr>
                <w:sz w:val="20"/>
                <w:szCs w:val="20"/>
              </w:rPr>
              <w:t>Prince Edward Island Court of Appeal</w:t>
            </w:r>
          </w:p>
          <w:p w:rsidR="007A43B8" w:rsidRPr="00F21162" w:rsidRDefault="007A43B8" w:rsidP="007A43B8">
            <w:pPr>
              <w:jc w:val="both"/>
              <w:rPr>
                <w:sz w:val="20"/>
                <w:szCs w:val="20"/>
              </w:rPr>
            </w:pPr>
            <w:r w:rsidRPr="00F21162">
              <w:rPr>
                <w:sz w:val="20"/>
                <w:szCs w:val="20"/>
              </w:rPr>
              <w:t>(Jenkins C.J. and Murphy and Mitchell JJ.A.)</w:t>
            </w:r>
          </w:p>
          <w:p w:rsidR="007A43B8" w:rsidRPr="00F21162" w:rsidRDefault="00B150CF" w:rsidP="007A43B8">
            <w:pPr>
              <w:jc w:val="both"/>
              <w:rPr>
                <w:color w:val="0000FF" w:themeColor="hyperlink"/>
                <w:sz w:val="20"/>
                <w:szCs w:val="20"/>
                <w:u w:val="single"/>
              </w:rPr>
            </w:pPr>
            <w:hyperlink r:id="rId55" w:history="1">
              <w:r w:rsidR="007A43B8" w:rsidRPr="00F21162">
                <w:rPr>
                  <w:color w:val="0000FF" w:themeColor="hyperlink"/>
                  <w:sz w:val="20"/>
                  <w:szCs w:val="20"/>
                  <w:u w:val="single"/>
                </w:rPr>
                <w:t>2014 PECA 17</w:t>
              </w:r>
            </w:hyperlink>
          </w:p>
          <w:p w:rsidR="005E1C19" w:rsidRPr="00F21162" w:rsidRDefault="005E1C19" w:rsidP="00373255">
            <w:pPr>
              <w:jc w:val="both"/>
              <w:rPr>
                <w:rFonts w:eastAsia="Calibri"/>
                <w:sz w:val="20"/>
              </w:rPr>
            </w:pPr>
          </w:p>
        </w:tc>
        <w:tc>
          <w:tcPr>
            <w:tcW w:w="243" w:type="pct"/>
          </w:tcPr>
          <w:p w:rsidR="005E1C19" w:rsidRPr="00F21162" w:rsidRDefault="005E1C19" w:rsidP="00373255">
            <w:pPr>
              <w:jc w:val="both"/>
              <w:rPr>
                <w:rFonts w:eastAsia="Calibri"/>
                <w:sz w:val="20"/>
              </w:rPr>
            </w:pPr>
          </w:p>
        </w:tc>
        <w:tc>
          <w:tcPr>
            <w:tcW w:w="2330" w:type="pct"/>
          </w:tcPr>
          <w:p w:rsidR="005E1C19" w:rsidRPr="00F21162" w:rsidRDefault="000D0E5B" w:rsidP="00373255">
            <w:pPr>
              <w:jc w:val="both"/>
              <w:rPr>
                <w:sz w:val="20"/>
                <w:szCs w:val="20"/>
              </w:rPr>
            </w:pPr>
            <w:r w:rsidRPr="00F21162">
              <w:rPr>
                <w:sz w:val="20"/>
                <w:szCs w:val="20"/>
              </w:rPr>
              <w:t>Respondents’ motion for security for costs granted.  Applicant required to post security in the amount of $7,500</w:t>
            </w:r>
          </w:p>
        </w:tc>
      </w:tr>
      <w:tr w:rsidR="005E1C19" w:rsidRPr="00F21162" w:rsidTr="00373255">
        <w:trPr>
          <w:cantSplit/>
        </w:trPr>
        <w:tc>
          <w:tcPr>
            <w:tcW w:w="2427" w:type="pct"/>
          </w:tcPr>
          <w:p w:rsidR="007A43B8" w:rsidRPr="00F21162" w:rsidRDefault="007A43B8" w:rsidP="007A43B8">
            <w:pPr>
              <w:jc w:val="both"/>
              <w:rPr>
                <w:sz w:val="20"/>
                <w:szCs w:val="20"/>
              </w:rPr>
            </w:pPr>
            <w:r w:rsidRPr="00F21162">
              <w:rPr>
                <w:sz w:val="20"/>
                <w:szCs w:val="20"/>
              </w:rPr>
              <w:t>March 26, 2015</w:t>
            </w:r>
          </w:p>
          <w:p w:rsidR="007A43B8" w:rsidRPr="00F21162" w:rsidRDefault="007A43B8" w:rsidP="007A43B8">
            <w:pPr>
              <w:jc w:val="both"/>
              <w:rPr>
                <w:sz w:val="20"/>
                <w:szCs w:val="20"/>
              </w:rPr>
            </w:pPr>
            <w:r w:rsidRPr="00F21162">
              <w:rPr>
                <w:sz w:val="20"/>
                <w:szCs w:val="20"/>
              </w:rPr>
              <w:t>Prince Edward Island Court of Appeal</w:t>
            </w:r>
          </w:p>
          <w:p w:rsidR="007A43B8" w:rsidRPr="00F21162" w:rsidRDefault="007A43B8" w:rsidP="007A43B8">
            <w:pPr>
              <w:jc w:val="both"/>
              <w:rPr>
                <w:sz w:val="20"/>
                <w:szCs w:val="20"/>
              </w:rPr>
            </w:pPr>
            <w:r w:rsidRPr="00F21162">
              <w:rPr>
                <w:sz w:val="20"/>
                <w:szCs w:val="20"/>
              </w:rPr>
              <w:t>(Jenkins C.J. and Murphy and Mitchell JJ.A.)</w:t>
            </w:r>
          </w:p>
          <w:p w:rsidR="007A43B8" w:rsidRPr="00F21162" w:rsidRDefault="00B150CF" w:rsidP="007A43B8">
            <w:pPr>
              <w:jc w:val="both"/>
              <w:rPr>
                <w:sz w:val="20"/>
                <w:szCs w:val="20"/>
              </w:rPr>
            </w:pPr>
            <w:hyperlink r:id="rId56" w:history="1">
              <w:r w:rsidR="007A43B8" w:rsidRPr="00F21162">
                <w:rPr>
                  <w:color w:val="0000FF" w:themeColor="hyperlink"/>
                  <w:sz w:val="20"/>
                  <w:szCs w:val="20"/>
                  <w:u w:val="single"/>
                </w:rPr>
                <w:t>2015 PECA 4</w:t>
              </w:r>
            </w:hyperlink>
          </w:p>
          <w:p w:rsidR="005E1C19" w:rsidRPr="00F21162" w:rsidRDefault="005E1C19" w:rsidP="00373255">
            <w:pPr>
              <w:jc w:val="both"/>
              <w:rPr>
                <w:rFonts w:eastAsia="Calibri"/>
                <w:sz w:val="20"/>
              </w:rPr>
            </w:pPr>
          </w:p>
        </w:tc>
        <w:tc>
          <w:tcPr>
            <w:tcW w:w="243" w:type="pct"/>
          </w:tcPr>
          <w:p w:rsidR="005E1C19" w:rsidRPr="00F21162" w:rsidRDefault="005E1C19" w:rsidP="00373255">
            <w:pPr>
              <w:jc w:val="both"/>
              <w:rPr>
                <w:rFonts w:eastAsia="Calibri"/>
                <w:sz w:val="20"/>
              </w:rPr>
            </w:pPr>
          </w:p>
        </w:tc>
        <w:tc>
          <w:tcPr>
            <w:tcW w:w="2330" w:type="pct"/>
          </w:tcPr>
          <w:p w:rsidR="007A43B8" w:rsidRPr="00F21162" w:rsidRDefault="007A43B8" w:rsidP="007A43B8">
            <w:pPr>
              <w:jc w:val="both"/>
              <w:rPr>
                <w:sz w:val="20"/>
                <w:szCs w:val="20"/>
              </w:rPr>
            </w:pPr>
            <w:r w:rsidRPr="00F21162">
              <w:rPr>
                <w:sz w:val="20"/>
                <w:szCs w:val="20"/>
              </w:rPr>
              <w:t>Respondents’ motion to dismiss appeal for failure to post security for costs granted</w:t>
            </w:r>
          </w:p>
          <w:p w:rsidR="005E1C19" w:rsidRPr="00F21162" w:rsidRDefault="005E1C19" w:rsidP="00373255">
            <w:pPr>
              <w:jc w:val="both"/>
              <w:rPr>
                <w:sz w:val="20"/>
                <w:szCs w:val="20"/>
              </w:rPr>
            </w:pPr>
          </w:p>
        </w:tc>
      </w:tr>
      <w:tr w:rsidR="005E1C19" w:rsidRPr="00F21162" w:rsidTr="00373255">
        <w:trPr>
          <w:cantSplit/>
        </w:trPr>
        <w:tc>
          <w:tcPr>
            <w:tcW w:w="2427" w:type="pct"/>
          </w:tcPr>
          <w:p w:rsidR="005E1C19" w:rsidRPr="00F21162" w:rsidRDefault="007A43B8" w:rsidP="00373255">
            <w:pPr>
              <w:jc w:val="both"/>
              <w:rPr>
                <w:rFonts w:eastAsia="Calibri"/>
                <w:sz w:val="20"/>
              </w:rPr>
            </w:pPr>
            <w:r w:rsidRPr="00F21162">
              <w:rPr>
                <w:rFonts w:eastAsia="Calibri"/>
                <w:sz w:val="20"/>
              </w:rPr>
              <w:t>May 29</w:t>
            </w:r>
            <w:r w:rsidR="005E1C19" w:rsidRPr="00F21162">
              <w:rPr>
                <w:rFonts w:eastAsia="Calibri"/>
                <w:sz w:val="20"/>
              </w:rPr>
              <w:t>, 2015</w:t>
            </w:r>
          </w:p>
          <w:p w:rsidR="005E1C19" w:rsidRPr="00F21162" w:rsidRDefault="005E1C19" w:rsidP="00373255">
            <w:pPr>
              <w:jc w:val="both"/>
              <w:rPr>
                <w:rFonts w:eastAsia="Calibri"/>
                <w:sz w:val="20"/>
              </w:rPr>
            </w:pPr>
            <w:r w:rsidRPr="00F21162">
              <w:rPr>
                <w:rFonts w:eastAsia="Calibri"/>
                <w:sz w:val="20"/>
              </w:rPr>
              <w:t>Supreme Court of Canada</w:t>
            </w:r>
          </w:p>
        </w:tc>
        <w:tc>
          <w:tcPr>
            <w:tcW w:w="243" w:type="pct"/>
          </w:tcPr>
          <w:p w:rsidR="005E1C19" w:rsidRPr="00F21162" w:rsidRDefault="005E1C19" w:rsidP="00373255">
            <w:pPr>
              <w:jc w:val="both"/>
              <w:rPr>
                <w:rFonts w:eastAsia="Calibri"/>
                <w:sz w:val="20"/>
              </w:rPr>
            </w:pPr>
          </w:p>
        </w:tc>
        <w:tc>
          <w:tcPr>
            <w:tcW w:w="2330" w:type="pct"/>
          </w:tcPr>
          <w:p w:rsidR="005E1C19" w:rsidRPr="00F21162" w:rsidRDefault="007A43B8" w:rsidP="00096FD9">
            <w:pPr>
              <w:jc w:val="both"/>
              <w:rPr>
                <w:sz w:val="20"/>
                <w:szCs w:val="20"/>
              </w:rPr>
            </w:pPr>
            <w:r w:rsidRPr="00F21162">
              <w:rPr>
                <w:sz w:val="20"/>
                <w:szCs w:val="20"/>
              </w:rPr>
              <w:t>Motion for extension of time and application for leave to appeal filed</w:t>
            </w:r>
          </w:p>
        </w:tc>
      </w:tr>
    </w:tbl>
    <w:p w:rsidR="005E1C19" w:rsidRPr="00F21162" w:rsidRDefault="005E1C19" w:rsidP="005E1C19">
      <w:pPr>
        <w:rPr>
          <w:sz w:val="20"/>
          <w:szCs w:val="20"/>
        </w:rPr>
      </w:pPr>
    </w:p>
    <w:p w:rsidR="005E1C19" w:rsidRPr="00F21162" w:rsidRDefault="00B150CF" w:rsidP="005E1C19">
      <w:pPr>
        <w:rPr>
          <w:sz w:val="20"/>
          <w:szCs w:val="20"/>
        </w:rPr>
      </w:pPr>
      <w:r>
        <w:rPr>
          <w:sz w:val="20"/>
          <w:szCs w:val="20"/>
          <w:lang w:val="fr-CA"/>
        </w:rPr>
        <w:pict>
          <v:rect id="_x0000_i1047" style="width:2in;height:1pt" o:hrpct="0" o:hralign="center" o:hrstd="t" o:hrnoshade="t" o:hr="t" fillcolor="black [3213]" stroked="f"/>
        </w:pict>
      </w:r>
    </w:p>
    <w:p w:rsidR="005E1C19" w:rsidRPr="00F21162" w:rsidRDefault="005E1C19" w:rsidP="005E1C19">
      <w:pPr>
        <w:rPr>
          <w:sz w:val="20"/>
          <w:szCs w:val="20"/>
        </w:rPr>
      </w:pPr>
    </w:p>
    <w:p w:rsidR="005E1C19" w:rsidRPr="00F21162" w:rsidRDefault="005E1C19" w:rsidP="005E1C19">
      <w:pPr>
        <w:rPr>
          <w:sz w:val="20"/>
          <w:szCs w:val="20"/>
          <w:u w:val="single"/>
          <w:lang w:val="fr-CA"/>
        </w:rPr>
      </w:pPr>
      <w:r w:rsidRPr="00F21162">
        <w:rPr>
          <w:sz w:val="20"/>
          <w:szCs w:val="20"/>
          <w:u w:val="single"/>
          <w:lang w:val="fr-CA"/>
        </w:rPr>
        <w:t>RÉSUMÉ DE L’AFFAIRE</w:t>
      </w:r>
    </w:p>
    <w:p w:rsidR="005E1C19" w:rsidRPr="00F21162" w:rsidRDefault="005E1C19" w:rsidP="005E1C19">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5E1C19" w:rsidRPr="00F21162" w:rsidTr="00373255">
        <w:tc>
          <w:tcPr>
            <w:tcW w:w="5000" w:type="pct"/>
            <w:gridSpan w:val="3"/>
          </w:tcPr>
          <w:p w:rsidR="005E1C19" w:rsidRPr="00F21162" w:rsidRDefault="0054498E" w:rsidP="00373255">
            <w:pPr>
              <w:jc w:val="both"/>
              <w:rPr>
                <w:sz w:val="20"/>
                <w:szCs w:val="20"/>
                <w:lang w:val="fr-CA"/>
              </w:rPr>
            </w:pPr>
            <w:r w:rsidRPr="00F21162">
              <w:rPr>
                <w:sz w:val="20"/>
                <w:szCs w:val="20"/>
                <w:lang w:val="fr-CA"/>
              </w:rPr>
              <w:t>Procédure civile – Appels – Le refus de la Cour d’appel d’entendre les demandes et les requêtes du demandeur en révision de la décision d’un juge seul de refuser un sursis d’instance, un sursis d’exécution du bref d’exécution de sa condamnation aux dépens et en nouvel examen de la décision de la Cour d’appel de rejeter l’appel du demandeur constituait-il un déni du droit d’être entendu, un excès de compétence ou un abus de son pouvoir discrétionnaire? – La Cour d’appel a-t-elle commis une erreur de droit en n’annulant pas l’ordonnance de cautionnement pour frais? – S’agissait-il d’un abus de procédure ou d’un excès de compétence?</w:t>
            </w:r>
          </w:p>
          <w:p w:rsidR="0054498E" w:rsidRPr="00F21162" w:rsidRDefault="0054498E" w:rsidP="00373255">
            <w:pPr>
              <w:jc w:val="both"/>
              <w:rPr>
                <w:rFonts w:eastAsia="Calibri"/>
                <w:sz w:val="20"/>
                <w:szCs w:val="20"/>
                <w:lang w:val="fr-CA"/>
              </w:rPr>
            </w:pPr>
          </w:p>
        </w:tc>
      </w:tr>
      <w:tr w:rsidR="005E1C19" w:rsidRPr="00F21162" w:rsidTr="00373255">
        <w:tc>
          <w:tcPr>
            <w:tcW w:w="5000" w:type="pct"/>
            <w:gridSpan w:val="3"/>
          </w:tcPr>
          <w:p w:rsidR="00504775" w:rsidRPr="00F21162" w:rsidRDefault="00504775" w:rsidP="00504775">
            <w:pPr>
              <w:jc w:val="both"/>
              <w:rPr>
                <w:rFonts w:eastAsia="Calibri" w:cs="Times New Roman"/>
                <w:sz w:val="20"/>
                <w:szCs w:val="20"/>
                <w:lang w:val="fr-CA"/>
              </w:rPr>
            </w:pPr>
            <w:r w:rsidRPr="00F21162">
              <w:rPr>
                <w:rFonts w:eastAsia="Calibri" w:cs="Times New Roman"/>
                <w:sz w:val="20"/>
                <w:szCs w:val="20"/>
                <w:lang w:val="fr-CA"/>
              </w:rPr>
              <w:t>En 2013, le demandeur a déposé une plainte à la commission des droits de la personne de l’Île-du-Prince-Édouard, alléguant avoir été l’objet de discrimination à l’égard d’un concours pour un emploi. Lorsque cette plainte a été rejetée, le demandeur a sollicité le contrôle judiciaire. Cette demande a été rejetée et le demandeur a été condamné aux dépens de 14 500 $. Le demandeur a déposé un avis d’appel et a également présenté une requête en sursis de sa condamnation aux dépens. La requête a été rejetée. L’intimée a sollicité une ordonnance en sursis de l’appel en attendant le paiement des dépens et en cautionnement pour frais en appel. Le 10 avril 2015, l’appel du demandeur a fini par être rejeté pour omission d’avoir fourni un cautionnement pour frais.</w:t>
            </w:r>
          </w:p>
          <w:p w:rsidR="005E1C19" w:rsidRPr="00F21162" w:rsidRDefault="005E1C19" w:rsidP="00373255">
            <w:pPr>
              <w:jc w:val="both"/>
              <w:rPr>
                <w:sz w:val="20"/>
                <w:lang w:val="fr-CA"/>
              </w:rPr>
            </w:pPr>
          </w:p>
        </w:tc>
      </w:tr>
      <w:tr w:rsidR="005E1C19" w:rsidRPr="00F21162" w:rsidTr="00373255">
        <w:trPr>
          <w:cantSplit/>
        </w:trPr>
        <w:tc>
          <w:tcPr>
            <w:tcW w:w="2427" w:type="pct"/>
          </w:tcPr>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23 juin 2014</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Cour suprême de l’Île-du-Prince-Édouard</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(Juge Key)</w:t>
            </w:r>
          </w:p>
          <w:p w:rsidR="00EC5171" w:rsidRPr="00F21162" w:rsidRDefault="00B150CF" w:rsidP="00EC5171">
            <w:pPr>
              <w:jc w:val="both"/>
              <w:rPr>
                <w:rFonts w:eastAsia="Calibri" w:cs="Times New Roman"/>
                <w:color w:val="0000FF" w:themeColor="hyperlink"/>
                <w:sz w:val="20"/>
                <w:szCs w:val="20"/>
                <w:u w:val="single"/>
              </w:rPr>
            </w:pPr>
            <w:hyperlink r:id="rId57" w:history="1">
              <w:r w:rsidR="00EC5171" w:rsidRPr="00F21162">
                <w:rPr>
                  <w:rFonts w:eastAsia="Calibri" w:cs="Times New Roman"/>
                  <w:color w:val="0000FF" w:themeColor="hyperlink"/>
                  <w:sz w:val="20"/>
                  <w:szCs w:val="20"/>
                  <w:u w:val="single"/>
                  <w:lang w:val="fr-CA"/>
                </w:rPr>
                <w:t>2014 PESC 18</w:t>
              </w:r>
            </w:hyperlink>
          </w:p>
          <w:p w:rsidR="005E1C19" w:rsidRPr="00F21162" w:rsidRDefault="005E1C19" w:rsidP="00373255">
            <w:pPr>
              <w:jc w:val="both"/>
              <w:rPr>
                <w:rFonts w:eastAsia="Calibri"/>
                <w:sz w:val="20"/>
                <w:lang w:val="fr-CA"/>
              </w:rPr>
            </w:pPr>
          </w:p>
        </w:tc>
        <w:tc>
          <w:tcPr>
            <w:tcW w:w="243" w:type="pct"/>
          </w:tcPr>
          <w:p w:rsidR="005E1C19" w:rsidRPr="00F21162" w:rsidRDefault="005E1C19" w:rsidP="00373255">
            <w:pPr>
              <w:jc w:val="both"/>
              <w:rPr>
                <w:rFonts w:eastAsia="Calibri"/>
                <w:sz w:val="20"/>
                <w:lang w:val="fr-CA"/>
              </w:rPr>
            </w:pPr>
          </w:p>
        </w:tc>
        <w:tc>
          <w:tcPr>
            <w:tcW w:w="2330" w:type="pct"/>
          </w:tcPr>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Rejet de la demande du demandeur en contrôle judiciaire de la décision de la commission des droits de la personne</w:t>
            </w:r>
          </w:p>
          <w:p w:rsidR="005E1C19" w:rsidRPr="00F21162" w:rsidRDefault="005E1C19" w:rsidP="00373255">
            <w:pPr>
              <w:jc w:val="both"/>
              <w:rPr>
                <w:rFonts w:eastAsia="Calibri"/>
                <w:sz w:val="20"/>
                <w:szCs w:val="20"/>
                <w:lang w:val="fr-CA"/>
              </w:rPr>
            </w:pPr>
          </w:p>
        </w:tc>
      </w:tr>
      <w:tr w:rsidR="005E1C19" w:rsidRPr="00F21162" w:rsidTr="00373255">
        <w:trPr>
          <w:cantSplit/>
        </w:trPr>
        <w:tc>
          <w:tcPr>
            <w:tcW w:w="2427" w:type="pct"/>
          </w:tcPr>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22 juillet 2014</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Cour d’appel de l’Île-du-Prince-Édouard</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(Juge Mitchell)</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Non publié</w:t>
            </w:r>
          </w:p>
          <w:p w:rsidR="005E1C19" w:rsidRPr="00F21162" w:rsidRDefault="005E1C19" w:rsidP="00373255">
            <w:pPr>
              <w:jc w:val="both"/>
              <w:rPr>
                <w:rFonts w:eastAsia="Calibri"/>
                <w:sz w:val="20"/>
                <w:lang w:val="fr-CA"/>
              </w:rPr>
            </w:pPr>
          </w:p>
        </w:tc>
        <w:tc>
          <w:tcPr>
            <w:tcW w:w="243" w:type="pct"/>
          </w:tcPr>
          <w:p w:rsidR="005E1C19" w:rsidRPr="00F21162" w:rsidRDefault="005E1C19" w:rsidP="00373255">
            <w:pPr>
              <w:jc w:val="both"/>
              <w:rPr>
                <w:rFonts w:eastAsia="Calibri"/>
                <w:sz w:val="20"/>
                <w:szCs w:val="20"/>
                <w:lang w:val="fr-CA"/>
              </w:rPr>
            </w:pPr>
          </w:p>
        </w:tc>
        <w:tc>
          <w:tcPr>
            <w:tcW w:w="2330" w:type="pct"/>
          </w:tcPr>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Rejet de la requête du demandeur en sursis d’instance</w:t>
            </w:r>
          </w:p>
          <w:p w:rsidR="005E1C19" w:rsidRPr="00F21162" w:rsidRDefault="005E1C19" w:rsidP="00373255">
            <w:pPr>
              <w:jc w:val="both"/>
              <w:rPr>
                <w:rFonts w:eastAsia="Calibri"/>
                <w:sz w:val="20"/>
                <w:szCs w:val="20"/>
                <w:lang w:val="fr-CA"/>
              </w:rPr>
            </w:pPr>
          </w:p>
        </w:tc>
      </w:tr>
      <w:tr w:rsidR="005E1C19" w:rsidRPr="00F21162" w:rsidTr="00373255">
        <w:trPr>
          <w:cantSplit/>
        </w:trPr>
        <w:tc>
          <w:tcPr>
            <w:tcW w:w="2427" w:type="pct"/>
          </w:tcPr>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4 septembre 2014</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Cour d’appel de l’Île-du-Prince-Édouard</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(Juge en chef Jenkins, juges Murphy et Mitchell)</w:t>
            </w:r>
          </w:p>
          <w:p w:rsidR="00EC5171" w:rsidRPr="00F21162" w:rsidRDefault="00B150CF" w:rsidP="00EC5171">
            <w:pPr>
              <w:jc w:val="both"/>
              <w:rPr>
                <w:rFonts w:eastAsia="Calibri" w:cs="Times New Roman"/>
                <w:color w:val="0000FF" w:themeColor="hyperlink"/>
                <w:sz w:val="20"/>
                <w:szCs w:val="20"/>
                <w:u w:val="single"/>
              </w:rPr>
            </w:pPr>
            <w:hyperlink r:id="rId58" w:history="1">
              <w:r w:rsidR="00EC5171" w:rsidRPr="00F21162">
                <w:rPr>
                  <w:rFonts w:eastAsia="Calibri" w:cs="Times New Roman"/>
                  <w:color w:val="0000FF" w:themeColor="hyperlink"/>
                  <w:sz w:val="20"/>
                  <w:szCs w:val="20"/>
                  <w:u w:val="single"/>
                  <w:lang w:val="fr-CA"/>
                </w:rPr>
                <w:t>2014 PECA 17</w:t>
              </w:r>
            </w:hyperlink>
          </w:p>
          <w:p w:rsidR="005E1C19" w:rsidRPr="00F21162" w:rsidRDefault="005E1C19" w:rsidP="00373255">
            <w:pPr>
              <w:jc w:val="both"/>
              <w:rPr>
                <w:rFonts w:eastAsia="Calibri"/>
                <w:sz w:val="20"/>
                <w:lang w:val="fr-CA"/>
              </w:rPr>
            </w:pPr>
          </w:p>
        </w:tc>
        <w:tc>
          <w:tcPr>
            <w:tcW w:w="243" w:type="pct"/>
          </w:tcPr>
          <w:p w:rsidR="005E1C19" w:rsidRPr="00F21162" w:rsidRDefault="005E1C19" w:rsidP="00373255">
            <w:pPr>
              <w:jc w:val="both"/>
              <w:rPr>
                <w:rFonts w:eastAsia="Calibri"/>
                <w:sz w:val="20"/>
                <w:lang w:val="fr-CA"/>
              </w:rPr>
            </w:pPr>
          </w:p>
        </w:tc>
        <w:tc>
          <w:tcPr>
            <w:tcW w:w="2330" w:type="pct"/>
          </w:tcPr>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Arrêt accueillant la requête des intimées en cautionnement pour frais.  Ordonnance obligeant le demandeur de fournir un cautionnement pour frais de 7 500 $</w:t>
            </w:r>
          </w:p>
          <w:p w:rsidR="005E1C19" w:rsidRPr="00F21162" w:rsidRDefault="005E1C19" w:rsidP="00373255">
            <w:pPr>
              <w:jc w:val="both"/>
              <w:rPr>
                <w:rFonts w:eastAsia="Calibri" w:cs="Times New Roman"/>
                <w:sz w:val="20"/>
                <w:szCs w:val="20"/>
                <w:lang w:val="fr-CA"/>
              </w:rPr>
            </w:pPr>
          </w:p>
        </w:tc>
      </w:tr>
      <w:tr w:rsidR="005E1C19" w:rsidRPr="00F21162" w:rsidTr="00373255">
        <w:trPr>
          <w:cantSplit/>
        </w:trPr>
        <w:tc>
          <w:tcPr>
            <w:tcW w:w="2427" w:type="pct"/>
          </w:tcPr>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26 mars 2015</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Cour d’appel de l’Île-du-Prince-Édouard</w:t>
            </w:r>
          </w:p>
          <w:p w:rsidR="00EC5171" w:rsidRPr="00F21162" w:rsidRDefault="00EC5171" w:rsidP="00EC5171">
            <w:pPr>
              <w:jc w:val="both"/>
              <w:rPr>
                <w:rFonts w:eastAsia="Calibri" w:cs="Times New Roman"/>
                <w:sz w:val="20"/>
                <w:szCs w:val="20"/>
                <w:lang w:val="fr-CA"/>
              </w:rPr>
            </w:pPr>
            <w:r w:rsidRPr="00F21162">
              <w:rPr>
                <w:rFonts w:eastAsia="Calibri" w:cs="Times New Roman"/>
                <w:sz w:val="20"/>
                <w:szCs w:val="20"/>
                <w:lang w:val="fr-CA"/>
              </w:rPr>
              <w:t xml:space="preserve"> (Juge en chef Jenkins, juges Murphy et Mitchell)</w:t>
            </w:r>
          </w:p>
          <w:p w:rsidR="00EC5171" w:rsidRPr="00F21162" w:rsidRDefault="00B150CF" w:rsidP="00EC5171">
            <w:pPr>
              <w:jc w:val="both"/>
              <w:rPr>
                <w:rFonts w:eastAsia="Calibri" w:cs="Times New Roman"/>
                <w:sz w:val="20"/>
                <w:szCs w:val="20"/>
                <w:lang w:val="fr-CA"/>
              </w:rPr>
            </w:pPr>
            <w:hyperlink r:id="rId59" w:history="1">
              <w:r w:rsidR="00EC5171" w:rsidRPr="00F21162">
                <w:rPr>
                  <w:rFonts w:eastAsia="Calibri" w:cs="Times New Roman"/>
                  <w:color w:val="0000FF" w:themeColor="hyperlink"/>
                  <w:sz w:val="20"/>
                  <w:szCs w:val="20"/>
                  <w:u w:val="single"/>
                  <w:lang w:val="fr-CA"/>
                </w:rPr>
                <w:t>2015 PECA 4</w:t>
              </w:r>
            </w:hyperlink>
          </w:p>
          <w:p w:rsidR="005E1C19" w:rsidRPr="00F21162" w:rsidRDefault="005E1C19" w:rsidP="00373255">
            <w:pPr>
              <w:jc w:val="both"/>
              <w:rPr>
                <w:rFonts w:eastAsia="Calibri"/>
                <w:sz w:val="20"/>
                <w:lang w:val="fr-CA"/>
              </w:rPr>
            </w:pPr>
          </w:p>
        </w:tc>
        <w:tc>
          <w:tcPr>
            <w:tcW w:w="243" w:type="pct"/>
          </w:tcPr>
          <w:p w:rsidR="005E1C19" w:rsidRPr="00F21162" w:rsidRDefault="005E1C19" w:rsidP="00373255">
            <w:pPr>
              <w:jc w:val="both"/>
              <w:rPr>
                <w:rFonts w:eastAsia="Calibri"/>
                <w:sz w:val="20"/>
                <w:szCs w:val="20"/>
                <w:lang w:val="fr-CA"/>
              </w:rPr>
            </w:pPr>
          </w:p>
        </w:tc>
        <w:tc>
          <w:tcPr>
            <w:tcW w:w="2330" w:type="pct"/>
          </w:tcPr>
          <w:p w:rsidR="00361E1F" w:rsidRPr="00F21162" w:rsidRDefault="00361E1F" w:rsidP="00361E1F">
            <w:pPr>
              <w:jc w:val="both"/>
              <w:rPr>
                <w:rFonts w:eastAsia="Calibri" w:cs="Times New Roman"/>
                <w:sz w:val="20"/>
                <w:szCs w:val="20"/>
                <w:lang w:val="fr-CA"/>
              </w:rPr>
            </w:pPr>
            <w:r w:rsidRPr="00F21162">
              <w:rPr>
                <w:rFonts w:eastAsia="Calibri" w:cs="Times New Roman"/>
                <w:sz w:val="20"/>
                <w:szCs w:val="20"/>
                <w:lang w:val="fr-CA"/>
              </w:rPr>
              <w:t>Arrêt accueillant la requête des intimées en rejet de l’appel pour omission d’avoir fourni le cautionnement pour frais</w:t>
            </w:r>
          </w:p>
          <w:p w:rsidR="005E1C19" w:rsidRPr="00F21162" w:rsidRDefault="005E1C19" w:rsidP="00373255">
            <w:pPr>
              <w:jc w:val="both"/>
              <w:rPr>
                <w:rFonts w:eastAsia="Calibri" w:cs="Times New Roman"/>
                <w:sz w:val="20"/>
                <w:szCs w:val="20"/>
                <w:lang w:val="fr-CA"/>
              </w:rPr>
            </w:pPr>
          </w:p>
        </w:tc>
      </w:tr>
      <w:tr w:rsidR="005E1C19" w:rsidRPr="00F21162" w:rsidTr="00373255">
        <w:trPr>
          <w:cantSplit/>
        </w:trPr>
        <w:tc>
          <w:tcPr>
            <w:tcW w:w="2427" w:type="pct"/>
          </w:tcPr>
          <w:p w:rsidR="005E1C19" w:rsidRPr="00F21162" w:rsidRDefault="0086568A" w:rsidP="00373255">
            <w:pPr>
              <w:jc w:val="both"/>
              <w:rPr>
                <w:rFonts w:eastAsia="Calibri" w:cs="Times New Roman"/>
                <w:sz w:val="20"/>
                <w:szCs w:val="20"/>
                <w:lang w:val="fr-CA"/>
              </w:rPr>
            </w:pPr>
            <w:r w:rsidRPr="00F21162">
              <w:rPr>
                <w:rFonts w:eastAsia="Calibri" w:cs="Times New Roman"/>
                <w:sz w:val="20"/>
                <w:szCs w:val="20"/>
                <w:lang w:val="fr-CA"/>
              </w:rPr>
              <w:t>29</w:t>
            </w:r>
            <w:r w:rsidR="005E1C19" w:rsidRPr="00F21162">
              <w:rPr>
                <w:rFonts w:eastAsia="Calibri" w:cs="Times New Roman"/>
                <w:sz w:val="20"/>
                <w:szCs w:val="20"/>
                <w:lang w:val="fr-CA"/>
              </w:rPr>
              <w:t xml:space="preserve"> </w:t>
            </w:r>
            <w:r w:rsidRPr="00F21162">
              <w:rPr>
                <w:rFonts w:eastAsia="Calibri" w:cs="Times New Roman"/>
                <w:sz w:val="20"/>
                <w:szCs w:val="20"/>
                <w:lang w:val="fr-CA"/>
              </w:rPr>
              <w:t>mai</w:t>
            </w:r>
            <w:r w:rsidR="005E1C19" w:rsidRPr="00F21162">
              <w:rPr>
                <w:rFonts w:eastAsia="Calibri" w:cs="Times New Roman"/>
                <w:sz w:val="20"/>
                <w:szCs w:val="20"/>
                <w:lang w:val="fr-CA"/>
              </w:rPr>
              <w:t xml:space="preserve"> 2015</w:t>
            </w:r>
          </w:p>
          <w:p w:rsidR="005E1C19" w:rsidRPr="00F21162" w:rsidRDefault="005E1C19" w:rsidP="00373255">
            <w:pPr>
              <w:jc w:val="both"/>
              <w:rPr>
                <w:rFonts w:eastAsia="Calibri"/>
                <w:sz w:val="20"/>
                <w:lang w:val="fr-CA"/>
              </w:rPr>
            </w:pPr>
            <w:r w:rsidRPr="00F21162">
              <w:rPr>
                <w:rFonts w:eastAsia="Calibri"/>
                <w:sz w:val="20"/>
                <w:lang w:val="fr-CA"/>
              </w:rPr>
              <w:t>Cour suprême du Canada</w:t>
            </w:r>
          </w:p>
        </w:tc>
        <w:tc>
          <w:tcPr>
            <w:tcW w:w="243" w:type="pct"/>
          </w:tcPr>
          <w:p w:rsidR="005E1C19" w:rsidRPr="00F21162" w:rsidRDefault="005E1C19" w:rsidP="00373255">
            <w:pPr>
              <w:jc w:val="both"/>
              <w:rPr>
                <w:rFonts w:eastAsia="Calibri"/>
                <w:sz w:val="20"/>
                <w:lang w:val="fr-CA"/>
              </w:rPr>
            </w:pPr>
          </w:p>
        </w:tc>
        <w:tc>
          <w:tcPr>
            <w:tcW w:w="2330" w:type="pct"/>
          </w:tcPr>
          <w:p w:rsidR="0086568A" w:rsidRPr="00F21162" w:rsidRDefault="0086568A" w:rsidP="0086568A">
            <w:pPr>
              <w:spacing w:line="276" w:lineRule="auto"/>
              <w:jc w:val="both"/>
              <w:rPr>
                <w:sz w:val="20"/>
                <w:szCs w:val="20"/>
                <w:lang w:val="fr-CA"/>
              </w:rPr>
            </w:pPr>
            <w:r w:rsidRPr="00F21162">
              <w:rPr>
                <w:sz w:val="20"/>
                <w:szCs w:val="20"/>
                <w:lang w:val="fr-CA"/>
              </w:rPr>
              <w:t xml:space="preserve">Dépôt de la demande de prorogation de délai et de la demande d’autorisation d’appel </w:t>
            </w:r>
          </w:p>
          <w:p w:rsidR="005E1C19" w:rsidRPr="00F21162" w:rsidRDefault="005E1C19" w:rsidP="00373255">
            <w:pPr>
              <w:jc w:val="both"/>
              <w:rPr>
                <w:rFonts w:eastAsia="Calibri"/>
                <w:sz w:val="20"/>
                <w:lang w:val="fr-CA"/>
              </w:rPr>
            </w:pPr>
          </w:p>
        </w:tc>
      </w:tr>
    </w:tbl>
    <w:p w:rsidR="005E1C19" w:rsidRPr="00F21162" w:rsidRDefault="005E1C19" w:rsidP="005E1C19">
      <w:pPr>
        <w:rPr>
          <w:sz w:val="20"/>
          <w:szCs w:val="20"/>
        </w:rPr>
      </w:pPr>
    </w:p>
    <w:p w:rsidR="005E1C19" w:rsidRPr="00F21162" w:rsidRDefault="00B150CF" w:rsidP="005E1C19">
      <w:pPr>
        <w:rPr>
          <w:sz w:val="20"/>
          <w:szCs w:val="20"/>
        </w:rPr>
      </w:pPr>
      <w:r>
        <w:rPr>
          <w:sz w:val="20"/>
          <w:szCs w:val="20"/>
          <w:lang w:val="fr-CA"/>
        </w:rPr>
        <w:pict>
          <v:rect id="_x0000_i1048" style="width:2in;height:1pt" o:hrpct="0" o:hralign="center" o:hrstd="t" o:hrnoshade="t" o:hr="t" fillcolor="black [3213]" stroked="f"/>
        </w:pict>
      </w:r>
    </w:p>
    <w:p w:rsidR="005E1C19" w:rsidRPr="00F21162" w:rsidRDefault="005E1C19" w:rsidP="005E1C19">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234CDB" w:rsidRPr="00F21162" w:rsidTr="00373255">
        <w:trPr>
          <w:cantSplit/>
        </w:trPr>
        <w:tc>
          <w:tcPr>
            <w:tcW w:w="1458" w:type="dxa"/>
          </w:tcPr>
          <w:p w:rsidR="00234CDB" w:rsidRPr="00F21162" w:rsidRDefault="00234CDB" w:rsidP="00373255">
            <w:pPr>
              <w:rPr>
                <w:sz w:val="20"/>
                <w:szCs w:val="20"/>
              </w:rPr>
            </w:pPr>
            <w:r w:rsidRPr="00F21162">
              <w:rPr>
                <w:rStyle w:val="SCCFileNumberChar"/>
                <w:sz w:val="20"/>
                <w:szCs w:val="20"/>
              </w:rPr>
              <w:t>36593</w:t>
            </w:r>
          </w:p>
          <w:p w:rsidR="00234CDB" w:rsidRPr="00F21162" w:rsidRDefault="00234CDB" w:rsidP="00373255">
            <w:pPr>
              <w:rPr>
                <w:b/>
                <w:sz w:val="20"/>
                <w:szCs w:val="20"/>
                <w:lang w:val="fr-CA"/>
              </w:rPr>
            </w:pPr>
          </w:p>
        </w:tc>
        <w:tc>
          <w:tcPr>
            <w:tcW w:w="8118" w:type="dxa"/>
          </w:tcPr>
          <w:p w:rsidR="00234CDB" w:rsidRPr="00F21162" w:rsidRDefault="004804B7" w:rsidP="00373255">
            <w:pPr>
              <w:rPr>
                <w:sz w:val="20"/>
                <w:szCs w:val="20"/>
              </w:rPr>
            </w:pPr>
            <w:proofErr w:type="spellStart"/>
            <w:r w:rsidRPr="00F21162">
              <w:rPr>
                <w:rStyle w:val="SCCLsocChar"/>
                <w:sz w:val="20"/>
                <w:szCs w:val="20"/>
                <w:lang w:val="en-CA"/>
              </w:rPr>
              <w:t>J</w:t>
            </w:r>
            <w:r w:rsidR="00234CDB" w:rsidRPr="00F21162">
              <w:rPr>
                <w:rStyle w:val="SCCLsocChar"/>
                <w:sz w:val="20"/>
                <w:szCs w:val="20"/>
                <w:lang w:val="en-CA"/>
              </w:rPr>
              <w:t>e</w:t>
            </w:r>
            <w:r w:rsidRPr="00F21162">
              <w:rPr>
                <w:rStyle w:val="SCCLsocChar"/>
                <w:sz w:val="20"/>
                <w:szCs w:val="20"/>
                <w:lang w:val="en-CA"/>
              </w:rPr>
              <w:t>ries</w:t>
            </w:r>
            <w:proofErr w:type="spellEnd"/>
            <w:r w:rsidRPr="00F21162">
              <w:rPr>
                <w:rStyle w:val="SCCLsocChar"/>
                <w:sz w:val="20"/>
                <w:szCs w:val="20"/>
                <w:lang w:val="en-CA"/>
              </w:rPr>
              <w:t xml:space="preserve"> </w:t>
            </w:r>
            <w:proofErr w:type="spellStart"/>
            <w:r w:rsidRPr="00F21162">
              <w:rPr>
                <w:rStyle w:val="SCCLsocChar"/>
                <w:sz w:val="20"/>
                <w:szCs w:val="20"/>
                <w:lang w:val="en-CA"/>
              </w:rPr>
              <w:t>Yacob</w:t>
            </w:r>
            <w:proofErr w:type="spellEnd"/>
            <w:r w:rsidRPr="00F21162">
              <w:rPr>
                <w:rStyle w:val="SCCLsocChar"/>
                <w:sz w:val="20"/>
                <w:szCs w:val="20"/>
                <w:lang w:val="en-CA"/>
              </w:rPr>
              <w:t xml:space="preserve"> </w:t>
            </w:r>
            <w:proofErr w:type="spellStart"/>
            <w:r w:rsidRPr="00F21162">
              <w:rPr>
                <w:rStyle w:val="SCCLsocChar"/>
                <w:sz w:val="20"/>
                <w:szCs w:val="20"/>
                <w:lang w:val="en-CA"/>
              </w:rPr>
              <w:t>Qumsyeh</w:t>
            </w:r>
            <w:proofErr w:type="spellEnd"/>
            <w:r w:rsidR="00234CDB" w:rsidRPr="00F21162">
              <w:rPr>
                <w:rStyle w:val="SCCLsocChar"/>
                <w:sz w:val="20"/>
                <w:szCs w:val="20"/>
                <w:lang w:val="en-CA"/>
              </w:rPr>
              <w:t xml:space="preserve"> v. </w:t>
            </w:r>
            <w:r w:rsidRPr="00F21162">
              <w:rPr>
                <w:rStyle w:val="SCCLsocChar"/>
                <w:sz w:val="20"/>
                <w:szCs w:val="20"/>
                <w:lang w:val="en-CA"/>
              </w:rPr>
              <w:t>Attorney General of Canada on behalf of the United States of America and Minister of Justice</w:t>
            </w:r>
            <w:r w:rsidRPr="00F21162">
              <w:rPr>
                <w:rStyle w:val="SCCLsocChar"/>
                <w:b w:val="0"/>
                <w:sz w:val="20"/>
                <w:szCs w:val="20"/>
                <w:u w:val="none"/>
                <w:lang w:val="en-CA"/>
              </w:rPr>
              <w:t xml:space="preserve"> </w:t>
            </w:r>
            <w:r w:rsidR="00234CDB" w:rsidRPr="00F21162">
              <w:rPr>
                <w:rStyle w:val="SCCLsocChar"/>
                <w:b w:val="0"/>
                <w:sz w:val="20"/>
                <w:szCs w:val="20"/>
                <w:u w:val="none"/>
                <w:lang w:val="en-CA"/>
              </w:rPr>
              <w:t>(</w:t>
            </w:r>
            <w:r w:rsidR="00C579AB" w:rsidRPr="00F21162">
              <w:rPr>
                <w:rStyle w:val="SCCLsocChar"/>
                <w:b w:val="0"/>
                <w:sz w:val="20"/>
                <w:szCs w:val="20"/>
                <w:u w:val="none"/>
                <w:lang w:val="en-CA"/>
              </w:rPr>
              <w:t>Ont.</w:t>
            </w:r>
            <w:r w:rsidR="00234CDB" w:rsidRPr="00F21162">
              <w:rPr>
                <w:sz w:val="20"/>
                <w:szCs w:val="20"/>
              </w:rPr>
              <w:t>) (C</w:t>
            </w:r>
            <w:r w:rsidR="00C579AB" w:rsidRPr="00F21162">
              <w:rPr>
                <w:sz w:val="20"/>
                <w:szCs w:val="20"/>
              </w:rPr>
              <w:t>r</w:t>
            </w:r>
            <w:r w:rsidR="00234CDB" w:rsidRPr="00F21162">
              <w:rPr>
                <w:sz w:val="20"/>
                <w:szCs w:val="20"/>
              </w:rPr>
              <w:t>i</w:t>
            </w:r>
            <w:r w:rsidR="00C579AB" w:rsidRPr="00F21162">
              <w:rPr>
                <w:sz w:val="20"/>
                <w:szCs w:val="20"/>
              </w:rPr>
              <w:t>m</w:t>
            </w:r>
            <w:r w:rsidR="00234CDB" w:rsidRPr="00F21162">
              <w:rPr>
                <w:sz w:val="20"/>
                <w:szCs w:val="20"/>
              </w:rPr>
              <w:t>i</w:t>
            </w:r>
            <w:r w:rsidR="00C579AB" w:rsidRPr="00F21162">
              <w:rPr>
                <w:sz w:val="20"/>
                <w:szCs w:val="20"/>
              </w:rPr>
              <w:t>na</w:t>
            </w:r>
            <w:r w:rsidR="00234CDB" w:rsidRPr="00F21162">
              <w:rPr>
                <w:sz w:val="20"/>
                <w:szCs w:val="20"/>
              </w:rPr>
              <w:t>l) (By Leave)</w:t>
            </w:r>
          </w:p>
          <w:p w:rsidR="00234CDB" w:rsidRPr="00F21162" w:rsidRDefault="00234CDB" w:rsidP="00373255">
            <w:pPr>
              <w:rPr>
                <w:sz w:val="20"/>
                <w:szCs w:val="20"/>
              </w:rPr>
            </w:pPr>
          </w:p>
        </w:tc>
      </w:tr>
      <w:tr w:rsidR="00234CDB" w:rsidRPr="00F21162" w:rsidTr="00373255">
        <w:trPr>
          <w:cantSplit/>
        </w:trPr>
        <w:tc>
          <w:tcPr>
            <w:tcW w:w="1458" w:type="dxa"/>
          </w:tcPr>
          <w:p w:rsidR="00234CDB" w:rsidRPr="00F21162" w:rsidRDefault="00234CDB" w:rsidP="00373255">
            <w:pPr>
              <w:rPr>
                <w:sz w:val="20"/>
                <w:szCs w:val="20"/>
              </w:rPr>
            </w:pPr>
            <w:r w:rsidRPr="00F21162">
              <w:rPr>
                <w:sz w:val="20"/>
                <w:szCs w:val="20"/>
              </w:rPr>
              <w:t>Coram :</w:t>
            </w:r>
          </w:p>
        </w:tc>
        <w:tc>
          <w:tcPr>
            <w:tcW w:w="8118" w:type="dxa"/>
          </w:tcPr>
          <w:p w:rsidR="00234CDB" w:rsidRPr="00F21162" w:rsidRDefault="007514CD" w:rsidP="00373255">
            <w:pPr>
              <w:rPr>
                <w:sz w:val="20"/>
                <w:szCs w:val="20"/>
              </w:rPr>
            </w:pPr>
            <w:proofErr w:type="spellStart"/>
            <w:r w:rsidRPr="00F21162">
              <w:rPr>
                <w:rStyle w:val="SCCCoramChar"/>
                <w:sz w:val="20"/>
                <w:szCs w:val="20"/>
                <w:lang w:val="en-CA"/>
              </w:rPr>
              <w:t>McLachlin</w:t>
            </w:r>
            <w:proofErr w:type="spellEnd"/>
            <w:r w:rsidRPr="00F21162">
              <w:rPr>
                <w:rStyle w:val="SCCCoramChar"/>
                <w:sz w:val="20"/>
                <w:szCs w:val="20"/>
                <w:lang w:val="en-CA"/>
              </w:rPr>
              <w:t xml:space="preserve"> C.J. and </w:t>
            </w:r>
            <w:proofErr w:type="spellStart"/>
            <w:r w:rsidRPr="00F21162">
              <w:rPr>
                <w:rStyle w:val="SCCCoramChar"/>
                <w:sz w:val="20"/>
                <w:szCs w:val="20"/>
                <w:lang w:val="en-CA"/>
              </w:rPr>
              <w:t>Moldaver</w:t>
            </w:r>
            <w:proofErr w:type="spellEnd"/>
            <w:r w:rsidR="00234CDB" w:rsidRPr="00F21162">
              <w:rPr>
                <w:rStyle w:val="SCCCoramChar"/>
                <w:sz w:val="20"/>
                <w:szCs w:val="20"/>
                <w:lang w:val="en-CA"/>
              </w:rPr>
              <w:t xml:space="preserve"> and </w:t>
            </w:r>
            <w:proofErr w:type="spellStart"/>
            <w:r w:rsidRPr="00F21162">
              <w:rPr>
                <w:rStyle w:val="SCCCoramChar"/>
                <w:sz w:val="20"/>
                <w:szCs w:val="20"/>
                <w:lang w:val="en-CA"/>
              </w:rPr>
              <w:t>Gascon</w:t>
            </w:r>
            <w:proofErr w:type="spellEnd"/>
            <w:r w:rsidR="00234CDB" w:rsidRPr="00F21162">
              <w:rPr>
                <w:rStyle w:val="SCCCoramChar"/>
                <w:sz w:val="20"/>
                <w:szCs w:val="20"/>
                <w:lang w:val="en-CA"/>
              </w:rPr>
              <w:t xml:space="preserve"> JJ.</w:t>
            </w:r>
          </w:p>
          <w:p w:rsidR="00234CDB" w:rsidRPr="00F21162" w:rsidRDefault="00234CDB" w:rsidP="00373255">
            <w:pPr>
              <w:rPr>
                <w:sz w:val="20"/>
                <w:szCs w:val="20"/>
                <w:u w:val="single"/>
              </w:rPr>
            </w:pPr>
          </w:p>
        </w:tc>
      </w:tr>
      <w:tr w:rsidR="00234CDB" w:rsidRPr="00F21162" w:rsidTr="00373255">
        <w:trPr>
          <w:cantSplit/>
        </w:trPr>
        <w:tc>
          <w:tcPr>
            <w:tcW w:w="9576" w:type="dxa"/>
            <w:gridSpan w:val="2"/>
          </w:tcPr>
          <w:p w:rsidR="00234CDB" w:rsidRPr="00F21162" w:rsidRDefault="00C2640B" w:rsidP="00373255">
            <w:pPr>
              <w:pStyle w:val="SCCShortJudgment"/>
              <w:rPr>
                <w:szCs w:val="20"/>
                <w:lang w:val="fr-CA"/>
              </w:rPr>
            </w:pPr>
            <w:r w:rsidRPr="00F21162">
              <w:t>The application for leave to appeal from the judgment of the Court of Appeal for Ontario, Numbers C56517 and C59621, 2015 ONCA 551, dated July 24, 2015, is dismissed without costs.</w:t>
            </w:r>
          </w:p>
          <w:p w:rsidR="00234CDB" w:rsidRPr="00F21162" w:rsidRDefault="00234CDB" w:rsidP="00373255">
            <w:pPr>
              <w:pStyle w:val="SCCShortJudgment"/>
              <w:rPr>
                <w:szCs w:val="20"/>
                <w:lang w:val="fr-CA"/>
              </w:rPr>
            </w:pPr>
          </w:p>
          <w:p w:rsidR="00234CDB" w:rsidRPr="00F21162" w:rsidRDefault="00C2640B" w:rsidP="00C2640B">
            <w:pPr>
              <w:pStyle w:val="SCCShortJudgment"/>
              <w:rPr>
                <w:szCs w:val="20"/>
              </w:rPr>
            </w:pPr>
            <w:r w:rsidRPr="00F21162">
              <w:rPr>
                <w:lang w:val="fr-CA"/>
              </w:rPr>
              <w:t xml:space="preserve">La demande d’autorisation d’appel de l’arrêt de la </w:t>
            </w:r>
            <w:r w:rsidRPr="00F21162">
              <w:rPr>
                <w:lang w:val="fr-FR"/>
              </w:rPr>
              <w:t>Cour d’appel de l’Ontario</w:t>
            </w:r>
            <w:r w:rsidRPr="00F21162">
              <w:rPr>
                <w:lang w:val="fr-CA"/>
              </w:rPr>
              <w:t xml:space="preserve">, numéros </w:t>
            </w:r>
            <w:r w:rsidRPr="00F21162">
              <w:rPr>
                <w:lang w:val="fr-FR"/>
              </w:rPr>
              <w:t>C56517 et C59621</w:t>
            </w:r>
            <w:r w:rsidRPr="00F21162">
              <w:rPr>
                <w:lang w:val="fr-CA"/>
              </w:rPr>
              <w:t xml:space="preserve">, </w:t>
            </w:r>
            <w:r w:rsidRPr="00F21162">
              <w:rPr>
                <w:lang w:val="fr-FR"/>
              </w:rPr>
              <w:t xml:space="preserve">2015 ONCA 551, </w:t>
            </w:r>
            <w:r w:rsidRPr="00F21162">
              <w:rPr>
                <w:lang w:val="fr-CA"/>
              </w:rPr>
              <w:t xml:space="preserve">daté du </w:t>
            </w:r>
            <w:r w:rsidRPr="00F21162">
              <w:rPr>
                <w:lang w:val="fr-FR"/>
              </w:rPr>
              <w:t>24 juillet 2015</w:t>
            </w:r>
            <w:r w:rsidRPr="00F21162">
              <w:rPr>
                <w:lang w:val="fr-CA"/>
              </w:rPr>
              <w:t>, est rejet</w:t>
            </w:r>
            <w:r w:rsidRPr="00F21162">
              <w:rPr>
                <w:rFonts w:cs="Times New Roman"/>
                <w:lang w:val="fr-CA"/>
              </w:rPr>
              <w:t>é</w:t>
            </w:r>
            <w:r w:rsidRPr="00F21162">
              <w:rPr>
                <w:lang w:val="fr-CA"/>
              </w:rPr>
              <w:t>e sans d</w:t>
            </w:r>
            <w:r w:rsidRPr="00F21162">
              <w:rPr>
                <w:rFonts w:cs="Times New Roman"/>
                <w:lang w:val="fr-CA"/>
              </w:rPr>
              <w:t>é</w:t>
            </w:r>
            <w:r w:rsidRPr="00F21162">
              <w:rPr>
                <w:lang w:val="fr-CA"/>
              </w:rPr>
              <w:t>pens.</w:t>
            </w:r>
          </w:p>
        </w:tc>
      </w:tr>
    </w:tbl>
    <w:p w:rsidR="00234CDB" w:rsidRPr="00F21162" w:rsidRDefault="00234CDB" w:rsidP="00234CDB">
      <w:pPr>
        <w:rPr>
          <w:sz w:val="20"/>
          <w:szCs w:val="20"/>
          <w:lang w:val="fr-CA"/>
        </w:rPr>
      </w:pPr>
    </w:p>
    <w:p w:rsidR="00234CDB" w:rsidRPr="00F21162" w:rsidRDefault="00234CDB" w:rsidP="00234CDB">
      <w:pPr>
        <w:rPr>
          <w:sz w:val="20"/>
          <w:szCs w:val="20"/>
          <w:u w:val="single"/>
        </w:rPr>
      </w:pPr>
      <w:r w:rsidRPr="00F21162">
        <w:rPr>
          <w:sz w:val="20"/>
          <w:szCs w:val="20"/>
          <w:u w:val="single"/>
        </w:rPr>
        <w:t>CASE SUMMARY</w:t>
      </w:r>
    </w:p>
    <w:p w:rsidR="00234CDB" w:rsidRPr="00F21162" w:rsidRDefault="00234CDB" w:rsidP="00234CDB">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234CDB" w:rsidRPr="00F21162" w:rsidTr="00373255">
        <w:tc>
          <w:tcPr>
            <w:tcW w:w="5000" w:type="pct"/>
            <w:gridSpan w:val="3"/>
          </w:tcPr>
          <w:p w:rsidR="00234CDB" w:rsidRPr="00F21162" w:rsidRDefault="001337BB" w:rsidP="00373255">
            <w:pPr>
              <w:jc w:val="both"/>
              <w:rPr>
                <w:sz w:val="20"/>
                <w:szCs w:val="20"/>
              </w:rPr>
            </w:pPr>
            <w:r w:rsidRPr="00F21162">
              <w:rPr>
                <w:sz w:val="20"/>
                <w:szCs w:val="20"/>
              </w:rPr>
              <w:t xml:space="preserve">Criminal law – Extradition – Committal hearings – Powers of extradition judge – Judicial review of Minister’s surrender order – Abuse of process – </w:t>
            </w:r>
            <w:r w:rsidRPr="00F21162">
              <w:rPr>
                <w:sz w:val="20"/>
                <w:szCs w:val="20"/>
                <w:lang w:val="en-US"/>
              </w:rPr>
              <w:t xml:space="preserve">Whether extradition for trial violates principles of fundamental justice where person extradited previously convicted for same offence in another jurisdiction – </w:t>
            </w:r>
            <w:r w:rsidRPr="00F21162">
              <w:rPr>
                <w:sz w:val="20"/>
                <w:szCs w:val="20"/>
              </w:rPr>
              <w:t>Whether such an extradition is unjust and oppressive – Whether extradition to face life in prison without possibility of parole would shock conscience of Canadians.</w:t>
            </w:r>
          </w:p>
          <w:p w:rsidR="001337BB" w:rsidRPr="00F21162" w:rsidRDefault="001337BB" w:rsidP="00373255">
            <w:pPr>
              <w:jc w:val="both"/>
              <w:rPr>
                <w:rFonts w:eastAsia="Calibri"/>
                <w:sz w:val="20"/>
                <w:szCs w:val="20"/>
              </w:rPr>
            </w:pPr>
          </w:p>
        </w:tc>
      </w:tr>
      <w:tr w:rsidR="00234CDB" w:rsidRPr="00F21162" w:rsidTr="00373255">
        <w:tc>
          <w:tcPr>
            <w:tcW w:w="5000" w:type="pct"/>
            <w:gridSpan w:val="3"/>
          </w:tcPr>
          <w:p w:rsidR="002747F0" w:rsidRPr="00F21162" w:rsidRDefault="002747F0" w:rsidP="002747F0">
            <w:pPr>
              <w:jc w:val="both"/>
              <w:rPr>
                <w:sz w:val="20"/>
                <w:szCs w:val="20"/>
              </w:rPr>
            </w:pPr>
            <w:r w:rsidRPr="00F21162">
              <w:rPr>
                <w:sz w:val="20"/>
                <w:szCs w:val="20"/>
              </w:rPr>
              <w:t>Mr. </w:t>
            </w:r>
            <w:proofErr w:type="spellStart"/>
            <w:r w:rsidRPr="00F21162">
              <w:rPr>
                <w:sz w:val="20"/>
                <w:szCs w:val="20"/>
              </w:rPr>
              <w:t>Qumsyeh</w:t>
            </w:r>
            <w:proofErr w:type="spellEnd"/>
            <w:r w:rsidRPr="00F21162">
              <w:rPr>
                <w:sz w:val="20"/>
                <w:szCs w:val="20"/>
              </w:rPr>
              <w:t xml:space="preserve"> is wanted in the United States for the 1982 murder of his ex-wife. Mr. </w:t>
            </w:r>
            <w:proofErr w:type="spellStart"/>
            <w:r w:rsidRPr="00F21162">
              <w:rPr>
                <w:sz w:val="20"/>
                <w:szCs w:val="20"/>
              </w:rPr>
              <w:t>Qumsyeh</w:t>
            </w:r>
            <w:proofErr w:type="spellEnd"/>
            <w:r w:rsidRPr="00F21162">
              <w:rPr>
                <w:sz w:val="20"/>
                <w:szCs w:val="20"/>
              </w:rPr>
              <w:t xml:space="preserve"> is a citizen of the Kingdom of Jordan and returned to his homeland before he was charged by United States authorities. In Jordan, Mr. </w:t>
            </w:r>
            <w:proofErr w:type="spellStart"/>
            <w:r w:rsidRPr="00F21162">
              <w:rPr>
                <w:sz w:val="20"/>
                <w:szCs w:val="20"/>
              </w:rPr>
              <w:t>Qumsyeh</w:t>
            </w:r>
            <w:proofErr w:type="spellEnd"/>
            <w:r w:rsidRPr="00F21162">
              <w:rPr>
                <w:sz w:val="20"/>
                <w:szCs w:val="20"/>
              </w:rPr>
              <w:t xml:space="preserve"> was prosecuted and convicted for the murder and sentenced to fifteen years in prison. As part of a general amnesty, Mr. </w:t>
            </w:r>
            <w:proofErr w:type="spellStart"/>
            <w:r w:rsidRPr="00F21162">
              <w:rPr>
                <w:sz w:val="20"/>
                <w:szCs w:val="20"/>
              </w:rPr>
              <w:t>Qumsyeh</w:t>
            </w:r>
            <w:proofErr w:type="spellEnd"/>
            <w:r w:rsidRPr="00F21162">
              <w:rPr>
                <w:sz w:val="20"/>
                <w:szCs w:val="20"/>
              </w:rPr>
              <w:t xml:space="preserve"> was released from prison after serving six and a half years of his sentence. After Mr. </w:t>
            </w:r>
            <w:proofErr w:type="spellStart"/>
            <w:r w:rsidRPr="00F21162">
              <w:rPr>
                <w:sz w:val="20"/>
                <w:szCs w:val="20"/>
              </w:rPr>
              <w:t>Qumsyeh</w:t>
            </w:r>
            <w:proofErr w:type="spellEnd"/>
            <w:r w:rsidRPr="00F21162">
              <w:rPr>
                <w:sz w:val="20"/>
                <w:szCs w:val="20"/>
              </w:rPr>
              <w:t xml:space="preserve"> came to Canada in 2011, the United States requested his extradition so that he could be tried in Michigan for the murder.</w:t>
            </w:r>
          </w:p>
          <w:p w:rsidR="002747F0" w:rsidRPr="00F21162" w:rsidRDefault="002747F0" w:rsidP="002747F0">
            <w:pPr>
              <w:jc w:val="both"/>
              <w:rPr>
                <w:sz w:val="20"/>
                <w:szCs w:val="20"/>
              </w:rPr>
            </w:pPr>
          </w:p>
          <w:p w:rsidR="002747F0" w:rsidRPr="00F21162" w:rsidRDefault="002747F0" w:rsidP="002747F0">
            <w:pPr>
              <w:jc w:val="both"/>
              <w:rPr>
                <w:sz w:val="20"/>
                <w:szCs w:val="20"/>
              </w:rPr>
            </w:pPr>
            <w:r w:rsidRPr="00F21162">
              <w:rPr>
                <w:sz w:val="20"/>
                <w:szCs w:val="20"/>
              </w:rPr>
              <w:t>The extradition judge ordered the committal of Mr. </w:t>
            </w:r>
            <w:proofErr w:type="spellStart"/>
            <w:r w:rsidRPr="00F21162">
              <w:rPr>
                <w:sz w:val="20"/>
                <w:szCs w:val="20"/>
              </w:rPr>
              <w:t>Qumsyeh</w:t>
            </w:r>
            <w:proofErr w:type="spellEnd"/>
            <w:r w:rsidRPr="00F21162">
              <w:rPr>
                <w:sz w:val="20"/>
                <w:szCs w:val="20"/>
              </w:rPr>
              <w:t xml:space="preserve"> into custody to await the Minister of Justice’s decision to surrender him for prosecution of the alleged offence in the United States.  The Minister subsequently ordered Mr. </w:t>
            </w:r>
            <w:proofErr w:type="spellStart"/>
            <w:r w:rsidRPr="00F21162">
              <w:rPr>
                <w:sz w:val="20"/>
                <w:szCs w:val="20"/>
              </w:rPr>
              <w:t>Qumsyeh’s</w:t>
            </w:r>
            <w:proofErr w:type="spellEnd"/>
            <w:r w:rsidRPr="00F21162">
              <w:rPr>
                <w:sz w:val="20"/>
                <w:szCs w:val="20"/>
              </w:rPr>
              <w:t xml:space="preserve"> surrender. The Ontario Court of Appeal unanimously dismissed Mr. </w:t>
            </w:r>
            <w:proofErr w:type="spellStart"/>
            <w:r w:rsidRPr="00F21162">
              <w:rPr>
                <w:sz w:val="20"/>
                <w:szCs w:val="20"/>
              </w:rPr>
              <w:t>Qumsyeh’s</w:t>
            </w:r>
            <w:proofErr w:type="spellEnd"/>
            <w:r w:rsidRPr="00F21162">
              <w:rPr>
                <w:sz w:val="20"/>
                <w:szCs w:val="20"/>
              </w:rPr>
              <w:t xml:space="preserve"> appeal from the committal order, as well as his application for judicial review from the Minister’s decision to surrender him to the United States.</w:t>
            </w:r>
          </w:p>
          <w:p w:rsidR="00234CDB" w:rsidRPr="00F21162" w:rsidRDefault="00234CDB" w:rsidP="00373255">
            <w:pPr>
              <w:jc w:val="both"/>
              <w:rPr>
                <w:rFonts w:eastAsia="Calibri"/>
                <w:sz w:val="20"/>
              </w:rPr>
            </w:pPr>
          </w:p>
        </w:tc>
      </w:tr>
      <w:tr w:rsidR="00234CDB" w:rsidRPr="00F21162" w:rsidTr="00373255">
        <w:trPr>
          <w:cantSplit/>
        </w:trPr>
        <w:tc>
          <w:tcPr>
            <w:tcW w:w="2427" w:type="pct"/>
          </w:tcPr>
          <w:p w:rsidR="001459EF" w:rsidRPr="00F21162" w:rsidRDefault="001459EF" w:rsidP="001459EF">
            <w:pPr>
              <w:jc w:val="both"/>
              <w:rPr>
                <w:sz w:val="20"/>
                <w:szCs w:val="20"/>
              </w:rPr>
            </w:pPr>
            <w:r w:rsidRPr="00F21162">
              <w:rPr>
                <w:sz w:val="20"/>
                <w:szCs w:val="20"/>
              </w:rPr>
              <w:t>December 4, 2012</w:t>
            </w:r>
          </w:p>
          <w:p w:rsidR="001459EF" w:rsidRPr="00F21162" w:rsidRDefault="001459EF" w:rsidP="001459EF">
            <w:pPr>
              <w:jc w:val="both"/>
              <w:rPr>
                <w:sz w:val="20"/>
                <w:szCs w:val="20"/>
              </w:rPr>
            </w:pPr>
            <w:r w:rsidRPr="00F21162">
              <w:rPr>
                <w:sz w:val="20"/>
                <w:szCs w:val="20"/>
              </w:rPr>
              <w:t>Ontario Superior Court of Justice</w:t>
            </w:r>
          </w:p>
          <w:p w:rsidR="001459EF" w:rsidRPr="00F21162" w:rsidRDefault="001459EF" w:rsidP="001459EF">
            <w:pPr>
              <w:jc w:val="both"/>
              <w:rPr>
                <w:sz w:val="20"/>
                <w:szCs w:val="20"/>
              </w:rPr>
            </w:pPr>
            <w:r w:rsidRPr="00F21162">
              <w:rPr>
                <w:sz w:val="20"/>
                <w:szCs w:val="20"/>
              </w:rPr>
              <w:t>(Campbell J.)</w:t>
            </w:r>
          </w:p>
          <w:p w:rsidR="001459EF" w:rsidRPr="00F21162" w:rsidRDefault="001459EF" w:rsidP="001459EF">
            <w:pPr>
              <w:jc w:val="both"/>
              <w:rPr>
                <w:sz w:val="20"/>
                <w:szCs w:val="20"/>
              </w:rPr>
            </w:pPr>
            <w:r w:rsidRPr="00F21162">
              <w:rPr>
                <w:sz w:val="20"/>
                <w:szCs w:val="20"/>
              </w:rPr>
              <w:t>Unreported oral reasons for judgment</w:t>
            </w:r>
          </w:p>
          <w:p w:rsidR="00234CDB" w:rsidRPr="00F21162" w:rsidRDefault="00234CDB" w:rsidP="00373255">
            <w:pPr>
              <w:jc w:val="both"/>
              <w:rPr>
                <w:rFonts w:eastAsia="Calibri"/>
                <w:sz w:val="20"/>
              </w:rPr>
            </w:pPr>
          </w:p>
        </w:tc>
        <w:tc>
          <w:tcPr>
            <w:tcW w:w="243" w:type="pct"/>
          </w:tcPr>
          <w:p w:rsidR="00234CDB" w:rsidRPr="00F21162" w:rsidRDefault="00234CDB" w:rsidP="00373255">
            <w:pPr>
              <w:jc w:val="both"/>
              <w:rPr>
                <w:rFonts w:eastAsia="Calibri"/>
                <w:sz w:val="20"/>
              </w:rPr>
            </w:pPr>
          </w:p>
        </w:tc>
        <w:tc>
          <w:tcPr>
            <w:tcW w:w="2330" w:type="pct"/>
          </w:tcPr>
          <w:p w:rsidR="001459EF" w:rsidRPr="00F21162" w:rsidRDefault="001459EF" w:rsidP="001459EF">
            <w:pPr>
              <w:jc w:val="both"/>
              <w:rPr>
                <w:sz w:val="20"/>
                <w:szCs w:val="20"/>
              </w:rPr>
            </w:pPr>
            <w:r w:rsidRPr="00F21162">
              <w:rPr>
                <w:sz w:val="20"/>
                <w:szCs w:val="20"/>
              </w:rPr>
              <w:t>Respondent’s application seeking order for applicant’s committal into custody to await Minister’s surrender decision, granted.</w:t>
            </w:r>
          </w:p>
          <w:p w:rsidR="00234CDB" w:rsidRPr="00F21162" w:rsidRDefault="00234CDB" w:rsidP="00373255">
            <w:pPr>
              <w:rPr>
                <w:sz w:val="20"/>
                <w:szCs w:val="20"/>
              </w:rPr>
            </w:pPr>
          </w:p>
        </w:tc>
      </w:tr>
      <w:tr w:rsidR="00234CDB" w:rsidRPr="00F21162" w:rsidTr="00373255">
        <w:trPr>
          <w:cantSplit/>
        </w:trPr>
        <w:tc>
          <w:tcPr>
            <w:tcW w:w="2427" w:type="pct"/>
          </w:tcPr>
          <w:p w:rsidR="001459EF" w:rsidRPr="00F21162" w:rsidRDefault="001459EF" w:rsidP="001459EF">
            <w:pPr>
              <w:jc w:val="both"/>
              <w:rPr>
                <w:sz w:val="20"/>
                <w:szCs w:val="20"/>
              </w:rPr>
            </w:pPr>
            <w:r w:rsidRPr="00F21162">
              <w:rPr>
                <w:sz w:val="20"/>
                <w:szCs w:val="20"/>
              </w:rPr>
              <w:t>July 24, 2015</w:t>
            </w:r>
          </w:p>
          <w:p w:rsidR="001459EF" w:rsidRPr="00F21162" w:rsidRDefault="001459EF" w:rsidP="001459EF">
            <w:pPr>
              <w:jc w:val="both"/>
              <w:rPr>
                <w:sz w:val="20"/>
                <w:szCs w:val="20"/>
              </w:rPr>
            </w:pPr>
            <w:r w:rsidRPr="00F21162">
              <w:rPr>
                <w:sz w:val="20"/>
                <w:szCs w:val="20"/>
              </w:rPr>
              <w:t>Court of Appeal for Ontario</w:t>
            </w:r>
          </w:p>
          <w:p w:rsidR="001459EF" w:rsidRPr="00F21162" w:rsidRDefault="001459EF" w:rsidP="001459EF">
            <w:pPr>
              <w:jc w:val="both"/>
              <w:rPr>
                <w:sz w:val="20"/>
                <w:szCs w:val="20"/>
              </w:rPr>
            </w:pPr>
            <w:r w:rsidRPr="00F21162">
              <w:rPr>
                <w:sz w:val="20"/>
                <w:szCs w:val="20"/>
              </w:rPr>
              <w:t xml:space="preserve">(Doherty, </w:t>
            </w:r>
            <w:proofErr w:type="spellStart"/>
            <w:r w:rsidRPr="00F21162">
              <w:rPr>
                <w:sz w:val="20"/>
                <w:szCs w:val="20"/>
              </w:rPr>
              <w:t>Gillese</w:t>
            </w:r>
            <w:proofErr w:type="spellEnd"/>
            <w:r w:rsidRPr="00F21162">
              <w:rPr>
                <w:sz w:val="20"/>
                <w:szCs w:val="20"/>
              </w:rPr>
              <w:t xml:space="preserve"> and Brown JJ.A.)</w:t>
            </w:r>
          </w:p>
          <w:p w:rsidR="001459EF" w:rsidRPr="00F21162" w:rsidRDefault="00B150CF" w:rsidP="001459EF">
            <w:pPr>
              <w:jc w:val="both"/>
              <w:rPr>
                <w:sz w:val="20"/>
                <w:szCs w:val="20"/>
              </w:rPr>
            </w:pPr>
            <w:hyperlink r:id="rId60" w:history="1">
              <w:r w:rsidR="001459EF" w:rsidRPr="00F21162">
                <w:rPr>
                  <w:color w:val="0000FF" w:themeColor="hyperlink"/>
                  <w:sz w:val="20"/>
                  <w:szCs w:val="20"/>
                  <w:u w:val="single"/>
                </w:rPr>
                <w:t>2015 ONCA 551</w:t>
              </w:r>
            </w:hyperlink>
          </w:p>
          <w:p w:rsidR="00234CDB" w:rsidRPr="00F21162" w:rsidRDefault="00234CDB" w:rsidP="00373255">
            <w:pPr>
              <w:jc w:val="both"/>
              <w:rPr>
                <w:rFonts w:eastAsia="Calibri"/>
                <w:sz w:val="20"/>
              </w:rPr>
            </w:pPr>
          </w:p>
        </w:tc>
        <w:tc>
          <w:tcPr>
            <w:tcW w:w="243" w:type="pct"/>
          </w:tcPr>
          <w:p w:rsidR="00234CDB" w:rsidRPr="00F21162" w:rsidRDefault="00234CDB" w:rsidP="00373255">
            <w:pPr>
              <w:jc w:val="both"/>
              <w:rPr>
                <w:rFonts w:eastAsia="Calibri"/>
                <w:sz w:val="20"/>
              </w:rPr>
            </w:pPr>
          </w:p>
        </w:tc>
        <w:tc>
          <w:tcPr>
            <w:tcW w:w="2330" w:type="pct"/>
          </w:tcPr>
          <w:p w:rsidR="001459EF" w:rsidRPr="00F21162" w:rsidRDefault="001459EF" w:rsidP="001459EF">
            <w:pPr>
              <w:jc w:val="both"/>
              <w:rPr>
                <w:sz w:val="20"/>
                <w:szCs w:val="20"/>
              </w:rPr>
            </w:pPr>
            <w:r w:rsidRPr="00F21162">
              <w:rPr>
                <w:sz w:val="20"/>
                <w:szCs w:val="20"/>
              </w:rPr>
              <w:t>Applicant’s appeal and application for judicial review of Minister’s surrender order, dismissed.</w:t>
            </w:r>
          </w:p>
          <w:p w:rsidR="00234CDB" w:rsidRPr="00F21162" w:rsidRDefault="00234CDB" w:rsidP="00373255">
            <w:pPr>
              <w:jc w:val="both"/>
              <w:rPr>
                <w:rFonts w:eastAsia="Calibri"/>
                <w:sz w:val="20"/>
              </w:rPr>
            </w:pPr>
          </w:p>
        </w:tc>
      </w:tr>
      <w:tr w:rsidR="00234CDB" w:rsidRPr="00F21162" w:rsidTr="00373255">
        <w:trPr>
          <w:cantSplit/>
        </w:trPr>
        <w:tc>
          <w:tcPr>
            <w:tcW w:w="2427" w:type="pct"/>
          </w:tcPr>
          <w:p w:rsidR="00234CDB" w:rsidRPr="00F21162" w:rsidRDefault="001459EF" w:rsidP="00373255">
            <w:pPr>
              <w:jc w:val="both"/>
              <w:rPr>
                <w:rFonts w:eastAsia="Calibri"/>
                <w:sz w:val="20"/>
              </w:rPr>
            </w:pPr>
            <w:r w:rsidRPr="00F21162">
              <w:rPr>
                <w:rFonts w:eastAsia="Calibri"/>
                <w:sz w:val="20"/>
              </w:rPr>
              <w:t>September</w:t>
            </w:r>
            <w:r w:rsidR="00234CDB" w:rsidRPr="00F21162">
              <w:rPr>
                <w:rFonts w:eastAsia="Calibri"/>
                <w:sz w:val="20"/>
              </w:rPr>
              <w:t xml:space="preserve"> 2</w:t>
            </w:r>
            <w:r w:rsidRPr="00F21162">
              <w:rPr>
                <w:rFonts w:eastAsia="Calibri"/>
                <w:sz w:val="20"/>
              </w:rPr>
              <w:t>2</w:t>
            </w:r>
            <w:r w:rsidR="00234CDB" w:rsidRPr="00F21162">
              <w:rPr>
                <w:rFonts w:eastAsia="Calibri"/>
                <w:sz w:val="20"/>
              </w:rPr>
              <w:t>, 2015</w:t>
            </w:r>
          </w:p>
          <w:p w:rsidR="00234CDB" w:rsidRPr="00F21162" w:rsidRDefault="00234CDB" w:rsidP="00373255">
            <w:pPr>
              <w:jc w:val="both"/>
              <w:rPr>
                <w:rFonts w:eastAsia="Calibri"/>
                <w:sz w:val="20"/>
              </w:rPr>
            </w:pPr>
            <w:r w:rsidRPr="00F21162">
              <w:rPr>
                <w:rFonts w:eastAsia="Calibri"/>
                <w:sz w:val="20"/>
              </w:rPr>
              <w:t>Supreme Court of Canada</w:t>
            </w:r>
          </w:p>
        </w:tc>
        <w:tc>
          <w:tcPr>
            <w:tcW w:w="243" w:type="pct"/>
          </w:tcPr>
          <w:p w:rsidR="00234CDB" w:rsidRPr="00F21162" w:rsidRDefault="00234CDB" w:rsidP="00373255">
            <w:pPr>
              <w:jc w:val="both"/>
              <w:rPr>
                <w:rFonts w:eastAsia="Calibri"/>
                <w:sz w:val="20"/>
              </w:rPr>
            </w:pPr>
          </w:p>
        </w:tc>
        <w:tc>
          <w:tcPr>
            <w:tcW w:w="2330" w:type="pct"/>
          </w:tcPr>
          <w:p w:rsidR="001459EF" w:rsidRPr="00F21162" w:rsidRDefault="001459EF" w:rsidP="001459EF">
            <w:pPr>
              <w:rPr>
                <w:sz w:val="20"/>
                <w:szCs w:val="20"/>
              </w:rPr>
            </w:pPr>
            <w:r w:rsidRPr="00F21162">
              <w:rPr>
                <w:sz w:val="20"/>
                <w:szCs w:val="20"/>
              </w:rPr>
              <w:t>Application for leave to appeal, filed.</w:t>
            </w:r>
          </w:p>
          <w:p w:rsidR="00234CDB" w:rsidRPr="00F21162" w:rsidRDefault="00234CDB" w:rsidP="00373255">
            <w:pPr>
              <w:rPr>
                <w:sz w:val="20"/>
                <w:szCs w:val="20"/>
              </w:rPr>
            </w:pPr>
          </w:p>
        </w:tc>
      </w:tr>
    </w:tbl>
    <w:p w:rsidR="00234CDB" w:rsidRPr="00F21162" w:rsidRDefault="00234CDB" w:rsidP="00234CDB">
      <w:pPr>
        <w:rPr>
          <w:sz w:val="20"/>
          <w:szCs w:val="20"/>
        </w:rPr>
      </w:pPr>
    </w:p>
    <w:p w:rsidR="00234CDB" w:rsidRPr="00F21162" w:rsidRDefault="00B150CF" w:rsidP="00234CDB">
      <w:pPr>
        <w:rPr>
          <w:sz w:val="20"/>
          <w:szCs w:val="20"/>
        </w:rPr>
      </w:pPr>
      <w:r>
        <w:rPr>
          <w:sz w:val="20"/>
          <w:szCs w:val="20"/>
          <w:lang w:val="fr-CA"/>
        </w:rPr>
        <w:pict>
          <v:rect id="_x0000_i1049" style="width:2in;height:1pt" o:hrpct="0" o:hralign="center" o:hrstd="t" o:hrnoshade="t" o:hr="t" fillcolor="black [3213]" stroked="f"/>
        </w:pict>
      </w:r>
    </w:p>
    <w:p w:rsidR="00234CDB" w:rsidRPr="00F21162" w:rsidRDefault="00234CDB" w:rsidP="00234CDB">
      <w:pPr>
        <w:rPr>
          <w:sz w:val="20"/>
          <w:szCs w:val="20"/>
        </w:rPr>
      </w:pPr>
    </w:p>
    <w:p w:rsidR="00234CDB" w:rsidRPr="00F21162" w:rsidRDefault="00234CDB" w:rsidP="00234CDB">
      <w:pPr>
        <w:rPr>
          <w:sz w:val="20"/>
          <w:szCs w:val="20"/>
          <w:u w:val="single"/>
          <w:lang w:val="fr-CA"/>
        </w:rPr>
      </w:pPr>
      <w:r w:rsidRPr="00F21162">
        <w:rPr>
          <w:sz w:val="20"/>
          <w:szCs w:val="20"/>
          <w:u w:val="single"/>
          <w:lang w:val="fr-CA"/>
        </w:rPr>
        <w:t>RÉSUMÉ DE L’AFFAIRE</w:t>
      </w:r>
    </w:p>
    <w:p w:rsidR="00234CDB" w:rsidRPr="00F21162" w:rsidRDefault="00234CDB" w:rsidP="00234CDB">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234CDB" w:rsidRPr="00F21162" w:rsidTr="00373255">
        <w:tc>
          <w:tcPr>
            <w:tcW w:w="5000" w:type="pct"/>
            <w:gridSpan w:val="3"/>
          </w:tcPr>
          <w:p w:rsidR="00234CDB" w:rsidRPr="00F21162" w:rsidRDefault="00635C6B" w:rsidP="00373255">
            <w:pPr>
              <w:jc w:val="both"/>
              <w:rPr>
                <w:sz w:val="20"/>
                <w:szCs w:val="20"/>
                <w:lang w:val="fr-CA"/>
              </w:rPr>
            </w:pPr>
            <w:r w:rsidRPr="00F21162">
              <w:rPr>
                <w:sz w:val="20"/>
                <w:szCs w:val="20"/>
                <w:lang w:val="fr-CA"/>
              </w:rPr>
              <w:t>Droit criminel – Extradition – Audiences relatives à l’incarcération – Pouvoirs du juge d’extradition – Contrôle judiciaire de l’arrêté d’extradition du ministre – Abus de procédure – L’extradition en vue de subir un procès viole-t-il les principes de justice fondamentale lorsque la personne dont on demande l’extradition a déjà été déclarée coupable de la même infraction dans un autre ressort? – Une telle extradition est-elle injuste et tyrannique? – L’extradition pour subir une peine d’emprisonnement à perpétuité sans possibilité de libération conditionnelle choquerait-elle la conscience des Canadiens?</w:t>
            </w:r>
          </w:p>
          <w:p w:rsidR="00635C6B" w:rsidRPr="00F21162" w:rsidRDefault="00635C6B" w:rsidP="00373255">
            <w:pPr>
              <w:jc w:val="both"/>
              <w:rPr>
                <w:rFonts w:eastAsia="Calibri"/>
                <w:sz w:val="20"/>
                <w:szCs w:val="20"/>
                <w:lang w:val="fr-CA"/>
              </w:rPr>
            </w:pPr>
          </w:p>
        </w:tc>
      </w:tr>
      <w:tr w:rsidR="00234CDB" w:rsidRPr="00F21162" w:rsidTr="00373255">
        <w:tc>
          <w:tcPr>
            <w:tcW w:w="5000" w:type="pct"/>
            <w:gridSpan w:val="3"/>
          </w:tcPr>
          <w:p w:rsidR="00635C6B" w:rsidRPr="00F21162" w:rsidRDefault="00635C6B" w:rsidP="00635C6B">
            <w:pPr>
              <w:jc w:val="both"/>
              <w:rPr>
                <w:rFonts w:eastAsia="Calibri" w:cs="Times New Roman"/>
                <w:sz w:val="20"/>
                <w:szCs w:val="20"/>
                <w:lang w:val="fr-CA"/>
              </w:rPr>
            </w:pPr>
            <w:r w:rsidRPr="00F21162">
              <w:rPr>
                <w:rFonts w:eastAsia="Calibri" w:cs="Times New Roman"/>
                <w:sz w:val="20"/>
                <w:szCs w:val="20"/>
                <w:lang w:val="fr-CA"/>
              </w:rPr>
              <w:t xml:space="preserve">Monsieur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xml:space="preserve"> est recherché aux États-Unis pour le meurtre de son ex-épouse en 1982. Monsieur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xml:space="preserve"> est citoyen du Royaume de Jordanie et il est retourné dans son pays d’origine avant d’être inculpé par les autorités des États-Unis. En Jordanie, M.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xml:space="preserve"> a été poursuivi, déclaré coupable du meurtre et condamné à une peine d’emprisonnement de quinze ans. Dans le cadre d’une amnistie générale, M.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xml:space="preserve"> a été libéré de prison après avoir purgé six ans et demi de sa peine. Après la venue de M.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xml:space="preserve"> au Canada en 2011, les États-Unis ont demandé son extradition pour qu’il puisse subir au Michigan son procès pour le meurtre.</w:t>
            </w:r>
          </w:p>
          <w:p w:rsidR="00635C6B" w:rsidRPr="00F21162" w:rsidRDefault="00635C6B" w:rsidP="00635C6B">
            <w:pPr>
              <w:jc w:val="both"/>
              <w:rPr>
                <w:rFonts w:eastAsia="Calibri" w:cs="Times New Roman"/>
                <w:sz w:val="20"/>
                <w:szCs w:val="20"/>
                <w:lang w:val="fr-CA"/>
              </w:rPr>
            </w:pPr>
          </w:p>
          <w:p w:rsidR="00635C6B" w:rsidRPr="00F21162" w:rsidRDefault="00635C6B" w:rsidP="00635C6B">
            <w:pPr>
              <w:jc w:val="both"/>
              <w:rPr>
                <w:rFonts w:eastAsia="Calibri" w:cs="Times New Roman"/>
                <w:sz w:val="20"/>
                <w:szCs w:val="20"/>
                <w:lang w:val="fr-CA"/>
              </w:rPr>
            </w:pPr>
            <w:r w:rsidRPr="00F21162">
              <w:rPr>
                <w:rFonts w:eastAsia="Calibri" w:cs="Times New Roman"/>
                <w:sz w:val="20"/>
                <w:szCs w:val="20"/>
                <w:lang w:val="fr-CA"/>
              </w:rPr>
              <w:t>Le juge d’extradition a ordonné l’incarcération de M.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xml:space="preserve"> en attendant que le ministre de la Justice rende une décision de l’extrader pour qu’il subisse son procès relativement à l’infraction alléguée aux États-Unis. Le ministre a subséquemment ordonné l’extradition de M.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La Cour d’appel de l’Ontario a rejeté à l’unanimité l’appel de l’ordonnance d’incarcération de M. </w:t>
            </w:r>
            <w:proofErr w:type="spellStart"/>
            <w:r w:rsidRPr="00F21162">
              <w:rPr>
                <w:rFonts w:eastAsia="Calibri" w:cs="Times New Roman"/>
                <w:sz w:val="20"/>
                <w:szCs w:val="20"/>
                <w:lang w:val="fr-CA"/>
              </w:rPr>
              <w:t>Qumsyeh</w:t>
            </w:r>
            <w:proofErr w:type="spellEnd"/>
            <w:r w:rsidRPr="00F21162">
              <w:rPr>
                <w:rFonts w:eastAsia="Calibri" w:cs="Times New Roman"/>
                <w:sz w:val="20"/>
                <w:szCs w:val="20"/>
                <w:lang w:val="fr-CA"/>
              </w:rPr>
              <w:t>, ainsi que sa demande de contrôle judiciaire de la décision du ministre de l’extrader vers les États-Unis.</w:t>
            </w:r>
          </w:p>
          <w:p w:rsidR="00234CDB" w:rsidRPr="00F21162" w:rsidRDefault="00234CDB" w:rsidP="00373255">
            <w:pPr>
              <w:jc w:val="both"/>
              <w:rPr>
                <w:sz w:val="20"/>
                <w:lang w:val="fr-CA"/>
              </w:rPr>
            </w:pPr>
          </w:p>
        </w:tc>
      </w:tr>
      <w:tr w:rsidR="00234CDB" w:rsidRPr="00F21162" w:rsidTr="00373255">
        <w:trPr>
          <w:cantSplit/>
        </w:trPr>
        <w:tc>
          <w:tcPr>
            <w:tcW w:w="2427" w:type="pct"/>
          </w:tcPr>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4 décembre 2012</w:t>
            </w:r>
          </w:p>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Cour supérieure de justice de l’Ontario</w:t>
            </w:r>
          </w:p>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(Juge Campbell)</w:t>
            </w:r>
          </w:p>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Motifs du jugement exposés oralement, non publiés</w:t>
            </w:r>
          </w:p>
          <w:p w:rsidR="00234CDB" w:rsidRPr="00F21162" w:rsidRDefault="00234CDB" w:rsidP="00373255">
            <w:pPr>
              <w:jc w:val="both"/>
              <w:rPr>
                <w:rFonts w:eastAsia="Calibri"/>
                <w:sz w:val="20"/>
                <w:lang w:val="fr-CA"/>
              </w:rPr>
            </w:pPr>
          </w:p>
        </w:tc>
        <w:tc>
          <w:tcPr>
            <w:tcW w:w="243" w:type="pct"/>
          </w:tcPr>
          <w:p w:rsidR="00234CDB" w:rsidRPr="00F21162" w:rsidRDefault="00234CDB" w:rsidP="00373255">
            <w:pPr>
              <w:jc w:val="both"/>
              <w:rPr>
                <w:rFonts w:eastAsia="Calibri"/>
                <w:sz w:val="20"/>
                <w:lang w:val="fr-CA"/>
              </w:rPr>
            </w:pPr>
          </w:p>
        </w:tc>
        <w:tc>
          <w:tcPr>
            <w:tcW w:w="2330" w:type="pct"/>
          </w:tcPr>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Ordonnance d’incarcération du demandeur en attendant que le ministre rende sa décision relativement à l’extradition, sur demande de l’intimé.</w:t>
            </w:r>
          </w:p>
          <w:p w:rsidR="00234CDB" w:rsidRPr="00F21162" w:rsidRDefault="00234CDB" w:rsidP="00373255">
            <w:pPr>
              <w:jc w:val="both"/>
              <w:rPr>
                <w:rFonts w:eastAsia="Calibri"/>
                <w:sz w:val="20"/>
                <w:szCs w:val="20"/>
                <w:lang w:val="fr-CA"/>
              </w:rPr>
            </w:pPr>
          </w:p>
        </w:tc>
      </w:tr>
      <w:tr w:rsidR="00234CDB" w:rsidRPr="00F21162" w:rsidTr="00373255">
        <w:trPr>
          <w:cantSplit/>
        </w:trPr>
        <w:tc>
          <w:tcPr>
            <w:tcW w:w="2427" w:type="pct"/>
          </w:tcPr>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24 juillet 2015</w:t>
            </w:r>
          </w:p>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Cour d’appel de l’Ontario</w:t>
            </w:r>
          </w:p>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 xml:space="preserve">(Juges Doherty, </w:t>
            </w:r>
            <w:proofErr w:type="spellStart"/>
            <w:r w:rsidRPr="00F21162">
              <w:rPr>
                <w:rFonts w:eastAsia="Calibri" w:cs="Times New Roman"/>
                <w:sz w:val="20"/>
                <w:szCs w:val="20"/>
                <w:lang w:val="fr-CA"/>
              </w:rPr>
              <w:t>Gillese</w:t>
            </w:r>
            <w:proofErr w:type="spellEnd"/>
            <w:r w:rsidRPr="00F21162">
              <w:rPr>
                <w:rFonts w:eastAsia="Calibri" w:cs="Times New Roman"/>
                <w:sz w:val="20"/>
                <w:szCs w:val="20"/>
                <w:lang w:val="fr-CA"/>
              </w:rPr>
              <w:t xml:space="preserve"> et Brown)</w:t>
            </w:r>
          </w:p>
          <w:p w:rsidR="00063EA2" w:rsidRPr="00F21162" w:rsidRDefault="00B150CF" w:rsidP="00063EA2">
            <w:pPr>
              <w:jc w:val="both"/>
              <w:rPr>
                <w:rFonts w:eastAsia="Calibri" w:cs="Times New Roman"/>
                <w:sz w:val="20"/>
                <w:szCs w:val="20"/>
                <w:lang w:val="fr-CA"/>
              </w:rPr>
            </w:pPr>
            <w:hyperlink r:id="rId61" w:history="1">
              <w:r w:rsidR="00063EA2" w:rsidRPr="00F21162">
                <w:rPr>
                  <w:rFonts w:eastAsia="Calibri" w:cs="Times New Roman"/>
                  <w:color w:val="0000FF" w:themeColor="hyperlink"/>
                  <w:sz w:val="20"/>
                  <w:szCs w:val="20"/>
                  <w:u w:val="single"/>
                  <w:lang w:val="fr-CA"/>
                </w:rPr>
                <w:t>2015 ONCA 551</w:t>
              </w:r>
            </w:hyperlink>
          </w:p>
          <w:p w:rsidR="00234CDB" w:rsidRPr="00F21162" w:rsidRDefault="00234CDB" w:rsidP="00373255">
            <w:pPr>
              <w:jc w:val="both"/>
              <w:rPr>
                <w:rFonts w:eastAsia="Calibri"/>
                <w:sz w:val="20"/>
                <w:lang w:val="fr-CA"/>
              </w:rPr>
            </w:pPr>
          </w:p>
        </w:tc>
        <w:tc>
          <w:tcPr>
            <w:tcW w:w="243" w:type="pct"/>
          </w:tcPr>
          <w:p w:rsidR="00234CDB" w:rsidRPr="00F21162" w:rsidRDefault="00234CDB" w:rsidP="00373255">
            <w:pPr>
              <w:jc w:val="both"/>
              <w:rPr>
                <w:rFonts w:eastAsia="Calibri"/>
                <w:sz w:val="20"/>
                <w:szCs w:val="20"/>
                <w:lang w:val="fr-CA"/>
              </w:rPr>
            </w:pPr>
          </w:p>
        </w:tc>
        <w:tc>
          <w:tcPr>
            <w:tcW w:w="2330" w:type="pct"/>
          </w:tcPr>
          <w:p w:rsidR="00063EA2" w:rsidRPr="00F21162" w:rsidRDefault="00063EA2" w:rsidP="00063EA2">
            <w:pPr>
              <w:jc w:val="both"/>
              <w:rPr>
                <w:rFonts w:eastAsia="Calibri" w:cs="Times New Roman"/>
                <w:sz w:val="20"/>
                <w:szCs w:val="20"/>
                <w:lang w:val="fr-CA"/>
              </w:rPr>
            </w:pPr>
            <w:r w:rsidRPr="00F21162">
              <w:rPr>
                <w:rFonts w:eastAsia="Calibri" w:cs="Times New Roman"/>
                <w:sz w:val="20"/>
                <w:szCs w:val="20"/>
                <w:lang w:val="fr-CA"/>
              </w:rPr>
              <w:t>Rejet de l’appel du demandeur et de sa demande de contrôle judiciaire de l’arrêté d’extradition du ministre.</w:t>
            </w:r>
          </w:p>
          <w:p w:rsidR="00234CDB" w:rsidRPr="00F21162" w:rsidRDefault="00234CDB" w:rsidP="00373255">
            <w:pPr>
              <w:jc w:val="both"/>
              <w:rPr>
                <w:rFonts w:eastAsia="Calibri"/>
                <w:sz w:val="20"/>
                <w:szCs w:val="20"/>
                <w:lang w:val="fr-CA"/>
              </w:rPr>
            </w:pPr>
          </w:p>
        </w:tc>
      </w:tr>
      <w:tr w:rsidR="00234CDB" w:rsidRPr="00F21162" w:rsidTr="00373255">
        <w:trPr>
          <w:cantSplit/>
        </w:trPr>
        <w:tc>
          <w:tcPr>
            <w:tcW w:w="2427" w:type="pct"/>
          </w:tcPr>
          <w:p w:rsidR="00234CDB" w:rsidRPr="00F21162" w:rsidRDefault="00234CDB" w:rsidP="00373255">
            <w:pPr>
              <w:jc w:val="both"/>
              <w:rPr>
                <w:rFonts w:eastAsia="Calibri" w:cs="Times New Roman"/>
                <w:sz w:val="20"/>
                <w:szCs w:val="20"/>
                <w:lang w:val="fr-CA"/>
              </w:rPr>
            </w:pPr>
            <w:r w:rsidRPr="00F21162">
              <w:rPr>
                <w:rFonts w:eastAsia="Calibri" w:cs="Times New Roman"/>
                <w:sz w:val="20"/>
                <w:szCs w:val="20"/>
                <w:lang w:val="fr-CA"/>
              </w:rPr>
              <w:t>2</w:t>
            </w:r>
            <w:r w:rsidR="00063EA2" w:rsidRPr="00F21162">
              <w:rPr>
                <w:rFonts w:eastAsia="Calibri" w:cs="Times New Roman"/>
                <w:sz w:val="20"/>
                <w:szCs w:val="20"/>
                <w:lang w:val="fr-CA"/>
              </w:rPr>
              <w:t>2</w:t>
            </w:r>
            <w:r w:rsidRPr="00F21162">
              <w:rPr>
                <w:rFonts w:eastAsia="Calibri" w:cs="Times New Roman"/>
                <w:sz w:val="20"/>
                <w:szCs w:val="20"/>
                <w:lang w:val="fr-CA"/>
              </w:rPr>
              <w:t xml:space="preserve"> </w:t>
            </w:r>
            <w:r w:rsidR="00063EA2" w:rsidRPr="00F21162">
              <w:rPr>
                <w:rFonts w:eastAsia="Calibri" w:cs="Times New Roman"/>
                <w:sz w:val="20"/>
                <w:szCs w:val="20"/>
                <w:lang w:val="fr-CA"/>
              </w:rPr>
              <w:t>septembre</w:t>
            </w:r>
            <w:r w:rsidRPr="00F21162">
              <w:rPr>
                <w:rFonts w:eastAsia="Calibri" w:cs="Times New Roman"/>
                <w:sz w:val="20"/>
                <w:szCs w:val="20"/>
                <w:lang w:val="fr-CA"/>
              </w:rPr>
              <w:t xml:space="preserve"> 2015</w:t>
            </w:r>
          </w:p>
          <w:p w:rsidR="00234CDB" w:rsidRPr="00F21162" w:rsidRDefault="00234CDB" w:rsidP="00373255">
            <w:pPr>
              <w:jc w:val="both"/>
              <w:rPr>
                <w:rFonts w:eastAsia="Calibri"/>
                <w:sz w:val="20"/>
                <w:lang w:val="fr-CA"/>
              </w:rPr>
            </w:pPr>
            <w:r w:rsidRPr="00F21162">
              <w:rPr>
                <w:rFonts w:eastAsia="Calibri"/>
                <w:sz w:val="20"/>
                <w:lang w:val="fr-CA"/>
              </w:rPr>
              <w:t>Cour suprême du Canada</w:t>
            </w:r>
          </w:p>
        </w:tc>
        <w:tc>
          <w:tcPr>
            <w:tcW w:w="243" w:type="pct"/>
          </w:tcPr>
          <w:p w:rsidR="00234CDB" w:rsidRPr="00F21162" w:rsidRDefault="00234CDB" w:rsidP="00373255">
            <w:pPr>
              <w:jc w:val="both"/>
              <w:rPr>
                <w:rFonts w:eastAsia="Calibri"/>
                <w:sz w:val="20"/>
                <w:lang w:val="fr-CA"/>
              </w:rPr>
            </w:pPr>
          </w:p>
        </w:tc>
        <w:tc>
          <w:tcPr>
            <w:tcW w:w="2330" w:type="pct"/>
          </w:tcPr>
          <w:p w:rsidR="00063EA2" w:rsidRPr="00F21162" w:rsidRDefault="00063EA2" w:rsidP="00063EA2">
            <w:pPr>
              <w:spacing w:line="276" w:lineRule="auto"/>
              <w:jc w:val="both"/>
              <w:rPr>
                <w:sz w:val="20"/>
                <w:szCs w:val="20"/>
                <w:lang w:val="fr-CA"/>
              </w:rPr>
            </w:pPr>
            <w:r w:rsidRPr="00F21162">
              <w:rPr>
                <w:sz w:val="20"/>
                <w:szCs w:val="20"/>
                <w:lang w:val="fr-CA"/>
              </w:rPr>
              <w:t>Dépôt de la demande d’autorisation d’appel.</w:t>
            </w:r>
          </w:p>
          <w:p w:rsidR="00234CDB" w:rsidRPr="00F21162" w:rsidRDefault="00234CDB" w:rsidP="00373255">
            <w:pPr>
              <w:jc w:val="both"/>
              <w:rPr>
                <w:rFonts w:eastAsia="Calibri"/>
                <w:sz w:val="20"/>
                <w:lang w:val="fr-CA"/>
              </w:rPr>
            </w:pPr>
          </w:p>
        </w:tc>
      </w:tr>
    </w:tbl>
    <w:p w:rsidR="00234CDB" w:rsidRPr="00F21162" w:rsidRDefault="00234CDB" w:rsidP="00234CDB">
      <w:pPr>
        <w:rPr>
          <w:sz w:val="20"/>
          <w:szCs w:val="20"/>
        </w:rPr>
      </w:pPr>
    </w:p>
    <w:p w:rsidR="00234CDB" w:rsidRPr="00F21162" w:rsidRDefault="00B150CF" w:rsidP="00234CDB">
      <w:pPr>
        <w:rPr>
          <w:sz w:val="20"/>
          <w:szCs w:val="20"/>
        </w:rPr>
      </w:pPr>
      <w:r>
        <w:rPr>
          <w:sz w:val="20"/>
          <w:szCs w:val="20"/>
          <w:lang w:val="fr-CA"/>
        </w:rPr>
        <w:pict>
          <v:rect id="_x0000_i1050" style="width:2in;height:1pt" o:hrpct="0" o:hralign="center" o:hrstd="t" o:hrnoshade="t" o:hr="t" fillcolor="black [3213]" stroked="f"/>
        </w:pict>
      </w:r>
    </w:p>
    <w:p w:rsidR="00234CDB" w:rsidRPr="00F21162" w:rsidRDefault="00234CDB" w:rsidP="00234CDB">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1458"/>
        <w:gridCol w:w="8118"/>
      </w:tblGrid>
      <w:tr w:rsidR="001F795D" w:rsidRPr="00F21162" w:rsidTr="00373255">
        <w:trPr>
          <w:cantSplit/>
        </w:trPr>
        <w:tc>
          <w:tcPr>
            <w:tcW w:w="1458" w:type="dxa"/>
          </w:tcPr>
          <w:p w:rsidR="001F795D" w:rsidRPr="00F21162" w:rsidRDefault="001F795D" w:rsidP="00373255">
            <w:pPr>
              <w:rPr>
                <w:sz w:val="20"/>
                <w:szCs w:val="20"/>
              </w:rPr>
            </w:pPr>
            <w:r w:rsidRPr="00F21162">
              <w:rPr>
                <w:rStyle w:val="SCCFileNumberChar"/>
                <w:sz w:val="20"/>
                <w:szCs w:val="20"/>
              </w:rPr>
              <w:t>36</w:t>
            </w:r>
            <w:r w:rsidR="00B529BB" w:rsidRPr="00F21162">
              <w:rPr>
                <w:rStyle w:val="SCCFileNumberChar"/>
                <w:sz w:val="20"/>
                <w:szCs w:val="20"/>
              </w:rPr>
              <w:t>626</w:t>
            </w:r>
          </w:p>
          <w:p w:rsidR="001F795D" w:rsidRPr="00F21162" w:rsidRDefault="001F795D" w:rsidP="00373255">
            <w:pPr>
              <w:rPr>
                <w:b/>
                <w:sz w:val="20"/>
                <w:szCs w:val="20"/>
                <w:lang w:val="fr-CA"/>
              </w:rPr>
            </w:pPr>
          </w:p>
        </w:tc>
        <w:tc>
          <w:tcPr>
            <w:tcW w:w="8118" w:type="dxa"/>
          </w:tcPr>
          <w:p w:rsidR="001F795D" w:rsidRPr="00F21162" w:rsidRDefault="004C653C" w:rsidP="00373255">
            <w:pPr>
              <w:rPr>
                <w:sz w:val="20"/>
                <w:szCs w:val="20"/>
              </w:rPr>
            </w:pPr>
            <w:r w:rsidRPr="00F21162">
              <w:rPr>
                <w:rStyle w:val="SCCLsocChar"/>
                <w:sz w:val="20"/>
                <w:szCs w:val="20"/>
                <w:lang w:val="en-CA"/>
              </w:rPr>
              <w:t xml:space="preserve">457351 Ontario Inc. and Diana </w:t>
            </w:r>
            <w:proofErr w:type="spellStart"/>
            <w:r w:rsidRPr="00F21162">
              <w:rPr>
                <w:rStyle w:val="SCCLsocChar"/>
                <w:sz w:val="20"/>
                <w:szCs w:val="20"/>
                <w:lang w:val="en-CA"/>
              </w:rPr>
              <w:t>Vacca</w:t>
            </w:r>
            <w:proofErr w:type="spellEnd"/>
            <w:r w:rsidR="001F795D" w:rsidRPr="00F21162">
              <w:rPr>
                <w:rStyle w:val="SCCLsocChar"/>
                <w:sz w:val="20"/>
                <w:szCs w:val="20"/>
                <w:lang w:val="en-CA"/>
              </w:rPr>
              <w:t xml:space="preserve"> v. </w:t>
            </w:r>
            <w:r w:rsidRPr="00F21162">
              <w:rPr>
                <w:rStyle w:val="SCCLsocChar"/>
                <w:sz w:val="20"/>
                <w:szCs w:val="20"/>
                <w:lang w:val="en-CA"/>
              </w:rPr>
              <w:t>Golf North Properties Inc.</w:t>
            </w:r>
            <w:r w:rsidRPr="00F21162">
              <w:rPr>
                <w:rStyle w:val="SCCLsocChar"/>
                <w:b w:val="0"/>
                <w:sz w:val="20"/>
                <w:szCs w:val="20"/>
                <w:u w:val="none"/>
                <w:lang w:val="en-CA"/>
              </w:rPr>
              <w:t xml:space="preserve"> </w:t>
            </w:r>
            <w:r w:rsidR="001F795D" w:rsidRPr="00F21162">
              <w:rPr>
                <w:rStyle w:val="SCCLsocChar"/>
                <w:b w:val="0"/>
                <w:sz w:val="20"/>
                <w:szCs w:val="20"/>
                <w:u w:val="none"/>
                <w:lang w:val="en-CA"/>
              </w:rPr>
              <w:t>(Ont.</w:t>
            </w:r>
            <w:r w:rsidR="001F795D" w:rsidRPr="00F21162">
              <w:rPr>
                <w:sz w:val="20"/>
                <w:szCs w:val="20"/>
              </w:rPr>
              <w:t>) (Ci</w:t>
            </w:r>
            <w:r w:rsidRPr="00F21162">
              <w:rPr>
                <w:sz w:val="20"/>
                <w:szCs w:val="20"/>
              </w:rPr>
              <w:t>v</w:t>
            </w:r>
            <w:r w:rsidR="001F795D" w:rsidRPr="00F21162">
              <w:rPr>
                <w:sz w:val="20"/>
                <w:szCs w:val="20"/>
              </w:rPr>
              <w:t>il) (By Leave)</w:t>
            </w:r>
          </w:p>
          <w:p w:rsidR="001F795D" w:rsidRPr="00F21162" w:rsidRDefault="001F795D" w:rsidP="00373255">
            <w:pPr>
              <w:rPr>
                <w:sz w:val="20"/>
                <w:szCs w:val="20"/>
              </w:rPr>
            </w:pPr>
          </w:p>
        </w:tc>
      </w:tr>
      <w:tr w:rsidR="001F795D" w:rsidRPr="00F21162" w:rsidTr="00373255">
        <w:trPr>
          <w:cantSplit/>
        </w:trPr>
        <w:tc>
          <w:tcPr>
            <w:tcW w:w="1458" w:type="dxa"/>
          </w:tcPr>
          <w:p w:rsidR="001F795D" w:rsidRPr="00F21162" w:rsidRDefault="001F795D" w:rsidP="00373255">
            <w:pPr>
              <w:rPr>
                <w:sz w:val="20"/>
                <w:szCs w:val="20"/>
              </w:rPr>
            </w:pPr>
            <w:r w:rsidRPr="00F21162">
              <w:rPr>
                <w:sz w:val="20"/>
                <w:szCs w:val="20"/>
              </w:rPr>
              <w:t>Coram :</w:t>
            </w:r>
          </w:p>
        </w:tc>
        <w:tc>
          <w:tcPr>
            <w:tcW w:w="8118" w:type="dxa"/>
          </w:tcPr>
          <w:p w:rsidR="001F795D" w:rsidRPr="00F21162" w:rsidRDefault="00FC21D9" w:rsidP="00373255">
            <w:pPr>
              <w:rPr>
                <w:sz w:val="20"/>
                <w:szCs w:val="20"/>
              </w:rPr>
            </w:pPr>
            <w:proofErr w:type="spellStart"/>
            <w:r w:rsidRPr="00F21162">
              <w:rPr>
                <w:rStyle w:val="SCCCoramChar"/>
                <w:sz w:val="20"/>
                <w:szCs w:val="20"/>
                <w:lang w:val="en-CA"/>
              </w:rPr>
              <w:t>Abella</w:t>
            </w:r>
            <w:proofErr w:type="spellEnd"/>
            <w:r w:rsidRPr="00F21162">
              <w:rPr>
                <w:rStyle w:val="SCCCoramChar"/>
                <w:sz w:val="20"/>
                <w:szCs w:val="20"/>
                <w:lang w:val="en-CA"/>
              </w:rPr>
              <w:t>,</w:t>
            </w:r>
            <w:r w:rsidR="001F795D" w:rsidRPr="00F21162">
              <w:rPr>
                <w:rStyle w:val="SCCCoramChar"/>
                <w:sz w:val="20"/>
                <w:szCs w:val="20"/>
                <w:lang w:val="en-CA"/>
              </w:rPr>
              <w:t xml:space="preserve"> </w:t>
            </w:r>
            <w:proofErr w:type="spellStart"/>
            <w:r w:rsidRPr="00F21162">
              <w:rPr>
                <w:rStyle w:val="SCCCoramChar"/>
                <w:sz w:val="20"/>
                <w:szCs w:val="20"/>
                <w:lang w:val="en-CA"/>
              </w:rPr>
              <w:t>Karakatsanis</w:t>
            </w:r>
            <w:proofErr w:type="spellEnd"/>
            <w:r w:rsidR="001F795D" w:rsidRPr="00F21162">
              <w:rPr>
                <w:rStyle w:val="SCCCoramChar"/>
                <w:sz w:val="20"/>
                <w:szCs w:val="20"/>
                <w:lang w:val="en-CA"/>
              </w:rPr>
              <w:t xml:space="preserve"> and </w:t>
            </w:r>
            <w:r w:rsidRPr="00F21162">
              <w:rPr>
                <w:rStyle w:val="SCCCoramChar"/>
                <w:sz w:val="20"/>
                <w:szCs w:val="20"/>
                <w:lang w:val="en-CA"/>
              </w:rPr>
              <w:t>Brown</w:t>
            </w:r>
            <w:r w:rsidR="001F795D" w:rsidRPr="00F21162">
              <w:rPr>
                <w:rStyle w:val="SCCCoramChar"/>
                <w:sz w:val="20"/>
                <w:szCs w:val="20"/>
                <w:lang w:val="en-CA"/>
              </w:rPr>
              <w:t xml:space="preserve"> JJ.</w:t>
            </w:r>
          </w:p>
          <w:p w:rsidR="001F795D" w:rsidRPr="00F21162" w:rsidRDefault="001F795D" w:rsidP="00373255">
            <w:pPr>
              <w:rPr>
                <w:sz w:val="20"/>
                <w:szCs w:val="20"/>
                <w:u w:val="single"/>
              </w:rPr>
            </w:pPr>
          </w:p>
        </w:tc>
      </w:tr>
      <w:tr w:rsidR="001F795D" w:rsidRPr="00F21162" w:rsidTr="00373255">
        <w:trPr>
          <w:cantSplit/>
        </w:trPr>
        <w:tc>
          <w:tcPr>
            <w:tcW w:w="9576" w:type="dxa"/>
            <w:gridSpan w:val="2"/>
          </w:tcPr>
          <w:p w:rsidR="001F795D" w:rsidRPr="00F21162" w:rsidRDefault="00C62C81" w:rsidP="00373255">
            <w:pPr>
              <w:pStyle w:val="SCCShortJudgment"/>
              <w:rPr>
                <w:szCs w:val="20"/>
                <w:lang w:val="fr-CA"/>
              </w:rPr>
            </w:pPr>
            <w:r w:rsidRPr="00F21162">
              <w:t>The motion for a stay of execution is dismissed. The application for leave to appeal from the judgment of the Court of Appeal for Ontario, Number C59807, 2015 ONCA 419, dated June 11, 2015, is dismissed with costs.</w:t>
            </w:r>
          </w:p>
          <w:p w:rsidR="001F795D" w:rsidRPr="00F21162" w:rsidRDefault="001F795D" w:rsidP="00373255">
            <w:pPr>
              <w:pStyle w:val="SCCShortJudgment"/>
              <w:rPr>
                <w:szCs w:val="20"/>
                <w:lang w:val="fr-CA"/>
              </w:rPr>
            </w:pPr>
          </w:p>
          <w:p w:rsidR="001F795D" w:rsidRPr="00F21162" w:rsidRDefault="00C62C81" w:rsidP="00C62C81">
            <w:pPr>
              <w:pStyle w:val="SCCShortJudgment"/>
              <w:rPr>
                <w:szCs w:val="20"/>
              </w:rPr>
            </w:pPr>
            <w:r w:rsidRPr="00F21162">
              <w:rPr>
                <w:lang w:val="fr-CA"/>
              </w:rPr>
              <w:t xml:space="preserve">La requête en sursis d’exécution est rejetée. La demande d’autorisation d’appel de l’arrêt de la </w:t>
            </w:r>
            <w:r w:rsidRPr="00F21162">
              <w:rPr>
                <w:lang w:val="fr-FR"/>
              </w:rPr>
              <w:t>Cour d’appel de l’Ontario</w:t>
            </w:r>
            <w:r w:rsidRPr="00F21162">
              <w:rPr>
                <w:lang w:val="fr-CA"/>
              </w:rPr>
              <w:t xml:space="preserve">, numéro </w:t>
            </w:r>
            <w:r w:rsidRPr="00F21162">
              <w:rPr>
                <w:lang w:val="fr-FR"/>
              </w:rPr>
              <w:t>C59807, 2015 ONCA 419</w:t>
            </w:r>
            <w:r w:rsidRPr="00F21162">
              <w:rPr>
                <w:lang w:val="fr-CA"/>
              </w:rPr>
              <w:t xml:space="preserve">, daté du </w:t>
            </w:r>
            <w:r w:rsidRPr="00F21162">
              <w:rPr>
                <w:lang w:val="fr-FR"/>
              </w:rPr>
              <w:t>11 juin 2015</w:t>
            </w:r>
            <w:r w:rsidRPr="00F21162">
              <w:rPr>
                <w:lang w:val="fr-CA"/>
              </w:rPr>
              <w:t>, est rejetée avec dépens.</w:t>
            </w:r>
          </w:p>
        </w:tc>
      </w:tr>
    </w:tbl>
    <w:p w:rsidR="001F795D" w:rsidRPr="00F21162" w:rsidRDefault="001F795D" w:rsidP="001F795D">
      <w:pPr>
        <w:rPr>
          <w:sz w:val="20"/>
          <w:szCs w:val="20"/>
          <w:lang w:val="fr-CA"/>
        </w:rPr>
      </w:pPr>
    </w:p>
    <w:p w:rsidR="001F795D" w:rsidRPr="00F21162" w:rsidRDefault="001F795D" w:rsidP="001F795D">
      <w:pPr>
        <w:rPr>
          <w:sz w:val="20"/>
          <w:szCs w:val="20"/>
          <w:u w:val="single"/>
        </w:rPr>
      </w:pPr>
      <w:r w:rsidRPr="00F21162">
        <w:rPr>
          <w:sz w:val="20"/>
          <w:szCs w:val="20"/>
          <w:u w:val="single"/>
        </w:rPr>
        <w:t>CASE SUMMARY</w:t>
      </w:r>
    </w:p>
    <w:p w:rsidR="001F795D" w:rsidRPr="00F21162" w:rsidRDefault="001F795D" w:rsidP="001F795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1F795D" w:rsidRPr="00F21162" w:rsidTr="00373255">
        <w:tc>
          <w:tcPr>
            <w:tcW w:w="5000" w:type="pct"/>
            <w:gridSpan w:val="3"/>
          </w:tcPr>
          <w:p w:rsidR="00730500" w:rsidRPr="00F21162" w:rsidRDefault="00730500" w:rsidP="00730500">
            <w:pPr>
              <w:jc w:val="both"/>
              <w:rPr>
                <w:sz w:val="20"/>
                <w:szCs w:val="20"/>
              </w:rPr>
            </w:pPr>
            <w:r w:rsidRPr="00F21162">
              <w:rPr>
                <w:sz w:val="20"/>
                <w:szCs w:val="20"/>
              </w:rPr>
              <w:t xml:space="preserve">Civil procedure – </w:t>
            </w:r>
            <w:r w:rsidRPr="00F21162">
              <w:rPr>
                <w:i/>
                <w:sz w:val="20"/>
                <w:szCs w:val="20"/>
              </w:rPr>
              <w:t>Res judicata</w:t>
            </w:r>
            <w:r w:rsidRPr="00F21162">
              <w:rPr>
                <w:sz w:val="20"/>
                <w:szCs w:val="20"/>
              </w:rPr>
              <w:t xml:space="preserve"> – Prior litigation involving a vendor take-back mortgage agreement – Determination of price paid on exercise of option – Whether mortgage clause properly interpreted in prior litigation – Whether Respondent was ever obligated to pay interest – Whether Respondent breached mortgage clause.</w:t>
            </w:r>
          </w:p>
          <w:p w:rsidR="001F795D" w:rsidRPr="00F21162" w:rsidRDefault="001F795D" w:rsidP="00373255">
            <w:pPr>
              <w:jc w:val="both"/>
              <w:rPr>
                <w:rFonts w:eastAsia="Calibri"/>
                <w:sz w:val="20"/>
                <w:szCs w:val="20"/>
              </w:rPr>
            </w:pPr>
          </w:p>
        </w:tc>
      </w:tr>
      <w:tr w:rsidR="001F795D" w:rsidRPr="00F21162" w:rsidTr="00373255">
        <w:tc>
          <w:tcPr>
            <w:tcW w:w="5000" w:type="pct"/>
            <w:gridSpan w:val="3"/>
          </w:tcPr>
          <w:p w:rsidR="001F795D" w:rsidRPr="00F21162" w:rsidRDefault="00942AC5" w:rsidP="00373255">
            <w:pPr>
              <w:jc w:val="both"/>
              <w:rPr>
                <w:sz w:val="20"/>
                <w:szCs w:val="20"/>
              </w:rPr>
            </w:pPr>
            <w:r w:rsidRPr="00F21162">
              <w:rPr>
                <w:sz w:val="20"/>
                <w:szCs w:val="20"/>
              </w:rPr>
              <w:t>Prior litigation involving a vendor take-back mortgage agreement between the parties was resolved as a result of a Superior Court (Lemon J.) ruling dated August 29, 2013 which was upheld on appeal on May 1, 2014 (application for leave to appeal to this Court dismissed, no. 35970). The mortgage was to be discharged as the agreement expressly provided that if the transaction failed to close for any reason not directly attributable to the fault of the Respondent, the mortgage was deemed to be satisfied in full.</w:t>
            </w:r>
          </w:p>
          <w:p w:rsidR="00942AC5" w:rsidRPr="00F21162" w:rsidRDefault="00942AC5" w:rsidP="00373255">
            <w:pPr>
              <w:jc w:val="both"/>
              <w:rPr>
                <w:rFonts w:eastAsia="Calibri"/>
                <w:sz w:val="20"/>
                <w:szCs w:val="20"/>
              </w:rPr>
            </w:pPr>
          </w:p>
        </w:tc>
      </w:tr>
      <w:tr w:rsidR="001F795D" w:rsidRPr="00F21162" w:rsidTr="00373255">
        <w:trPr>
          <w:cantSplit/>
        </w:trPr>
        <w:tc>
          <w:tcPr>
            <w:tcW w:w="2427" w:type="pct"/>
          </w:tcPr>
          <w:p w:rsidR="00184A87" w:rsidRPr="00F21162" w:rsidRDefault="00184A87" w:rsidP="00184A87">
            <w:pPr>
              <w:jc w:val="both"/>
              <w:rPr>
                <w:sz w:val="20"/>
                <w:szCs w:val="20"/>
              </w:rPr>
            </w:pPr>
            <w:r w:rsidRPr="00F21162">
              <w:rPr>
                <w:sz w:val="20"/>
                <w:szCs w:val="20"/>
              </w:rPr>
              <w:t>December 2, 2014</w:t>
            </w:r>
          </w:p>
          <w:p w:rsidR="00184A87" w:rsidRPr="00F21162" w:rsidRDefault="00184A87" w:rsidP="00184A87">
            <w:pPr>
              <w:jc w:val="both"/>
              <w:rPr>
                <w:sz w:val="20"/>
                <w:szCs w:val="20"/>
              </w:rPr>
            </w:pPr>
            <w:r w:rsidRPr="00F21162">
              <w:rPr>
                <w:sz w:val="20"/>
                <w:szCs w:val="20"/>
              </w:rPr>
              <w:t>Ontario Superior Court of Justice</w:t>
            </w:r>
          </w:p>
          <w:p w:rsidR="001F795D" w:rsidRPr="00F21162" w:rsidRDefault="00184A87" w:rsidP="00184A87">
            <w:pPr>
              <w:jc w:val="both"/>
              <w:rPr>
                <w:rFonts w:eastAsia="Calibri"/>
                <w:sz w:val="20"/>
              </w:rPr>
            </w:pPr>
            <w:r w:rsidRPr="00F21162">
              <w:rPr>
                <w:sz w:val="20"/>
                <w:szCs w:val="20"/>
              </w:rPr>
              <w:t>(</w:t>
            </w:r>
            <w:proofErr w:type="spellStart"/>
            <w:r w:rsidRPr="00F21162">
              <w:rPr>
                <w:sz w:val="20"/>
                <w:szCs w:val="20"/>
              </w:rPr>
              <w:t>Mossip</w:t>
            </w:r>
            <w:proofErr w:type="spellEnd"/>
            <w:r w:rsidRPr="00F21162">
              <w:rPr>
                <w:sz w:val="20"/>
                <w:szCs w:val="20"/>
              </w:rPr>
              <w:t xml:space="preserve"> S.C.J.)</w:t>
            </w:r>
          </w:p>
        </w:tc>
        <w:tc>
          <w:tcPr>
            <w:tcW w:w="243" w:type="pct"/>
          </w:tcPr>
          <w:p w:rsidR="001F795D" w:rsidRPr="00F21162" w:rsidRDefault="001F795D" w:rsidP="00373255">
            <w:pPr>
              <w:jc w:val="both"/>
              <w:rPr>
                <w:rFonts w:eastAsia="Calibri"/>
                <w:sz w:val="20"/>
              </w:rPr>
            </w:pPr>
          </w:p>
        </w:tc>
        <w:tc>
          <w:tcPr>
            <w:tcW w:w="2330" w:type="pct"/>
          </w:tcPr>
          <w:p w:rsidR="00184A87" w:rsidRPr="00F21162" w:rsidRDefault="00184A87" w:rsidP="00184A87">
            <w:pPr>
              <w:jc w:val="both"/>
              <w:rPr>
                <w:sz w:val="20"/>
                <w:szCs w:val="20"/>
              </w:rPr>
            </w:pPr>
            <w:r w:rsidRPr="00F21162">
              <w:rPr>
                <w:rFonts w:eastAsia="Times New Roman" w:cs="Times New Roman"/>
                <w:sz w:val="20"/>
                <w:szCs w:val="20"/>
                <w:lang w:eastAsia="en-CA"/>
              </w:rPr>
              <w:t>Statement of claim struck and action dismissed; Mr. </w:t>
            </w:r>
            <w:proofErr w:type="spellStart"/>
            <w:r w:rsidRPr="00F21162">
              <w:rPr>
                <w:rFonts w:eastAsia="Times New Roman" w:cs="Times New Roman"/>
                <w:sz w:val="20"/>
                <w:szCs w:val="20"/>
                <w:lang w:eastAsia="en-CA"/>
              </w:rPr>
              <w:t>Vacca</w:t>
            </w:r>
            <w:proofErr w:type="spellEnd"/>
            <w:r w:rsidRPr="00F21162">
              <w:rPr>
                <w:rFonts w:eastAsia="Times New Roman" w:cs="Times New Roman"/>
                <w:sz w:val="20"/>
                <w:szCs w:val="20"/>
                <w:lang w:eastAsia="en-CA"/>
              </w:rPr>
              <w:t xml:space="preserve"> incorrectly named as plaintiff as no standing in action</w:t>
            </w:r>
          </w:p>
          <w:p w:rsidR="001F795D" w:rsidRPr="00F21162" w:rsidRDefault="001F795D" w:rsidP="00373255">
            <w:pPr>
              <w:rPr>
                <w:sz w:val="20"/>
                <w:szCs w:val="20"/>
              </w:rPr>
            </w:pPr>
          </w:p>
        </w:tc>
      </w:tr>
      <w:tr w:rsidR="001F795D" w:rsidRPr="00F21162" w:rsidTr="00373255">
        <w:trPr>
          <w:cantSplit/>
        </w:trPr>
        <w:tc>
          <w:tcPr>
            <w:tcW w:w="2427" w:type="pct"/>
          </w:tcPr>
          <w:p w:rsidR="00D52CC8" w:rsidRPr="00F21162" w:rsidRDefault="00D52CC8" w:rsidP="00D52CC8">
            <w:pPr>
              <w:jc w:val="both"/>
              <w:rPr>
                <w:sz w:val="20"/>
                <w:szCs w:val="20"/>
              </w:rPr>
            </w:pPr>
            <w:r w:rsidRPr="00F21162">
              <w:rPr>
                <w:sz w:val="20"/>
                <w:szCs w:val="20"/>
              </w:rPr>
              <w:t>June 11, 2015</w:t>
            </w:r>
          </w:p>
          <w:p w:rsidR="00D52CC8" w:rsidRPr="00F21162" w:rsidRDefault="00D52CC8" w:rsidP="00D52CC8">
            <w:pPr>
              <w:jc w:val="both"/>
              <w:rPr>
                <w:sz w:val="20"/>
                <w:szCs w:val="20"/>
              </w:rPr>
            </w:pPr>
            <w:r w:rsidRPr="00F21162">
              <w:rPr>
                <w:sz w:val="20"/>
                <w:szCs w:val="20"/>
              </w:rPr>
              <w:t>Court of Appeal for Ontario</w:t>
            </w:r>
          </w:p>
          <w:p w:rsidR="00D52CC8" w:rsidRPr="00F21162" w:rsidRDefault="00D52CC8" w:rsidP="00D52CC8">
            <w:pPr>
              <w:jc w:val="both"/>
              <w:rPr>
                <w:sz w:val="20"/>
                <w:szCs w:val="20"/>
              </w:rPr>
            </w:pPr>
            <w:r w:rsidRPr="00F21162">
              <w:rPr>
                <w:sz w:val="20"/>
                <w:szCs w:val="20"/>
              </w:rPr>
              <w:t>(</w:t>
            </w:r>
            <w:proofErr w:type="spellStart"/>
            <w:r w:rsidRPr="00F21162">
              <w:rPr>
                <w:sz w:val="20"/>
                <w:szCs w:val="20"/>
              </w:rPr>
              <w:t>Weiler</w:t>
            </w:r>
            <w:proofErr w:type="spellEnd"/>
            <w:r w:rsidRPr="00F21162">
              <w:rPr>
                <w:sz w:val="20"/>
                <w:szCs w:val="20"/>
              </w:rPr>
              <w:t xml:space="preserve">, Cronk and </w:t>
            </w:r>
            <w:proofErr w:type="spellStart"/>
            <w:r w:rsidRPr="00F21162">
              <w:rPr>
                <w:sz w:val="20"/>
                <w:szCs w:val="20"/>
              </w:rPr>
              <w:t>Pepall</w:t>
            </w:r>
            <w:proofErr w:type="spellEnd"/>
            <w:r w:rsidRPr="00F21162">
              <w:rPr>
                <w:sz w:val="20"/>
                <w:szCs w:val="20"/>
              </w:rPr>
              <w:t xml:space="preserve"> JJ.A.)</w:t>
            </w:r>
          </w:p>
          <w:p w:rsidR="001F795D" w:rsidRPr="00F21162" w:rsidRDefault="001F795D" w:rsidP="00373255">
            <w:pPr>
              <w:jc w:val="both"/>
              <w:rPr>
                <w:rFonts w:eastAsia="Calibri"/>
                <w:sz w:val="20"/>
              </w:rPr>
            </w:pPr>
          </w:p>
        </w:tc>
        <w:tc>
          <w:tcPr>
            <w:tcW w:w="243" w:type="pct"/>
          </w:tcPr>
          <w:p w:rsidR="001F795D" w:rsidRPr="00F21162" w:rsidRDefault="001F795D" w:rsidP="00373255">
            <w:pPr>
              <w:jc w:val="both"/>
              <w:rPr>
                <w:rFonts w:eastAsia="Calibri"/>
                <w:sz w:val="20"/>
              </w:rPr>
            </w:pPr>
          </w:p>
        </w:tc>
        <w:tc>
          <w:tcPr>
            <w:tcW w:w="2330" w:type="pct"/>
          </w:tcPr>
          <w:p w:rsidR="001F795D" w:rsidRPr="00F21162" w:rsidRDefault="00D52CC8" w:rsidP="00373255">
            <w:pPr>
              <w:jc w:val="both"/>
              <w:rPr>
                <w:sz w:val="20"/>
                <w:szCs w:val="20"/>
              </w:rPr>
            </w:pPr>
            <w:r w:rsidRPr="00F21162">
              <w:rPr>
                <w:sz w:val="20"/>
                <w:szCs w:val="20"/>
              </w:rPr>
              <w:t>Appeal allowed</w:t>
            </w:r>
          </w:p>
          <w:p w:rsidR="001F795D" w:rsidRPr="00F21162" w:rsidRDefault="001F795D" w:rsidP="00373255">
            <w:pPr>
              <w:jc w:val="both"/>
              <w:rPr>
                <w:rFonts w:eastAsia="Calibri"/>
                <w:sz w:val="20"/>
              </w:rPr>
            </w:pPr>
          </w:p>
        </w:tc>
      </w:tr>
      <w:tr w:rsidR="00D52CC8" w:rsidRPr="00F21162" w:rsidTr="00373255">
        <w:trPr>
          <w:cantSplit/>
        </w:trPr>
        <w:tc>
          <w:tcPr>
            <w:tcW w:w="2427" w:type="pct"/>
          </w:tcPr>
          <w:p w:rsidR="00D52CC8" w:rsidRPr="00F21162" w:rsidRDefault="00D52CC8" w:rsidP="00D52CC8">
            <w:pPr>
              <w:jc w:val="both"/>
              <w:rPr>
                <w:rFonts w:eastAsia="Calibri"/>
                <w:sz w:val="20"/>
              </w:rPr>
            </w:pPr>
            <w:r w:rsidRPr="00F21162">
              <w:rPr>
                <w:rFonts w:eastAsia="Calibri"/>
                <w:sz w:val="20"/>
              </w:rPr>
              <w:t>September 2, 2015</w:t>
            </w:r>
          </w:p>
          <w:p w:rsidR="00D52CC8" w:rsidRPr="00F21162" w:rsidRDefault="00D52CC8" w:rsidP="00D52CC8">
            <w:pPr>
              <w:jc w:val="both"/>
              <w:rPr>
                <w:rFonts w:eastAsia="Calibri"/>
                <w:sz w:val="20"/>
              </w:rPr>
            </w:pPr>
            <w:r w:rsidRPr="00F21162">
              <w:rPr>
                <w:rFonts w:eastAsia="Calibri"/>
                <w:sz w:val="20"/>
              </w:rPr>
              <w:t>Supreme Court of Canada</w:t>
            </w:r>
          </w:p>
          <w:p w:rsidR="00D52CC8" w:rsidRPr="00F21162" w:rsidRDefault="00D52CC8" w:rsidP="00D52CC8">
            <w:pPr>
              <w:jc w:val="both"/>
              <w:rPr>
                <w:rFonts w:eastAsia="Calibri"/>
                <w:sz w:val="20"/>
              </w:rPr>
            </w:pPr>
          </w:p>
        </w:tc>
        <w:tc>
          <w:tcPr>
            <w:tcW w:w="243" w:type="pct"/>
          </w:tcPr>
          <w:p w:rsidR="00D52CC8" w:rsidRPr="00F21162" w:rsidRDefault="00D52CC8" w:rsidP="00373255">
            <w:pPr>
              <w:jc w:val="both"/>
              <w:rPr>
                <w:rFonts w:eastAsia="Calibri"/>
                <w:sz w:val="20"/>
                <w:szCs w:val="20"/>
              </w:rPr>
            </w:pPr>
          </w:p>
        </w:tc>
        <w:tc>
          <w:tcPr>
            <w:tcW w:w="2330" w:type="pct"/>
          </w:tcPr>
          <w:p w:rsidR="00D52CC8" w:rsidRPr="00F21162" w:rsidRDefault="00D52CC8" w:rsidP="00D52CC8">
            <w:pPr>
              <w:rPr>
                <w:sz w:val="20"/>
                <w:szCs w:val="20"/>
              </w:rPr>
            </w:pPr>
            <w:r w:rsidRPr="00F21162">
              <w:rPr>
                <w:sz w:val="20"/>
                <w:szCs w:val="20"/>
              </w:rPr>
              <w:t>Application for leave to appeal filed</w:t>
            </w:r>
          </w:p>
          <w:p w:rsidR="00D52CC8" w:rsidRPr="00F21162" w:rsidRDefault="00D52CC8" w:rsidP="00373255">
            <w:pPr>
              <w:rPr>
                <w:sz w:val="20"/>
                <w:szCs w:val="20"/>
              </w:rPr>
            </w:pPr>
          </w:p>
        </w:tc>
      </w:tr>
      <w:tr w:rsidR="001F795D" w:rsidRPr="00F21162" w:rsidTr="00373255">
        <w:trPr>
          <w:cantSplit/>
        </w:trPr>
        <w:tc>
          <w:tcPr>
            <w:tcW w:w="2427" w:type="pct"/>
          </w:tcPr>
          <w:p w:rsidR="001F795D" w:rsidRPr="00F21162" w:rsidRDefault="001F795D" w:rsidP="00373255">
            <w:pPr>
              <w:jc w:val="both"/>
              <w:rPr>
                <w:rFonts w:eastAsia="Calibri"/>
                <w:sz w:val="20"/>
              </w:rPr>
            </w:pPr>
            <w:r w:rsidRPr="00F21162">
              <w:rPr>
                <w:rFonts w:eastAsia="Calibri"/>
                <w:sz w:val="20"/>
              </w:rPr>
              <w:t>September 2</w:t>
            </w:r>
            <w:r w:rsidR="00D52CC8" w:rsidRPr="00F21162">
              <w:rPr>
                <w:rFonts w:eastAsia="Calibri"/>
                <w:sz w:val="20"/>
              </w:rPr>
              <w:t>1</w:t>
            </w:r>
            <w:r w:rsidRPr="00F21162">
              <w:rPr>
                <w:rFonts w:eastAsia="Calibri"/>
                <w:sz w:val="20"/>
              </w:rPr>
              <w:t>, 2015</w:t>
            </w:r>
          </w:p>
          <w:p w:rsidR="001F795D" w:rsidRPr="00F21162" w:rsidRDefault="001F795D" w:rsidP="00373255">
            <w:pPr>
              <w:jc w:val="both"/>
              <w:rPr>
                <w:rFonts w:eastAsia="Calibri"/>
                <w:sz w:val="20"/>
              </w:rPr>
            </w:pPr>
            <w:r w:rsidRPr="00F21162">
              <w:rPr>
                <w:rFonts w:eastAsia="Calibri"/>
                <w:sz w:val="20"/>
              </w:rPr>
              <w:t>Supreme Court of Canada</w:t>
            </w:r>
          </w:p>
        </w:tc>
        <w:tc>
          <w:tcPr>
            <w:tcW w:w="243" w:type="pct"/>
          </w:tcPr>
          <w:p w:rsidR="001F795D" w:rsidRPr="00F21162" w:rsidRDefault="001F795D" w:rsidP="00373255">
            <w:pPr>
              <w:jc w:val="both"/>
              <w:rPr>
                <w:rFonts w:eastAsia="Calibri"/>
                <w:sz w:val="20"/>
              </w:rPr>
            </w:pPr>
          </w:p>
        </w:tc>
        <w:tc>
          <w:tcPr>
            <w:tcW w:w="2330" w:type="pct"/>
          </w:tcPr>
          <w:p w:rsidR="001F795D" w:rsidRPr="00F21162" w:rsidRDefault="00D52CC8" w:rsidP="00373255">
            <w:pPr>
              <w:rPr>
                <w:sz w:val="20"/>
                <w:szCs w:val="20"/>
              </w:rPr>
            </w:pPr>
            <w:r w:rsidRPr="00F21162">
              <w:rPr>
                <w:sz w:val="20"/>
                <w:szCs w:val="20"/>
              </w:rPr>
              <w:t>Motion for a stay of execution filed</w:t>
            </w:r>
          </w:p>
        </w:tc>
      </w:tr>
    </w:tbl>
    <w:p w:rsidR="001F795D" w:rsidRPr="00F21162" w:rsidRDefault="001F795D" w:rsidP="001F795D">
      <w:pPr>
        <w:rPr>
          <w:sz w:val="20"/>
          <w:szCs w:val="20"/>
        </w:rPr>
      </w:pPr>
    </w:p>
    <w:p w:rsidR="001F795D" w:rsidRPr="00F21162" w:rsidRDefault="00B150CF" w:rsidP="001F795D">
      <w:pPr>
        <w:rPr>
          <w:sz w:val="20"/>
          <w:szCs w:val="20"/>
        </w:rPr>
      </w:pPr>
      <w:r>
        <w:rPr>
          <w:sz w:val="20"/>
          <w:szCs w:val="20"/>
          <w:lang w:val="fr-CA"/>
        </w:rPr>
        <w:pict>
          <v:rect id="_x0000_i1051" style="width:2in;height:1pt" o:hrpct="0" o:hralign="center" o:hrstd="t" o:hrnoshade="t" o:hr="t" fillcolor="black [3213]" stroked="f"/>
        </w:pict>
      </w:r>
    </w:p>
    <w:p w:rsidR="009179FE" w:rsidRPr="00F21162" w:rsidRDefault="009179FE">
      <w:pPr>
        <w:rPr>
          <w:sz w:val="20"/>
          <w:szCs w:val="20"/>
        </w:rPr>
      </w:pPr>
      <w:r w:rsidRPr="00F21162">
        <w:rPr>
          <w:sz w:val="20"/>
          <w:szCs w:val="20"/>
        </w:rPr>
        <w:br w:type="page"/>
      </w:r>
    </w:p>
    <w:p w:rsidR="001F795D" w:rsidRPr="00F21162" w:rsidRDefault="001F795D" w:rsidP="001F795D">
      <w:pPr>
        <w:rPr>
          <w:sz w:val="20"/>
          <w:szCs w:val="20"/>
          <w:u w:val="single"/>
          <w:lang w:val="fr-CA"/>
        </w:rPr>
      </w:pPr>
      <w:r w:rsidRPr="00F21162">
        <w:rPr>
          <w:sz w:val="20"/>
          <w:szCs w:val="20"/>
          <w:u w:val="single"/>
          <w:lang w:val="fr-CA"/>
        </w:rPr>
        <w:t>RÉSUMÉ DE L’AFFAIRE</w:t>
      </w:r>
    </w:p>
    <w:p w:rsidR="001F795D" w:rsidRPr="00F21162" w:rsidRDefault="001F795D" w:rsidP="001F795D">
      <w:pPr>
        <w:rPr>
          <w:sz w:val="20"/>
          <w:szCs w:val="20"/>
        </w:rPr>
      </w:pP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1F795D" w:rsidRPr="00F21162" w:rsidTr="00373255">
        <w:tc>
          <w:tcPr>
            <w:tcW w:w="5000" w:type="pct"/>
            <w:gridSpan w:val="3"/>
          </w:tcPr>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Procédure civile – Chose jugée – Instance antérieure portant sur un contrat de prêt hypothécaire accordé par le vendeur – Détermination du prix payé à la levée d’une option – La clause hypothécaire a-t-elle été correctement interprétée dans l’instance antérieure? – L’intimée a-t-elle déjà été obligée de payer de l’intérêt? – L’intimée a-t-elle violé la clause hypothécaire?</w:t>
            </w:r>
          </w:p>
          <w:p w:rsidR="001F795D" w:rsidRPr="00F21162" w:rsidRDefault="001F795D" w:rsidP="00373255">
            <w:pPr>
              <w:jc w:val="both"/>
              <w:rPr>
                <w:rFonts w:eastAsia="Calibri"/>
                <w:sz w:val="20"/>
                <w:szCs w:val="20"/>
                <w:lang w:val="fr-CA"/>
              </w:rPr>
            </w:pPr>
          </w:p>
        </w:tc>
      </w:tr>
      <w:tr w:rsidR="001F795D" w:rsidRPr="00F21162" w:rsidTr="00373255">
        <w:tc>
          <w:tcPr>
            <w:tcW w:w="5000" w:type="pct"/>
            <w:gridSpan w:val="3"/>
          </w:tcPr>
          <w:p w:rsidR="001F795D" w:rsidRPr="00F21162" w:rsidRDefault="001E5998" w:rsidP="00373255">
            <w:pPr>
              <w:jc w:val="both"/>
              <w:rPr>
                <w:sz w:val="20"/>
                <w:szCs w:val="20"/>
                <w:lang w:val="fr-CA"/>
              </w:rPr>
            </w:pPr>
            <w:r w:rsidRPr="00F21162">
              <w:rPr>
                <w:sz w:val="20"/>
                <w:szCs w:val="20"/>
                <w:lang w:val="fr-CA"/>
              </w:rPr>
              <w:t xml:space="preserve">Un différend antérieur portant sur un contrat de prêt hypothécaire accordé par le vendeur conclu entre les parties a été tranché dans un jugement rendu par la Cour supérieure (le juge </w:t>
            </w:r>
            <w:proofErr w:type="spellStart"/>
            <w:r w:rsidRPr="00F21162">
              <w:rPr>
                <w:sz w:val="20"/>
                <w:szCs w:val="20"/>
                <w:lang w:val="fr-CA"/>
              </w:rPr>
              <w:t>Lemon</w:t>
            </w:r>
            <w:proofErr w:type="spellEnd"/>
            <w:r w:rsidRPr="00F21162">
              <w:rPr>
                <w:sz w:val="20"/>
                <w:szCs w:val="20"/>
                <w:lang w:val="fr-CA"/>
              </w:rPr>
              <w:t>) le 29 août 2013 et confirmé en appel le 1</w:t>
            </w:r>
            <w:r w:rsidRPr="00F21162">
              <w:rPr>
                <w:sz w:val="20"/>
                <w:szCs w:val="20"/>
                <w:vertAlign w:val="superscript"/>
                <w:lang w:val="fr-CA"/>
              </w:rPr>
              <w:t>er</w:t>
            </w:r>
            <w:r w:rsidRPr="00F21162">
              <w:rPr>
                <w:sz w:val="20"/>
                <w:szCs w:val="20"/>
                <w:lang w:val="fr-CA"/>
              </w:rPr>
              <w:t xml:space="preserve"> mai 2014 (demande d’autorisation d’appel à notre Cour rejetée, n</w:t>
            </w:r>
            <w:r w:rsidRPr="00F21162">
              <w:rPr>
                <w:sz w:val="20"/>
                <w:szCs w:val="20"/>
                <w:vertAlign w:val="superscript"/>
                <w:lang w:val="fr-CA"/>
              </w:rPr>
              <w:t>o</w:t>
            </w:r>
            <w:r w:rsidRPr="00F21162">
              <w:rPr>
                <w:sz w:val="20"/>
                <w:szCs w:val="20"/>
                <w:lang w:val="fr-CA"/>
              </w:rPr>
              <w:t> 35970). Il devait y avoir mainlevée de l’hypothèque, puisque le contrat prévoyait expressément que si l’opération ne pouvait être conclue pour quelque raison non directement attribuable à la faute de l’intimée, le prêt hypothécaire était réputé avoir été acquitté au complet.</w:t>
            </w:r>
          </w:p>
          <w:p w:rsidR="001E5998" w:rsidRPr="00F21162" w:rsidRDefault="001E5998" w:rsidP="00373255">
            <w:pPr>
              <w:jc w:val="both"/>
              <w:rPr>
                <w:sz w:val="20"/>
                <w:lang w:val="fr-CA"/>
              </w:rPr>
            </w:pPr>
          </w:p>
        </w:tc>
      </w:tr>
      <w:tr w:rsidR="001F795D" w:rsidRPr="00F21162" w:rsidTr="00373255">
        <w:trPr>
          <w:cantSplit/>
        </w:trPr>
        <w:tc>
          <w:tcPr>
            <w:tcW w:w="2427" w:type="pct"/>
          </w:tcPr>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2 décembre 2014</w:t>
            </w:r>
          </w:p>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Cour supérieure de justice de l’Ontario</w:t>
            </w:r>
          </w:p>
          <w:p w:rsidR="001F795D" w:rsidRPr="00F21162" w:rsidRDefault="001E5998" w:rsidP="001E5998">
            <w:pPr>
              <w:jc w:val="both"/>
              <w:rPr>
                <w:rFonts w:eastAsia="Calibri"/>
                <w:sz w:val="20"/>
                <w:lang w:val="fr-CA"/>
              </w:rPr>
            </w:pPr>
            <w:r w:rsidRPr="00F21162">
              <w:rPr>
                <w:rFonts w:eastAsia="Calibri" w:cs="Times New Roman"/>
                <w:sz w:val="20"/>
                <w:szCs w:val="20"/>
                <w:lang w:val="fr-CA"/>
              </w:rPr>
              <w:t xml:space="preserve">(Juge en chef </w:t>
            </w:r>
            <w:proofErr w:type="spellStart"/>
            <w:r w:rsidRPr="00F21162">
              <w:rPr>
                <w:rFonts w:eastAsia="Calibri" w:cs="Times New Roman"/>
                <w:sz w:val="20"/>
                <w:szCs w:val="20"/>
                <w:lang w:val="fr-CA"/>
              </w:rPr>
              <w:t>Mossip</w:t>
            </w:r>
            <w:proofErr w:type="spellEnd"/>
            <w:r w:rsidRPr="00F21162">
              <w:rPr>
                <w:rFonts w:eastAsia="Calibri" w:cs="Times New Roman"/>
                <w:sz w:val="20"/>
                <w:szCs w:val="20"/>
                <w:lang w:val="fr-CA"/>
              </w:rPr>
              <w:t>)</w:t>
            </w:r>
          </w:p>
        </w:tc>
        <w:tc>
          <w:tcPr>
            <w:tcW w:w="243" w:type="pct"/>
          </w:tcPr>
          <w:p w:rsidR="001F795D" w:rsidRPr="00F21162" w:rsidRDefault="001F795D" w:rsidP="00373255">
            <w:pPr>
              <w:jc w:val="both"/>
              <w:rPr>
                <w:rFonts w:eastAsia="Calibri"/>
                <w:sz w:val="20"/>
                <w:lang w:val="fr-CA"/>
              </w:rPr>
            </w:pPr>
          </w:p>
        </w:tc>
        <w:tc>
          <w:tcPr>
            <w:tcW w:w="2330" w:type="pct"/>
          </w:tcPr>
          <w:p w:rsidR="001E5998" w:rsidRPr="00F21162" w:rsidRDefault="001E5998" w:rsidP="001E5998">
            <w:pPr>
              <w:jc w:val="both"/>
              <w:rPr>
                <w:rFonts w:eastAsia="Calibri" w:cs="Times New Roman"/>
                <w:sz w:val="20"/>
                <w:szCs w:val="20"/>
                <w:lang w:val="fr-CA"/>
              </w:rPr>
            </w:pPr>
            <w:r w:rsidRPr="00F21162">
              <w:rPr>
                <w:rFonts w:eastAsia="Times New Roman" w:cs="Times New Roman"/>
                <w:sz w:val="20"/>
                <w:szCs w:val="20"/>
                <w:lang w:val="fr-CA" w:eastAsia="en-CA"/>
              </w:rPr>
              <w:t>Radiation de la déclaration et rejet de l’action; M. Vacca n’aurait pas dû être nommé comme demandeur, faute de qualité pour agir</w:t>
            </w:r>
          </w:p>
          <w:p w:rsidR="001F795D" w:rsidRPr="00F21162" w:rsidRDefault="001F795D" w:rsidP="00373255">
            <w:pPr>
              <w:jc w:val="both"/>
              <w:rPr>
                <w:rFonts w:eastAsia="Calibri"/>
                <w:sz w:val="20"/>
                <w:szCs w:val="20"/>
                <w:lang w:val="fr-CA"/>
              </w:rPr>
            </w:pPr>
          </w:p>
        </w:tc>
      </w:tr>
      <w:tr w:rsidR="001F795D" w:rsidRPr="00F21162" w:rsidTr="00373255">
        <w:trPr>
          <w:cantSplit/>
        </w:trPr>
        <w:tc>
          <w:tcPr>
            <w:tcW w:w="2427" w:type="pct"/>
          </w:tcPr>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11 juin 2015</w:t>
            </w:r>
          </w:p>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Cour d’appel de l’Ontario</w:t>
            </w:r>
          </w:p>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 xml:space="preserve">(Juges </w:t>
            </w:r>
            <w:proofErr w:type="spellStart"/>
            <w:r w:rsidRPr="00F21162">
              <w:rPr>
                <w:rFonts w:eastAsia="Calibri" w:cs="Times New Roman"/>
                <w:sz w:val="20"/>
                <w:szCs w:val="20"/>
                <w:lang w:val="fr-CA"/>
              </w:rPr>
              <w:t>Weiler</w:t>
            </w:r>
            <w:proofErr w:type="spellEnd"/>
            <w:r w:rsidRPr="00F21162">
              <w:rPr>
                <w:rFonts w:eastAsia="Calibri" w:cs="Times New Roman"/>
                <w:sz w:val="20"/>
                <w:szCs w:val="20"/>
                <w:lang w:val="fr-CA"/>
              </w:rPr>
              <w:t xml:space="preserve">, </w:t>
            </w:r>
            <w:proofErr w:type="spellStart"/>
            <w:r w:rsidRPr="00F21162">
              <w:rPr>
                <w:rFonts w:eastAsia="Calibri" w:cs="Times New Roman"/>
                <w:sz w:val="20"/>
                <w:szCs w:val="20"/>
                <w:lang w:val="fr-CA"/>
              </w:rPr>
              <w:t>Cronk</w:t>
            </w:r>
            <w:proofErr w:type="spellEnd"/>
            <w:r w:rsidRPr="00F21162">
              <w:rPr>
                <w:rFonts w:eastAsia="Calibri" w:cs="Times New Roman"/>
                <w:sz w:val="20"/>
                <w:szCs w:val="20"/>
                <w:lang w:val="fr-CA"/>
              </w:rPr>
              <w:t xml:space="preserve"> et </w:t>
            </w:r>
            <w:proofErr w:type="spellStart"/>
            <w:r w:rsidRPr="00F21162">
              <w:rPr>
                <w:rFonts w:eastAsia="Calibri" w:cs="Times New Roman"/>
                <w:sz w:val="20"/>
                <w:szCs w:val="20"/>
                <w:lang w:val="fr-CA"/>
              </w:rPr>
              <w:t>Pepall</w:t>
            </w:r>
            <w:proofErr w:type="spellEnd"/>
            <w:r w:rsidRPr="00F21162">
              <w:rPr>
                <w:rFonts w:eastAsia="Calibri" w:cs="Times New Roman"/>
                <w:sz w:val="20"/>
                <w:szCs w:val="20"/>
                <w:lang w:val="fr-CA"/>
              </w:rPr>
              <w:t>)</w:t>
            </w:r>
          </w:p>
          <w:p w:rsidR="001F795D" w:rsidRPr="00F21162" w:rsidRDefault="001F795D" w:rsidP="00373255">
            <w:pPr>
              <w:jc w:val="both"/>
              <w:rPr>
                <w:rFonts w:eastAsia="Calibri"/>
                <w:sz w:val="20"/>
                <w:lang w:val="fr-CA"/>
              </w:rPr>
            </w:pPr>
          </w:p>
        </w:tc>
        <w:tc>
          <w:tcPr>
            <w:tcW w:w="243" w:type="pct"/>
          </w:tcPr>
          <w:p w:rsidR="001F795D" w:rsidRPr="00F21162" w:rsidRDefault="001F795D" w:rsidP="00373255">
            <w:pPr>
              <w:jc w:val="both"/>
              <w:rPr>
                <w:rFonts w:eastAsia="Calibri"/>
                <w:sz w:val="20"/>
                <w:szCs w:val="20"/>
                <w:lang w:val="fr-CA"/>
              </w:rPr>
            </w:pPr>
          </w:p>
        </w:tc>
        <w:tc>
          <w:tcPr>
            <w:tcW w:w="2330" w:type="pct"/>
          </w:tcPr>
          <w:p w:rsidR="001F795D" w:rsidRPr="00F21162" w:rsidRDefault="001E5998" w:rsidP="00373255">
            <w:pPr>
              <w:jc w:val="both"/>
              <w:rPr>
                <w:rFonts w:eastAsia="Calibri"/>
                <w:sz w:val="20"/>
                <w:szCs w:val="20"/>
                <w:lang w:val="fr-CA"/>
              </w:rPr>
            </w:pPr>
            <w:r w:rsidRPr="00F21162">
              <w:rPr>
                <w:rFonts w:eastAsia="Calibri" w:cs="Times New Roman"/>
                <w:sz w:val="20"/>
                <w:szCs w:val="20"/>
                <w:lang w:val="fr-CA"/>
              </w:rPr>
              <w:t>Arrêt accueillant l’appel</w:t>
            </w:r>
          </w:p>
        </w:tc>
      </w:tr>
      <w:tr w:rsidR="001E5998" w:rsidRPr="00F21162" w:rsidTr="00373255">
        <w:trPr>
          <w:cantSplit/>
        </w:trPr>
        <w:tc>
          <w:tcPr>
            <w:tcW w:w="2427" w:type="pct"/>
          </w:tcPr>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2 septembre 2015</w:t>
            </w:r>
          </w:p>
          <w:p w:rsidR="001E5998" w:rsidRPr="00F21162" w:rsidRDefault="001E5998" w:rsidP="001E5998">
            <w:pPr>
              <w:jc w:val="both"/>
              <w:rPr>
                <w:rFonts w:eastAsia="Calibri" w:cs="Times New Roman"/>
                <w:sz w:val="20"/>
                <w:szCs w:val="20"/>
                <w:lang w:val="fr-CA"/>
              </w:rPr>
            </w:pPr>
            <w:r w:rsidRPr="00F21162">
              <w:rPr>
                <w:rFonts w:eastAsia="Calibri" w:cs="Times New Roman"/>
                <w:sz w:val="20"/>
                <w:szCs w:val="20"/>
                <w:lang w:val="fr-CA"/>
              </w:rPr>
              <w:t>Cour suprême du Canada</w:t>
            </w:r>
          </w:p>
        </w:tc>
        <w:tc>
          <w:tcPr>
            <w:tcW w:w="243" w:type="pct"/>
          </w:tcPr>
          <w:p w:rsidR="001E5998" w:rsidRPr="00F21162" w:rsidRDefault="001E5998" w:rsidP="00373255">
            <w:pPr>
              <w:jc w:val="both"/>
              <w:rPr>
                <w:rFonts w:eastAsia="Calibri"/>
                <w:sz w:val="20"/>
                <w:lang w:val="fr-CA"/>
              </w:rPr>
            </w:pPr>
          </w:p>
        </w:tc>
        <w:tc>
          <w:tcPr>
            <w:tcW w:w="2330" w:type="pct"/>
          </w:tcPr>
          <w:p w:rsidR="001E5998" w:rsidRPr="00F21162" w:rsidRDefault="001E5998" w:rsidP="00373255">
            <w:pPr>
              <w:spacing w:line="276" w:lineRule="auto"/>
              <w:jc w:val="both"/>
              <w:rPr>
                <w:sz w:val="20"/>
                <w:szCs w:val="20"/>
                <w:lang w:val="fr-CA"/>
              </w:rPr>
            </w:pPr>
            <w:r w:rsidRPr="00F21162">
              <w:rPr>
                <w:sz w:val="20"/>
                <w:szCs w:val="20"/>
                <w:lang w:val="fr-CA"/>
              </w:rPr>
              <w:t>Dépôt de la demande d’autorisation d’appel</w:t>
            </w:r>
          </w:p>
        </w:tc>
      </w:tr>
      <w:tr w:rsidR="001F795D" w:rsidRPr="00E007CB" w:rsidTr="00373255">
        <w:trPr>
          <w:cantSplit/>
        </w:trPr>
        <w:tc>
          <w:tcPr>
            <w:tcW w:w="2427" w:type="pct"/>
          </w:tcPr>
          <w:p w:rsidR="001F795D" w:rsidRPr="00F21162" w:rsidRDefault="001F795D" w:rsidP="00373255">
            <w:pPr>
              <w:jc w:val="both"/>
              <w:rPr>
                <w:rFonts w:eastAsia="Calibri" w:cs="Times New Roman"/>
                <w:sz w:val="20"/>
                <w:szCs w:val="20"/>
                <w:lang w:val="fr-CA"/>
              </w:rPr>
            </w:pPr>
            <w:r w:rsidRPr="00F21162">
              <w:rPr>
                <w:rFonts w:eastAsia="Calibri" w:cs="Times New Roman"/>
                <w:sz w:val="20"/>
                <w:szCs w:val="20"/>
                <w:lang w:val="fr-CA"/>
              </w:rPr>
              <w:t>2</w:t>
            </w:r>
            <w:r w:rsidR="001E5998" w:rsidRPr="00F21162">
              <w:rPr>
                <w:rFonts w:eastAsia="Calibri" w:cs="Times New Roman"/>
                <w:sz w:val="20"/>
                <w:szCs w:val="20"/>
                <w:lang w:val="fr-CA"/>
              </w:rPr>
              <w:t>1</w:t>
            </w:r>
            <w:r w:rsidRPr="00F21162">
              <w:rPr>
                <w:rFonts w:eastAsia="Calibri" w:cs="Times New Roman"/>
                <w:sz w:val="20"/>
                <w:szCs w:val="20"/>
                <w:lang w:val="fr-CA"/>
              </w:rPr>
              <w:t xml:space="preserve"> septembre 2015</w:t>
            </w:r>
          </w:p>
          <w:p w:rsidR="001F795D" w:rsidRPr="00F21162" w:rsidRDefault="001F795D" w:rsidP="00373255">
            <w:pPr>
              <w:jc w:val="both"/>
              <w:rPr>
                <w:rFonts w:eastAsia="Calibri"/>
                <w:sz w:val="20"/>
                <w:lang w:val="fr-CA"/>
              </w:rPr>
            </w:pPr>
            <w:r w:rsidRPr="00F21162">
              <w:rPr>
                <w:rFonts w:eastAsia="Calibri"/>
                <w:sz w:val="20"/>
                <w:lang w:val="fr-CA"/>
              </w:rPr>
              <w:t>Cour suprême du Canada</w:t>
            </w:r>
          </w:p>
        </w:tc>
        <w:tc>
          <w:tcPr>
            <w:tcW w:w="243" w:type="pct"/>
          </w:tcPr>
          <w:p w:rsidR="001F795D" w:rsidRPr="00F21162" w:rsidRDefault="001F795D" w:rsidP="00373255">
            <w:pPr>
              <w:jc w:val="both"/>
              <w:rPr>
                <w:rFonts w:eastAsia="Calibri"/>
                <w:sz w:val="20"/>
                <w:lang w:val="fr-CA"/>
              </w:rPr>
            </w:pPr>
          </w:p>
        </w:tc>
        <w:tc>
          <w:tcPr>
            <w:tcW w:w="2330" w:type="pct"/>
          </w:tcPr>
          <w:p w:rsidR="001F795D" w:rsidRPr="00063EA2" w:rsidRDefault="001E5998" w:rsidP="00373255">
            <w:pPr>
              <w:jc w:val="both"/>
              <w:rPr>
                <w:rFonts w:eastAsia="Calibri"/>
                <w:sz w:val="20"/>
                <w:lang w:val="fr-CA"/>
              </w:rPr>
            </w:pPr>
            <w:r w:rsidRPr="00F21162">
              <w:rPr>
                <w:sz w:val="20"/>
                <w:szCs w:val="20"/>
                <w:lang w:val="fr-CA"/>
              </w:rPr>
              <w:t>Dépôt de la requête en sursis d’exécution</w:t>
            </w:r>
          </w:p>
        </w:tc>
      </w:tr>
    </w:tbl>
    <w:p w:rsidR="001F795D" w:rsidRDefault="001F795D" w:rsidP="001F795D">
      <w:pPr>
        <w:rPr>
          <w:sz w:val="20"/>
          <w:szCs w:val="20"/>
        </w:rPr>
      </w:pPr>
    </w:p>
    <w:p w:rsidR="001F795D" w:rsidRDefault="00B150CF" w:rsidP="001F795D">
      <w:pPr>
        <w:rPr>
          <w:sz w:val="20"/>
          <w:szCs w:val="20"/>
        </w:rPr>
      </w:pPr>
      <w:r>
        <w:rPr>
          <w:sz w:val="20"/>
          <w:szCs w:val="20"/>
          <w:lang w:val="fr-CA"/>
        </w:rPr>
        <w:pict>
          <v:rect id="_x0000_i1052" style="width:2in;height:1pt" o:hrpct="0" o:hralign="center" o:hrstd="t" o:hrnoshade="t" o:hr="t" fillcolor="black [3213]" stroked="f"/>
        </w:pict>
      </w:r>
    </w:p>
    <w:p w:rsidR="001F795D" w:rsidRDefault="001F795D" w:rsidP="001F795D">
      <w:pPr>
        <w:rPr>
          <w:sz w:val="20"/>
          <w:szCs w:val="20"/>
        </w:rPr>
      </w:pPr>
    </w:p>
    <w:p w:rsidR="003B5461" w:rsidRPr="00C50A5C" w:rsidRDefault="003B5461" w:rsidP="008D292F">
      <w:pPr>
        <w:rPr>
          <w:sz w:val="20"/>
          <w:szCs w:val="20"/>
          <w:lang w:val="fr-CA"/>
        </w:rPr>
      </w:pPr>
    </w:p>
    <w:p w:rsidR="00890FEB" w:rsidRPr="00C50A5C" w:rsidRDefault="00890FEB"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62"/>
          <w:headerReference w:type="default" r:id="rId63"/>
          <w:footerReference w:type="even" r:id="rId64"/>
          <w:footerReference w:type="default" r:id="rId65"/>
          <w:headerReference w:type="first" r:id="rId66"/>
          <w:footerReference w:type="first" r:id="rId67"/>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Pr="00C50A5C" w:rsidRDefault="00890FEB" w:rsidP="00890FEB">
      <w:pPr>
        <w:rPr>
          <w:sz w:val="20"/>
          <w:szCs w:val="20"/>
        </w:rPr>
      </w:pPr>
    </w:p>
    <w:p w:rsidR="00102FDD" w:rsidRPr="00BB10D5" w:rsidRDefault="00102FDD" w:rsidP="00102FDD">
      <w:pPr>
        <w:tabs>
          <w:tab w:val="left" w:pos="-1440"/>
          <w:tab w:val="left" w:pos="-720"/>
        </w:tabs>
        <w:jc w:val="both"/>
        <w:rPr>
          <w:rFonts w:eastAsia="Times New Roman" w:cs="Times New Roman"/>
          <w:sz w:val="20"/>
          <w:szCs w:val="20"/>
          <w:lang w:val="fr-CA" w:eastAsia="en-CA"/>
        </w:rPr>
      </w:pPr>
      <w:r w:rsidRPr="00BB10D5">
        <w:rPr>
          <w:rFonts w:eastAsia="Times New Roman" w:cs="Times New Roman"/>
          <w:sz w:val="20"/>
          <w:szCs w:val="20"/>
          <w:lang w:val="fr-CA" w:eastAsia="en-CA"/>
        </w:rPr>
        <w:t>25.11.2015</w:t>
      </w:r>
    </w:p>
    <w:p w:rsidR="00102FDD" w:rsidRPr="00BB10D5" w:rsidRDefault="00102FDD" w:rsidP="00102FDD">
      <w:pPr>
        <w:tabs>
          <w:tab w:val="left" w:pos="-1440"/>
          <w:tab w:val="left" w:pos="-720"/>
        </w:tabs>
        <w:jc w:val="both"/>
        <w:rPr>
          <w:rFonts w:eastAsia="Times New Roman" w:cs="Times New Roman"/>
          <w:sz w:val="20"/>
          <w:szCs w:val="20"/>
          <w:lang w:val="fr-CA" w:eastAsia="en-CA"/>
        </w:rPr>
      </w:pPr>
    </w:p>
    <w:p w:rsidR="00102FDD" w:rsidRPr="00BB10D5" w:rsidRDefault="00102FDD" w:rsidP="00102FDD">
      <w:pPr>
        <w:tabs>
          <w:tab w:val="left" w:pos="-1440"/>
          <w:tab w:val="left" w:pos="-720"/>
        </w:tabs>
        <w:jc w:val="both"/>
        <w:rPr>
          <w:rFonts w:eastAsia="Times New Roman" w:cs="Times New Roman"/>
          <w:sz w:val="20"/>
          <w:szCs w:val="20"/>
          <w:lang w:val="fr-CA" w:eastAsia="en-CA"/>
        </w:rPr>
      </w:pPr>
      <w:proofErr w:type="spellStart"/>
      <w:r w:rsidRPr="00BB10D5">
        <w:rPr>
          <w:rFonts w:eastAsia="Times New Roman" w:cs="Times New Roman"/>
          <w:sz w:val="20"/>
          <w:szCs w:val="20"/>
          <w:lang w:val="fr-CA" w:eastAsia="en-CA"/>
        </w:rPr>
        <w:t>Before</w:t>
      </w:r>
      <w:proofErr w:type="spellEnd"/>
      <w:r w:rsidRPr="00BB10D5">
        <w:rPr>
          <w:rFonts w:eastAsia="Times New Roman" w:cs="Times New Roman"/>
          <w:sz w:val="20"/>
          <w:szCs w:val="20"/>
          <w:lang w:val="fr-CA" w:eastAsia="en-CA"/>
        </w:rPr>
        <w:t xml:space="preserve"> / Devant:   GASCON J. / LE JUGE GASCON</w:t>
      </w:r>
    </w:p>
    <w:p w:rsidR="00102FDD" w:rsidRPr="00BB10D5" w:rsidRDefault="00102FDD" w:rsidP="00102FDD">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2909"/>
        <w:gridCol w:w="1138"/>
        <w:gridCol w:w="4224"/>
      </w:tblGrid>
      <w:tr w:rsidR="00102FDD" w:rsidRPr="00BB10D5" w:rsidTr="00373255">
        <w:tc>
          <w:tcPr>
            <w:tcW w:w="4338" w:type="dxa"/>
            <w:gridSpan w:val="2"/>
          </w:tcPr>
          <w:p w:rsidR="00102FDD" w:rsidRPr="00BB10D5" w:rsidRDefault="00102FDD" w:rsidP="00102FDD">
            <w:pPr>
              <w:rPr>
                <w:b/>
              </w:rPr>
            </w:pPr>
            <w:r w:rsidRPr="00BB10D5">
              <w:rPr>
                <w:b/>
              </w:rPr>
              <w:t>Motion for leave to intervene</w:t>
            </w:r>
            <w:r w:rsidRPr="00BB10D5">
              <w:rPr>
                <w:lang w:val="en-US"/>
              </w:rPr>
              <w:t xml:space="preserve"> </w:t>
            </w:r>
            <w:r w:rsidRPr="00BB10D5">
              <w:rPr>
                <w:lang w:val="en-US"/>
              </w:rPr>
              <w:fldChar w:fldCharType="begin"/>
            </w:r>
            <w:r w:rsidRPr="00BB10D5">
              <w:instrText xml:space="preserve"> SEQ CHAPTER \h \r 1</w:instrText>
            </w:r>
            <w:r w:rsidRPr="00BB10D5">
              <w:rPr>
                <w:lang w:val="en-US"/>
              </w:rPr>
              <w:fldChar w:fldCharType="end"/>
            </w:r>
          </w:p>
        </w:tc>
        <w:tc>
          <w:tcPr>
            <w:tcW w:w="1170" w:type="dxa"/>
          </w:tcPr>
          <w:p w:rsidR="00102FDD" w:rsidRPr="00BB10D5" w:rsidRDefault="00102FDD" w:rsidP="00102FDD"/>
          <w:p w:rsidR="00102FDD" w:rsidRPr="00BB10D5" w:rsidRDefault="00102FDD" w:rsidP="00102FDD"/>
        </w:tc>
        <w:tc>
          <w:tcPr>
            <w:tcW w:w="4327" w:type="dxa"/>
          </w:tcPr>
          <w:p w:rsidR="00102FDD" w:rsidRPr="00BB10D5" w:rsidRDefault="00102FDD" w:rsidP="00102FDD">
            <w:pPr>
              <w:rPr>
                <w:b/>
              </w:rPr>
            </w:pPr>
            <w:r w:rsidRPr="00BB10D5">
              <w:rPr>
                <w:b/>
                <w:bCs/>
                <w:lang w:val="fr-CA"/>
              </w:rPr>
              <w:t>Requête en autorisation d’intervenir</w:t>
            </w:r>
            <w:r w:rsidRPr="00BB10D5">
              <w:rPr>
                <w:lang w:val="en-US"/>
              </w:rPr>
              <w:t xml:space="preserve"> </w:t>
            </w:r>
            <w:r w:rsidRPr="00BB10D5">
              <w:rPr>
                <w:lang w:val="en-US"/>
              </w:rPr>
              <w:fldChar w:fldCharType="begin"/>
            </w:r>
            <w:r w:rsidRPr="00BB10D5">
              <w:instrText xml:space="preserve"> SEQ CHAPTER \h \r 1</w:instrText>
            </w:r>
            <w:r w:rsidRPr="00BB10D5">
              <w:rPr>
                <w:lang w:val="en-US"/>
              </w:rPr>
              <w:fldChar w:fldCharType="end"/>
            </w:r>
          </w:p>
        </w:tc>
      </w:tr>
      <w:tr w:rsidR="00102FDD" w:rsidRPr="00BB10D5" w:rsidTr="00373255">
        <w:trPr>
          <w:trHeight w:hRule="exact" w:val="531"/>
        </w:trPr>
        <w:tc>
          <w:tcPr>
            <w:tcW w:w="1368" w:type="dxa"/>
          </w:tcPr>
          <w:p w:rsidR="00102FDD" w:rsidRPr="00BB10D5" w:rsidRDefault="00102FDD" w:rsidP="00102FDD">
            <w:r w:rsidRPr="00BB10D5">
              <w:t>BY / PAR</w:t>
            </w:r>
          </w:p>
        </w:tc>
        <w:tc>
          <w:tcPr>
            <w:tcW w:w="2970" w:type="dxa"/>
          </w:tcPr>
          <w:p w:rsidR="00102FDD" w:rsidRPr="00BB10D5" w:rsidRDefault="00102FDD" w:rsidP="00102FDD">
            <w:proofErr w:type="spellStart"/>
            <w:r w:rsidRPr="00BB10D5">
              <w:rPr>
                <w:lang w:val="en-US"/>
              </w:rPr>
              <w:t>Conférence</w:t>
            </w:r>
            <w:proofErr w:type="spellEnd"/>
            <w:r w:rsidRPr="00BB10D5">
              <w:rPr>
                <w:lang w:val="en-US"/>
              </w:rPr>
              <w:t xml:space="preserve"> des </w:t>
            </w:r>
            <w:proofErr w:type="spellStart"/>
            <w:r w:rsidRPr="00BB10D5">
              <w:rPr>
                <w:lang w:val="en-US"/>
              </w:rPr>
              <w:t>juges</w:t>
            </w:r>
            <w:proofErr w:type="spellEnd"/>
            <w:r w:rsidRPr="00BB10D5">
              <w:rPr>
                <w:lang w:val="en-US"/>
              </w:rPr>
              <w:t xml:space="preserve"> de la </w:t>
            </w:r>
            <w:proofErr w:type="spellStart"/>
            <w:r w:rsidRPr="00BB10D5">
              <w:rPr>
                <w:lang w:val="en-US"/>
              </w:rPr>
              <w:t>Cour</w:t>
            </w:r>
            <w:proofErr w:type="spellEnd"/>
            <w:r w:rsidRPr="00BB10D5">
              <w:rPr>
                <w:lang w:val="en-US"/>
              </w:rPr>
              <w:t xml:space="preserve"> du Québec;</w:t>
            </w: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rPr>
          <w:trHeight w:hRule="exact" w:val="450"/>
        </w:trPr>
        <w:tc>
          <w:tcPr>
            <w:tcW w:w="1368" w:type="dxa"/>
          </w:tcPr>
          <w:p w:rsidR="00102FDD" w:rsidRPr="00BB10D5" w:rsidRDefault="00102FDD" w:rsidP="00102FDD"/>
        </w:tc>
        <w:tc>
          <w:tcPr>
            <w:tcW w:w="2970" w:type="dxa"/>
          </w:tcPr>
          <w:p w:rsidR="00102FDD" w:rsidRPr="00BB10D5" w:rsidRDefault="00102FDD" w:rsidP="00102FDD">
            <w:pPr>
              <w:rPr>
                <w:lang w:val="en-US"/>
              </w:rPr>
            </w:pPr>
            <w:r w:rsidRPr="00BB10D5">
              <w:rPr>
                <w:lang w:val="en-US"/>
              </w:rPr>
              <w:t>Association of Justices of the Peace of Ontario</w:t>
            </w: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c>
          <w:tcPr>
            <w:tcW w:w="1368" w:type="dxa"/>
          </w:tcPr>
          <w:p w:rsidR="00102FDD" w:rsidRPr="00BB10D5" w:rsidRDefault="00102FDD" w:rsidP="00102FDD"/>
        </w:tc>
        <w:tc>
          <w:tcPr>
            <w:tcW w:w="2970" w:type="dxa"/>
          </w:tcPr>
          <w:p w:rsidR="00102FDD" w:rsidRPr="00BB10D5" w:rsidRDefault="00102FDD" w:rsidP="00102FDD">
            <w:pPr>
              <w:rPr>
                <w:lang w:val="en-US"/>
              </w:rPr>
            </w:pP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c>
          <w:tcPr>
            <w:tcW w:w="1368" w:type="dxa"/>
          </w:tcPr>
          <w:p w:rsidR="00102FDD" w:rsidRPr="00BB10D5" w:rsidRDefault="00102FDD" w:rsidP="00102FDD">
            <w:r w:rsidRPr="00BB10D5">
              <w:t>IN / DANS :</w:t>
            </w:r>
          </w:p>
        </w:tc>
        <w:tc>
          <w:tcPr>
            <w:tcW w:w="2970" w:type="dxa"/>
          </w:tcPr>
          <w:p w:rsidR="00102FDD" w:rsidRPr="00BB10D5" w:rsidRDefault="00102FDD" w:rsidP="00102FDD">
            <w:proofErr w:type="spellStart"/>
            <w:r w:rsidRPr="00BB10D5">
              <w:t>Conférence</w:t>
            </w:r>
            <w:proofErr w:type="spellEnd"/>
            <w:r w:rsidRPr="00BB10D5">
              <w:t xml:space="preserve"> des </w:t>
            </w:r>
            <w:proofErr w:type="spellStart"/>
            <w:r w:rsidRPr="00BB10D5">
              <w:t>juges</w:t>
            </w:r>
            <w:proofErr w:type="spellEnd"/>
            <w:r w:rsidRPr="00BB10D5">
              <w:t xml:space="preserve"> de </w:t>
            </w:r>
            <w:proofErr w:type="spellStart"/>
            <w:r w:rsidRPr="00BB10D5">
              <w:t>paix</w:t>
            </w:r>
            <w:proofErr w:type="spellEnd"/>
            <w:r w:rsidRPr="00BB10D5">
              <w:t xml:space="preserve"> </w:t>
            </w:r>
            <w:proofErr w:type="spellStart"/>
            <w:r w:rsidRPr="00BB10D5">
              <w:t>magistrats</w:t>
            </w:r>
            <w:proofErr w:type="spellEnd"/>
            <w:r w:rsidRPr="00BB10D5">
              <w:t xml:space="preserve"> du Québec et </w:t>
            </w:r>
            <w:proofErr w:type="spellStart"/>
            <w:r w:rsidRPr="00BB10D5">
              <w:t>autres</w:t>
            </w:r>
            <w:proofErr w:type="spellEnd"/>
          </w:p>
          <w:p w:rsidR="00102FDD" w:rsidRPr="00BB10D5" w:rsidRDefault="00102FDD" w:rsidP="00102FDD"/>
          <w:p w:rsidR="00102FDD" w:rsidRPr="00BB10D5" w:rsidRDefault="00102FDD" w:rsidP="00102FDD">
            <w:r w:rsidRPr="00BB10D5">
              <w:tab/>
              <w:t>c. (36165)</w:t>
            </w:r>
          </w:p>
          <w:p w:rsidR="00102FDD" w:rsidRPr="00BB10D5" w:rsidRDefault="00102FDD" w:rsidP="00102FDD"/>
          <w:p w:rsidR="00102FDD" w:rsidRPr="00BB10D5" w:rsidRDefault="00102FDD" w:rsidP="00102FDD">
            <w:proofErr w:type="spellStart"/>
            <w:r w:rsidRPr="00BB10D5">
              <w:t>Procureur</w:t>
            </w:r>
            <w:proofErr w:type="spellEnd"/>
            <w:r w:rsidRPr="00BB10D5">
              <w:t xml:space="preserve"> </w:t>
            </w:r>
            <w:proofErr w:type="spellStart"/>
            <w:r w:rsidRPr="00BB10D5">
              <w:t>général</w:t>
            </w:r>
            <w:proofErr w:type="spellEnd"/>
            <w:r w:rsidRPr="00BB10D5">
              <w:t xml:space="preserve"> du Québec et </w:t>
            </w:r>
            <w:proofErr w:type="spellStart"/>
            <w:r w:rsidRPr="00BB10D5">
              <w:t>autre</w:t>
            </w:r>
            <w:proofErr w:type="spellEnd"/>
            <w:r w:rsidRPr="00BB10D5">
              <w:t xml:space="preserve"> (Qc)</w:t>
            </w:r>
          </w:p>
        </w:tc>
        <w:tc>
          <w:tcPr>
            <w:tcW w:w="1170" w:type="dxa"/>
          </w:tcPr>
          <w:p w:rsidR="00102FDD" w:rsidRPr="00BB10D5" w:rsidRDefault="00102FDD" w:rsidP="00102FDD"/>
        </w:tc>
        <w:tc>
          <w:tcPr>
            <w:tcW w:w="4327" w:type="dxa"/>
          </w:tcPr>
          <w:p w:rsidR="00102FDD" w:rsidRPr="00BB10D5" w:rsidRDefault="00102FDD" w:rsidP="00102FDD"/>
        </w:tc>
      </w:tr>
    </w:tbl>
    <w:p w:rsidR="00102FDD" w:rsidRPr="00BB10D5" w:rsidRDefault="00102FDD" w:rsidP="00102FDD">
      <w:pPr>
        <w:tabs>
          <w:tab w:val="left" w:pos="-1440"/>
          <w:tab w:val="left" w:pos="-720"/>
        </w:tabs>
        <w:jc w:val="both"/>
        <w:rPr>
          <w:rFonts w:eastAsia="Times New Roman" w:cs="Times New Roman"/>
          <w:sz w:val="20"/>
          <w:szCs w:val="20"/>
          <w:lang w:eastAsia="en-CA"/>
        </w:rPr>
      </w:pPr>
    </w:p>
    <w:p w:rsidR="00102FDD" w:rsidRPr="00BB10D5" w:rsidRDefault="00102FDD" w:rsidP="00102FDD">
      <w:pPr>
        <w:tabs>
          <w:tab w:val="left" w:pos="-1440"/>
          <w:tab w:val="left" w:pos="-720"/>
        </w:tabs>
        <w:jc w:val="both"/>
        <w:rPr>
          <w:rFonts w:eastAsia="Times New Roman" w:cs="Times New Roman"/>
          <w:sz w:val="20"/>
          <w:szCs w:val="20"/>
          <w:lang w:val="fr-CA" w:eastAsia="en-CA"/>
        </w:rPr>
      </w:pPr>
      <w:r w:rsidRPr="00BB10D5">
        <w:rPr>
          <w:rFonts w:eastAsia="Times New Roman" w:cs="Times New Roman"/>
          <w:b/>
          <w:sz w:val="20"/>
          <w:szCs w:val="20"/>
          <w:lang w:val="fr-CA" w:eastAsia="en-CA"/>
        </w:rPr>
        <w:t>GRANTED / ACCORDÉES</w:t>
      </w:r>
    </w:p>
    <w:p w:rsidR="00102FDD" w:rsidRPr="00BB10D5" w:rsidRDefault="00102FDD" w:rsidP="00102FDD">
      <w:pPr>
        <w:tabs>
          <w:tab w:val="left" w:pos="-1440"/>
          <w:tab w:val="left" w:pos="-720"/>
        </w:tabs>
        <w:jc w:val="both"/>
        <w:rPr>
          <w:rFonts w:eastAsia="Times New Roman" w:cs="Times New Roman"/>
          <w:sz w:val="20"/>
          <w:szCs w:val="20"/>
          <w:lang w:val="fr-CA" w:eastAsia="en-CA"/>
        </w:rPr>
      </w:pPr>
    </w:p>
    <w:p w:rsidR="00102FDD" w:rsidRPr="00BB10D5" w:rsidRDefault="00102FDD" w:rsidP="00102FDD">
      <w:pPr>
        <w:autoSpaceDE w:val="0"/>
        <w:autoSpaceDN w:val="0"/>
        <w:adjustRightInd w:val="0"/>
        <w:jc w:val="both"/>
        <w:rPr>
          <w:rFonts w:eastAsiaTheme="minorEastAsia" w:cs="Times New Roman"/>
          <w:sz w:val="20"/>
          <w:szCs w:val="20"/>
          <w:lang w:val="fr-CA"/>
        </w:rPr>
      </w:pPr>
      <w:r w:rsidRPr="00BB10D5">
        <w:rPr>
          <w:rFonts w:eastAsiaTheme="minorEastAsia" w:cs="Times New Roman"/>
          <w:b/>
          <w:bCs/>
          <w:sz w:val="20"/>
          <w:szCs w:val="20"/>
          <w:lang w:val="fr-CA"/>
        </w:rPr>
        <w:t>À LA SUITE DES DEMANDES</w:t>
      </w:r>
      <w:r w:rsidRPr="00BB10D5">
        <w:rPr>
          <w:rFonts w:eastAsiaTheme="minorEastAsia" w:cs="Times New Roman"/>
          <w:sz w:val="20"/>
          <w:szCs w:val="20"/>
          <w:lang w:val="fr-CA"/>
        </w:rPr>
        <w:t xml:space="preserve"> présentées par la Conférence des juges de la Cour du Québec et l’Association of Justices of the </w:t>
      </w:r>
      <w:proofErr w:type="spellStart"/>
      <w:r w:rsidRPr="00BB10D5">
        <w:rPr>
          <w:rFonts w:eastAsiaTheme="minorEastAsia" w:cs="Times New Roman"/>
          <w:sz w:val="20"/>
          <w:szCs w:val="20"/>
          <w:lang w:val="fr-CA"/>
        </w:rPr>
        <w:t>Peace</w:t>
      </w:r>
      <w:proofErr w:type="spellEnd"/>
      <w:r w:rsidRPr="00BB10D5">
        <w:rPr>
          <w:rFonts w:eastAsiaTheme="minorEastAsia" w:cs="Times New Roman"/>
          <w:sz w:val="20"/>
          <w:szCs w:val="20"/>
          <w:lang w:val="fr-CA"/>
        </w:rPr>
        <w:t xml:space="preserve"> of Ontario, en autorisation d’intervenir dans l’appel;</w:t>
      </w:r>
    </w:p>
    <w:p w:rsidR="00102FDD" w:rsidRPr="00BB10D5" w:rsidRDefault="00102FDD" w:rsidP="00102FDD">
      <w:pPr>
        <w:autoSpaceDE w:val="0"/>
        <w:autoSpaceDN w:val="0"/>
        <w:adjustRightInd w:val="0"/>
        <w:rPr>
          <w:rFonts w:eastAsiaTheme="minorEastAsia" w:cs="Times New Roman"/>
          <w:sz w:val="20"/>
          <w:szCs w:val="20"/>
          <w:lang w:val="fr-CA"/>
        </w:rPr>
      </w:pPr>
    </w:p>
    <w:p w:rsidR="00102FDD" w:rsidRPr="00BB10D5" w:rsidRDefault="00102FDD" w:rsidP="00102FDD">
      <w:pPr>
        <w:autoSpaceDE w:val="0"/>
        <w:autoSpaceDN w:val="0"/>
        <w:adjustRightInd w:val="0"/>
        <w:rPr>
          <w:rFonts w:eastAsiaTheme="minorEastAsia" w:cs="Times New Roman"/>
          <w:sz w:val="20"/>
          <w:szCs w:val="20"/>
          <w:lang w:val="fr-CA"/>
        </w:rPr>
      </w:pPr>
      <w:r w:rsidRPr="00BB10D5">
        <w:rPr>
          <w:rFonts w:eastAsiaTheme="minorEastAsia" w:cs="Times New Roman"/>
          <w:b/>
          <w:bCs/>
          <w:sz w:val="20"/>
          <w:szCs w:val="20"/>
          <w:lang w:val="fr-CA"/>
        </w:rPr>
        <w:t>ET APRÈS AVOIR LU</w:t>
      </w:r>
      <w:r w:rsidRPr="00BB10D5">
        <w:rPr>
          <w:rFonts w:eastAsiaTheme="minorEastAsia" w:cs="Times New Roman"/>
          <w:sz w:val="20"/>
          <w:szCs w:val="20"/>
          <w:lang w:val="fr-CA"/>
        </w:rPr>
        <w:t xml:space="preserve"> la documentation déposée;</w:t>
      </w:r>
    </w:p>
    <w:p w:rsidR="00102FDD" w:rsidRPr="00BB10D5" w:rsidRDefault="00102FDD" w:rsidP="00102FDD">
      <w:pPr>
        <w:autoSpaceDE w:val="0"/>
        <w:autoSpaceDN w:val="0"/>
        <w:adjustRightInd w:val="0"/>
        <w:rPr>
          <w:rFonts w:eastAsiaTheme="minorEastAsia" w:cs="Times New Roman"/>
          <w:sz w:val="20"/>
          <w:szCs w:val="20"/>
          <w:lang w:val="fr-CA"/>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BB10D5">
        <w:rPr>
          <w:rFonts w:eastAsiaTheme="minorEastAsia" w:cs="Times New Roman"/>
          <w:b/>
          <w:bCs/>
          <w:sz w:val="20"/>
          <w:szCs w:val="20"/>
          <w:lang w:val="fr-CA"/>
        </w:rPr>
        <w:t>IL EST ORDONNÉ CE QUI SUIT :</w:t>
      </w:r>
    </w:p>
    <w:p w:rsidR="00102FDD" w:rsidRPr="00BB10D5" w:rsidRDefault="00102FDD" w:rsidP="00102FDD">
      <w:pPr>
        <w:autoSpaceDE w:val="0"/>
        <w:autoSpaceDN w:val="0"/>
        <w:adjustRightInd w:val="0"/>
        <w:rPr>
          <w:rFonts w:eastAsiaTheme="minorEastAsia" w:cs="Times New Roman"/>
          <w:sz w:val="20"/>
          <w:szCs w:val="20"/>
          <w:lang w:val="fr-CA"/>
        </w:rPr>
      </w:pPr>
    </w:p>
    <w:p w:rsidR="00102FDD" w:rsidRPr="00BB10D5" w:rsidRDefault="00102FDD" w:rsidP="00102FDD">
      <w:pPr>
        <w:autoSpaceDE w:val="0"/>
        <w:autoSpaceDN w:val="0"/>
        <w:adjustRightInd w:val="0"/>
        <w:jc w:val="both"/>
        <w:rPr>
          <w:rFonts w:eastAsiaTheme="minorEastAsia" w:cs="Times New Roman"/>
          <w:sz w:val="20"/>
          <w:szCs w:val="20"/>
          <w:lang w:val="fr-CA"/>
        </w:rPr>
      </w:pPr>
      <w:r w:rsidRPr="00BB10D5">
        <w:rPr>
          <w:rFonts w:eastAsiaTheme="minorEastAsia" w:cs="Times New Roman"/>
          <w:sz w:val="20"/>
          <w:szCs w:val="20"/>
          <w:lang w:val="fr-CA"/>
        </w:rPr>
        <w:t>Les requêtes en autorisation d’intervenir sont accueillies et chacun de ces intervenants pourra signifier et déposer un mémoire d’au plus dix (10) pages au plus tard le 4 janvier 2016.</w:t>
      </w:r>
    </w:p>
    <w:p w:rsidR="00102FDD" w:rsidRPr="00BB10D5" w:rsidRDefault="00102FDD" w:rsidP="00102FDD">
      <w:pPr>
        <w:autoSpaceDE w:val="0"/>
        <w:autoSpaceDN w:val="0"/>
        <w:adjustRightInd w:val="0"/>
        <w:jc w:val="both"/>
        <w:rPr>
          <w:rFonts w:eastAsiaTheme="minorEastAsia" w:cs="Times New Roman"/>
          <w:sz w:val="20"/>
          <w:szCs w:val="20"/>
          <w:lang w:val="fr-CA"/>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BB10D5">
        <w:rPr>
          <w:rFonts w:eastAsiaTheme="minorEastAsia" w:cs="Times New Roman"/>
          <w:sz w:val="20"/>
          <w:szCs w:val="20"/>
          <w:lang w:val="fr-CA"/>
        </w:rPr>
        <w:t>La décision sur les demandes en vue de présenter une plaidoirie orale sera rendue après réception et examen des arguments écrits des parties et des intervenants.</w:t>
      </w:r>
    </w:p>
    <w:p w:rsidR="00102FDD" w:rsidRPr="00BB10D5" w:rsidRDefault="00102FDD" w:rsidP="00102FDD">
      <w:pPr>
        <w:autoSpaceDE w:val="0"/>
        <w:autoSpaceDN w:val="0"/>
        <w:adjustRightInd w:val="0"/>
        <w:jc w:val="both"/>
        <w:rPr>
          <w:rFonts w:eastAsiaTheme="minorEastAsia" w:cs="Times New Roman"/>
          <w:sz w:val="20"/>
          <w:szCs w:val="20"/>
          <w:lang w:val="fr-CA"/>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BB10D5">
        <w:rPr>
          <w:rFonts w:eastAsiaTheme="minorEastAsia" w:cs="Times New Roman"/>
          <w:sz w:val="20"/>
          <w:szCs w:val="20"/>
          <w:lang w:val="fr-CA"/>
        </w:rPr>
        <w:t xml:space="preserve">Les intervenants n’ont pas le droit de soulever de nouvelles questions, de produire d’autres éléments de preuve ni de compléter de quelque autre façon le dossier des </w:t>
      </w:r>
      <w:r w:rsidRPr="00BB10D5">
        <w:rPr>
          <w:rFonts w:eastAsiaTheme="minorEastAsia" w:cs="Times New Roman"/>
          <w:bCs/>
          <w:sz w:val="20"/>
          <w:szCs w:val="20"/>
          <w:lang w:val="fr-CA"/>
        </w:rPr>
        <w:t>parties.</w:t>
      </w: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fr-CA"/>
        </w:rPr>
      </w:pPr>
      <w:r w:rsidRPr="00BB10D5">
        <w:rPr>
          <w:rFonts w:eastAsiaTheme="minorEastAsia" w:cs="Times New Roman"/>
          <w:sz w:val="20"/>
          <w:szCs w:val="20"/>
          <w:lang w:val="fr-CA"/>
        </w:rPr>
        <w:t>Conformément à l’alinéa 59(1)</w:t>
      </w:r>
      <w:r w:rsidRPr="00BB10D5">
        <w:rPr>
          <w:rFonts w:eastAsiaTheme="minorEastAsia" w:cs="Times New Roman"/>
          <w:i/>
          <w:iCs/>
          <w:sz w:val="20"/>
          <w:szCs w:val="20"/>
          <w:lang w:val="fr-CA"/>
        </w:rPr>
        <w:t>a</w:t>
      </w:r>
      <w:r w:rsidRPr="00BB10D5">
        <w:rPr>
          <w:rFonts w:eastAsiaTheme="minorEastAsia" w:cs="Times New Roman"/>
          <w:sz w:val="20"/>
          <w:szCs w:val="20"/>
          <w:lang w:val="fr-CA"/>
        </w:rPr>
        <w:t xml:space="preserve">) des </w:t>
      </w:r>
      <w:r w:rsidRPr="00BB10D5">
        <w:rPr>
          <w:rFonts w:eastAsiaTheme="minorEastAsia" w:cs="Times New Roman"/>
          <w:i/>
          <w:iCs/>
          <w:sz w:val="20"/>
          <w:szCs w:val="20"/>
          <w:lang w:val="fr-CA"/>
        </w:rPr>
        <w:t>Règles de la Cour suprême du Canada</w:t>
      </w:r>
      <w:r w:rsidRPr="00BB10D5">
        <w:rPr>
          <w:rFonts w:eastAsiaTheme="minorEastAsia" w:cs="Times New Roman"/>
          <w:sz w:val="20"/>
          <w:szCs w:val="20"/>
          <w:lang w:val="fr-CA"/>
        </w:rPr>
        <w:t>, les intervenants paieront aux appelants et à aux intimés tous débours supplémentaires résultant de leurs interventions.</w:t>
      </w:r>
    </w:p>
    <w:p w:rsidR="00102FDD" w:rsidRPr="00BB10D5" w:rsidRDefault="00102FDD" w:rsidP="00102FDD">
      <w:pPr>
        <w:autoSpaceDE w:val="0"/>
        <w:autoSpaceDN w:val="0"/>
        <w:adjustRightInd w:val="0"/>
        <w:rPr>
          <w:rFonts w:eastAsiaTheme="minorEastAsia" w:cs="Times New Roman"/>
          <w:sz w:val="20"/>
          <w:szCs w:val="20"/>
          <w:lang w:val="fr-CA"/>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sz w:val="20"/>
          <w:szCs w:val="20"/>
          <w:lang w:val="fr-CA"/>
        </w:rPr>
        <w:t>Les appelants et les intimés sont chacun autorisés à signifier et déposer un seul mémoire d’au plus cinq (5) pages en réplique à ces interventions au plus tard le 11 janvier 2016.</w:t>
      </w:r>
    </w:p>
    <w:p w:rsidR="00102FDD" w:rsidRPr="00BB10D5" w:rsidRDefault="00102FDD" w:rsidP="00102FDD">
      <w:pPr>
        <w:autoSpaceDE w:val="0"/>
        <w:autoSpaceDN w:val="0"/>
        <w:adjustRightInd w:val="0"/>
        <w:rPr>
          <w:rFonts w:eastAsiaTheme="minorEastAsia" w:cs="Times New Roman"/>
          <w:sz w:val="20"/>
          <w:szCs w:val="20"/>
          <w:lang w:val="fr-CA"/>
        </w:rPr>
      </w:pPr>
    </w:p>
    <w:p w:rsidR="00102FDD" w:rsidRPr="00BB10D5" w:rsidRDefault="00102FDD" w:rsidP="00102FDD">
      <w:pPr>
        <w:autoSpaceDE w:val="0"/>
        <w:autoSpaceDN w:val="0"/>
        <w:adjustRightInd w:val="0"/>
        <w:rPr>
          <w:rFonts w:eastAsiaTheme="minorEastAsia" w:cs="Times New Roman"/>
          <w:sz w:val="20"/>
          <w:szCs w:val="20"/>
          <w:lang w:val="fr-CA"/>
        </w:rPr>
      </w:pPr>
    </w:p>
    <w:p w:rsidR="00102FDD" w:rsidRPr="00BB10D5" w:rsidRDefault="00102FDD" w:rsidP="00102FDD">
      <w:pPr>
        <w:autoSpaceDE w:val="0"/>
        <w:autoSpaceDN w:val="0"/>
        <w:adjustRightInd w:val="0"/>
        <w:jc w:val="both"/>
        <w:rPr>
          <w:rFonts w:eastAsiaTheme="minorEastAsia" w:cs="Times New Roman"/>
          <w:bCs/>
          <w:sz w:val="20"/>
          <w:szCs w:val="20"/>
          <w:lang w:val="fr-CA"/>
        </w:rPr>
      </w:pPr>
    </w:p>
    <w:p w:rsidR="00102FDD" w:rsidRPr="00BB10D5" w:rsidRDefault="00102FDD" w:rsidP="00102FDD">
      <w:pPr>
        <w:autoSpaceDE w:val="0"/>
        <w:autoSpaceDN w:val="0"/>
        <w:adjustRightInd w:val="0"/>
        <w:jc w:val="both"/>
        <w:rPr>
          <w:rFonts w:eastAsiaTheme="minorEastAsia" w:cs="Times New Roman"/>
          <w:sz w:val="20"/>
          <w:szCs w:val="20"/>
        </w:rPr>
      </w:pPr>
      <w:r w:rsidRPr="00BB10D5">
        <w:rPr>
          <w:rFonts w:eastAsiaTheme="minorEastAsia" w:cs="Times New Roman"/>
          <w:b/>
          <w:sz w:val="20"/>
          <w:szCs w:val="20"/>
        </w:rPr>
        <w:t>UPON APPLICATIONS</w:t>
      </w:r>
      <w:r w:rsidRPr="00BB10D5">
        <w:rPr>
          <w:rFonts w:eastAsiaTheme="minorEastAsia" w:cs="Times New Roman"/>
          <w:sz w:val="20"/>
          <w:szCs w:val="20"/>
        </w:rPr>
        <w:t xml:space="preserve"> by the </w:t>
      </w:r>
      <w:proofErr w:type="spellStart"/>
      <w:r w:rsidRPr="00BB10D5">
        <w:rPr>
          <w:rFonts w:eastAsiaTheme="minorEastAsia" w:cs="Times New Roman"/>
          <w:sz w:val="20"/>
          <w:szCs w:val="20"/>
        </w:rPr>
        <w:t>Conférence</w:t>
      </w:r>
      <w:proofErr w:type="spellEnd"/>
      <w:r w:rsidRPr="00BB10D5">
        <w:rPr>
          <w:rFonts w:eastAsiaTheme="minorEastAsia" w:cs="Times New Roman"/>
          <w:sz w:val="20"/>
          <w:szCs w:val="20"/>
        </w:rPr>
        <w:t xml:space="preserve"> des </w:t>
      </w:r>
      <w:proofErr w:type="spellStart"/>
      <w:r w:rsidRPr="00BB10D5">
        <w:rPr>
          <w:rFonts w:eastAsiaTheme="minorEastAsia" w:cs="Times New Roman"/>
          <w:sz w:val="20"/>
          <w:szCs w:val="20"/>
        </w:rPr>
        <w:t>juges</w:t>
      </w:r>
      <w:proofErr w:type="spellEnd"/>
      <w:r w:rsidRPr="00BB10D5">
        <w:rPr>
          <w:rFonts w:eastAsiaTheme="minorEastAsia" w:cs="Times New Roman"/>
          <w:sz w:val="20"/>
          <w:szCs w:val="20"/>
        </w:rPr>
        <w:t xml:space="preserve"> de la </w:t>
      </w:r>
      <w:proofErr w:type="spellStart"/>
      <w:r w:rsidRPr="00BB10D5">
        <w:rPr>
          <w:rFonts w:eastAsiaTheme="minorEastAsia" w:cs="Times New Roman"/>
          <w:sz w:val="20"/>
          <w:szCs w:val="20"/>
        </w:rPr>
        <w:t>Cour</w:t>
      </w:r>
      <w:proofErr w:type="spellEnd"/>
      <w:r w:rsidRPr="00BB10D5">
        <w:rPr>
          <w:rFonts w:eastAsiaTheme="minorEastAsia" w:cs="Times New Roman"/>
          <w:sz w:val="20"/>
          <w:szCs w:val="20"/>
        </w:rPr>
        <w:t xml:space="preserve"> du Québec and the Association of Justices of the Peace of Ontario, for leave to intervene in the appeal;</w:t>
      </w:r>
    </w:p>
    <w:p w:rsidR="00102FDD" w:rsidRPr="00BB10D5" w:rsidRDefault="00102FDD" w:rsidP="00102FDD">
      <w:pPr>
        <w:autoSpaceDE w:val="0"/>
        <w:autoSpaceDN w:val="0"/>
        <w:adjustRightInd w:val="0"/>
        <w:jc w:val="both"/>
        <w:rPr>
          <w:rFonts w:eastAsiaTheme="minorEastAsia" w:cs="Times New Roman"/>
          <w:sz w:val="20"/>
          <w:szCs w:val="20"/>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BB10D5">
        <w:rPr>
          <w:rFonts w:eastAsiaTheme="minorEastAsia" w:cs="Times New Roman"/>
          <w:b/>
          <w:bCs/>
          <w:sz w:val="20"/>
          <w:szCs w:val="20"/>
          <w:lang w:val="en-US"/>
        </w:rPr>
        <w:t>AND THE MATERIAL FILED</w:t>
      </w:r>
      <w:r w:rsidRPr="00BB10D5">
        <w:rPr>
          <w:rFonts w:eastAsiaTheme="minorEastAsia" w:cs="Times New Roman"/>
          <w:sz w:val="20"/>
          <w:szCs w:val="20"/>
          <w:lang w:val="en-US"/>
        </w:rPr>
        <w:t xml:space="preserve"> having been read;</w:t>
      </w: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BB10D5">
        <w:rPr>
          <w:rFonts w:eastAsiaTheme="minorEastAsia" w:cs="Times New Roman"/>
          <w:b/>
          <w:bCs/>
          <w:sz w:val="20"/>
          <w:szCs w:val="20"/>
          <w:lang w:val="en-US"/>
        </w:rPr>
        <w:t>IT IS HEREBY ORDERED THAT:</w:t>
      </w:r>
    </w:p>
    <w:p w:rsidR="00102FDD" w:rsidRPr="00BB10D5" w:rsidRDefault="00102FDD" w:rsidP="00102FDD">
      <w:pPr>
        <w:autoSpaceDE w:val="0"/>
        <w:autoSpaceDN w:val="0"/>
        <w:adjustRightInd w:val="0"/>
        <w:jc w:val="both"/>
        <w:rPr>
          <w:rFonts w:eastAsiaTheme="minorEastAsia" w:cs="Times New Roman"/>
          <w:sz w:val="20"/>
          <w:szCs w:val="20"/>
          <w:lang w:val="en-US"/>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sz w:val="20"/>
          <w:szCs w:val="20"/>
          <w:lang w:val="en-US"/>
        </w:rPr>
        <w:t>The motions for leave to intervene are granted and the said interveners shall be entitled to each serve and file a factum not exceeding ten (10) pages in length on or before January 4, 2016.</w:t>
      </w: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BB10D5">
        <w:rPr>
          <w:rFonts w:eastAsiaTheme="minorEastAsia" w:cs="Times New Roman"/>
          <w:sz w:val="20"/>
          <w:szCs w:val="20"/>
          <w:lang w:val="en-US"/>
        </w:rPr>
        <w:t>The requests to present oral argument are deferred to a date following receipt and consideration of the written arguments of the parties and the interveners.</w:t>
      </w: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BB10D5">
        <w:rPr>
          <w:rFonts w:eastAsiaTheme="minorEastAsia" w:cs="Times New Roman"/>
          <w:bCs/>
          <w:sz w:val="20"/>
          <w:szCs w:val="20"/>
          <w:lang w:val="en-US"/>
        </w:rPr>
        <w:t>The interveners are not entitled to raise new issues or to adduce further evidence or otherwise to supplement the record of the parties.</w:t>
      </w: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p>
    <w:p w:rsidR="00102FDD" w:rsidRPr="00BB10D5" w:rsidRDefault="00102FDD" w:rsidP="00102F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3" w:lineRule="auto"/>
        <w:jc w:val="both"/>
        <w:rPr>
          <w:rFonts w:eastAsiaTheme="minorEastAsia" w:cs="Times New Roman"/>
          <w:sz w:val="20"/>
          <w:szCs w:val="20"/>
          <w:lang w:val="en-US"/>
        </w:rPr>
      </w:pPr>
      <w:r w:rsidRPr="00BB10D5">
        <w:rPr>
          <w:rFonts w:eastAsiaTheme="minorEastAsia" w:cs="Times New Roman"/>
          <w:sz w:val="20"/>
          <w:szCs w:val="20"/>
          <w:lang w:val="en-US"/>
        </w:rPr>
        <w:t>Pursuant to Rule 59(1</w:t>
      </w:r>
      <w:proofErr w:type="gramStart"/>
      <w:r w:rsidRPr="00BB10D5">
        <w:rPr>
          <w:rFonts w:eastAsiaTheme="minorEastAsia" w:cs="Times New Roman"/>
          <w:sz w:val="20"/>
          <w:szCs w:val="20"/>
          <w:lang w:val="en-US"/>
        </w:rPr>
        <w:t>)(</w:t>
      </w:r>
      <w:proofErr w:type="gramEnd"/>
      <w:r w:rsidRPr="00BB10D5">
        <w:rPr>
          <w:rFonts w:eastAsiaTheme="minorEastAsia" w:cs="Times New Roman"/>
          <w:i/>
          <w:iCs/>
          <w:sz w:val="20"/>
          <w:szCs w:val="20"/>
          <w:lang w:val="en-US"/>
        </w:rPr>
        <w:t>a</w:t>
      </w:r>
      <w:r w:rsidRPr="00BB10D5">
        <w:rPr>
          <w:rFonts w:eastAsiaTheme="minorEastAsia" w:cs="Times New Roman"/>
          <w:sz w:val="20"/>
          <w:szCs w:val="20"/>
          <w:lang w:val="en-US"/>
        </w:rPr>
        <w:t xml:space="preserve">) of the </w:t>
      </w:r>
      <w:r w:rsidRPr="00BB10D5">
        <w:rPr>
          <w:rFonts w:eastAsiaTheme="minorEastAsia" w:cs="Times New Roman"/>
          <w:i/>
          <w:iCs/>
          <w:sz w:val="20"/>
          <w:szCs w:val="20"/>
          <w:lang w:val="en-US"/>
        </w:rPr>
        <w:t>Rules of the Supreme Court of Canada</w:t>
      </w:r>
      <w:r w:rsidRPr="00BB10D5">
        <w:rPr>
          <w:rFonts w:eastAsiaTheme="minorEastAsia" w:cs="Times New Roman"/>
          <w:sz w:val="20"/>
          <w:szCs w:val="20"/>
          <w:lang w:val="en-US"/>
        </w:rPr>
        <w:t>, the interveners shall pay to the appellants and the respondents any additional disbursements occasioned to the appellants and respondents by their intervention.</w:t>
      </w:r>
    </w:p>
    <w:p w:rsidR="00102FDD" w:rsidRPr="00BB10D5" w:rsidRDefault="00102FDD" w:rsidP="00102FDD">
      <w:pPr>
        <w:autoSpaceDE w:val="0"/>
        <w:autoSpaceDN w:val="0"/>
        <w:adjustRightInd w:val="0"/>
        <w:rPr>
          <w:rFonts w:eastAsiaTheme="minorEastAsia" w:cs="Times New Roman"/>
          <w:sz w:val="20"/>
          <w:szCs w:val="20"/>
          <w:lang w:val="en-US"/>
        </w:rPr>
      </w:pPr>
    </w:p>
    <w:p w:rsidR="00102FDD" w:rsidRPr="00BB10D5" w:rsidRDefault="00102FDD" w:rsidP="00102FDD">
      <w:pPr>
        <w:autoSpaceDE w:val="0"/>
        <w:autoSpaceDN w:val="0"/>
        <w:adjustRightInd w:val="0"/>
        <w:rPr>
          <w:rFonts w:eastAsiaTheme="minorEastAsia" w:cs="Times New Roman"/>
          <w:sz w:val="20"/>
          <w:szCs w:val="20"/>
          <w:lang w:val="en-US"/>
        </w:rPr>
      </w:pPr>
      <w:r w:rsidRPr="00BB10D5">
        <w:rPr>
          <w:rFonts w:eastAsiaTheme="minorEastAsia" w:cs="Times New Roman"/>
          <w:sz w:val="20"/>
          <w:szCs w:val="20"/>
          <w:lang w:val="en-US"/>
        </w:rPr>
        <w:t>The appellants and the respondents are permitted to each serve and file a single factum not exceeding five (5) pages in reply to these interventions on or before January 11, 2016.</w:t>
      </w:r>
    </w:p>
    <w:p w:rsidR="00102FDD" w:rsidRPr="00BB10D5" w:rsidRDefault="00102FDD" w:rsidP="00102FDD">
      <w:pPr>
        <w:tabs>
          <w:tab w:val="left" w:pos="-1440"/>
          <w:tab w:val="left" w:pos="-720"/>
        </w:tabs>
        <w:jc w:val="both"/>
        <w:rPr>
          <w:rFonts w:eastAsia="Times New Roman" w:cs="Times New Roman"/>
          <w:sz w:val="20"/>
          <w:szCs w:val="20"/>
          <w:lang w:eastAsia="en-CA"/>
        </w:rPr>
      </w:pPr>
    </w:p>
    <w:p w:rsidR="00102FDD" w:rsidRPr="00BB10D5" w:rsidRDefault="00B150CF" w:rsidP="00102FDD">
      <w:pPr>
        <w:tabs>
          <w:tab w:val="left" w:pos="-1440"/>
          <w:tab w:val="left" w:pos="-720"/>
        </w:tabs>
        <w:jc w:val="both"/>
        <w:rPr>
          <w:rFonts w:eastAsia="Times New Roman" w:cs="Times New Roman"/>
          <w:sz w:val="20"/>
          <w:szCs w:val="20"/>
          <w:lang w:eastAsia="en-CA"/>
        </w:rPr>
      </w:pPr>
      <w:r>
        <w:rPr>
          <w:rFonts w:eastAsia="Times New Roman" w:cs="Times New Roman"/>
          <w:sz w:val="20"/>
          <w:szCs w:val="20"/>
          <w:lang w:val="fr-CA" w:eastAsia="en-CA"/>
        </w:rPr>
        <w:pict>
          <v:rect id="_x0000_i1055" style="width:2in;height:1pt" o:hrpct="0" o:hralign="center" o:hrstd="t" o:hrnoshade="t" o:hr="t" fillcolor="black [3213]" stroked="f"/>
        </w:pict>
      </w:r>
    </w:p>
    <w:p w:rsidR="00102FDD" w:rsidRPr="00BB10D5" w:rsidRDefault="00102FDD" w:rsidP="00102FDD">
      <w:pPr>
        <w:tabs>
          <w:tab w:val="left" w:pos="-1440"/>
          <w:tab w:val="left" w:pos="-720"/>
        </w:tabs>
        <w:jc w:val="both"/>
        <w:rPr>
          <w:rFonts w:eastAsia="Times New Roman" w:cs="Times New Roman"/>
          <w:sz w:val="20"/>
          <w:szCs w:val="20"/>
          <w:lang w:eastAsia="en-CA"/>
        </w:rPr>
      </w:pPr>
    </w:p>
    <w:p w:rsidR="00102FDD" w:rsidRPr="00BB10D5" w:rsidRDefault="00102FDD" w:rsidP="00102FDD">
      <w:pPr>
        <w:tabs>
          <w:tab w:val="left" w:pos="-1440"/>
          <w:tab w:val="left" w:pos="-720"/>
        </w:tabs>
        <w:jc w:val="both"/>
        <w:rPr>
          <w:rFonts w:eastAsia="Times New Roman" w:cs="Times New Roman"/>
          <w:sz w:val="20"/>
          <w:szCs w:val="20"/>
          <w:lang w:val="fr-CA" w:eastAsia="en-CA"/>
        </w:rPr>
      </w:pPr>
      <w:r w:rsidRPr="00BB10D5">
        <w:rPr>
          <w:rFonts w:eastAsia="Times New Roman" w:cs="Times New Roman"/>
          <w:sz w:val="20"/>
          <w:szCs w:val="20"/>
          <w:lang w:val="fr-CA" w:eastAsia="en-CA"/>
        </w:rPr>
        <w:t>25.11.2015</w:t>
      </w:r>
    </w:p>
    <w:p w:rsidR="00102FDD" w:rsidRPr="00BB10D5" w:rsidRDefault="00102FDD" w:rsidP="00102FDD">
      <w:pPr>
        <w:tabs>
          <w:tab w:val="left" w:pos="-1440"/>
          <w:tab w:val="left" w:pos="-720"/>
        </w:tabs>
        <w:jc w:val="both"/>
        <w:rPr>
          <w:rFonts w:eastAsia="Times New Roman" w:cs="Times New Roman"/>
          <w:sz w:val="20"/>
          <w:szCs w:val="20"/>
          <w:lang w:val="fr-CA" w:eastAsia="en-CA"/>
        </w:rPr>
      </w:pPr>
    </w:p>
    <w:p w:rsidR="00102FDD" w:rsidRPr="00BB10D5" w:rsidRDefault="00102FDD" w:rsidP="00102FDD">
      <w:pPr>
        <w:tabs>
          <w:tab w:val="left" w:pos="-1440"/>
          <w:tab w:val="left" w:pos="-720"/>
        </w:tabs>
        <w:jc w:val="both"/>
        <w:rPr>
          <w:rFonts w:eastAsia="Times New Roman" w:cs="Times New Roman"/>
          <w:sz w:val="20"/>
          <w:szCs w:val="20"/>
          <w:lang w:val="fr-CA" w:eastAsia="en-CA"/>
        </w:rPr>
      </w:pPr>
      <w:proofErr w:type="spellStart"/>
      <w:r w:rsidRPr="00BB10D5">
        <w:rPr>
          <w:rFonts w:eastAsia="Times New Roman" w:cs="Times New Roman"/>
          <w:sz w:val="20"/>
          <w:szCs w:val="20"/>
          <w:lang w:val="fr-CA" w:eastAsia="en-CA"/>
        </w:rPr>
        <w:t>Before</w:t>
      </w:r>
      <w:proofErr w:type="spellEnd"/>
      <w:r w:rsidRPr="00BB10D5">
        <w:rPr>
          <w:rFonts w:eastAsia="Times New Roman" w:cs="Times New Roman"/>
          <w:sz w:val="20"/>
          <w:szCs w:val="20"/>
          <w:lang w:val="fr-CA" w:eastAsia="en-CA"/>
        </w:rPr>
        <w:t xml:space="preserve"> / Devant :   GASCON J. / LE JUGE GASCON</w:t>
      </w:r>
    </w:p>
    <w:p w:rsidR="00102FDD" w:rsidRPr="00BB10D5" w:rsidRDefault="00102FDD" w:rsidP="00102FDD">
      <w:pPr>
        <w:tabs>
          <w:tab w:val="left" w:pos="-1440"/>
          <w:tab w:val="left" w:pos="-720"/>
        </w:tabs>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2828"/>
        <w:gridCol w:w="1137"/>
        <w:gridCol w:w="4220"/>
      </w:tblGrid>
      <w:tr w:rsidR="00102FDD" w:rsidRPr="00BB10D5" w:rsidTr="00373255">
        <w:tc>
          <w:tcPr>
            <w:tcW w:w="4338" w:type="dxa"/>
            <w:gridSpan w:val="2"/>
          </w:tcPr>
          <w:p w:rsidR="00102FDD" w:rsidRPr="00BB10D5" w:rsidRDefault="00102FDD" w:rsidP="00A127BC">
            <w:pPr>
              <w:rPr>
                <w:b/>
              </w:rPr>
            </w:pPr>
            <w:r w:rsidRPr="00BB10D5">
              <w:rPr>
                <w:b/>
              </w:rPr>
              <w:t xml:space="preserve">Motion to extend time </w:t>
            </w:r>
            <w:r w:rsidR="00A127BC">
              <w:rPr>
                <w:b/>
              </w:rPr>
              <w:t>and</w:t>
            </w:r>
            <w:r w:rsidRPr="00BB10D5">
              <w:rPr>
                <w:b/>
              </w:rPr>
              <w:t xml:space="preserve"> Motions for leave to intervene</w:t>
            </w:r>
            <w:r w:rsidRPr="00BB10D5">
              <w:rPr>
                <w:lang w:val="en-US"/>
              </w:rPr>
              <w:t xml:space="preserve"> </w:t>
            </w:r>
            <w:r w:rsidRPr="00BB10D5">
              <w:rPr>
                <w:lang w:val="en-US"/>
              </w:rPr>
              <w:fldChar w:fldCharType="begin"/>
            </w:r>
            <w:r w:rsidRPr="00BB10D5">
              <w:instrText xml:space="preserve"> SEQ CHAPTER \h \r 1</w:instrText>
            </w:r>
            <w:r w:rsidRPr="00BB10D5">
              <w:rPr>
                <w:lang w:val="en-US"/>
              </w:rPr>
              <w:fldChar w:fldCharType="end"/>
            </w:r>
          </w:p>
        </w:tc>
        <w:tc>
          <w:tcPr>
            <w:tcW w:w="1170" w:type="dxa"/>
          </w:tcPr>
          <w:p w:rsidR="00102FDD" w:rsidRPr="00BB10D5" w:rsidRDefault="00102FDD" w:rsidP="00102FDD"/>
          <w:p w:rsidR="00102FDD" w:rsidRDefault="00102FDD" w:rsidP="00102FDD"/>
          <w:p w:rsidR="009E66F0" w:rsidRPr="00BB10D5" w:rsidRDefault="009E66F0" w:rsidP="00102FDD"/>
        </w:tc>
        <w:tc>
          <w:tcPr>
            <w:tcW w:w="4327" w:type="dxa"/>
          </w:tcPr>
          <w:p w:rsidR="00102FDD" w:rsidRPr="00BB10D5" w:rsidRDefault="00102FDD" w:rsidP="00A127BC">
            <w:pPr>
              <w:rPr>
                <w:b/>
              </w:rPr>
            </w:pPr>
            <w:r w:rsidRPr="00BB10D5">
              <w:rPr>
                <w:b/>
                <w:bCs/>
                <w:color w:val="000000"/>
                <w:lang w:val="fr-CA"/>
              </w:rPr>
              <w:t xml:space="preserve">Requête en prorogation de </w:t>
            </w:r>
            <w:r w:rsidRPr="00A127BC">
              <w:rPr>
                <w:b/>
                <w:bCs/>
                <w:color w:val="000000"/>
                <w:lang w:val="fr-CA"/>
              </w:rPr>
              <w:t>délai</w:t>
            </w:r>
            <w:r w:rsidRPr="00A127BC">
              <w:rPr>
                <w:b/>
                <w:szCs w:val="24"/>
                <w:lang w:val="fr-CA"/>
              </w:rPr>
              <w:t xml:space="preserve"> </w:t>
            </w:r>
            <w:r w:rsidR="00A127BC" w:rsidRPr="00A127BC">
              <w:rPr>
                <w:b/>
                <w:szCs w:val="24"/>
                <w:lang w:val="fr-CA"/>
              </w:rPr>
              <w:t>et</w:t>
            </w:r>
            <w:r w:rsidRPr="00A127BC">
              <w:rPr>
                <w:b/>
                <w:lang w:val="fr-CA"/>
              </w:rPr>
              <w:t xml:space="preserve"> R</w:t>
            </w:r>
            <w:r w:rsidRPr="00A127BC">
              <w:rPr>
                <w:b/>
                <w:bCs/>
                <w:lang w:val="fr-CA"/>
              </w:rPr>
              <w:t>equêtes</w:t>
            </w:r>
            <w:r w:rsidRPr="00BB10D5">
              <w:rPr>
                <w:b/>
                <w:bCs/>
                <w:lang w:val="fr-CA"/>
              </w:rPr>
              <w:t xml:space="preserve"> en autorisation d’intervenir</w:t>
            </w:r>
            <w:r w:rsidRPr="00BB10D5">
              <w:rPr>
                <w:lang w:val="en-US"/>
              </w:rPr>
              <w:fldChar w:fldCharType="begin"/>
            </w:r>
            <w:r w:rsidRPr="00BB10D5">
              <w:instrText xml:space="preserve"> SEQ CHAPTER \h \r 1</w:instrText>
            </w:r>
            <w:r w:rsidRPr="00BB10D5">
              <w:rPr>
                <w:lang w:val="en-US"/>
              </w:rPr>
              <w:fldChar w:fldCharType="end"/>
            </w:r>
          </w:p>
        </w:tc>
      </w:tr>
      <w:tr w:rsidR="00102FDD" w:rsidRPr="00BB10D5" w:rsidTr="00373255">
        <w:trPr>
          <w:trHeight w:hRule="exact" w:val="360"/>
        </w:trPr>
        <w:tc>
          <w:tcPr>
            <w:tcW w:w="1458" w:type="dxa"/>
          </w:tcPr>
          <w:p w:rsidR="00102FDD" w:rsidRPr="00BB10D5" w:rsidRDefault="00102FDD" w:rsidP="00102FDD">
            <w:r w:rsidRPr="00BB10D5">
              <w:t>BY / PAR</w:t>
            </w:r>
          </w:p>
        </w:tc>
        <w:tc>
          <w:tcPr>
            <w:tcW w:w="2880" w:type="dxa"/>
          </w:tcPr>
          <w:p w:rsidR="00102FDD" w:rsidRPr="00BB10D5" w:rsidRDefault="00102FDD" w:rsidP="00102FDD">
            <w:r w:rsidRPr="00BB10D5">
              <w:rPr>
                <w:lang w:val="en-US"/>
              </w:rPr>
              <w:t>Attorney General of Canada;</w:t>
            </w: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rPr>
          <w:trHeight w:hRule="exact" w:val="378"/>
        </w:trPr>
        <w:tc>
          <w:tcPr>
            <w:tcW w:w="1458" w:type="dxa"/>
          </w:tcPr>
          <w:p w:rsidR="00102FDD" w:rsidRPr="00BB10D5" w:rsidRDefault="00102FDD" w:rsidP="00102FDD"/>
        </w:tc>
        <w:tc>
          <w:tcPr>
            <w:tcW w:w="2880" w:type="dxa"/>
          </w:tcPr>
          <w:p w:rsidR="00102FDD" w:rsidRPr="00BB10D5" w:rsidRDefault="00102FDD" w:rsidP="00102FDD">
            <w:pPr>
              <w:rPr>
                <w:lang w:val="en-US"/>
              </w:rPr>
            </w:pPr>
            <w:r w:rsidRPr="00BB10D5">
              <w:rPr>
                <w:lang w:val="en-US"/>
              </w:rPr>
              <w:t>Attorney General for Ontario;</w:t>
            </w: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rPr>
          <w:trHeight w:hRule="exact" w:val="999"/>
        </w:trPr>
        <w:tc>
          <w:tcPr>
            <w:tcW w:w="1458" w:type="dxa"/>
          </w:tcPr>
          <w:p w:rsidR="00102FDD" w:rsidRPr="00BB10D5" w:rsidRDefault="00102FDD" w:rsidP="00102FDD"/>
        </w:tc>
        <w:tc>
          <w:tcPr>
            <w:tcW w:w="2880" w:type="dxa"/>
          </w:tcPr>
          <w:p w:rsidR="00102FDD" w:rsidRPr="00BB10D5" w:rsidRDefault="00102FDD" w:rsidP="00102FDD">
            <w:pPr>
              <w:rPr>
                <w:lang w:val="en-US"/>
              </w:rPr>
            </w:pPr>
            <w:r w:rsidRPr="00BB10D5">
              <w:rPr>
                <w:lang w:val="en-US"/>
              </w:rPr>
              <w:t>Ontario Network of Injured Workers’ Groups and Industrial Accident Victims’ Group of Ontario (joint);</w:t>
            </w: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rPr>
          <w:trHeight w:hRule="exact" w:val="801"/>
        </w:trPr>
        <w:tc>
          <w:tcPr>
            <w:tcW w:w="1458" w:type="dxa"/>
          </w:tcPr>
          <w:p w:rsidR="00102FDD" w:rsidRPr="00BB10D5" w:rsidRDefault="00102FDD" w:rsidP="00102FDD"/>
        </w:tc>
        <w:tc>
          <w:tcPr>
            <w:tcW w:w="2880" w:type="dxa"/>
          </w:tcPr>
          <w:p w:rsidR="00102FDD" w:rsidRPr="00BB10D5" w:rsidRDefault="00102FDD" w:rsidP="00102FDD">
            <w:pPr>
              <w:rPr>
                <w:lang w:val="en-US"/>
              </w:rPr>
            </w:pPr>
            <w:r w:rsidRPr="00BB10D5">
              <w:rPr>
                <w:lang w:val="en-US"/>
              </w:rPr>
              <w:t xml:space="preserve">Community Legal Assistance Society and British Columbia Federation of </w:t>
            </w:r>
            <w:proofErr w:type="spellStart"/>
            <w:r w:rsidRPr="00BB10D5">
              <w:rPr>
                <w:lang w:val="en-US"/>
              </w:rPr>
              <w:t>Labour</w:t>
            </w:r>
            <w:proofErr w:type="spellEnd"/>
            <w:r w:rsidRPr="00BB10D5">
              <w:rPr>
                <w:lang w:val="en-US"/>
              </w:rPr>
              <w:t xml:space="preserve"> (joint);</w:t>
            </w: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rPr>
          <w:trHeight w:hRule="exact" w:val="576"/>
        </w:trPr>
        <w:tc>
          <w:tcPr>
            <w:tcW w:w="1458" w:type="dxa"/>
          </w:tcPr>
          <w:p w:rsidR="00102FDD" w:rsidRPr="00BB10D5" w:rsidRDefault="00102FDD" w:rsidP="00102FDD"/>
        </w:tc>
        <w:tc>
          <w:tcPr>
            <w:tcW w:w="2880" w:type="dxa"/>
          </w:tcPr>
          <w:p w:rsidR="00102FDD" w:rsidRPr="00BB10D5" w:rsidRDefault="00102FDD" w:rsidP="00102FDD">
            <w:pPr>
              <w:rPr>
                <w:lang w:val="en-US"/>
              </w:rPr>
            </w:pPr>
            <w:r w:rsidRPr="00BB10D5">
              <w:rPr>
                <w:lang w:val="en-US"/>
              </w:rPr>
              <w:t>Workers’ Compensation Board of British Columbia</w:t>
            </w:r>
            <w:r w:rsidR="004C2925">
              <w:rPr>
                <w:lang w:val="en-US"/>
              </w:rPr>
              <w:t>;</w:t>
            </w:r>
          </w:p>
        </w:tc>
        <w:tc>
          <w:tcPr>
            <w:tcW w:w="1170" w:type="dxa"/>
          </w:tcPr>
          <w:p w:rsidR="00102FDD" w:rsidRPr="00BB10D5" w:rsidRDefault="00102FDD" w:rsidP="00102FDD"/>
        </w:tc>
        <w:tc>
          <w:tcPr>
            <w:tcW w:w="4327" w:type="dxa"/>
          </w:tcPr>
          <w:p w:rsidR="00102FDD" w:rsidRPr="00BB10D5" w:rsidRDefault="00102FDD" w:rsidP="00102FDD"/>
        </w:tc>
      </w:tr>
      <w:tr w:rsidR="004C2925" w:rsidRPr="00BB10D5" w:rsidTr="004C2925">
        <w:trPr>
          <w:trHeight w:hRule="exact" w:val="270"/>
        </w:trPr>
        <w:tc>
          <w:tcPr>
            <w:tcW w:w="1458" w:type="dxa"/>
          </w:tcPr>
          <w:p w:rsidR="004C2925" w:rsidRPr="00BB10D5" w:rsidRDefault="004C2925" w:rsidP="00102FDD"/>
        </w:tc>
        <w:tc>
          <w:tcPr>
            <w:tcW w:w="2880" w:type="dxa"/>
          </w:tcPr>
          <w:p w:rsidR="004C2925" w:rsidRPr="00BB10D5" w:rsidRDefault="004C2925" w:rsidP="00102FDD">
            <w:pPr>
              <w:rPr>
                <w:lang w:val="en-US"/>
              </w:rPr>
            </w:pPr>
            <w:r>
              <w:rPr>
                <w:lang w:val="en-US"/>
              </w:rPr>
              <w:t>Fraser Health Authority</w:t>
            </w:r>
          </w:p>
        </w:tc>
        <w:tc>
          <w:tcPr>
            <w:tcW w:w="1170" w:type="dxa"/>
          </w:tcPr>
          <w:p w:rsidR="004C2925" w:rsidRPr="00BB10D5" w:rsidRDefault="004C2925" w:rsidP="00102FDD"/>
        </w:tc>
        <w:tc>
          <w:tcPr>
            <w:tcW w:w="4327" w:type="dxa"/>
          </w:tcPr>
          <w:p w:rsidR="004C2925" w:rsidRPr="00BB10D5" w:rsidRDefault="004C2925" w:rsidP="00102FDD"/>
        </w:tc>
      </w:tr>
      <w:tr w:rsidR="00102FDD" w:rsidRPr="00BB10D5" w:rsidTr="00373255">
        <w:tc>
          <w:tcPr>
            <w:tcW w:w="1458" w:type="dxa"/>
          </w:tcPr>
          <w:p w:rsidR="00102FDD" w:rsidRPr="00BB10D5" w:rsidRDefault="00102FDD" w:rsidP="00102FDD"/>
        </w:tc>
        <w:tc>
          <w:tcPr>
            <w:tcW w:w="2880" w:type="dxa"/>
          </w:tcPr>
          <w:p w:rsidR="00102FDD" w:rsidRPr="00BB10D5" w:rsidRDefault="00102FDD" w:rsidP="00102FDD">
            <w:pPr>
              <w:rPr>
                <w:lang w:val="en-US"/>
              </w:rPr>
            </w:pP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c>
          <w:tcPr>
            <w:tcW w:w="1458" w:type="dxa"/>
          </w:tcPr>
          <w:p w:rsidR="00102FDD" w:rsidRPr="00BB10D5" w:rsidRDefault="00102FDD" w:rsidP="00102FDD">
            <w:r w:rsidRPr="00BB10D5">
              <w:t>IN / DANS :</w:t>
            </w:r>
          </w:p>
        </w:tc>
        <w:tc>
          <w:tcPr>
            <w:tcW w:w="2880" w:type="dxa"/>
          </w:tcPr>
          <w:p w:rsidR="00102FDD" w:rsidRPr="00BB10D5" w:rsidRDefault="00102FDD" w:rsidP="00102FDD">
            <w:r w:rsidRPr="00BB10D5">
              <w:t>Workers’ Compensation Appeal Tribunal et al.</w:t>
            </w:r>
          </w:p>
          <w:p w:rsidR="00102FDD" w:rsidRPr="00BB10D5" w:rsidRDefault="00102FDD" w:rsidP="00102FDD"/>
          <w:p w:rsidR="00102FDD" w:rsidRPr="00BB10D5" w:rsidRDefault="00102FDD" w:rsidP="00102FDD">
            <w:r w:rsidRPr="00BB10D5">
              <w:tab/>
              <w:t>v. (36300)</w:t>
            </w:r>
          </w:p>
          <w:p w:rsidR="00102FDD" w:rsidRPr="00BB10D5" w:rsidRDefault="00102FDD" w:rsidP="00102FDD"/>
          <w:p w:rsidR="00102FDD" w:rsidRPr="00BB10D5" w:rsidRDefault="00102FDD" w:rsidP="00102FDD">
            <w:r w:rsidRPr="00BB10D5">
              <w:t xml:space="preserve">Fraser Health </w:t>
            </w:r>
            <w:proofErr w:type="spellStart"/>
            <w:r w:rsidRPr="00BB10D5">
              <w:t>Autority</w:t>
            </w:r>
            <w:proofErr w:type="spellEnd"/>
            <w:r w:rsidRPr="00BB10D5">
              <w:t xml:space="preserve"> et al. (B.C.)</w:t>
            </w:r>
          </w:p>
        </w:tc>
        <w:tc>
          <w:tcPr>
            <w:tcW w:w="1170" w:type="dxa"/>
          </w:tcPr>
          <w:p w:rsidR="00102FDD" w:rsidRPr="00BB10D5" w:rsidRDefault="00102FDD" w:rsidP="00102FDD"/>
        </w:tc>
        <w:tc>
          <w:tcPr>
            <w:tcW w:w="4327" w:type="dxa"/>
          </w:tcPr>
          <w:p w:rsidR="00102FDD" w:rsidRPr="00BB10D5" w:rsidRDefault="00102FDD" w:rsidP="00102FDD"/>
        </w:tc>
      </w:tr>
    </w:tbl>
    <w:p w:rsidR="00102FDD" w:rsidRPr="00BB10D5" w:rsidRDefault="00102FDD" w:rsidP="00102FDD">
      <w:pPr>
        <w:tabs>
          <w:tab w:val="left" w:pos="-1440"/>
          <w:tab w:val="left" w:pos="-720"/>
        </w:tabs>
        <w:jc w:val="both"/>
        <w:rPr>
          <w:rFonts w:eastAsia="Times New Roman" w:cs="Times New Roman"/>
          <w:sz w:val="20"/>
          <w:szCs w:val="20"/>
          <w:lang w:eastAsia="en-CA"/>
        </w:rPr>
      </w:pPr>
    </w:p>
    <w:p w:rsidR="00102FDD" w:rsidRPr="00BB10D5" w:rsidRDefault="00102FDD" w:rsidP="00102FDD">
      <w:pPr>
        <w:tabs>
          <w:tab w:val="left" w:pos="-1440"/>
          <w:tab w:val="left" w:pos="-720"/>
        </w:tabs>
        <w:jc w:val="both"/>
        <w:rPr>
          <w:rFonts w:eastAsia="Times New Roman" w:cs="Times New Roman"/>
          <w:sz w:val="20"/>
          <w:szCs w:val="20"/>
          <w:lang w:eastAsia="en-CA"/>
        </w:rPr>
      </w:pPr>
      <w:r w:rsidRPr="00BB10D5">
        <w:rPr>
          <w:rFonts w:eastAsia="Times New Roman" w:cs="Times New Roman"/>
          <w:b/>
          <w:sz w:val="20"/>
          <w:szCs w:val="20"/>
          <w:lang w:eastAsia="en-CA"/>
        </w:rPr>
        <w:t>ALLOWED IN PART / ACCUEILLIE EN PARTIE</w:t>
      </w:r>
    </w:p>
    <w:p w:rsidR="00102FDD" w:rsidRPr="00BB10D5" w:rsidRDefault="00102FDD" w:rsidP="00102FDD">
      <w:pPr>
        <w:tabs>
          <w:tab w:val="left" w:pos="-1440"/>
          <w:tab w:val="left" w:pos="-720"/>
        </w:tabs>
        <w:jc w:val="both"/>
        <w:rPr>
          <w:rFonts w:eastAsia="Times New Roman" w:cs="Times New Roman"/>
          <w:sz w:val="20"/>
          <w:szCs w:val="20"/>
          <w:lang w:eastAsia="en-CA"/>
        </w:rPr>
      </w:pP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b/>
          <w:bCs/>
          <w:sz w:val="20"/>
          <w:szCs w:val="20"/>
          <w:lang w:val="en-US"/>
        </w:rPr>
        <w:t xml:space="preserve">UPON APPLICATIONS </w:t>
      </w:r>
      <w:r w:rsidRPr="00BB10D5">
        <w:rPr>
          <w:rFonts w:eastAsiaTheme="minorEastAsia" w:cs="Times New Roman"/>
          <w:sz w:val="20"/>
          <w:szCs w:val="20"/>
          <w:lang w:val="en-US"/>
        </w:rPr>
        <w:t xml:space="preserve">by the Attorney General of Canada, the Attorney General for Ontario, the Ontario Network of Injured Workers’ Groups and Industrial Accident Victims’ Group of Ontario (joint), the Community Legal Assistant Society and British Columbia Federation of </w:t>
      </w:r>
      <w:proofErr w:type="spellStart"/>
      <w:r w:rsidRPr="00BB10D5">
        <w:rPr>
          <w:rFonts w:eastAsiaTheme="minorEastAsia" w:cs="Times New Roman"/>
          <w:sz w:val="20"/>
          <w:szCs w:val="20"/>
          <w:lang w:val="en-US"/>
        </w:rPr>
        <w:t>Labour</w:t>
      </w:r>
      <w:proofErr w:type="spellEnd"/>
      <w:r w:rsidRPr="00BB10D5">
        <w:rPr>
          <w:rFonts w:eastAsiaTheme="minorEastAsia" w:cs="Times New Roman"/>
          <w:sz w:val="20"/>
          <w:szCs w:val="20"/>
          <w:lang w:val="en-US"/>
        </w:rPr>
        <w:t xml:space="preserve"> (joint) and the Workers’ Compensation Board of British Columbia;</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p>
    <w:p w:rsidR="00102FDD" w:rsidRPr="00BB10D5" w:rsidRDefault="00102FDD" w:rsidP="00102FDD">
      <w:pPr>
        <w:widowControl w:val="0"/>
        <w:autoSpaceDE w:val="0"/>
        <w:autoSpaceDN w:val="0"/>
        <w:adjustRightInd w:val="0"/>
        <w:spacing w:line="233" w:lineRule="auto"/>
        <w:rPr>
          <w:rFonts w:eastAsiaTheme="minorEastAsia" w:cs="Times New Roman"/>
          <w:sz w:val="20"/>
          <w:szCs w:val="20"/>
        </w:rPr>
      </w:pPr>
      <w:r w:rsidRPr="00BB10D5">
        <w:rPr>
          <w:rFonts w:eastAsiaTheme="minorEastAsia" w:cs="Times New Roman"/>
          <w:b/>
          <w:bCs/>
          <w:sz w:val="20"/>
          <w:szCs w:val="20"/>
          <w:lang w:val="en-US"/>
        </w:rPr>
        <w:t>AND UPON APPLICATION</w:t>
      </w:r>
      <w:r w:rsidRPr="00BB10D5">
        <w:rPr>
          <w:rFonts w:eastAsiaTheme="minorEastAsia" w:cs="Times New Roman"/>
          <w:sz w:val="20"/>
          <w:szCs w:val="20"/>
          <w:lang w:val="en-US"/>
        </w:rPr>
        <w:t xml:space="preserve"> by Fraser Health Authority for an extension of time to serve and file a response and any replies to the motions for leave to intervene;</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b/>
          <w:bCs/>
          <w:sz w:val="20"/>
          <w:szCs w:val="20"/>
          <w:lang w:val="en-US"/>
        </w:rPr>
        <w:t>AND THE MATERIAL FILED</w:t>
      </w:r>
      <w:r w:rsidRPr="00BB10D5">
        <w:rPr>
          <w:rFonts w:eastAsiaTheme="minorEastAsia" w:cs="Times New Roman"/>
          <w:sz w:val="20"/>
          <w:szCs w:val="20"/>
          <w:lang w:val="en-US"/>
        </w:rPr>
        <w:t xml:space="preserve"> having been read;</w:t>
      </w:r>
    </w:p>
    <w:p w:rsidR="005D6CC9" w:rsidRPr="00BB10D5" w:rsidRDefault="005D6CC9">
      <w:pPr>
        <w:rPr>
          <w:rFonts w:eastAsiaTheme="minorEastAsia" w:cs="Times New Roman"/>
          <w:sz w:val="20"/>
          <w:szCs w:val="20"/>
          <w:lang w:val="en-US"/>
        </w:rPr>
      </w:pPr>
      <w:r w:rsidRPr="00BB10D5">
        <w:rPr>
          <w:rFonts w:eastAsiaTheme="minorEastAsia" w:cs="Times New Roman"/>
          <w:sz w:val="20"/>
          <w:szCs w:val="20"/>
          <w:lang w:val="en-US"/>
        </w:rPr>
        <w:br w:type="page"/>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b/>
          <w:bCs/>
          <w:sz w:val="20"/>
          <w:szCs w:val="20"/>
          <w:lang w:val="en-US"/>
        </w:rPr>
        <w:t>IT IS HEREBY ORDERED THAT:</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p>
    <w:p w:rsidR="00102FDD" w:rsidRPr="00BB10D5" w:rsidRDefault="00102FDD" w:rsidP="00102FDD">
      <w:pPr>
        <w:widowControl w:val="0"/>
        <w:autoSpaceDE w:val="0"/>
        <w:autoSpaceDN w:val="0"/>
        <w:adjustRightInd w:val="0"/>
        <w:spacing w:line="233" w:lineRule="auto"/>
        <w:rPr>
          <w:rFonts w:eastAsiaTheme="minorEastAsia" w:cs="Times New Roman"/>
          <w:sz w:val="20"/>
          <w:szCs w:val="20"/>
          <w:lang w:val="en-US"/>
        </w:rPr>
      </w:pPr>
      <w:r w:rsidRPr="00BB10D5">
        <w:rPr>
          <w:rFonts w:eastAsiaTheme="minorEastAsia" w:cs="Times New Roman"/>
          <w:sz w:val="20"/>
          <w:szCs w:val="20"/>
          <w:lang w:val="en-US"/>
        </w:rPr>
        <w:t>The motion for an extension of time is granted.</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sz w:val="20"/>
          <w:szCs w:val="20"/>
          <w:lang w:val="en-US"/>
        </w:rPr>
        <w:t xml:space="preserve">The motions for leave to intervene by the Attorney General of Canada, the Attorney General for Ontario, the Ontario Network of Injured Workers’ Groups and Industrial Accident Victims’ Group of Ontario (joint), the Community Legal Assistant Society and British Columbia Federation of </w:t>
      </w:r>
      <w:proofErr w:type="spellStart"/>
      <w:r w:rsidRPr="00BB10D5">
        <w:rPr>
          <w:rFonts w:eastAsiaTheme="minorEastAsia" w:cs="Times New Roman"/>
          <w:sz w:val="20"/>
          <w:szCs w:val="20"/>
          <w:lang w:val="en-US"/>
        </w:rPr>
        <w:t>Labour</w:t>
      </w:r>
      <w:proofErr w:type="spellEnd"/>
      <w:r w:rsidRPr="00BB10D5">
        <w:rPr>
          <w:rFonts w:eastAsiaTheme="minorEastAsia" w:cs="Times New Roman"/>
          <w:sz w:val="20"/>
          <w:szCs w:val="20"/>
          <w:lang w:val="en-US"/>
        </w:rPr>
        <w:t xml:space="preserve"> (joint) </w:t>
      </w:r>
      <w:r w:rsidRPr="00BB10D5">
        <w:rPr>
          <w:rFonts w:eastAsiaTheme="minorEastAsia" w:cs="Times New Roman"/>
          <w:sz w:val="20"/>
          <w:szCs w:val="20"/>
        </w:rPr>
        <w:t>are granted</w:t>
      </w:r>
      <w:r w:rsidRPr="00BB10D5">
        <w:rPr>
          <w:rFonts w:eastAsiaTheme="minorEastAsia" w:cs="Times New Roman"/>
          <w:sz w:val="20"/>
          <w:szCs w:val="20"/>
          <w:lang w:val="en-US"/>
        </w:rPr>
        <w:t xml:space="preserve"> and the said four (4) interveners or groups of interveners shall each be entitled to serve and file a factum not to exceed ten (10) pages in length in this appeal on or before January 4, 2016.</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p>
    <w:p w:rsidR="00102FDD" w:rsidRPr="00BB10D5" w:rsidRDefault="00102FDD" w:rsidP="00102FDD">
      <w:pPr>
        <w:widowControl w:val="0"/>
        <w:autoSpaceDE w:val="0"/>
        <w:autoSpaceDN w:val="0"/>
        <w:adjustRightInd w:val="0"/>
        <w:spacing w:line="232" w:lineRule="auto"/>
        <w:rPr>
          <w:rFonts w:eastAsiaTheme="minorEastAsia" w:cs="Times New Roman"/>
          <w:sz w:val="20"/>
          <w:szCs w:val="20"/>
          <w:lang w:val="en-US"/>
        </w:rPr>
      </w:pPr>
      <w:r w:rsidRPr="00BB10D5">
        <w:rPr>
          <w:rFonts w:eastAsiaTheme="minorEastAsia" w:cs="Times New Roman"/>
          <w:sz w:val="20"/>
          <w:szCs w:val="20"/>
          <w:lang w:val="en-US"/>
        </w:rPr>
        <w:t>The motion for leave to intervene by the Workers' Compensation Board of British Columbia is dismissed.</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sz w:val="20"/>
          <w:szCs w:val="20"/>
          <w:lang w:val="en-US"/>
        </w:rPr>
        <w:t>The requests to present oral argument are deferred to a date following receipt and consideration of the written arguments of the parties and the interveners.</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rPr>
      </w:pP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sz w:val="20"/>
          <w:szCs w:val="20"/>
        </w:rPr>
        <w:fldChar w:fldCharType="begin"/>
      </w:r>
      <w:r w:rsidRPr="00BB10D5">
        <w:rPr>
          <w:rFonts w:eastAsiaTheme="minorEastAsia" w:cs="Times New Roman"/>
          <w:sz w:val="20"/>
          <w:szCs w:val="20"/>
        </w:rPr>
        <w:instrText xml:space="preserve"> SEQ CHAPTER \h \r 1</w:instrText>
      </w:r>
      <w:r w:rsidRPr="00BB10D5">
        <w:rPr>
          <w:rFonts w:eastAsiaTheme="minorEastAsia" w:cs="Times New Roman"/>
          <w:sz w:val="20"/>
          <w:szCs w:val="20"/>
        </w:rPr>
        <w:fldChar w:fldCharType="end"/>
      </w:r>
      <w:r w:rsidRPr="00BB10D5">
        <w:rPr>
          <w:rFonts w:eastAsiaTheme="minorEastAsia" w:cs="Times New Roman"/>
          <w:bCs/>
          <w:sz w:val="20"/>
          <w:szCs w:val="20"/>
          <w:lang w:val="en-US"/>
        </w:rPr>
        <w:t>The interveners are not entitled to raise new issues or to adduce further evidence or otherwise to supplement the record of the parties.</w:t>
      </w: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p>
    <w:p w:rsidR="00102FDD" w:rsidRPr="00BB10D5" w:rsidRDefault="00102FDD" w:rsidP="00102FDD">
      <w:pPr>
        <w:widowControl w:val="0"/>
        <w:autoSpaceDE w:val="0"/>
        <w:autoSpaceDN w:val="0"/>
        <w:adjustRightInd w:val="0"/>
        <w:spacing w:line="232" w:lineRule="auto"/>
        <w:jc w:val="both"/>
        <w:rPr>
          <w:rFonts w:eastAsiaTheme="minorEastAsia" w:cs="Times New Roman"/>
          <w:sz w:val="20"/>
          <w:szCs w:val="20"/>
          <w:lang w:val="en-US"/>
        </w:rPr>
      </w:pPr>
      <w:r w:rsidRPr="00BB10D5">
        <w:rPr>
          <w:rFonts w:eastAsiaTheme="minorEastAsia" w:cs="Times New Roman"/>
          <w:sz w:val="20"/>
          <w:szCs w:val="20"/>
          <w:lang w:val="en-US"/>
        </w:rPr>
        <w:t>Pursuant to Rule 59(1</w:t>
      </w:r>
      <w:proofErr w:type="gramStart"/>
      <w:r w:rsidRPr="00BB10D5">
        <w:rPr>
          <w:rFonts w:eastAsiaTheme="minorEastAsia" w:cs="Times New Roman"/>
          <w:sz w:val="20"/>
          <w:szCs w:val="20"/>
          <w:lang w:val="en-US"/>
        </w:rPr>
        <w:t>)(</w:t>
      </w:r>
      <w:proofErr w:type="gramEnd"/>
      <w:r w:rsidRPr="00BB10D5">
        <w:rPr>
          <w:rFonts w:eastAsiaTheme="minorEastAsia" w:cs="Times New Roman"/>
          <w:i/>
          <w:iCs/>
          <w:sz w:val="20"/>
          <w:szCs w:val="20"/>
          <w:lang w:val="en-US"/>
        </w:rPr>
        <w:t>a</w:t>
      </w:r>
      <w:r w:rsidRPr="00BB10D5">
        <w:rPr>
          <w:rFonts w:eastAsiaTheme="minorEastAsia" w:cs="Times New Roman"/>
          <w:sz w:val="20"/>
          <w:szCs w:val="20"/>
          <w:lang w:val="en-US"/>
        </w:rPr>
        <w:t xml:space="preserve">) of the </w:t>
      </w:r>
      <w:r w:rsidRPr="00BB10D5">
        <w:rPr>
          <w:rFonts w:eastAsiaTheme="minorEastAsia" w:cs="Times New Roman"/>
          <w:i/>
          <w:iCs/>
          <w:sz w:val="20"/>
          <w:szCs w:val="20"/>
          <w:lang w:val="en-US"/>
        </w:rPr>
        <w:t>Rules of the Supreme Court of Canada</w:t>
      </w:r>
      <w:r w:rsidRPr="00BB10D5">
        <w:rPr>
          <w:rFonts w:eastAsiaTheme="minorEastAsia" w:cs="Times New Roman"/>
          <w:sz w:val="20"/>
          <w:szCs w:val="20"/>
          <w:lang w:val="en-US"/>
        </w:rPr>
        <w:t>, the interveners shall pay to the appellants and respondents any additional disbursements occasioned to the appellants and respondents by their intervention.</w:t>
      </w:r>
    </w:p>
    <w:p w:rsidR="00102FDD" w:rsidRPr="00BB10D5" w:rsidRDefault="00102FDD" w:rsidP="00102FDD">
      <w:pPr>
        <w:tabs>
          <w:tab w:val="left" w:pos="-1440"/>
          <w:tab w:val="left" w:pos="-720"/>
        </w:tabs>
        <w:jc w:val="both"/>
        <w:rPr>
          <w:rFonts w:eastAsia="Times New Roman" w:cs="Times New Roman"/>
          <w:sz w:val="20"/>
          <w:szCs w:val="20"/>
          <w:lang w:val="en-US" w:eastAsia="en-CA"/>
        </w:rPr>
      </w:pPr>
    </w:p>
    <w:p w:rsidR="00102FDD" w:rsidRPr="00BB10D5" w:rsidRDefault="00102FDD" w:rsidP="00102FDD">
      <w:pPr>
        <w:tabs>
          <w:tab w:val="left" w:pos="-1440"/>
          <w:tab w:val="left" w:pos="-720"/>
        </w:tabs>
        <w:jc w:val="both"/>
        <w:rPr>
          <w:rFonts w:eastAsia="Times New Roman" w:cs="Times New Roman"/>
          <w:sz w:val="20"/>
          <w:szCs w:val="20"/>
          <w:lang w:val="en-US" w:eastAsia="en-CA"/>
        </w:rPr>
      </w:pPr>
    </w:p>
    <w:p w:rsidR="00102FDD" w:rsidRPr="00BB10D5" w:rsidRDefault="00102FDD" w:rsidP="00102FDD">
      <w:pPr>
        <w:tabs>
          <w:tab w:val="left" w:pos="-1440"/>
          <w:tab w:val="left" w:pos="-720"/>
        </w:tabs>
        <w:jc w:val="both"/>
        <w:rPr>
          <w:rFonts w:eastAsia="Times New Roman" w:cs="Times New Roman"/>
          <w:sz w:val="20"/>
          <w:szCs w:val="20"/>
          <w:lang w:val="en-US" w:eastAsia="en-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b/>
          <w:sz w:val="20"/>
          <w:szCs w:val="20"/>
          <w:lang w:val="fr-CA"/>
        </w:rPr>
        <w:t>À LA SUITE DES DEMANDES</w:t>
      </w:r>
      <w:r w:rsidRPr="00BB10D5">
        <w:rPr>
          <w:rFonts w:eastAsiaTheme="minorEastAsia" w:cs="Times New Roman"/>
          <w:sz w:val="20"/>
          <w:szCs w:val="20"/>
          <w:lang w:val="fr-CA"/>
        </w:rPr>
        <w:t xml:space="preserve"> présentées par le procureur général du Canada, le procureur général de l’Ontario, le Ontario Network of </w:t>
      </w:r>
      <w:proofErr w:type="spellStart"/>
      <w:r w:rsidRPr="00BB10D5">
        <w:rPr>
          <w:rFonts w:eastAsiaTheme="minorEastAsia" w:cs="Times New Roman"/>
          <w:sz w:val="20"/>
          <w:szCs w:val="20"/>
          <w:lang w:val="fr-CA"/>
        </w:rPr>
        <w:t>Injured</w:t>
      </w:r>
      <w:proofErr w:type="spellEnd"/>
      <w:r w:rsidRPr="00BB10D5">
        <w:rPr>
          <w:rFonts w:eastAsiaTheme="minorEastAsia" w:cs="Times New Roman"/>
          <w:sz w:val="20"/>
          <w:szCs w:val="20"/>
          <w:lang w:val="fr-CA"/>
        </w:rPr>
        <w:t xml:space="preserve"> </w:t>
      </w:r>
      <w:proofErr w:type="spellStart"/>
      <w:r w:rsidRPr="00BB10D5">
        <w:rPr>
          <w:rFonts w:eastAsiaTheme="minorEastAsia" w:cs="Times New Roman"/>
          <w:sz w:val="20"/>
          <w:szCs w:val="20"/>
          <w:lang w:val="fr-CA"/>
        </w:rPr>
        <w:t>Workers</w:t>
      </w:r>
      <w:proofErr w:type="spellEnd"/>
      <w:r w:rsidRPr="00BB10D5">
        <w:rPr>
          <w:rFonts w:eastAsiaTheme="minorEastAsia" w:cs="Times New Roman"/>
          <w:sz w:val="20"/>
          <w:szCs w:val="20"/>
          <w:lang w:val="fr-CA"/>
        </w:rPr>
        <w:t xml:space="preserve">’ Groups et le </w:t>
      </w:r>
      <w:proofErr w:type="spellStart"/>
      <w:r w:rsidRPr="00BB10D5">
        <w:rPr>
          <w:rFonts w:eastAsiaTheme="minorEastAsia" w:cs="Times New Roman"/>
          <w:sz w:val="20"/>
          <w:szCs w:val="20"/>
          <w:lang w:val="fr-CA"/>
        </w:rPr>
        <w:t>Industrial</w:t>
      </w:r>
      <w:proofErr w:type="spellEnd"/>
      <w:r w:rsidRPr="00BB10D5">
        <w:rPr>
          <w:rFonts w:eastAsiaTheme="minorEastAsia" w:cs="Times New Roman"/>
          <w:sz w:val="20"/>
          <w:szCs w:val="20"/>
          <w:lang w:val="fr-CA"/>
        </w:rPr>
        <w:t xml:space="preserve"> Accident </w:t>
      </w:r>
      <w:proofErr w:type="spellStart"/>
      <w:r w:rsidRPr="00BB10D5">
        <w:rPr>
          <w:rFonts w:eastAsiaTheme="minorEastAsia" w:cs="Times New Roman"/>
          <w:sz w:val="20"/>
          <w:szCs w:val="20"/>
          <w:lang w:val="fr-CA"/>
        </w:rPr>
        <w:t>Victims</w:t>
      </w:r>
      <w:proofErr w:type="spellEnd"/>
      <w:r w:rsidRPr="00BB10D5">
        <w:rPr>
          <w:rFonts w:eastAsiaTheme="minorEastAsia" w:cs="Times New Roman"/>
          <w:sz w:val="20"/>
          <w:szCs w:val="20"/>
          <w:lang w:val="fr-CA"/>
        </w:rPr>
        <w:t xml:space="preserve">’ Group of Ontario (conjointement), la </w:t>
      </w:r>
      <w:proofErr w:type="spellStart"/>
      <w:r w:rsidRPr="00BB10D5">
        <w:rPr>
          <w:rFonts w:eastAsiaTheme="minorEastAsia" w:cs="Times New Roman"/>
          <w:sz w:val="20"/>
          <w:szCs w:val="20"/>
          <w:lang w:val="fr-CA"/>
        </w:rPr>
        <w:t>Community</w:t>
      </w:r>
      <w:proofErr w:type="spellEnd"/>
      <w:r w:rsidRPr="00BB10D5">
        <w:rPr>
          <w:rFonts w:eastAsiaTheme="minorEastAsia" w:cs="Times New Roman"/>
          <w:sz w:val="20"/>
          <w:szCs w:val="20"/>
          <w:lang w:val="fr-CA"/>
        </w:rPr>
        <w:t xml:space="preserve"> </w:t>
      </w:r>
      <w:proofErr w:type="spellStart"/>
      <w:r w:rsidRPr="00BB10D5">
        <w:rPr>
          <w:rFonts w:eastAsiaTheme="minorEastAsia" w:cs="Times New Roman"/>
          <w:sz w:val="20"/>
          <w:szCs w:val="20"/>
          <w:lang w:val="fr-CA"/>
        </w:rPr>
        <w:t>Legal</w:t>
      </w:r>
      <w:proofErr w:type="spellEnd"/>
      <w:r w:rsidRPr="00BB10D5">
        <w:rPr>
          <w:rFonts w:eastAsiaTheme="minorEastAsia" w:cs="Times New Roman"/>
          <w:sz w:val="20"/>
          <w:szCs w:val="20"/>
          <w:lang w:val="fr-CA"/>
        </w:rPr>
        <w:t xml:space="preserve"> Assistant Society et la British Columbia </w:t>
      </w:r>
      <w:proofErr w:type="spellStart"/>
      <w:r w:rsidRPr="00BB10D5">
        <w:rPr>
          <w:rFonts w:eastAsiaTheme="minorEastAsia" w:cs="Times New Roman"/>
          <w:sz w:val="20"/>
          <w:szCs w:val="20"/>
          <w:lang w:val="fr-CA"/>
        </w:rPr>
        <w:t>Federation</w:t>
      </w:r>
      <w:proofErr w:type="spellEnd"/>
      <w:r w:rsidRPr="00BB10D5">
        <w:rPr>
          <w:rFonts w:eastAsiaTheme="minorEastAsia" w:cs="Times New Roman"/>
          <w:sz w:val="20"/>
          <w:szCs w:val="20"/>
          <w:lang w:val="fr-CA"/>
        </w:rPr>
        <w:t xml:space="preserve"> of Labour (conjointement) et la </w:t>
      </w:r>
      <w:proofErr w:type="spellStart"/>
      <w:r w:rsidRPr="00BB10D5">
        <w:rPr>
          <w:rFonts w:eastAsiaTheme="minorEastAsia" w:cs="Times New Roman"/>
          <w:sz w:val="20"/>
          <w:szCs w:val="20"/>
          <w:lang w:val="fr-CA"/>
        </w:rPr>
        <w:t>Workers</w:t>
      </w:r>
      <w:proofErr w:type="spellEnd"/>
      <w:r w:rsidRPr="00BB10D5">
        <w:rPr>
          <w:rFonts w:eastAsiaTheme="minorEastAsia" w:cs="Times New Roman"/>
          <w:sz w:val="20"/>
          <w:szCs w:val="20"/>
          <w:lang w:val="fr-CA"/>
        </w:rPr>
        <w:t xml:space="preserve">’ Compensation </w:t>
      </w:r>
      <w:proofErr w:type="spellStart"/>
      <w:r w:rsidRPr="00BB10D5">
        <w:rPr>
          <w:rFonts w:eastAsiaTheme="minorEastAsia" w:cs="Times New Roman"/>
          <w:sz w:val="20"/>
          <w:szCs w:val="20"/>
          <w:lang w:val="fr-CA"/>
        </w:rPr>
        <w:t>Board</w:t>
      </w:r>
      <w:proofErr w:type="spellEnd"/>
      <w:r w:rsidRPr="00BB10D5">
        <w:rPr>
          <w:rFonts w:eastAsiaTheme="minorEastAsia" w:cs="Times New Roman"/>
          <w:sz w:val="20"/>
          <w:szCs w:val="20"/>
          <w:lang w:val="fr-CA"/>
        </w:rPr>
        <w:t xml:space="preserve"> of British Columbia en vue d'intervenir dans l'appel; </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3" w:lineRule="auto"/>
        <w:jc w:val="both"/>
        <w:rPr>
          <w:rFonts w:eastAsiaTheme="minorEastAsia" w:cs="Times New Roman"/>
          <w:sz w:val="20"/>
          <w:szCs w:val="20"/>
          <w:lang w:val="fr-CA"/>
        </w:rPr>
      </w:pPr>
      <w:r w:rsidRPr="00BB10D5">
        <w:rPr>
          <w:rFonts w:eastAsiaTheme="minorEastAsia" w:cs="Times New Roman"/>
          <w:b/>
          <w:bCs/>
          <w:sz w:val="20"/>
          <w:szCs w:val="20"/>
          <w:lang w:val="fr-CA"/>
        </w:rPr>
        <w:t xml:space="preserve">ET À LA SUITE DE LA DEMANDE </w:t>
      </w:r>
      <w:r w:rsidRPr="00BB10D5">
        <w:rPr>
          <w:rFonts w:eastAsiaTheme="minorEastAsia" w:cs="Times New Roman"/>
          <w:bCs/>
          <w:sz w:val="20"/>
          <w:szCs w:val="20"/>
          <w:lang w:val="fr-CA"/>
        </w:rPr>
        <w:t xml:space="preserve">présentée par la </w:t>
      </w:r>
      <w:r w:rsidRPr="00BB10D5">
        <w:rPr>
          <w:rFonts w:eastAsiaTheme="minorEastAsia" w:cs="Times New Roman"/>
          <w:sz w:val="20"/>
          <w:szCs w:val="20"/>
          <w:lang w:val="fr-CA"/>
        </w:rPr>
        <w:t xml:space="preserve">Fraser </w:t>
      </w:r>
      <w:proofErr w:type="spellStart"/>
      <w:r w:rsidRPr="00BB10D5">
        <w:rPr>
          <w:rFonts w:eastAsiaTheme="minorEastAsia" w:cs="Times New Roman"/>
          <w:sz w:val="20"/>
          <w:szCs w:val="20"/>
          <w:lang w:val="fr-CA"/>
        </w:rPr>
        <w:t>Health</w:t>
      </w:r>
      <w:proofErr w:type="spellEnd"/>
      <w:r w:rsidRPr="00BB10D5">
        <w:rPr>
          <w:rFonts w:eastAsiaTheme="minorEastAsia" w:cs="Times New Roman"/>
          <w:sz w:val="20"/>
          <w:szCs w:val="20"/>
          <w:lang w:val="fr-CA"/>
        </w:rPr>
        <w:t xml:space="preserve"> </w:t>
      </w:r>
      <w:proofErr w:type="spellStart"/>
      <w:r w:rsidRPr="00BB10D5">
        <w:rPr>
          <w:rFonts w:eastAsiaTheme="minorEastAsia" w:cs="Times New Roman"/>
          <w:sz w:val="20"/>
          <w:szCs w:val="20"/>
          <w:lang w:val="fr-CA"/>
        </w:rPr>
        <w:t>Authority</w:t>
      </w:r>
      <w:proofErr w:type="spellEnd"/>
      <w:r w:rsidRPr="00BB10D5">
        <w:rPr>
          <w:rFonts w:eastAsiaTheme="minorEastAsia" w:cs="Times New Roman"/>
          <w:sz w:val="20"/>
          <w:szCs w:val="20"/>
          <w:lang w:val="fr-CA"/>
        </w:rPr>
        <w:t xml:space="preserve"> en prorogation du délai pour signifier et déposer une réponse et des répliques éventuelles aux requêtes en intervention;</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b/>
          <w:sz w:val="20"/>
          <w:szCs w:val="20"/>
          <w:lang w:val="fr-CA"/>
        </w:rPr>
        <w:t>ET APRÈS EXAMEN</w:t>
      </w:r>
      <w:r w:rsidRPr="00BB10D5">
        <w:rPr>
          <w:rFonts w:eastAsiaTheme="minorEastAsia" w:cs="Times New Roman"/>
          <w:sz w:val="20"/>
          <w:szCs w:val="20"/>
          <w:lang w:val="fr-CA"/>
        </w:rPr>
        <w:t xml:space="preserve"> des documents déposés; </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b/>
          <w:sz w:val="20"/>
          <w:szCs w:val="20"/>
          <w:lang w:val="fr-CA"/>
        </w:rPr>
      </w:pPr>
      <w:r w:rsidRPr="00BB10D5">
        <w:rPr>
          <w:rFonts w:eastAsiaTheme="minorEastAsia" w:cs="Times New Roman"/>
          <w:b/>
          <w:sz w:val="20"/>
          <w:szCs w:val="20"/>
          <w:lang w:val="fr-CA"/>
        </w:rPr>
        <w:t xml:space="preserve">IL EST ORDONNÉ CE QUI SUIT : </w:t>
      </w:r>
    </w:p>
    <w:p w:rsidR="001D409C" w:rsidRPr="00BB10D5" w:rsidRDefault="001D409C" w:rsidP="001D409C">
      <w:pPr>
        <w:widowControl w:val="0"/>
        <w:autoSpaceDE w:val="0"/>
        <w:autoSpaceDN w:val="0"/>
        <w:adjustRightInd w:val="0"/>
        <w:spacing w:line="232" w:lineRule="auto"/>
        <w:jc w:val="both"/>
        <w:rPr>
          <w:rFonts w:eastAsiaTheme="minorEastAsia" w:cs="Times New Roman"/>
          <w:b/>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sz w:val="20"/>
          <w:szCs w:val="20"/>
          <w:lang w:val="fr-CA"/>
        </w:rPr>
        <w:t xml:space="preserve">La requête en prorogation de délai est accueillie. </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sz w:val="20"/>
          <w:szCs w:val="20"/>
          <w:lang w:val="fr-CA"/>
        </w:rPr>
        <w:t xml:space="preserve">Les requêtes en vue d'intervenir présentées par le procureur général du Canada, le procureur général de l’Ontario, le Ontario Network of </w:t>
      </w:r>
      <w:proofErr w:type="spellStart"/>
      <w:r w:rsidRPr="00BB10D5">
        <w:rPr>
          <w:rFonts w:eastAsiaTheme="minorEastAsia" w:cs="Times New Roman"/>
          <w:sz w:val="20"/>
          <w:szCs w:val="20"/>
          <w:lang w:val="fr-CA"/>
        </w:rPr>
        <w:t>Injured</w:t>
      </w:r>
      <w:proofErr w:type="spellEnd"/>
      <w:r w:rsidRPr="00BB10D5">
        <w:rPr>
          <w:rFonts w:eastAsiaTheme="minorEastAsia" w:cs="Times New Roman"/>
          <w:sz w:val="20"/>
          <w:szCs w:val="20"/>
          <w:lang w:val="fr-CA"/>
        </w:rPr>
        <w:t xml:space="preserve"> </w:t>
      </w:r>
      <w:proofErr w:type="spellStart"/>
      <w:r w:rsidRPr="00BB10D5">
        <w:rPr>
          <w:rFonts w:eastAsiaTheme="minorEastAsia" w:cs="Times New Roman"/>
          <w:sz w:val="20"/>
          <w:szCs w:val="20"/>
          <w:lang w:val="fr-CA"/>
        </w:rPr>
        <w:t>Workers</w:t>
      </w:r>
      <w:proofErr w:type="spellEnd"/>
      <w:r w:rsidRPr="00BB10D5">
        <w:rPr>
          <w:rFonts w:eastAsiaTheme="minorEastAsia" w:cs="Times New Roman"/>
          <w:sz w:val="20"/>
          <w:szCs w:val="20"/>
          <w:lang w:val="fr-CA"/>
        </w:rPr>
        <w:t xml:space="preserve">’ Groups et le </w:t>
      </w:r>
      <w:proofErr w:type="spellStart"/>
      <w:r w:rsidRPr="00BB10D5">
        <w:rPr>
          <w:rFonts w:eastAsiaTheme="minorEastAsia" w:cs="Times New Roman"/>
          <w:sz w:val="20"/>
          <w:szCs w:val="20"/>
          <w:lang w:val="fr-CA"/>
        </w:rPr>
        <w:t>Industrial</w:t>
      </w:r>
      <w:proofErr w:type="spellEnd"/>
      <w:r w:rsidRPr="00BB10D5">
        <w:rPr>
          <w:rFonts w:eastAsiaTheme="minorEastAsia" w:cs="Times New Roman"/>
          <w:sz w:val="20"/>
          <w:szCs w:val="20"/>
          <w:lang w:val="fr-CA"/>
        </w:rPr>
        <w:t xml:space="preserve"> Accident </w:t>
      </w:r>
      <w:proofErr w:type="spellStart"/>
      <w:r w:rsidRPr="00BB10D5">
        <w:rPr>
          <w:rFonts w:eastAsiaTheme="minorEastAsia" w:cs="Times New Roman"/>
          <w:sz w:val="20"/>
          <w:szCs w:val="20"/>
          <w:lang w:val="fr-CA"/>
        </w:rPr>
        <w:t>Victims</w:t>
      </w:r>
      <w:proofErr w:type="spellEnd"/>
      <w:r w:rsidRPr="00BB10D5">
        <w:rPr>
          <w:rFonts w:eastAsiaTheme="minorEastAsia" w:cs="Times New Roman"/>
          <w:sz w:val="20"/>
          <w:szCs w:val="20"/>
          <w:lang w:val="fr-CA"/>
        </w:rPr>
        <w:t xml:space="preserve">’ Group of Ontario (conjointement) et la </w:t>
      </w:r>
      <w:proofErr w:type="spellStart"/>
      <w:r w:rsidRPr="00BB10D5">
        <w:rPr>
          <w:rFonts w:eastAsiaTheme="minorEastAsia" w:cs="Times New Roman"/>
          <w:sz w:val="20"/>
          <w:szCs w:val="20"/>
          <w:lang w:val="fr-CA"/>
        </w:rPr>
        <w:t>Community</w:t>
      </w:r>
      <w:proofErr w:type="spellEnd"/>
      <w:r w:rsidRPr="00BB10D5">
        <w:rPr>
          <w:rFonts w:eastAsiaTheme="minorEastAsia" w:cs="Times New Roman"/>
          <w:sz w:val="20"/>
          <w:szCs w:val="20"/>
          <w:lang w:val="fr-CA"/>
        </w:rPr>
        <w:t xml:space="preserve"> </w:t>
      </w:r>
      <w:proofErr w:type="spellStart"/>
      <w:r w:rsidRPr="00BB10D5">
        <w:rPr>
          <w:rFonts w:eastAsiaTheme="minorEastAsia" w:cs="Times New Roman"/>
          <w:sz w:val="20"/>
          <w:szCs w:val="20"/>
          <w:lang w:val="fr-CA"/>
        </w:rPr>
        <w:t>Legal</w:t>
      </w:r>
      <w:proofErr w:type="spellEnd"/>
      <w:r w:rsidRPr="00BB10D5">
        <w:rPr>
          <w:rFonts w:eastAsiaTheme="minorEastAsia" w:cs="Times New Roman"/>
          <w:sz w:val="20"/>
          <w:szCs w:val="20"/>
          <w:lang w:val="fr-CA"/>
        </w:rPr>
        <w:t xml:space="preserve"> Assistant Society et la British Columbia </w:t>
      </w:r>
      <w:proofErr w:type="spellStart"/>
      <w:r w:rsidRPr="00BB10D5">
        <w:rPr>
          <w:rFonts w:eastAsiaTheme="minorEastAsia" w:cs="Times New Roman"/>
          <w:sz w:val="20"/>
          <w:szCs w:val="20"/>
          <w:lang w:val="fr-CA"/>
        </w:rPr>
        <w:t>Federation</w:t>
      </w:r>
      <w:proofErr w:type="spellEnd"/>
      <w:r w:rsidRPr="00BB10D5">
        <w:rPr>
          <w:rFonts w:eastAsiaTheme="minorEastAsia" w:cs="Times New Roman"/>
          <w:sz w:val="20"/>
          <w:szCs w:val="20"/>
          <w:lang w:val="fr-CA"/>
        </w:rPr>
        <w:t xml:space="preserve"> of Labour (conjointement) sont accueillies et chacun de ces quatre (4) intervenants ou groupe d'intervenants pourra signifier et déposer un mémoire d'au plus 10 pages au plus tard le 4 janvier 2016. </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sz w:val="20"/>
          <w:szCs w:val="20"/>
          <w:lang w:val="fr-CA"/>
        </w:rPr>
        <w:t xml:space="preserve">La requête en vue d’intervenir présentée par la </w:t>
      </w:r>
      <w:proofErr w:type="spellStart"/>
      <w:r w:rsidRPr="00BB10D5">
        <w:rPr>
          <w:rFonts w:eastAsiaTheme="minorEastAsia" w:cs="Times New Roman"/>
          <w:sz w:val="20"/>
          <w:szCs w:val="20"/>
          <w:lang w:val="fr-CA"/>
        </w:rPr>
        <w:t>Workers</w:t>
      </w:r>
      <w:proofErr w:type="spellEnd"/>
      <w:r w:rsidRPr="00BB10D5">
        <w:rPr>
          <w:rFonts w:eastAsiaTheme="minorEastAsia" w:cs="Times New Roman"/>
          <w:sz w:val="20"/>
          <w:szCs w:val="20"/>
          <w:lang w:val="fr-CA"/>
        </w:rPr>
        <w:t xml:space="preserve">’ Compensation </w:t>
      </w:r>
      <w:proofErr w:type="spellStart"/>
      <w:r w:rsidRPr="00BB10D5">
        <w:rPr>
          <w:rFonts w:eastAsiaTheme="minorEastAsia" w:cs="Times New Roman"/>
          <w:sz w:val="20"/>
          <w:szCs w:val="20"/>
          <w:lang w:val="fr-CA"/>
        </w:rPr>
        <w:t>Board</w:t>
      </w:r>
      <w:proofErr w:type="spellEnd"/>
      <w:r w:rsidRPr="00BB10D5">
        <w:rPr>
          <w:rFonts w:eastAsiaTheme="minorEastAsia" w:cs="Times New Roman"/>
          <w:sz w:val="20"/>
          <w:szCs w:val="20"/>
          <w:lang w:val="fr-CA"/>
        </w:rPr>
        <w:t xml:space="preserve"> of British Columbia est rejetée. </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sz w:val="20"/>
          <w:szCs w:val="20"/>
          <w:lang w:val="fr-CA"/>
        </w:rPr>
        <w:t>La décision sur les demandes en vue de présenter une plaidoirie orale sera rendue après réception et examen des arguments écrits des parties et des intervenants.</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sz w:val="20"/>
          <w:szCs w:val="20"/>
          <w:lang w:val="fr-CA"/>
        </w:rPr>
        <w:t>Les intervenants n'ont pas le droit de soulever de nouvelles questions, de produire d'autres éléments de preuve ni de compléter de quelque autre façon le dossier des parties.</w:t>
      </w: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p>
    <w:p w:rsidR="001D409C" w:rsidRPr="00BB10D5" w:rsidRDefault="001D409C" w:rsidP="001D409C">
      <w:pPr>
        <w:widowControl w:val="0"/>
        <w:autoSpaceDE w:val="0"/>
        <w:autoSpaceDN w:val="0"/>
        <w:adjustRightInd w:val="0"/>
        <w:spacing w:line="232" w:lineRule="auto"/>
        <w:jc w:val="both"/>
        <w:rPr>
          <w:rFonts w:eastAsiaTheme="minorEastAsia" w:cs="Times New Roman"/>
          <w:sz w:val="20"/>
          <w:szCs w:val="20"/>
          <w:lang w:val="fr-CA"/>
        </w:rPr>
      </w:pPr>
      <w:r w:rsidRPr="00BB10D5">
        <w:rPr>
          <w:rFonts w:eastAsiaTheme="minorEastAsia" w:cs="Times New Roman"/>
          <w:sz w:val="20"/>
          <w:szCs w:val="20"/>
          <w:lang w:val="fr-CA"/>
        </w:rPr>
        <w:t>Conformément à l'alinéa 59(1)</w:t>
      </w:r>
      <w:r w:rsidRPr="00BB10D5">
        <w:rPr>
          <w:rFonts w:eastAsiaTheme="minorEastAsia" w:cs="Times New Roman"/>
          <w:i/>
          <w:sz w:val="20"/>
          <w:szCs w:val="20"/>
          <w:lang w:val="fr-CA"/>
        </w:rPr>
        <w:t>a</w:t>
      </w:r>
      <w:r w:rsidRPr="00BB10D5">
        <w:rPr>
          <w:rFonts w:eastAsiaTheme="minorEastAsia" w:cs="Times New Roman"/>
          <w:sz w:val="20"/>
          <w:szCs w:val="20"/>
          <w:lang w:val="fr-CA"/>
        </w:rPr>
        <w:t xml:space="preserve">) des </w:t>
      </w:r>
      <w:r w:rsidRPr="00BB10D5">
        <w:rPr>
          <w:rFonts w:eastAsiaTheme="minorEastAsia" w:cs="Times New Roman"/>
          <w:i/>
          <w:sz w:val="20"/>
          <w:szCs w:val="20"/>
          <w:lang w:val="fr-CA"/>
        </w:rPr>
        <w:t>Règles de la Cour suprême du Canada</w:t>
      </w:r>
      <w:r w:rsidRPr="00BB10D5">
        <w:rPr>
          <w:rFonts w:eastAsiaTheme="minorEastAsia" w:cs="Times New Roman"/>
          <w:sz w:val="20"/>
          <w:szCs w:val="20"/>
          <w:lang w:val="fr-CA"/>
        </w:rPr>
        <w:t>, les intervenants paieront aux appelants et aux intimés tous débours supplémentaires résultant de leur intervention.</w:t>
      </w:r>
    </w:p>
    <w:p w:rsidR="00102FDD" w:rsidRPr="00BB10D5" w:rsidRDefault="00102FDD" w:rsidP="00102FDD">
      <w:pPr>
        <w:spacing w:line="233" w:lineRule="auto"/>
        <w:jc w:val="both"/>
        <w:rPr>
          <w:rFonts w:eastAsia="Times New Roman" w:cs="Times New Roman"/>
          <w:sz w:val="20"/>
          <w:szCs w:val="20"/>
          <w:lang w:val="fr-FR" w:eastAsia="en-CA"/>
        </w:rPr>
      </w:pPr>
    </w:p>
    <w:p w:rsidR="00102FDD" w:rsidRPr="00BB10D5" w:rsidRDefault="00B150CF" w:rsidP="00102FDD">
      <w:pPr>
        <w:tabs>
          <w:tab w:val="left" w:pos="-1440"/>
          <w:tab w:val="left" w:pos="-720"/>
        </w:tabs>
        <w:jc w:val="both"/>
        <w:rPr>
          <w:rFonts w:eastAsia="Times New Roman" w:cs="Times New Roman"/>
          <w:sz w:val="20"/>
          <w:szCs w:val="20"/>
          <w:lang w:val="fr-CA" w:eastAsia="en-CA"/>
        </w:rPr>
      </w:pPr>
      <w:r>
        <w:rPr>
          <w:rFonts w:eastAsia="Times New Roman" w:cs="Times New Roman"/>
          <w:sz w:val="20"/>
          <w:szCs w:val="20"/>
          <w:lang w:val="fr-CA" w:eastAsia="en-CA"/>
        </w:rPr>
        <w:pict>
          <v:rect id="_x0000_i1056" style="width:2in;height:1pt" o:hrpct="0" o:hralign="center" o:hrstd="t" o:hrnoshade="t" o:hr="t" fillcolor="black [3213]" stroked="f"/>
        </w:pict>
      </w:r>
    </w:p>
    <w:p w:rsidR="001D409C" w:rsidRPr="00BB10D5" w:rsidRDefault="001D409C">
      <w:pPr>
        <w:rPr>
          <w:rFonts w:eastAsia="Times New Roman" w:cs="Times New Roman"/>
          <w:sz w:val="20"/>
          <w:szCs w:val="20"/>
          <w:lang w:val="fr-CA" w:eastAsia="en-CA"/>
        </w:rPr>
      </w:pPr>
      <w:r w:rsidRPr="00BB10D5">
        <w:rPr>
          <w:rFonts w:eastAsia="Times New Roman" w:cs="Times New Roman"/>
          <w:sz w:val="20"/>
          <w:szCs w:val="20"/>
          <w:lang w:val="fr-CA" w:eastAsia="en-CA"/>
        </w:rPr>
        <w:br w:type="page"/>
      </w:r>
    </w:p>
    <w:p w:rsidR="00102FDD" w:rsidRPr="00BB10D5" w:rsidRDefault="00102FDD" w:rsidP="00102FDD">
      <w:pPr>
        <w:tabs>
          <w:tab w:val="left" w:pos="-1440"/>
          <w:tab w:val="left" w:pos="-720"/>
        </w:tabs>
        <w:jc w:val="both"/>
        <w:rPr>
          <w:rFonts w:eastAsia="Times New Roman" w:cs="Times New Roman"/>
          <w:sz w:val="20"/>
          <w:szCs w:val="20"/>
          <w:lang w:val="fr-CA" w:eastAsia="en-CA"/>
        </w:rPr>
      </w:pPr>
      <w:r w:rsidRPr="00BB10D5">
        <w:rPr>
          <w:rFonts w:eastAsia="Times New Roman" w:cs="Times New Roman"/>
          <w:sz w:val="20"/>
          <w:szCs w:val="20"/>
          <w:lang w:val="fr-CA" w:eastAsia="en-CA"/>
        </w:rPr>
        <w:t>26.11.2015</w:t>
      </w:r>
    </w:p>
    <w:p w:rsidR="00102FDD" w:rsidRPr="00BB10D5" w:rsidRDefault="00102FDD" w:rsidP="00102FDD">
      <w:pPr>
        <w:tabs>
          <w:tab w:val="left" w:pos="-1440"/>
          <w:tab w:val="left" w:pos="-720"/>
        </w:tabs>
        <w:jc w:val="both"/>
        <w:rPr>
          <w:rFonts w:eastAsia="Times New Roman" w:cs="Times New Roman"/>
          <w:sz w:val="20"/>
          <w:szCs w:val="20"/>
          <w:lang w:val="fr-CA" w:eastAsia="en-CA"/>
        </w:rPr>
      </w:pPr>
    </w:p>
    <w:p w:rsidR="00102FDD" w:rsidRPr="00BB10D5" w:rsidRDefault="00102FDD" w:rsidP="00102FDD">
      <w:pPr>
        <w:tabs>
          <w:tab w:val="left" w:pos="-1440"/>
          <w:tab w:val="left" w:pos="-720"/>
        </w:tabs>
        <w:jc w:val="both"/>
        <w:rPr>
          <w:rFonts w:eastAsia="Times New Roman" w:cs="Times New Roman"/>
          <w:sz w:val="20"/>
          <w:szCs w:val="20"/>
          <w:lang w:val="fr-CA" w:eastAsia="en-CA"/>
        </w:rPr>
      </w:pPr>
      <w:proofErr w:type="spellStart"/>
      <w:r w:rsidRPr="00BB10D5">
        <w:rPr>
          <w:rFonts w:eastAsia="Times New Roman" w:cs="Times New Roman"/>
          <w:sz w:val="20"/>
          <w:szCs w:val="20"/>
          <w:lang w:val="fr-CA" w:eastAsia="en-CA"/>
        </w:rPr>
        <w:t>Before</w:t>
      </w:r>
      <w:proofErr w:type="spellEnd"/>
      <w:r w:rsidRPr="00BB10D5">
        <w:rPr>
          <w:rFonts w:eastAsia="Times New Roman" w:cs="Times New Roman"/>
          <w:sz w:val="20"/>
          <w:szCs w:val="20"/>
          <w:lang w:val="fr-CA" w:eastAsia="en-CA"/>
        </w:rPr>
        <w:t xml:space="preserve"> / Devant :   WAGNER J. / LE JUGE WAGNER</w:t>
      </w:r>
    </w:p>
    <w:p w:rsidR="00102FDD" w:rsidRPr="00BB10D5" w:rsidRDefault="00102FDD" w:rsidP="00102FDD">
      <w:pPr>
        <w:jc w:val="both"/>
        <w:rPr>
          <w:rFonts w:eastAsia="Times New Roman" w:cs="Times New Roman"/>
          <w:sz w:val="20"/>
          <w:szCs w:val="20"/>
          <w:lang w:val="fr-CA" w:eastAsia="en-C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822"/>
        <w:gridCol w:w="1138"/>
        <w:gridCol w:w="4224"/>
      </w:tblGrid>
      <w:tr w:rsidR="00102FDD" w:rsidRPr="00BB10D5" w:rsidTr="00373255">
        <w:tc>
          <w:tcPr>
            <w:tcW w:w="4338" w:type="dxa"/>
            <w:gridSpan w:val="2"/>
          </w:tcPr>
          <w:p w:rsidR="00102FDD" w:rsidRPr="00BB10D5" w:rsidRDefault="00102FDD" w:rsidP="00102FDD">
            <w:pPr>
              <w:rPr>
                <w:b/>
              </w:rPr>
            </w:pPr>
            <w:r w:rsidRPr="00BB10D5">
              <w:rPr>
                <w:b/>
                <w:lang w:val="en-US"/>
              </w:rPr>
              <w:t xml:space="preserve">Order on interventions with respect to oral argument </w:t>
            </w:r>
            <w:r w:rsidRPr="00BB10D5">
              <w:rPr>
                <w:szCs w:val="24"/>
                <w:lang w:val="en-US"/>
              </w:rPr>
              <w:fldChar w:fldCharType="begin"/>
            </w:r>
            <w:r w:rsidRPr="00BB10D5">
              <w:rPr>
                <w:szCs w:val="24"/>
              </w:rPr>
              <w:instrText xml:space="preserve"> SEQ CHAPTER \h \r 1</w:instrText>
            </w:r>
            <w:r w:rsidRPr="00BB10D5">
              <w:rPr>
                <w:szCs w:val="24"/>
                <w:lang w:val="en-US"/>
              </w:rPr>
              <w:fldChar w:fldCharType="end"/>
            </w:r>
          </w:p>
        </w:tc>
        <w:tc>
          <w:tcPr>
            <w:tcW w:w="1170" w:type="dxa"/>
          </w:tcPr>
          <w:p w:rsidR="00102FDD" w:rsidRPr="00BB10D5" w:rsidRDefault="00102FDD" w:rsidP="00102FDD"/>
          <w:p w:rsidR="00102FDD" w:rsidRPr="00BB10D5" w:rsidRDefault="00102FDD" w:rsidP="00102FDD"/>
          <w:p w:rsidR="00102FDD" w:rsidRPr="00BB10D5" w:rsidRDefault="00102FDD" w:rsidP="00102FDD"/>
        </w:tc>
        <w:tc>
          <w:tcPr>
            <w:tcW w:w="4327" w:type="dxa"/>
          </w:tcPr>
          <w:p w:rsidR="00102FDD" w:rsidRPr="00BB10D5" w:rsidRDefault="00102FDD" w:rsidP="00102FDD">
            <w:pPr>
              <w:rPr>
                <w:b/>
              </w:rPr>
            </w:pPr>
            <w:r w:rsidRPr="00BB10D5">
              <w:rPr>
                <w:b/>
                <w:lang w:val="fr-CA"/>
              </w:rPr>
              <w:t>Ordonnance relative à la présentation d’une plaidoirie orale par les intervenants</w:t>
            </w:r>
          </w:p>
        </w:tc>
      </w:tr>
      <w:tr w:rsidR="00102FDD" w:rsidRPr="00BB10D5" w:rsidTr="00373255">
        <w:trPr>
          <w:trHeight w:hRule="exact" w:val="360"/>
        </w:trPr>
        <w:tc>
          <w:tcPr>
            <w:tcW w:w="1458" w:type="dxa"/>
          </w:tcPr>
          <w:p w:rsidR="00102FDD" w:rsidRPr="00BB10D5" w:rsidRDefault="00102FDD" w:rsidP="00102FDD">
            <w:r w:rsidRPr="00BB10D5">
              <w:t>BY / PAR</w:t>
            </w:r>
          </w:p>
        </w:tc>
        <w:tc>
          <w:tcPr>
            <w:tcW w:w="2880" w:type="dxa"/>
          </w:tcPr>
          <w:p w:rsidR="00102FDD" w:rsidRPr="00BB10D5" w:rsidRDefault="00102FDD" w:rsidP="00102FDD">
            <w:r w:rsidRPr="00BB10D5">
              <w:rPr>
                <w:lang w:val="en-US"/>
              </w:rPr>
              <w:t>Railway Association of Canada</w:t>
            </w:r>
          </w:p>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c>
          <w:tcPr>
            <w:tcW w:w="1458" w:type="dxa"/>
          </w:tcPr>
          <w:p w:rsidR="00102FDD" w:rsidRPr="00BB10D5" w:rsidRDefault="00102FDD" w:rsidP="00102FDD"/>
        </w:tc>
        <w:tc>
          <w:tcPr>
            <w:tcW w:w="2880" w:type="dxa"/>
          </w:tcPr>
          <w:p w:rsidR="00102FDD" w:rsidRPr="00BB10D5" w:rsidRDefault="00102FDD" w:rsidP="00102FDD"/>
        </w:tc>
        <w:tc>
          <w:tcPr>
            <w:tcW w:w="1170" w:type="dxa"/>
          </w:tcPr>
          <w:p w:rsidR="00102FDD" w:rsidRPr="00BB10D5" w:rsidRDefault="00102FDD" w:rsidP="00102FDD"/>
        </w:tc>
        <w:tc>
          <w:tcPr>
            <w:tcW w:w="4327" w:type="dxa"/>
          </w:tcPr>
          <w:p w:rsidR="00102FDD" w:rsidRPr="00BB10D5" w:rsidRDefault="00102FDD" w:rsidP="00102FDD"/>
        </w:tc>
      </w:tr>
      <w:tr w:rsidR="00102FDD" w:rsidRPr="00BB10D5" w:rsidTr="00373255">
        <w:tc>
          <w:tcPr>
            <w:tcW w:w="1458" w:type="dxa"/>
          </w:tcPr>
          <w:p w:rsidR="00102FDD" w:rsidRPr="00BB10D5" w:rsidRDefault="00102FDD" w:rsidP="00102FDD">
            <w:r w:rsidRPr="00BB10D5">
              <w:t>IN / DANS :</w:t>
            </w:r>
          </w:p>
        </w:tc>
        <w:tc>
          <w:tcPr>
            <w:tcW w:w="2880" w:type="dxa"/>
          </w:tcPr>
          <w:p w:rsidR="00102FDD" w:rsidRPr="00BB10D5" w:rsidRDefault="00102FDD" w:rsidP="00102FDD">
            <w:r w:rsidRPr="00BB10D5">
              <w:t>Canadian Pacific Railway Company</w:t>
            </w:r>
          </w:p>
          <w:p w:rsidR="00102FDD" w:rsidRPr="00BB10D5" w:rsidRDefault="00102FDD" w:rsidP="00102FDD"/>
          <w:p w:rsidR="00102FDD" w:rsidRPr="00BB10D5" w:rsidRDefault="00102FDD" w:rsidP="00102FDD">
            <w:r w:rsidRPr="00BB10D5">
              <w:tab/>
              <w:t>v. (36223)</w:t>
            </w:r>
          </w:p>
          <w:p w:rsidR="00102FDD" w:rsidRPr="00BB10D5" w:rsidRDefault="00102FDD" w:rsidP="00102FDD"/>
          <w:p w:rsidR="00102FDD" w:rsidRPr="00BB10D5" w:rsidRDefault="00102FDD" w:rsidP="00102FDD">
            <w:r w:rsidRPr="00BB10D5">
              <w:t>Attorney General of Canada et al. (F.C.)</w:t>
            </w:r>
          </w:p>
        </w:tc>
        <w:tc>
          <w:tcPr>
            <w:tcW w:w="1170" w:type="dxa"/>
          </w:tcPr>
          <w:p w:rsidR="00102FDD" w:rsidRPr="00BB10D5" w:rsidRDefault="00102FDD" w:rsidP="00102FDD"/>
        </w:tc>
        <w:tc>
          <w:tcPr>
            <w:tcW w:w="4327" w:type="dxa"/>
          </w:tcPr>
          <w:p w:rsidR="00102FDD" w:rsidRPr="00BB10D5" w:rsidRDefault="00102FDD" w:rsidP="00102FDD"/>
        </w:tc>
      </w:tr>
    </w:tbl>
    <w:p w:rsidR="00102FDD" w:rsidRPr="00BB10D5" w:rsidRDefault="00102FDD" w:rsidP="00102FDD">
      <w:pPr>
        <w:jc w:val="both"/>
        <w:rPr>
          <w:rFonts w:eastAsia="Times New Roman" w:cs="Times New Roman"/>
          <w:sz w:val="20"/>
          <w:szCs w:val="20"/>
          <w:lang w:eastAsia="en-CA"/>
        </w:rPr>
      </w:pPr>
    </w:p>
    <w:p w:rsidR="00102FDD" w:rsidRPr="00BB10D5" w:rsidRDefault="00102FDD" w:rsidP="00102FDD">
      <w:pPr>
        <w:spacing w:line="233" w:lineRule="auto"/>
        <w:rPr>
          <w:rFonts w:eastAsia="Times New Roman" w:cs="Times New Roman"/>
          <w:b/>
          <w:bCs/>
          <w:sz w:val="20"/>
          <w:szCs w:val="20"/>
          <w:lang w:val="en-US" w:eastAsia="en-CA"/>
        </w:rPr>
      </w:pPr>
      <w:r w:rsidRPr="00BB10D5">
        <w:rPr>
          <w:rFonts w:eastAsia="Times New Roman" w:cs="Times New Roman"/>
          <w:b/>
          <w:bCs/>
          <w:sz w:val="20"/>
          <w:szCs w:val="20"/>
          <w:lang w:val="en-US" w:eastAsia="en-CA"/>
        </w:rPr>
        <w:t xml:space="preserve">FURTHER TO THE ORDER </w:t>
      </w:r>
      <w:r w:rsidRPr="00BB10D5">
        <w:rPr>
          <w:rFonts w:eastAsia="Times New Roman" w:cs="Times New Roman"/>
          <w:bCs/>
          <w:sz w:val="20"/>
          <w:szCs w:val="20"/>
          <w:lang w:val="en-US" w:eastAsia="en-CA"/>
        </w:rPr>
        <w:t>dated October 22, 2015, granting leave to intervene to</w:t>
      </w:r>
      <w:r w:rsidRPr="00BB10D5">
        <w:rPr>
          <w:rFonts w:eastAsia="Times New Roman" w:cs="Times New Roman"/>
          <w:sz w:val="20"/>
          <w:szCs w:val="20"/>
          <w:lang w:val="en-US" w:eastAsia="en-CA"/>
        </w:rPr>
        <w:t xml:space="preserve"> the Railway Association of Canada</w:t>
      </w:r>
      <w:r w:rsidRPr="00BB10D5">
        <w:rPr>
          <w:rFonts w:eastAsia="Times New Roman" w:cs="Times New Roman"/>
          <w:bCs/>
          <w:sz w:val="20"/>
          <w:szCs w:val="20"/>
          <w:lang w:val="en-US" w:eastAsia="en-CA"/>
        </w:rPr>
        <w:t>;</w:t>
      </w:r>
    </w:p>
    <w:p w:rsidR="00102FDD" w:rsidRPr="00BB10D5" w:rsidRDefault="00102FDD" w:rsidP="00102FDD">
      <w:pPr>
        <w:spacing w:line="233" w:lineRule="auto"/>
        <w:rPr>
          <w:rFonts w:eastAsia="Times New Roman" w:cs="Times New Roman"/>
          <w:b/>
          <w:bCs/>
          <w:sz w:val="20"/>
          <w:szCs w:val="20"/>
          <w:lang w:val="en-US" w:eastAsia="en-CA"/>
        </w:rPr>
      </w:pPr>
    </w:p>
    <w:p w:rsidR="00102FDD" w:rsidRPr="00BB10D5" w:rsidRDefault="00102FDD" w:rsidP="00102FDD">
      <w:pPr>
        <w:spacing w:line="233" w:lineRule="auto"/>
        <w:rPr>
          <w:rFonts w:eastAsia="Times New Roman" w:cs="Times New Roman"/>
          <w:sz w:val="20"/>
          <w:szCs w:val="20"/>
          <w:lang w:val="en-US" w:eastAsia="en-CA"/>
        </w:rPr>
      </w:pPr>
      <w:r w:rsidRPr="00BB10D5">
        <w:rPr>
          <w:rFonts w:eastAsia="Times New Roman" w:cs="Times New Roman"/>
          <w:b/>
          <w:bCs/>
          <w:sz w:val="20"/>
          <w:szCs w:val="20"/>
          <w:lang w:val="en-US" w:eastAsia="en-CA"/>
        </w:rPr>
        <w:t xml:space="preserve">IT IS HEREBY FURTHER ORDERED THAT </w:t>
      </w:r>
      <w:r w:rsidRPr="00BB10D5">
        <w:rPr>
          <w:rFonts w:eastAsia="Times New Roman" w:cs="Times New Roman"/>
          <w:bCs/>
          <w:sz w:val="20"/>
          <w:szCs w:val="20"/>
          <w:lang w:val="en-US" w:eastAsia="en-CA"/>
        </w:rPr>
        <w:t>the said intervener is granted permission to present oral argument not exceeding ten (10) minutes at the hearing of the appeal.</w:t>
      </w:r>
    </w:p>
    <w:p w:rsidR="00102FDD" w:rsidRPr="00BB10D5" w:rsidRDefault="00102FDD" w:rsidP="00102FDD">
      <w:pPr>
        <w:spacing w:line="233" w:lineRule="auto"/>
        <w:jc w:val="both"/>
        <w:rPr>
          <w:rFonts w:eastAsia="Times New Roman" w:cs="Times New Roman"/>
          <w:sz w:val="20"/>
          <w:szCs w:val="20"/>
          <w:lang w:val="en-US" w:eastAsia="en-CA"/>
        </w:rPr>
      </w:pPr>
    </w:p>
    <w:p w:rsidR="00102FDD" w:rsidRPr="00BB10D5" w:rsidRDefault="00102FDD" w:rsidP="00102FDD">
      <w:pPr>
        <w:spacing w:line="233" w:lineRule="auto"/>
        <w:jc w:val="both"/>
        <w:rPr>
          <w:rFonts w:eastAsia="Times New Roman" w:cs="Times New Roman"/>
          <w:sz w:val="20"/>
          <w:szCs w:val="20"/>
          <w:lang w:val="en-US" w:eastAsia="en-CA"/>
        </w:rPr>
      </w:pPr>
    </w:p>
    <w:p w:rsidR="00102FDD" w:rsidRPr="00BB10D5" w:rsidRDefault="00102FDD" w:rsidP="00102FDD">
      <w:pPr>
        <w:spacing w:line="233" w:lineRule="auto"/>
        <w:jc w:val="both"/>
        <w:rPr>
          <w:rFonts w:eastAsia="Times New Roman" w:cs="Times New Roman"/>
          <w:sz w:val="20"/>
          <w:szCs w:val="20"/>
          <w:lang w:val="en-US" w:eastAsia="en-CA"/>
        </w:rPr>
      </w:pPr>
    </w:p>
    <w:p w:rsidR="00A702A1" w:rsidRPr="00BB10D5" w:rsidRDefault="00A702A1" w:rsidP="00A702A1">
      <w:pPr>
        <w:autoSpaceDE w:val="0"/>
        <w:autoSpaceDN w:val="0"/>
        <w:adjustRightInd w:val="0"/>
        <w:jc w:val="both"/>
        <w:rPr>
          <w:rFonts w:eastAsiaTheme="minorEastAsia" w:cs="Times New Roman"/>
          <w:bCs/>
          <w:sz w:val="20"/>
          <w:szCs w:val="20"/>
          <w:lang w:val="fr-CA"/>
        </w:rPr>
      </w:pPr>
      <w:r w:rsidRPr="00BB10D5">
        <w:rPr>
          <w:rFonts w:eastAsiaTheme="minorEastAsia" w:cs="Times New Roman"/>
          <w:b/>
          <w:bCs/>
          <w:sz w:val="20"/>
          <w:szCs w:val="20"/>
          <w:lang w:val="fr-CA"/>
        </w:rPr>
        <w:t xml:space="preserve">À LA SUITE DE L'ORDONNANCE </w:t>
      </w:r>
      <w:r w:rsidRPr="00BB10D5">
        <w:rPr>
          <w:rFonts w:eastAsiaTheme="minorEastAsia" w:cs="Times New Roman"/>
          <w:bCs/>
          <w:sz w:val="20"/>
          <w:szCs w:val="20"/>
          <w:lang w:val="fr-CA"/>
        </w:rPr>
        <w:t>datée du 22 octobre 2015 autorisant L’Association des chemins de fer du Canada à intervenir;</w:t>
      </w:r>
    </w:p>
    <w:p w:rsidR="00A702A1" w:rsidRPr="00BB10D5" w:rsidRDefault="00A702A1" w:rsidP="00A702A1">
      <w:pPr>
        <w:autoSpaceDE w:val="0"/>
        <w:autoSpaceDN w:val="0"/>
        <w:adjustRightInd w:val="0"/>
        <w:jc w:val="both"/>
        <w:rPr>
          <w:rFonts w:eastAsiaTheme="minorEastAsia" w:cs="Times New Roman"/>
          <w:b/>
          <w:bCs/>
          <w:sz w:val="20"/>
          <w:szCs w:val="20"/>
          <w:lang w:val="fr-CA"/>
        </w:rPr>
      </w:pPr>
    </w:p>
    <w:p w:rsidR="00A702A1" w:rsidRPr="00BB10D5" w:rsidRDefault="00A702A1" w:rsidP="00A702A1">
      <w:pPr>
        <w:autoSpaceDE w:val="0"/>
        <w:autoSpaceDN w:val="0"/>
        <w:adjustRightInd w:val="0"/>
        <w:jc w:val="both"/>
        <w:rPr>
          <w:rFonts w:eastAsiaTheme="minorEastAsia" w:cs="Times New Roman"/>
          <w:bCs/>
          <w:sz w:val="20"/>
          <w:szCs w:val="20"/>
          <w:lang w:val="fr-CA"/>
        </w:rPr>
      </w:pPr>
      <w:r w:rsidRPr="00BB10D5">
        <w:rPr>
          <w:rFonts w:eastAsiaTheme="minorEastAsia" w:cs="Times New Roman"/>
          <w:b/>
          <w:bCs/>
          <w:sz w:val="20"/>
          <w:szCs w:val="20"/>
          <w:lang w:val="fr-CA"/>
        </w:rPr>
        <w:t>IL EST EN OUTRE ORDONNÉ QUE</w:t>
      </w:r>
      <w:r w:rsidRPr="00BB10D5">
        <w:rPr>
          <w:rFonts w:eastAsiaTheme="minorEastAsia" w:cs="Times New Roman"/>
          <w:bCs/>
          <w:sz w:val="20"/>
          <w:szCs w:val="20"/>
          <w:lang w:val="fr-CA"/>
        </w:rPr>
        <w:t xml:space="preserve"> ladite intervenante est autorisée à présenter une plaidoirie orale d'au plus dix (10) minutes lors de l'audition de l'appel.</w:t>
      </w:r>
    </w:p>
    <w:p w:rsidR="00102FDD" w:rsidRPr="00BB10D5" w:rsidRDefault="00102FDD" w:rsidP="00102FDD">
      <w:pPr>
        <w:spacing w:line="233" w:lineRule="auto"/>
        <w:jc w:val="both"/>
        <w:rPr>
          <w:rFonts w:eastAsia="Times New Roman" w:cs="Times New Roman"/>
          <w:sz w:val="20"/>
          <w:szCs w:val="20"/>
          <w:lang w:val="fr-CA" w:eastAsia="en-CA"/>
        </w:rPr>
      </w:pPr>
    </w:p>
    <w:p w:rsidR="00102FDD" w:rsidRPr="00102FDD" w:rsidRDefault="00B150CF" w:rsidP="00102FDD">
      <w:pPr>
        <w:spacing w:line="233" w:lineRule="auto"/>
        <w:jc w:val="both"/>
        <w:rPr>
          <w:rFonts w:eastAsia="Times New Roman" w:cs="Times New Roman"/>
          <w:sz w:val="20"/>
          <w:szCs w:val="20"/>
          <w:lang w:val="fr-CA" w:eastAsia="en-CA"/>
        </w:rPr>
      </w:pPr>
      <w:r>
        <w:rPr>
          <w:rFonts w:eastAsia="Times New Roman" w:cs="Times New Roman"/>
          <w:sz w:val="20"/>
          <w:szCs w:val="20"/>
          <w:lang w:val="fr-CA" w:eastAsia="en-CA"/>
        </w:rPr>
        <w:pict>
          <v:rect id="_x0000_i1057" style="width:2in;height:1pt" o:hrpct="0" o:hralign="center" o:hrstd="t" o:hrnoshade="t" o:hr="t" fillcolor="black [3213]" stroked="f"/>
        </w:pict>
      </w:r>
    </w:p>
    <w:p w:rsidR="00102FDD" w:rsidRPr="00102FDD" w:rsidRDefault="00102FDD" w:rsidP="00102FDD">
      <w:pPr>
        <w:spacing w:line="233" w:lineRule="auto"/>
        <w:jc w:val="both"/>
        <w:rPr>
          <w:rFonts w:eastAsia="Times New Roman" w:cs="Times New Roman"/>
          <w:sz w:val="20"/>
          <w:szCs w:val="20"/>
          <w:lang w:val="en-US" w:eastAsia="en-CA"/>
        </w:rPr>
      </w:pPr>
    </w:p>
    <w:p w:rsidR="00CA2DEA" w:rsidRPr="003B3977" w:rsidRDefault="00CA2DEA" w:rsidP="0010587F">
      <w:pPr>
        <w:tabs>
          <w:tab w:val="left" w:pos="-1440"/>
          <w:tab w:val="left" w:pos="-720"/>
        </w:tabs>
        <w:jc w:val="both"/>
        <w:rPr>
          <w:sz w:val="20"/>
          <w:szCs w:val="20"/>
          <w:lang w:val="fr-CA"/>
        </w:rPr>
      </w:pP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68"/>
          <w:headerReference w:type="default" r:id="rId69"/>
          <w:footerReference w:type="even" r:id="rId70"/>
          <w:footerReference w:type="default" r:id="rId71"/>
          <w:headerReference w:type="first" r:id="rId72"/>
          <w:footerReference w:type="first" r:id="rId73"/>
          <w:pgSz w:w="12240" w:h="15840"/>
          <w:pgMar w:top="720" w:right="965" w:bottom="1080" w:left="1656" w:header="720" w:footer="965" w:gutter="0"/>
          <w:cols w:space="720"/>
          <w:titlePg/>
          <w:docGrid w:linePitch="326"/>
        </w:sectPr>
      </w:pPr>
    </w:p>
    <w:tbl>
      <w:tblPr>
        <w:tblW w:w="9630" w:type="dxa"/>
        <w:tblBorders>
          <w:bottom w:val="single" w:sz="12"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F40249" w:rsidRPr="00FB4A2E" w:rsidTr="00EB2B90">
        <w:tc>
          <w:tcPr>
            <w:tcW w:w="4200" w:type="dxa"/>
            <w:shd w:val="clear" w:color="auto" w:fill="auto"/>
            <w:tcMar>
              <w:left w:w="0" w:type="dxa"/>
              <w:right w:w="0" w:type="dxa"/>
            </w:tcMar>
          </w:tcPr>
          <w:p w:rsidR="00F40249" w:rsidRPr="002D72EB" w:rsidRDefault="00F40249" w:rsidP="00EB2B90">
            <w:pPr>
              <w:rPr>
                <w:b/>
                <w:szCs w:val="24"/>
              </w:rPr>
            </w:pPr>
            <w:r w:rsidRPr="002D72EB">
              <w:rPr>
                <w:b/>
                <w:szCs w:val="24"/>
              </w:rPr>
              <w:t>NOTICES OF APPEAL FILED SINCE LAST ISSUE</w:t>
            </w:r>
          </w:p>
        </w:tc>
        <w:tc>
          <w:tcPr>
            <w:tcW w:w="1200" w:type="dxa"/>
            <w:shd w:val="clear" w:color="auto" w:fill="auto"/>
            <w:tcMar>
              <w:left w:w="0" w:type="dxa"/>
              <w:right w:w="0" w:type="dxa"/>
            </w:tcMar>
          </w:tcPr>
          <w:p w:rsidR="00F40249" w:rsidRPr="002D72EB" w:rsidRDefault="00F40249" w:rsidP="00F40249">
            <w:pPr>
              <w:jc w:val="center"/>
              <w:rPr>
                <w:szCs w:val="24"/>
              </w:rPr>
            </w:pPr>
          </w:p>
          <w:p w:rsidR="00F33CCE" w:rsidRPr="002D72EB" w:rsidRDefault="00F33CCE" w:rsidP="00F40249">
            <w:pPr>
              <w:jc w:val="center"/>
              <w:rPr>
                <w:szCs w:val="24"/>
              </w:rPr>
            </w:pPr>
          </w:p>
          <w:p w:rsidR="00F33CCE" w:rsidRPr="002D72EB" w:rsidRDefault="00F33CCE" w:rsidP="00F40249">
            <w:pPr>
              <w:jc w:val="center"/>
              <w:rPr>
                <w:szCs w:val="24"/>
              </w:rPr>
            </w:pPr>
          </w:p>
        </w:tc>
        <w:tc>
          <w:tcPr>
            <w:tcW w:w="4230" w:type="dxa"/>
            <w:shd w:val="clear" w:color="auto" w:fill="auto"/>
            <w:tcMar>
              <w:left w:w="0" w:type="dxa"/>
              <w:right w:w="0" w:type="dxa"/>
            </w:tcMar>
          </w:tcPr>
          <w:p w:rsidR="00F40249" w:rsidRPr="002D72EB" w:rsidRDefault="00F40249" w:rsidP="00EB2B90">
            <w:pPr>
              <w:rPr>
                <w:b/>
                <w:szCs w:val="24"/>
                <w:lang w:val="fr-CA"/>
              </w:rPr>
            </w:pPr>
            <w:r w:rsidRPr="002D72EB">
              <w:rPr>
                <w:b/>
                <w:szCs w:val="24"/>
                <w:lang w:val="fr-CA"/>
              </w:rPr>
              <w:t>AVIS D’APPEL DÉPOSÉS DEPUIS LA DERNIÈRE PARUTION</w:t>
            </w:r>
          </w:p>
        </w:tc>
      </w:tr>
    </w:tbl>
    <w:p w:rsidR="00F40249" w:rsidRPr="00C50A5C" w:rsidRDefault="00F40249" w:rsidP="00F40249">
      <w:pPr>
        <w:rPr>
          <w:sz w:val="20"/>
          <w:szCs w:val="20"/>
          <w:lang w:val="fr-CA"/>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E10FC0" w:rsidTr="005F1ED8">
        <w:trPr>
          <w:cantSplit/>
        </w:trPr>
        <w:tc>
          <w:tcPr>
            <w:tcW w:w="2206" w:type="pct"/>
            <w:tcMar>
              <w:left w:w="0" w:type="dxa"/>
              <w:right w:w="0" w:type="dxa"/>
            </w:tcMar>
          </w:tcPr>
          <w:p w:rsidR="002C1142" w:rsidRPr="00E10FC0" w:rsidRDefault="005774EA" w:rsidP="002C1142">
            <w:pPr>
              <w:rPr>
                <w:sz w:val="20"/>
                <w:szCs w:val="20"/>
                <w:lang w:val="fr-CA"/>
              </w:rPr>
            </w:pPr>
            <w:r w:rsidRPr="00E10FC0">
              <w:rPr>
                <w:sz w:val="20"/>
                <w:szCs w:val="20"/>
                <w:lang w:val="fr-CA"/>
              </w:rPr>
              <w:t>24</w:t>
            </w:r>
            <w:r w:rsidR="002C1142" w:rsidRPr="00E10FC0">
              <w:rPr>
                <w:sz w:val="20"/>
                <w:szCs w:val="20"/>
                <w:lang w:val="fr-CA"/>
              </w:rPr>
              <w:t>.1</w:t>
            </w:r>
            <w:r w:rsidRPr="00E10FC0">
              <w:rPr>
                <w:sz w:val="20"/>
                <w:szCs w:val="20"/>
                <w:lang w:val="fr-CA"/>
              </w:rPr>
              <w:t>1</w:t>
            </w:r>
            <w:r w:rsidR="002C1142" w:rsidRPr="00E10FC0">
              <w:rPr>
                <w:sz w:val="20"/>
                <w:szCs w:val="20"/>
                <w:lang w:val="fr-CA"/>
              </w:rPr>
              <w:t>.201</w:t>
            </w:r>
            <w:r w:rsidRPr="00E10FC0">
              <w:rPr>
                <w:sz w:val="20"/>
                <w:szCs w:val="20"/>
                <w:lang w:val="fr-CA"/>
              </w:rPr>
              <w:t>5</w:t>
            </w:r>
          </w:p>
          <w:p w:rsidR="002C1142" w:rsidRPr="00E10FC0" w:rsidRDefault="002C1142" w:rsidP="002C1142">
            <w:pPr>
              <w:rPr>
                <w:sz w:val="20"/>
                <w:szCs w:val="20"/>
                <w:lang w:val="fr-CA"/>
              </w:rPr>
            </w:pPr>
          </w:p>
          <w:p w:rsidR="002C1142" w:rsidRPr="00E10FC0" w:rsidRDefault="005774EA" w:rsidP="002C1142">
            <w:pPr>
              <w:rPr>
                <w:b/>
                <w:sz w:val="20"/>
                <w:szCs w:val="20"/>
                <w:lang w:val="fr-CA"/>
              </w:rPr>
            </w:pPr>
            <w:r w:rsidRPr="00E10FC0">
              <w:rPr>
                <w:b/>
                <w:sz w:val="20"/>
                <w:szCs w:val="20"/>
                <w:lang w:val="fr-CA"/>
              </w:rPr>
              <w:t xml:space="preserve">Groupe Jean </w:t>
            </w:r>
            <w:proofErr w:type="spellStart"/>
            <w:r w:rsidRPr="00E10FC0">
              <w:rPr>
                <w:b/>
                <w:sz w:val="20"/>
                <w:szCs w:val="20"/>
                <w:lang w:val="fr-CA"/>
              </w:rPr>
              <w:t>Coutu</w:t>
            </w:r>
            <w:proofErr w:type="spellEnd"/>
            <w:r w:rsidRPr="00E10FC0">
              <w:rPr>
                <w:b/>
                <w:sz w:val="20"/>
                <w:szCs w:val="20"/>
                <w:lang w:val="fr-CA"/>
              </w:rPr>
              <w:t xml:space="preserve"> (PJC) </w:t>
            </w:r>
            <w:proofErr w:type="spellStart"/>
            <w:r w:rsidRPr="00E10FC0">
              <w:rPr>
                <w:b/>
                <w:sz w:val="20"/>
                <w:szCs w:val="20"/>
                <w:lang w:val="fr-CA"/>
              </w:rPr>
              <w:t>inc.</w:t>
            </w:r>
            <w:proofErr w:type="spellEnd"/>
          </w:p>
          <w:p w:rsidR="002C1142" w:rsidRPr="00E10FC0" w:rsidRDefault="002C1142" w:rsidP="002C1142">
            <w:pPr>
              <w:rPr>
                <w:b/>
                <w:sz w:val="20"/>
                <w:szCs w:val="20"/>
                <w:lang w:val="fr-CA"/>
              </w:rPr>
            </w:pPr>
          </w:p>
          <w:p w:rsidR="002C1142" w:rsidRPr="00E10FC0" w:rsidRDefault="002C1142" w:rsidP="002C1142">
            <w:pPr>
              <w:rPr>
                <w:b/>
                <w:sz w:val="20"/>
                <w:szCs w:val="20"/>
                <w:lang w:val="fr-CA"/>
              </w:rPr>
            </w:pPr>
            <w:r w:rsidRPr="00E10FC0">
              <w:rPr>
                <w:b/>
                <w:sz w:val="20"/>
                <w:szCs w:val="20"/>
                <w:lang w:val="fr-CA"/>
              </w:rPr>
              <w:tab/>
              <w:t>c. (3</w:t>
            </w:r>
            <w:r w:rsidR="005774EA" w:rsidRPr="00E10FC0">
              <w:rPr>
                <w:b/>
                <w:sz w:val="20"/>
                <w:szCs w:val="20"/>
                <w:lang w:val="fr-CA"/>
              </w:rPr>
              <w:t>6505</w:t>
            </w:r>
            <w:r w:rsidRPr="00E10FC0">
              <w:rPr>
                <w:b/>
                <w:sz w:val="20"/>
                <w:szCs w:val="20"/>
                <w:lang w:val="fr-CA"/>
              </w:rPr>
              <w:t>)</w:t>
            </w:r>
          </w:p>
          <w:p w:rsidR="002C1142" w:rsidRPr="00E10FC0" w:rsidRDefault="002C1142" w:rsidP="002C1142">
            <w:pPr>
              <w:rPr>
                <w:b/>
                <w:sz w:val="20"/>
                <w:szCs w:val="20"/>
                <w:lang w:val="fr-CA"/>
              </w:rPr>
            </w:pPr>
          </w:p>
          <w:p w:rsidR="002C1142" w:rsidRPr="00E10FC0" w:rsidRDefault="002C1142" w:rsidP="002C1142">
            <w:pPr>
              <w:rPr>
                <w:b/>
                <w:sz w:val="20"/>
                <w:szCs w:val="20"/>
                <w:lang w:val="fr-CA"/>
              </w:rPr>
            </w:pPr>
            <w:r w:rsidRPr="00E10FC0">
              <w:rPr>
                <w:b/>
                <w:sz w:val="20"/>
                <w:szCs w:val="20"/>
                <w:lang w:val="fr-CA"/>
              </w:rPr>
              <w:t>Procureur général du Canada (</w:t>
            </w:r>
            <w:proofErr w:type="spellStart"/>
            <w:r w:rsidRPr="00E10FC0">
              <w:rPr>
                <w:b/>
                <w:sz w:val="20"/>
                <w:szCs w:val="20"/>
                <w:lang w:val="fr-CA"/>
              </w:rPr>
              <w:t>Qc</w:t>
            </w:r>
            <w:proofErr w:type="spellEnd"/>
            <w:r w:rsidRPr="00E10FC0">
              <w:rPr>
                <w:b/>
                <w:sz w:val="20"/>
                <w:szCs w:val="20"/>
                <w:lang w:val="fr-CA"/>
              </w:rPr>
              <w:t>)</w:t>
            </w:r>
          </w:p>
          <w:p w:rsidR="002C1142" w:rsidRPr="00E10FC0" w:rsidRDefault="002C1142" w:rsidP="002C1142">
            <w:pPr>
              <w:rPr>
                <w:sz w:val="20"/>
                <w:szCs w:val="20"/>
                <w:lang w:val="fr-CA"/>
              </w:rPr>
            </w:pPr>
          </w:p>
          <w:p w:rsidR="002C1142" w:rsidRPr="00E10FC0" w:rsidRDefault="002C1142" w:rsidP="002C1142">
            <w:pPr>
              <w:rPr>
                <w:sz w:val="20"/>
                <w:szCs w:val="20"/>
              </w:rPr>
            </w:pPr>
            <w:r w:rsidRPr="00E10FC0">
              <w:rPr>
                <w:sz w:val="20"/>
                <w:szCs w:val="20"/>
              </w:rPr>
              <w:t>(</w:t>
            </w:r>
            <w:proofErr w:type="spellStart"/>
            <w:r w:rsidRPr="00E10FC0">
              <w:rPr>
                <w:sz w:val="20"/>
                <w:szCs w:val="20"/>
              </w:rPr>
              <w:t>Autorisation</w:t>
            </w:r>
            <w:proofErr w:type="spellEnd"/>
            <w:r w:rsidRPr="00E10FC0">
              <w:rPr>
                <w:sz w:val="20"/>
                <w:szCs w:val="20"/>
              </w:rPr>
              <w:t>)</w:t>
            </w:r>
          </w:p>
          <w:p w:rsidR="002C1142" w:rsidRPr="00E10FC0" w:rsidRDefault="002C1142" w:rsidP="002C1142">
            <w:pPr>
              <w:rPr>
                <w:sz w:val="20"/>
                <w:szCs w:val="20"/>
              </w:rPr>
            </w:pPr>
          </w:p>
          <w:p w:rsidR="0086340B" w:rsidRPr="00E10FC0" w:rsidRDefault="00B150CF" w:rsidP="002C1142">
            <w:pPr>
              <w:rPr>
                <w:sz w:val="20"/>
                <w:szCs w:val="20"/>
                <w:lang w:val="fr-CA"/>
              </w:rPr>
            </w:pPr>
            <w:r>
              <w:rPr>
                <w:sz w:val="20"/>
                <w:szCs w:val="20"/>
                <w:lang w:val="fr-CA"/>
              </w:rPr>
              <w:pict>
                <v:rect id="_x0000_i1060" style="width:106.1pt;height:1pt" o:hrpct="500" o:hralign="center" o:hrstd="t" o:hrnoshade="t" o:hr="t" fillcolor="black [3213]" stroked="f"/>
              </w:pict>
            </w:r>
          </w:p>
        </w:tc>
        <w:tc>
          <w:tcPr>
            <w:tcW w:w="588" w:type="pct"/>
          </w:tcPr>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5F1ED8">
            <w:pPr>
              <w:jc w:val="center"/>
              <w:rPr>
                <w:sz w:val="20"/>
                <w:szCs w:val="20"/>
              </w:rPr>
            </w:pPr>
          </w:p>
          <w:p w:rsidR="0086340B" w:rsidRPr="00E10FC0" w:rsidRDefault="0086340B" w:rsidP="002C1142">
            <w:pPr>
              <w:rPr>
                <w:sz w:val="20"/>
                <w:szCs w:val="20"/>
              </w:rPr>
            </w:pPr>
          </w:p>
        </w:tc>
        <w:tc>
          <w:tcPr>
            <w:tcW w:w="2206" w:type="pct"/>
          </w:tcPr>
          <w:p w:rsidR="0086340B" w:rsidRPr="00E10FC0" w:rsidRDefault="0086340B" w:rsidP="005F1ED8">
            <w:pPr>
              <w:rPr>
                <w:sz w:val="20"/>
                <w:szCs w:val="20"/>
              </w:rPr>
            </w:pPr>
          </w:p>
        </w:tc>
      </w:tr>
    </w:tbl>
    <w:p w:rsidR="00F40249" w:rsidRPr="00E10FC0" w:rsidRDefault="00F40249" w:rsidP="00F40249">
      <w:pPr>
        <w:rPr>
          <w:sz w:val="20"/>
          <w:szCs w:val="20"/>
        </w:rPr>
      </w:pPr>
    </w:p>
    <w:p w:rsidR="0010587F" w:rsidRPr="00E10FC0" w:rsidRDefault="0010587F" w:rsidP="00F40249">
      <w:pPr>
        <w:rPr>
          <w:sz w:val="20"/>
          <w:szCs w:val="20"/>
        </w:rPr>
      </w:pPr>
    </w:p>
    <w:p w:rsidR="00EB2B90" w:rsidRPr="00E10FC0" w:rsidRDefault="00EB2B90" w:rsidP="00F40249">
      <w:pPr>
        <w:rPr>
          <w:sz w:val="20"/>
          <w:szCs w:val="20"/>
        </w:rPr>
        <w:sectPr w:rsidR="00EB2B90" w:rsidRPr="00E10FC0" w:rsidSect="00F40249">
          <w:headerReference w:type="even" r:id="rId74"/>
          <w:headerReference w:type="default" r:id="rId75"/>
          <w:footerReference w:type="even" r:id="rId76"/>
          <w:footerReference w:type="default" r:id="rId77"/>
          <w:headerReference w:type="first" r:id="rId78"/>
          <w:footerReference w:type="first" r:id="rId79"/>
          <w:pgSz w:w="12240" w:h="15840"/>
          <w:pgMar w:top="720" w:right="965" w:bottom="1080" w:left="1656" w:header="720" w:footer="965" w:gutter="0"/>
          <w:cols w:space="720"/>
          <w:titlePg/>
          <w:docGrid w:linePitch="326"/>
        </w:sectPr>
      </w:pPr>
    </w:p>
    <w:tbl>
      <w:tblPr>
        <w:tblW w:w="9720" w:type="dxa"/>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080"/>
        <w:gridCol w:w="4410"/>
      </w:tblGrid>
      <w:tr w:rsidR="00802863" w:rsidRPr="00E10FC0" w:rsidTr="0085476B">
        <w:tc>
          <w:tcPr>
            <w:tcW w:w="4230" w:type="dxa"/>
            <w:shd w:val="clear" w:color="auto" w:fill="auto"/>
            <w:tcMar>
              <w:left w:w="0" w:type="dxa"/>
              <w:right w:w="0" w:type="dxa"/>
            </w:tcMar>
          </w:tcPr>
          <w:p w:rsidR="00802863" w:rsidRPr="00E10FC0" w:rsidRDefault="00802863" w:rsidP="00697C62">
            <w:pPr>
              <w:rPr>
                <w:b/>
                <w:szCs w:val="24"/>
              </w:rPr>
            </w:pPr>
            <w:r w:rsidRPr="00E10FC0">
              <w:rPr>
                <w:b/>
                <w:szCs w:val="24"/>
              </w:rPr>
              <w:t>NOTICES OF DISCONTINUANCE FILED SINCE LAST ISSUE</w:t>
            </w:r>
          </w:p>
        </w:tc>
        <w:tc>
          <w:tcPr>
            <w:tcW w:w="1080" w:type="dxa"/>
            <w:shd w:val="clear" w:color="auto" w:fill="auto"/>
            <w:tcMar>
              <w:left w:w="0" w:type="dxa"/>
              <w:right w:w="0" w:type="dxa"/>
            </w:tcMar>
          </w:tcPr>
          <w:p w:rsidR="00802863" w:rsidRPr="00E10FC0" w:rsidRDefault="00802863" w:rsidP="00802863">
            <w:pPr>
              <w:jc w:val="center"/>
              <w:rPr>
                <w:b/>
                <w:szCs w:val="24"/>
              </w:rPr>
            </w:pPr>
          </w:p>
          <w:p w:rsidR="00802863" w:rsidRPr="00E10FC0" w:rsidRDefault="00802863" w:rsidP="00802863">
            <w:pPr>
              <w:jc w:val="center"/>
              <w:rPr>
                <w:b/>
                <w:szCs w:val="24"/>
              </w:rPr>
            </w:pPr>
          </w:p>
          <w:p w:rsidR="00802863" w:rsidRPr="00E10FC0" w:rsidRDefault="00802863" w:rsidP="00802863">
            <w:pPr>
              <w:jc w:val="center"/>
              <w:rPr>
                <w:b/>
                <w:szCs w:val="24"/>
              </w:rPr>
            </w:pPr>
          </w:p>
        </w:tc>
        <w:tc>
          <w:tcPr>
            <w:tcW w:w="4410" w:type="dxa"/>
            <w:shd w:val="clear" w:color="auto" w:fill="auto"/>
            <w:tcMar>
              <w:left w:w="0" w:type="dxa"/>
              <w:right w:w="0" w:type="dxa"/>
            </w:tcMar>
          </w:tcPr>
          <w:p w:rsidR="00802863" w:rsidRPr="00E10FC0" w:rsidRDefault="00802863" w:rsidP="00697C62">
            <w:pPr>
              <w:rPr>
                <w:b/>
                <w:szCs w:val="24"/>
                <w:lang w:val="fr-CA"/>
              </w:rPr>
            </w:pPr>
            <w:r w:rsidRPr="00E10FC0">
              <w:rPr>
                <w:b/>
                <w:szCs w:val="24"/>
                <w:lang w:val="fr-CA"/>
              </w:rPr>
              <w:t>AVIS DE DÉSISTEMENT DÉPOSÉS DEPUIS LA DERNIÈRE PARUTION</w:t>
            </w:r>
          </w:p>
        </w:tc>
      </w:tr>
    </w:tbl>
    <w:p w:rsidR="00802863" w:rsidRPr="00E10FC0" w:rsidRDefault="00802863" w:rsidP="00802863">
      <w:pPr>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1042"/>
        <w:gridCol w:w="4326"/>
      </w:tblGrid>
      <w:tr w:rsidR="00802863" w:rsidRPr="00C50A5C" w:rsidTr="000E5B31">
        <w:trPr>
          <w:cantSplit/>
        </w:trPr>
        <w:tc>
          <w:tcPr>
            <w:tcW w:w="4251" w:type="dxa"/>
            <w:shd w:val="clear" w:color="auto" w:fill="auto"/>
          </w:tcPr>
          <w:p w:rsidR="00C1697B" w:rsidRPr="00E10FC0" w:rsidRDefault="000E5B31" w:rsidP="00C1697B">
            <w:pPr>
              <w:rPr>
                <w:sz w:val="20"/>
                <w:szCs w:val="20"/>
              </w:rPr>
            </w:pPr>
            <w:r w:rsidRPr="00E10FC0">
              <w:rPr>
                <w:sz w:val="20"/>
                <w:szCs w:val="20"/>
              </w:rPr>
              <w:t>2</w:t>
            </w:r>
            <w:r w:rsidR="00C1697B" w:rsidRPr="00E10FC0">
              <w:rPr>
                <w:sz w:val="20"/>
                <w:szCs w:val="20"/>
              </w:rPr>
              <w:t>7.</w:t>
            </w:r>
            <w:r w:rsidRPr="00E10FC0">
              <w:rPr>
                <w:sz w:val="20"/>
                <w:szCs w:val="20"/>
              </w:rPr>
              <w:t>11</w:t>
            </w:r>
            <w:r w:rsidR="00C1697B" w:rsidRPr="00E10FC0">
              <w:rPr>
                <w:sz w:val="20"/>
                <w:szCs w:val="20"/>
              </w:rPr>
              <w:t>.201</w:t>
            </w:r>
            <w:r w:rsidRPr="00E10FC0">
              <w:rPr>
                <w:sz w:val="20"/>
                <w:szCs w:val="20"/>
              </w:rPr>
              <w:t>5</w:t>
            </w:r>
          </w:p>
          <w:p w:rsidR="00C1697B" w:rsidRPr="00E10FC0" w:rsidRDefault="00C1697B" w:rsidP="00C1697B">
            <w:pPr>
              <w:rPr>
                <w:sz w:val="20"/>
                <w:szCs w:val="20"/>
              </w:rPr>
            </w:pPr>
          </w:p>
          <w:p w:rsidR="00C1697B" w:rsidRPr="00E10FC0" w:rsidRDefault="000E5B31" w:rsidP="00C1697B">
            <w:pPr>
              <w:rPr>
                <w:b/>
                <w:sz w:val="20"/>
                <w:szCs w:val="20"/>
              </w:rPr>
            </w:pPr>
            <w:r w:rsidRPr="00E10FC0">
              <w:rPr>
                <w:b/>
                <w:sz w:val="20"/>
                <w:szCs w:val="20"/>
              </w:rPr>
              <w:t>The Cash House Inc.</w:t>
            </w:r>
          </w:p>
          <w:p w:rsidR="00C1697B" w:rsidRPr="00E10FC0" w:rsidRDefault="00C1697B" w:rsidP="00C1697B">
            <w:pPr>
              <w:rPr>
                <w:b/>
                <w:sz w:val="20"/>
                <w:szCs w:val="20"/>
              </w:rPr>
            </w:pPr>
          </w:p>
          <w:p w:rsidR="00C1697B" w:rsidRPr="00E10FC0" w:rsidRDefault="00C1697B" w:rsidP="00C1697B">
            <w:pPr>
              <w:rPr>
                <w:b/>
                <w:sz w:val="20"/>
                <w:szCs w:val="20"/>
              </w:rPr>
            </w:pPr>
            <w:r w:rsidRPr="00E10FC0">
              <w:rPr>
                <w:b/>
                <w:sz w:val="20"/>
                <w:szCs w:val="20"/>
              </w:rPr>
              <w:tab/>
              <w:t>v. (3</w:t>
            </w:r>
            <w:r w:rsidR="000D1CAF">
              <w:rPr>
                <w:b/>
                <w:sz w:val="20"/>
                <w:szCs w:val="20"/>
              </w:rPr>
              <w:t>6</w:t>
            </w:r>
            <w:r w:rsidRPr="00E10FC0">
              <w:rPr>
                <w:b/>
                <w:sz w:val="20"/>
                <w:szCs w:val="20"/>
              </w:rPr>
              <w:t>69</w:t>
            </w:r>
            <w:r w:rsidR="000E5B31" w:rsidRPr="00E10FC0">
              <w:rPr>
                <w:b/>
                <w:sz w:val="20"/>
                <w:szCs w:val="20"/>
              </w:rPr>
              <w:t>9</w:t>
            </w:r>
            <w:r w:rsidRPr="00E10FC0">
              <w:rPr>
                <w:b/>
                <w:sz w:val="20"/>
                <w:szCs w:val="20"/>
              </w:rPr>
              <w:t>)</w:t>
            </w:r>
          </w:p>
          <w:p w:rsidR="00C1697B" w:rsidRPr="00E10FC0" w:rsidRDefault="00C1697B" w:rsidP="00C1697B">
            <w:pPr>
              <w:rPr>
                <w:b/>
                <w:sz w:val="20"/>
                <w:szCs w:val="20"/>
              </w:rPr>
            </w:pPr>
          </w:p>
          <w:p w:rsidR="00C1697B" w:rsidRPr="00E10FC0" w:rsidRDefault="000E5B31" w:rsidP="00C1697B">
            <w:pPr>
              <w:rPr>
                <w:b/>
                <w:sz w:val="20"/>
                <w:szCs w:val="20"/>
              </w:rPr>
            </w:pPr>
            <w:r w:rsidRPr="00E10FC0">
              <w:rPr>
                <w:b/>
                <w:sz w:val="20"/>
                <w:szCs w:val="20"/>
              </w:rPr>
              <w:t xml:space="preserve">Andrew </w:t>
            </w:r>
            <w:proofErr w:type="spellStart"/>
            <w:r w:rsidRPr="00E10FC0">
              <w:rPr>
                <w:b/>
                <w:sz w:val="20"/>
                <w:szCs w:val="20"/>
              </w:rPr>
              <w:t>Mantella</w:t>
            </w:r>
            <w:proofErr w:type="spellEnd"/>
            <w:r w:rsidRPr="00E10FC0">
              <w:rPr>
                <w:b/>
                <w:sz w:val="20"/>
                <w:szCs w:val="20"/>
              </w:rPr>
              <w:t xml:space="preserve"> et al.</w:t>
            </w:r>
            <w:r w:rsidR="00C1697B" w:rsidRPr="00E10FC0">
              <w:rPr>
                <w:b/>
                <w:sz w:val="20"/>
                <w:szCs w:val="20"/>
              </w:rPr>
              <w:t xml:space="preserve"> (Ont.) </w:t>
            </w:r>
          </w:p>
          <w:p w:rsidR="00C1697B" w:rsidRPr="00E10FC0" w:rsidRDefault="00C1697B" w:rsidP="00C1697B">
            <w:pPr>
              <w:rPr>
                <w:sz w:val="20"/>
                <w:szCs w:val="20"/>
              </w:rPr>
            </w:pPr>
          </w:p>
          <w:p w:rsidR="00C1697B" w:rsidRPr="00E10FC0" w:rsidRDefault="00C1697B" w:rsidP="00C1697B">
            <w:pPr>
              <w:rPr>
                <w:sz w:val="20"/>
                <w:szCs w:val="20"/>
              </w:rPr>
            </w:pPr>
            <w:r w:rsidRPr="00E10FC0">
              <w:rPr>
                <w:sz w:val="20"/>
                <w:szCs w:val="20"/>
              </w:rPr>
              <w:t>(By Leave)</w:t>
            </w:r>
          </w:p>
          <w:p w:rsidR="00802863" w:rsidRPr="00E10FC0" w:rsidRDefault="00802863" w:rsidP="00697C62">
            <w:pPr>
              <w:rPr>
                <w:sz w:val="20"/>
                <w:szCs w:val="20"/>
              </w:rPr>
            </w:pPr>
          </w:p>
          <w:p w:rsidR="00802863" w:rsidRPr="00C50A5C" w:rsidRDefault="00B150CF" w:rsidP="00697C62">
            <w:pPr>
              <w:rPr>
                <w:sz w:val="20"/>
                <w:szCs w:val="20"/>
                <w:lang w:val="fr-CA"/>
              </w:rPr>
            </w:pPr>
            <w:r>
              <w:rPr>
                <w:sz w:val="20"/>
                <w:szCs w:val="20"/>
                <w:lang w:val="fr-CA"/>
              </w:rPr>
              <w:pict>
                <v:rect id="_x0000_i1063" style="width:108pt;height:1pt" o:hrpct="0" o:hralign="center" o:hrstd="t" o:hrnoshade="t" o:hr="t" fillcolor="black [3213]" stroked="f"/>
              </w:pict>
            </w:r>
          </w:p>
        </w:tc>
        <w:tc>
          <w:tcPr>
            <w:tcW w:w="1042" w:type="dxa"/>
            <w:shd w:val="clear" w:color="auto" w:fill="auto"/>
          </w:tcPr>
          <w:p w:rsidR="00802863" w:rsidRDefault="00802863"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Default="003B3977" w:rsidP="00802863">
            <w:pPr>
              <w:jc w:val="center"/>
              <w:rPr>
                <w:sz w:val="20"/>
                <w:szCs w:val="20"/>
                <w:lang w:val="fr-CA"/>
              </w:rPr>
            </w:pPr>
          </w:p>
          <w:p w:rsidR="003B3977" w:rsidRPr="00C50A5C" w:rsidRDefault="003B3977" w:rsidP="00802863">
            <w:pPr>
              <w:jc w:val="center"/>
              <w:rPr>
                <w:sz w:val="20"/>
                <w:szCs w:val="20"/>
                <w:lang w:val="fr-CA"/>
              </w:rPr>
            </w:pPr>
          </w:p>
        </w:tc>
        <w:tc>
          <w:tcPr>
            <w:tcW w:w="4326" w:type="dxa"/>
            <w:shd w:val="clear" w:color="auto" w:fill="auto"/>
          </w:tcPr>
          <w:p w:rsidR="00802863" w:rsidRPr="00C50A5C" w:rsidRDefault="00802863" w:rsidP="00802863">
            <w:pPr>
              <w:rPr>
                <w:sz w:val="20"/>
                <w:szCs w:val="20"/>
                <w:lang w:val="fr-CA"/>
              </w:rPr>
            </w:pPr>
          </w:p>
        </w:tc>
      </w:tr>
    </w:tbl>
    <w:p w:rsidR="00802863" w:rsidRDefault="00802863" w:rsidP="00802863">
      <w:pPr>
        <w:rPr>
          <w:sz w:val="20"/>
          <w:szCs w:val="20"/>
          <w:lang w:val="fr-CA"/>
        </w:rPr>
      </w:pPr>
    </w:p>
    <w:p w:rsidR="00D94028" w:rsidRPr="00C50A5C" w:rsidRDefault="00D94028" w:rsidP="00802863">
      <w:pPr>
        <w:rPr>
          <w:sz w:val="20"/>
          <w:szCs w:val="20"/>
          <w:lang w:val="fr-CA"/>
        </w:rPr>
      </w:pPr>
    </w:p>
    <w:p w:rsidR="00802863" w:rsidRPr="00C50A5C" w:rsidRDefault="00802863" w:rsidP="00802863">
      <w:pPr>
        <w:rPr>
          <w:sz w:val="20"/>
          <w:szCs w:val="20"/>
        </w:rPr>
      </w:pPr>
    </w:p>
    <w:p w:rsidR="00802863" w:rsidRPr="00C50A5C" w:rsidRDefault="00802863" w:rsidP="00831CA9">
      <w:pPr>
        <w:jc w:val="both"/>
        <w:rPr>
          <w:sz w:val="20"/>
          <w:szCs w:val="20"/>
        </w:rPr>
        <w:sectPr w:rsidR="00802863" w:rsidRPr="00C50A5C" w:rsidSect="00802863">
          <w:headerReference w:type="even" r:id="rId80"/>
          <w:headerReference w:type="default" r:id="rId81"/>
          <w:footerReference w:type="even" r:id="rId82"/>
          <w:footerReference w:type="default" r:id="rId83"/>
          <w:headerReference w:type="first" r:id="rId84"/>
          <w:footerReference w:type="first" r:id="rId85"/>
          <w:pgSz w:w="12240" w:h="15840"/>
          <w:pgMar w:top="720" w:right="965" w:bottom="1080" w:left="1656" w:header="720" w:footer="965" w:gutter="0"/>
          <w:cols w:space="720"/>
          <w:titlePg/>
          <w:docGrid w:linePitch="272"/>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410"/>
        <w:gridCol w:w="720"/>
        <w:gridCol w:w="4350"/>
      </w:tblGrid>
      <w:tr w:rsidR="00732DB7" w:rsidRPr="00FB4A2E" w:rsidTr="0085476B">
        <w:trPr>
          <w:cantSplit/>
        </w:trPr>
        <w:tc>
          <w:tcPr>
            <w:tcW w:w="4410" w:type="dxa"/>
            <w:tcMar>
              <w:left w:w="0" w:type="dxa"/>
              <w:right w:w="0" w:type="dxa"/>
            </w:tcMar>
          </w:tcPr>
          <w:p w:rsidR="00C1697B" w:rsidRDefault="00732DB7" w:rsidP="00697C62">
            <w:pPr>
              <w:keepNext/>
              <w:keepLines/>
              <w:widowControl w:val="0"/>
              <w:jc w:val="both"/>
              <w:rPr>
                <w:b/>
                <w:szCs w:val="24"/>
              </w:rPr>
            </w:pPr>
            <w:r w:rsidRPr="00C1697B">
              <w:rPr>
                <w:b/>
                <w:szCs w:val="24"/>
              </w:rPr>
              <w:t>APPEALS HEARD SINCE LAST ISSUE AND DISPOSITION</w:t>
            </w:r>
          </w:p>
          <w:p w:rsidR="00732DB7" w:rsidRPr="00C1697B" w:rsidRDefault="00732DB7" w:rsidP="00C1697B">
            <w:pPr>
              <w:tabs>
                <w:tab w:val="left" w:pos="1116"/>
              </w:tabs>
              <w:rPr>
                <w:szCs w:val="24"/>
              </w:rPr>
            </w:pPr>
          </w:p>
        </w:tc>
        <w:tc>
          <w:tcPr>
            <w:tcW w:w="720" w:type="dxa"/>
            <w:tcMar>
              <w:left w:w="0" w:type="dxa"/>
              <w:right w:w="0" w:type="dxa"/>
            </w:tcMar>
          </w:tcPr>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tc>
        <w:tc>
          <w:tcPr>
            <w:tcW w:w="4350" w:type="dxa"/>
            <w:tcMar>
              <w:left w:w="0" w:type="dxa"/>
              <w:right w:w="0" w:type="dxa"/>
            </w:tcMar>
          </w:tcPr>
          <w:p w:rsidR="00732DB7" w:rsidRPr="00C1697B" w:rsidRDefault="00732DB7" w:rsidP="00697C62">
            <w:pPr>
              <w:keepNext/>
              <w:keepLines/>
              <w:widowControl w:val="0"/>
              <w:jc w:val="both"/>
              <w:rPr>
                <w:b/>
                <w:szCs w:val="24"/>
                <w:lang w:val="fr-CA"/>
              </w:rPr>
            </w:pPr>
            <w:r w:rsidRPr="00C1697B">
              <w:rPr>
                <w:b/>
                <w:szCs w:val="24"/>
                <w:lang w:val="fr-CA"/>
              </w:rPr>
              <w:t>APPELS ENTENDUS DEPUIS LA DERNIÈRE PARUTION ET RÉSULTAT</w:t>
            </w:r>
          </w:p>
        </w:tc>
      </w:tr>
    </w:tbl>
    <w:p w:rsidR="00732DB7" w:rsidRPr="00C50A5C" w:rsidRDefault="00732DB7" w:rsidP="00732DB7">
      <w:pPr>
        <w:widowControl w:val="0"/>
        <w:rPr>
          <w:sz w:val="20"/>
          <w:szCs w:val="20"/>
          <w:lang w:val="fr-CA"/>
        </w:rPr>
      </w:pPr>
    </w:p>
    <w:p w:rsidR="007C47C2" w:rsidRPr="00935CF2" w:rsidRDefault="007C47C2" w:rsidP="007C47C2">
      <w:pPr>
        <w:widowControl w:val="0"/>
        <w:rPr>
          <w:sz w:val="20"/>
          <w:szCs w:val="20"/>
          <w:lang w:val="fr-CA"/>
        </w:rPr>
      </w:pPr>
      <w:r w:rsidRPr="00935CF2">
        <w:rPr>
          <w:sz w:val="20"/>
          <w:szCs w:val="20"/>
          <w:lang w:val="fr-CA"/>
        </w:rPr>
        <w:t>0</w:t>
      </w:r>
      <w:r w:rsidR="00E22B1C" w:rsidRPr="00935CF2">
        <w:rPr>
          <w:sz w:val="20"/>
          <w:szCs w:val="20"/>
          <w:lang w:val="fr-CA"/>
        </w:rPr>
        <w:t>1</w:t>
      </w:r>
      <w:r w:rsidRPr="00935CF2">
        <w:rPr>
          <w:sz w:val="20"/>
          <w:szCs w:val="20"/>
          <w:lang w:val="fr-CA"/>
        </w:rPr>
        <w:t>.</w:t>
      </w:r>
      <w:r w:rsidR="00E22B1C" w:rsidRPr="00935CF2">
        <w:rPr>
          <w:sz w:val="20"/>
          <w:szCs w:val="20"/>
          <w:lang w:val="fr-CA"/>
        </w:rPr>
        <w:t>1</w:t>
      </w:r>
      <w:r w:rsidRPr="00935CF2">
        <w:rPr>
          <w:sz w:val="20"/>
          <w:szCs w:val="20"/>
          <w:lang w:val="fr-CA"/>
        </w:rPr>
        <w:t>2.201</w:t>
      </w:r>
      <w:r w:rsidR="00E22B1C" w:rsidRPr="00935CF2">
        <w:rPr>
          <w:sz w:val="20"/>
          <w:szCs w:val="20"/>
          <w:lang w:val="fr-CA"/>
        </w:rPr>
        <w:t>5</w:t>
      </w:r>
    </w:p>
    <w:p w:rsidR="007C47C2" w:rsidRPr="00935CF2" w:rsidRDefault="007C47C2" w:rsidP="007C47C2">
      <w:pPr>
        <w:widowControl w:val="0"/>
        <w:rPr>
          <w:sz w:val="20"/>
          <w:szCs w:val="20"/>
          <w:lang w:val="fr-CA"/>
        </w:rPr>
      </w:pPr>
    </w:p>
    <w:p w:rsidR="007C47C2" w:rsidRPr="00935CF2" w:rsidRDefault="007C47C2" w:rsidP="007C47C2">
      <w:pPr>
        <w:widowControl w:val="0"/>
        <w:ind w:left="720" w:hanging="720"/>
        <w:rPr>
          <w:sz w:val="20"/>
          <w:szCs w:val="20"/>
          <w:u w:val="single"/>
          <w:lang w:val="fr-CA"/>
        </w:rPr>
      </w:pPr>
      <w:r w:rsidRPr="00935CF2">
        <w:rPr>
          <w:sz w:val="20"/>
          <w:szCs w:val="20"/>
          <w:lang w:val="fr-CA"/>
        </w:rPr>
        <w:t xml:space="preserve">Coram: </w:t>
      </w:r>
      <w:r w:rsidRPr="00935CF2">
        <w:rPr>
          <w:sz w:val="20"/>
          <w:szCs w:val="20"/>
          <w:lang w:val="fr-CA"/>
        </w:rPr>
        <w:tab/>
      </w:r>
      <w:proofErr w:type="spellStart"/>
      <w:r w:rsidR="00E22B1C" w:rsidRPr="00935CF2">
        <w:rPr>
          <w:sz w:val="20"/>
          <w:szCs w:val="20"/>
          <w:u w:val="single"/>
          <w:lang w:val="fr-CA"/>
        </w:rPr>
        <w:t>McLachlin</w:t>
      </w:r>
      <w:proofErr w:type="spellEnd"/>
      <w:r w:rsidR="00E22B1C" w:rsidRPr="00935CF2">
        <w:rPr>
          <w:sz w:val="20"/>
          <w:szCs w:val="20"/>
          <w:u w:val="single"/>
          <w:lang w:val="fr-CA"/>
        </w:rPr>
        <w:t xml:space="preserve"> C.J. and</w:t>
      </w:r>
      <w:r w:rsidRPr="00935CF2">
        <w:rPr>
          <w:sz w:val="20"/>
          <w:szCs w:val="20"/>
          <w:u w:val="single"/>
          <w:lang w:val="fr-CA"/>
        </w:rPr>
        <w:t xml:space="preserve"> Abella, </w:t>
      </w:r>
      <w:r w:rsidR="00E22B1C" w:rsidRPr="00935CF2">
        <w:rPr>
          <w:sz w:val="20"/>
          <w:szCs w:val="20"/>
          <w:u w:val="single"/>
          <w:lang w:val="fr-CA"/>
        </w:rPr>
        <w:t xml:space="preserve">Cromwell, </w:t>
      </w:r>
      <w:proofErr w:type="spellStart"/>
      <w:r w:rsidRPr="00935CF2">
        <w:rPr>
          <w:sz w:val="20"/>
          <w:szCs w:val="20"/>
          <w:u w:val="single"/>
          <w:lang w:val="fr-CA"/>
        </w:rPr>
        <w:t>Moldaver</w:t>
      </w:r>
      <w:proofErr w:type="spellEnd"/>
      <w:r w:rsidRPr="00935CF2">
        <w:rPr>
          <w:sz w:val="20"/>
          <w:szCs w:val="20"/>
          <w:u w:val="single"/>
          <w:lang w:val="fr-CA"/>
        </w:rPr>
        <w:t xml:space="preserve">, </w:t>
      </w:r>
      <w:proofErr w:type="spellStart"/>
      <w:r w:rsidRPr="00935CF2">
        <w:rPr>
          <w:sz w:val="20"/>
          <w:szCs w:val="20"/>
          <w:u w:val="single"/>
          <w:lang w:val="fr-CA"/>
        </w:rPr>
        <w:t>Karakatsanis</w:t>
      </w:r>
      <w:proofErr w:type="spellEnd"/>
      <w:r w:rsidR="00E22B1C" w:rsidRPr="00935CF2">
        <w:rPr>
          <w:sz w:val="20"/>
          <w:szCs w:val="20"/>
          <w:u w:val="single"/>
          <w:lang w:val="fr-CA"/>
        </w:rPr>
        <w:t>,</w:t>
      </w:r>
      <w:r w:rsidRPr="00935CF2">
        <w:rPr>
          <w:sz w:val="20"/>
          <w:szCs w:val="20"/>
          <w:u w:val="single"/>
          <w:lang w:val="fr-CA"/>
        </w:rPr>
        <w:t xml:space="preserve"> Wagner</w:t>
      </w:r>
      <w:r w:rsidR="00E22B1C" w:rsidRPr="00935CF2">
        <w:rPr>
          <w:sz w:val="20"/>
          <w:szCs w:val="20"/>
          <w:u w:val="single"/>
          <w:lang w:val="fr-CA"/>
        </w:rPr>
        <w:t>, Gascon, Côté and Brown JJ.</w:t>
      </w:r>
    </w:p>
    <w:p w:rsidR="007C47C2" w:rsidRPr="00935CF2" w:rsidRDefault="007C47C2" w:rsidP="007C47C2">
      <w:pPr>
        <w:widowControl w:val="0"/>
        <w:rPr>
          <w:sz w:val="20"/>
          <w:szCs w:val="20"/>
          <w:lang w:val="fr-CA"/>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7C47C2" w:rsidRPr="00935CF2" w:rsidTr="007C5DBE">
        <w:trPr>
          <w:trHeight w:val="3042"/>
        </w:trPr>
        <w:tc>
          <w:tcPr>
            <w:tcW w:w="4380" w:type="dxa"/>
            <w:tcMar>
              <w:left w:w="0" w:type="dxa"/>
              <w:right w:w="0" w:type="dxa"/>
            </w:tcMar>
          </w:tcPr>
          <w:p w:rsidR="007C47C2" w:rsidRPr="00935CF2" w:rsidRDefault="00B5085F" w:rsidP="000B23D3">
            <w:pPr>
              <w:widowControl w:val="0"/>
              <w:rPr>
                <w:b/>
                <w:sz w:val="20"/>
                <w:szCs w:val="20"/>
                <w:lang w:val="fr-CA"/>
              </w:rPr>
            </w:pPr>
            <w:r w:rsidRPr="00935CF2">
              <w:rPr>
                <w:b/>
                <w:sz w:val="20"/>
                <w:szCs w:val="20"/>
                <w:lang w:val="fr-CA"/>
              </w:rPr>
              <w:t xml:space="preserve">Ali Hassan </w:t>
            </w:r>
            <w:proofErr w:type="spellStart"/>
            <w:r w:rsidRPr="00935CF2">
              <w:rPr>
                <w:b/>
                <w:sz w:val="20"/>
                <w:szCs w:val="20"/>
                <w:lang w:val="fr-CA"/>
              </w:rPr>
              <w:t>Saeed</w:t>
            </w:r>
            <w:proofErr w:type="spellEnd"/>
          </w:p>
          <w:p w:rsidR="007C47C2" w:rsidRPr="00935CF2" w:rsidRDefault="007C47C2" w:rsidP="000B23D3">
            <w:pPr>
              <w:widowControl w:val="0"/>
              <w:rPr>
                <w:b/>
                <w:sz w:val="20"/>
                <w:szCs w:val="20"/>
                <w:lang w:val="fr-CA"/>
              </w:rPr>
            </w:pPr>
          </w:p>
          <w:p w:rsidR="007C47C2" w:rsidRPr="00935CF2" w:rsidRDefault="007C47C2" w:rsidP="000B23D3">
            <w:pPr>
              <w:widowControl w:val="0"/>
              <w:rPr>
                <w:b/>
                <w:sz w:val="20"/>
                <w:szCs w:val="20"/>
                <w:lang w:val="fr-CA"/>
              </w:rPr>
            </w:pPr>
            <w:r w:rsidRPr="00935CF2">
              <w:rPr>
                <w:b/>
                <w:sz w:val="20"/>
                <w:szCs w:val="20"/>
                <w:lang w:val="fr-CA"/>
              </w:rPr>
              <w:tab/>
            </w:r>
            <w:r w:rsidR="00B5085F" w:rsidRPr="00935CF2">
              <w:rPr>
                <w:b/>
                <w:sz w:val="20"/>
                <w:szCs w:val="20"/>
                <w:lang w:val="fr-CA"/>
              </w:rPr>
              <w:t>v</w:t>
            </w:r>
            <w:r w:rsidRPr="00935CF2">
              <w:rPr>
                <w:b/>
                <w:sz w:val="20"/>
                <w:szCs w:val="20"/>
                <w:lang w:val="fr-CA"/>
              </w:rPr>
              <w:t xml:space="preserve">. </w:t>
            </w:r>
            <w:r w:rsidRPr="00935CF2">
              <w:rPr>
                <w:sz w:val="20"/>
                <w:szCs w:val="20"/>
                <w:lang w:val="fr-CA"/>
              </w:rPr>
              <w:t>(</w:t>
            </w:r>
            <w:hyperlink r:id="rId86" w:history="1">
              <w:r w:rsidRPr="00935CF2">
                <w:rPr>
                  <w:rStyle w:val="Hyperlink"/>
                  <w:sz w:val="20"/>
                  <w:szCs w:val="20"/>
                  <w:lang w:val="fr-CA"/>
                </w:rPr>
                <w:t>3</w:t>
              </w:r>
              <w:r w:rsidR="00B5085F" w:rsidRPr="00935CF2">
                <w:rPr>
                  <w:rStyle w:val="Hyperlink"/>
                  <w:sz w:val="20"/>
                  <w:szCs w:val="20"/>
                  <w:lang w:val="fr-CA"/>
                </w:rPr>
                <w:t>6328</w:t>
              </w:r>
            </w:hyperlink>
            <w:r w:rsidRPr="00935CF2">
              <w:rPr>
                <w:sz w:val="20"/>
                <w:szCs w:val="20"/>
                <w:lang w:val="fr-CA"/>
              </w:rPr>
              <w:t>)</w:t>
            </w:r>
          </w:p>
          <w:p w:rsidR="007C47C2" w:rsidRPr="00935CF2" w:rsidRDefault="007C47C2" w:rsidP="000B23D3">
            <w:pPr>
              <w:widowControl w:val="0"/>
              <w:rPr>
                <w:b/>
                <w:sz w:val="20"/>
                <w:szCs w:val="20"/>
                <w:lang w:val="fr-CA"/>
              </w:rPr>
            </w:pPr>
          </w:p>
          <w:p w:rsidR="007C47C2" w:rsidRPr="00935CF2" w:rsidRDefault="00B5085F" w:rsidP="00B5085F">
            <w:pPr>
              <w:widowControl w:val="0"/>
              <w:rPr>
                <w:sz w:val="20"/>
                <w:szCs w:val="20"/>
                <w:lang w:val="fr-CA"/>
              </w:rPr>
            </w:pPr>
            <w:proofErr w:type="spellStart"/>
            <w:r w:rsidRPr="00935CF2">
              <w:rPr>
                <w:b/>
                <w:sz w:val="20"/>
                <w:szCs w:val="20"/>
                <w:lang w:val="fr-CA"/>
              </w:rPr>
              <w:t>Her</w:t>
            </w:r>
            <w:proofErr w:type="spellEnd"/>
            <w:r w:rsidRPr="00935CF2">
              <w:rPr>
                <w:b/>
                <w:sz w:val="20"/>
                <w:szCs w:val="20"/>
                <w:lang w:val="fr-CA"/>
              </w:rPr>
              <w:t xml:space="preserve"> </w:t>
            </w:r>
            <w:proofErr w:type="spellStart"/>
            <w:r w:rsidRPr="00935CF2">
              <w:rPr>
                <w:b/>
                <w:sz w:val="20"/>
                <w:szCs w:val="20"/>
                <w:lang w:val="fr-CA"/>
              </w:rPr>
              <w:t>Majesty</w:t>
            </w:r>
            <w:proofErr w:type="spellEnd"/>
            <w:r w:rsidRPr="00935CF2">
              <w:rPr>
                <w:b/>
                <w:sz w:val="20"/>
                <w:szCs w:val="20"/>
                <w:lang w:val="fr-CA"/>
              </w:rPr>
              <w:t xml:space="preserve"> the </w:t>
            </w:r>
            <w:proofErr w:type="spellStart"/>
            <w:r w:rsidRPr="00935CF2">
              <w:rPr>
                <w:b/>
                <w:sz w:val="20"/>
                <w:szCs w:val="20"/>
                <w:lang w:val="fr-CA"/>
              </w:rPr>
              <w:t>Queen</w:t>
            </w:r>
            <w:proofErr w:type="spellEnd"/>
            <w:r w:rsidR="007C47C2" w:rsidRPr="00935CF2">
              <w:rPr>
                <w:b/>
                <w:sz w:val="20"/>
                <w:szCs w:val="20"/>
                <w:lang w:val="fr-CA"/>
              </w:rPr>
              <w:t xml:space="preserve"> (</w:t>
            </w:r>
            <w:r w:rsidRPr="00935CF2">
              <w:rPr>
                <w:b/>
                <w:sz w:val="20"/>
                <w:szCs w:val="20"/>
                <w:lang w:val="fr-CA"/>
              </w:rPr>
              <w:t>Alta.</w:t>
            </w:r>
            <w:r w:rsidR="007C47C2" w:rsidRPr="00935CF2">
              <w:rPr>
                <w:b/>
                <w:sz w:val="20"/>
                <w:szCs w:val="20"/>
                <w:lang w:val="fr-CA"/>
              </w:rPr>
              <w:t>) (</w:t>
            </w:r>
            <w:proofErr w:type="spellStart"/>
            <w:r w:rsidR="007C47C2" w:rsidRPr="00935CF2">
              <w:rPr>
                <w:b/>
                <w:sz w:val="20"/>
                <w:szCs w:val="20"/>
                <w:lang w:val="fr-CA"/>
              </w:rPr>
              <w:t>C</w:t>
            </w:r>
            <w:r w:rsidRPr="00935CF2">
              <w:rPr>
                <w:b/>
                <w:sz w:val="20"/>
                <w:szCs w:val="20"/>
                <w:lang w:val="fr-CA"/>
              </w:rPr>
              <w:t>r</w:t>
            </w:r>
            <w:r w:rsidR="007C47C2" w:rsidRPr="00935CF2">
              <w:rPr>
                <w:b/>
                <w:sz w:val="20"/>
                <w:szCs w:val="20"/>
                <w:lang w:val="fr-CA"/>
              </w:rPr>
              <w:t>i</w:t>
            </w:r>
            <w:r w:rsidRPr="00935CF2">
              <w:rPr>
                <w:b/>
                <w:sz w:val="20"/>
                <w:szCs w:val="20"/>
                <w:lang w:val="fr-CA"/>
              </w:rPr>
              <w:t>m</w:t>
            </w:r>
            <w:r w:rsidR="007C47C2" w:rsidRPr="00935CF2">
              <w:rPr>
                <w:b/>
                <w:sz w:val="20"/>
                <w:szCs w:val="20"/>
                <w:lang w:val="fr-CA"/>
              </w:rPr>
              <w:t>i</w:t>
            </w:r>
            <w:r w:rsidRPr="00935CF2">
              <w:rPr>
                <w:b/>
                <w:sz w:val="20"/>
                <w:szCs w:val="20"/>
                <w:lang w:val="fr-CA"/>
              </w:rPr>
              <w:t>nal</w:t>
            </w:r>
            <w:proofErr w:type="spellEnd"/>
            <w:r w:rsidR="007C47C2" w:rsidRPr="00935CF2">
              <w:rPr>
                <w:b/>
                <w:sz w:val="20"/>
                <w:szCs w:val="20"/>
                <w:lang w:val="fr-CA"/>
              </w:rPr>
              <w:t>) (</w:t>
            </w:r>
            <w:r w:rsidRPr="00935CF2">
              <w:rPr>
                <w:b/>
                <w:sz w:val="20"/>
                <w:szCs w:val="20"/>
                <w:lang w:val="fr-CA"/>
              </w:rPr>
              <w:t xml:space="preserve">By </w:t>
            </w:r>
            <w:proofErr w:type="spellStart"/>
            <w:r w:rsidRPr="00935CF2">
              <w:rPr>
                <w:b/>
                <w:sz w:val="20"/>
                <w:szCs w:val="20"/>
                <w:lang w:val="fr-CA"/>
              </w:rPr>
              <w:t>Leave</w:t>
            </w:r>
            <w:proofErr w:type="spellEnd"/>
            <w:r w:rsidR="007C47C2" w:rsidRPr="00935CF2">
              <w:rPr>
                <w:b/>
                <w:sz w:val="20"/>
                <w:szCs w:val="20"/>
                <w:lang w:val="fr-CA"/>
              </w:rPr>
              <w:t>)</w:t>
            </w:r>
            <w:r w:rsidR="007C47C2" w:rsidRPr="00935CF2">
              <w:rPr>
                <w:sz w:val="20"/>
                <w:szCs w:val="20"/>
                <w:lang w:val="fr-CA"/>
              </w:rPr>
              <w:t xml:space="preserve"> </w:t>
            </w:r>
          </w:p>
        </w:tc>
        <w:tc>
          <w:tcPr>
            <w:tcW w:w="720" w:type="dxa"/>
            <w:tcMar>
              <w:left w:w="0" w:type="dxa"/>
              <w:right w:w="0" w:type="dxa"/>
            </w:tcMar>
          </w:tcPr>
          <w:p w:rsidR="007C47C2" w:rsidRPr="00935CF2" w:rsidRDefault="007C47C2" w:rsidP="000B23D3">
            <w:pPr>
              <w:widowControl w:val="0"/>
              <w:jc w:val="center"/>
              <w:rPr>
                <w:sz w:val="20"/>
                <w:szCs w:val="20"/>
                <w:lang w:val="fr-CA"/>
              </w:rPr>
            </w:pPr>
          </w:p>
        </w:tc>
        <w:tc>
          <w:tcPr>
            <w:tcW w:w="4380" w:type="dxa"/>
            <w:tcMar>
              <w:left w:w="0" w:type="dxa"/>
              <w:right w:w="0" w:type="dxa"/>
            </w:tcMar>
          </w:tcPr>
          <w:p w:rsidR="007C47C2" w:rsidRPr="00935CF2" w:rsidRDefault="007C5DBE" w:rsidP="000B23D3">
            <w:pPr>
              <w:rPr>
                <w:sz w:val="20"/>
                <w:szCs w:val="20"/>
                <w:lang w:val="fr-CA"/>
              </w:rPr>
            </w:pPr>
            <w:r w:rsidRPr="00935CF2">
              <w:rPr>
                <w:sz w:val="20"/>
                <w:szCs w:val="20"/>
                <w:lang w:val="fr-CA"/>
              </w:rPr>
              <w:t>Peter J. Royal</w:t>
            </w:r>
            <w:r w:rsidR="00B30FCF" w:rsidRPr="00935CF2">
              <w:rPr>
                <w:sz w:val="20"/>
                <w:szCs w:val="20"/>
                <w:lang w:val="fr-CA"/>
              </w:rPr>
              <w:t>, Q.C.</w:t>
            </w:r>
            <w:r w:rsidRPr="00935CF2">
              <w:rPr>
                <w:sz w:val="20"/>
                <w:szCs w:val="20"/>
                <w:lang w:val="fr-CA"/>
              </w:rPr>
              <w:t xml:space="preserve"> and </w:t>
            </w:r>
            <w:proofErr w:type="spellStart"/>
            <w:r w:rsidRPr="00935CF2">
              <w:rPr>
                <w:sz w:val="20"/>
                <w:szCs w:val="20"/>
                <w:lang w:val="fr-CA"/>
              </w:rPr>
              <w:t>Conor</w:t>
            </w:r>
            <w:proofErr w:type="spellEnd"/>
            <w:r w:rsidRPr="00935CF2">
              <w:rPr>
                <w:sz w:val="20"/>
                <w:szCs w:val="20"/>
                <w:lang w:val="fr-CA"/>
              </w:rPr>
              <w:t xml:space="preserve"> Davis for the </w:t>
            </w:r>
            <w:proofErr w:type="spellStart"/>
            <w:r w:rsidRPr="00935CF2">
              <w:rPr>
                <w:sz w:val="20"/>
                <w:szCs w:val="20"/>
                <w:lang w:val="fr-CA"/>
              </w:rPr>
              <w:t>appellant</w:t>
            </w:r>
            <w:proofErr w:type="spellEnd"/>
            <w:r w:rsidR="007C47C2" w:rsidRPr="00935CF2">
              <w:rPr>
                <w:sz w:val="20"/>
                <w:szCs w:val="20"/>
                <w:lang w:val="fr-CA"/>
              </w:rPr>
              <w:t>.</w:t>
            </w:r>
          </w:p>
          <w:p w:rsidR="007C47C2" w:rsidRPr="00935CF2" w:rsidRDefault="007C47C2" w:rsidP="000B23D3">
            <w:pPr>
              <w:rPr>
                <w:sz w:val="20"/>
                <w:szCs w:val="20"/>
                <w:lang w:val="fr-CA"/>
              </w:rPr>
            </w:pPr>
          </w:p>
          <w:p w:rsidR="007C5DBE" w:rsidRPr="00935CF2" w:rsidRDefault="007C5DBE" w:rsidP="007C5DBE">
            <w:pPr>
              <w:widowControl w:val="0"/>
              <w:jc w:val="both"/>
              <w:rPr>
                <w:sz w:val="20"/>
                <w:szCs w:val="20"/>
                <w:lang w:val="fr-CA"/>
              </w:rPr>
            </w:pPr>
            <w:r w:rsidRPr="00935CF2">
              <w:rPr>
                <w:sz w:val="20"/>
                <w:szCs w:val="20"/>
                <w:lang w:val="fr-CA"/>
              </w:rPr>
              <w:t xml:space="preserve">Howard L. </w:t>
            </w:r>
            <w:proofErr w:type="spellStart"/>
            <w:r w:rsidRPr="00935CF2">
              <w:rPr>
                <w:sz w:val="20"/>
                <w:szCs w:val="20"/>
                <w:lang w:val="fr-CA"/>
              </w:rPr>
              <w:t>Krongold</w:t>
            </w:r>
            <w:proofErr w:type="spellEnd"/>
            <w:r w:rsidRPr="00935CF2">
              <w:rPr>
                <w:sz w:val="20"/>
                <w:szCs w:val="20"/>
                <w:lang w:val="fr-CA"/>
              </w:rPr>
              <w:t xml:space="preserve"> and Vanessa </w:t>
            </w:r>
            <w:proofErr w:type="spellStart"/>
            <w:r w:rsidRPr="00935CF2">
              <w:rPr>
                <w:sz w:val="20"/>
                <w:szCs w:val="20"/>
                <w:lang w:val="fr-CA"/>
              </w:rPr>
              <w:t>MacDonnell</w:t>
            </w:r>
            <w:proofErr w:type="spellEnd"/>
            <w:r w:rsidRPr="00935CF2">
              <w:rPr>
                <w:sz w:val="20"/>
                <w:szCs w:val="20"/>
                <w:lang w:val="fr-CA"/>
              </w:rPr>
              <w:t xml:space="preserve"> for the </w:t>
            </w:r>
            <w:proofErr w:type="spellStart"/>
            <w:r w:rsidRPr="00935CF2">
              <w:rPr>
                <w:sz w:val="20"/>
                <w:szCs w:val="20"/>
                <w:lang w:val="fr-CA"/>
              </w:rPr>
              <w:t>intervener</w:t>
            </w:r>
            <w:proofErr w:type="spellEnd"/>
            <w:r w:rsidRPr="00935CF2">
              <w:rPr>
                <w:sz w:val="20"/>
                <w:szCs w:val="20"/>
                <w:lang w:val="fr-CA"/>
              </w:rPr>
              <w:t xml:space="preserve"> </w:t>
            </w:r>
            <w:proofErr w:type="spellStart"/>
            <w:r w:rsidRPr="00935CF2">
              <w:rPr>
                <w:sz w:val="20"/>
                <w:szCs w:val="20"/>
                <w:lang w:val="fr-CA"/>
              </w:rPr>
              <w:t>Criminal</w:t>
            </w:r>
            <w:proofErr w:type="spellEnd"/>
            <w:r w:rsidRPr="00935CF2">
              <w:rPr>
                <w:sz w:val="20"/>
                <w:szCs w:val="20"/>
                <w:lang w:val="fr-CA"/>
              </w:rPr>
              <w:t xml:space="preserve"> </w:t>
            </w:r>
            <w:proofErr w:type="spellStart"/>
            <w:r w:rsidRPr="00935CF2">
              <w:rPr>
                <w:sz w:val="20"/>
                <w:szCs w:val="20"/>
                <w:lang w:val="fr-CA"/>
              </w:rPr>
              <w:t>Lawyers</w:t>
            </w:r>
            <w:proofErr w:type="spellEnd"/>
            <w:r w:rsidRPr="00935CF2">
              <w:rPr>
                <w:sz w:val="20"/>
                <w:szCs w:val="20"/>
                <w:lang w:val="fr-CA"/>
              </w:rPr>
              <w:t>’ Association (Ontario).</w:t>
            </w:r>
          </w:p>
          <w:p w:rsidR="007C5DBE" w:rsidRPr="00935CF2" w:rsidRDefault="007C5DBE" w:rsidP="007C5DBE">
            <w:pPr>
              <w:widowControl w:val="0"/>
              <w:jc w:val="both"/>
              <w:rPr>
                <w:sz w:val="20"/>
                <w:szCs w:val="20"/>
                <w:lang w:val="fr-CA"/>
              </w:rPr>
            </w:pPr>
          </w:p>
          <w:p w:rsidR="007C47C2" w:rsidRPr="00935CF2" w:rsidRDefault="007C5DBE" w:rsidP="007C5DBE">
            <w:pPr>
              <w:widowControl w:val="0"/>
              <w:jc w:val="both"/>
              <w:rPr>
                <w:sz w:val="20"/>
                <w:szCs w:val="20"/>
                <w:lang w:val="fr-CA"/>
              </w:rPr>
            </w:pPr>
            <w:r w:rsidRPr="00935CF2">
              <w:rPr>
                <w:sz w:val="20"/>
                <w:szCs w:val="20"/>
                <w:lang w:val="fr-CA"/>
              </w:rPr>
              <w:t xml:space="preserve">Maureen J. </w:t>
            </w:r>
            <w:proofErr w:type="spellStart"/>
            <w:r w:rsidRPr="00935CF2">
              <w:rPr>
                <w:sz w:val="20"/>
                <w:szCs w:val="20"/>
                <w:lang w:val="fr-CA"/>
              </w:rPr>
              <w:t>McGuire</w:t>
            </w:r>
            <w:proofErr w:type="spellEnd"/>
            <w:r w:rsidRPr="00935CF2">
              <w:rPr>
                <w:sz w:val="20"/>
                <w:szCs w:val="20"/>
                <w:lang w:val="fr-CA"/>
              </w:rPr>
              <w:t xml:space="preserve"> and </w:t>
            </w:r>
            <w:proofErr w:type="spellStart"/>
            <w:r w:rsidRPr="00935CF2">
              <w:rPr>
                <w:sz w:val="20"/>
                <w:szCs w:val="20"/>
                <w:lang w:val="fr-CA"/>
              </w:rPr>
              <w:t>Melanie</w:t>
            </w:r>
            <w:proofErr w:type="spellEnd"/>
            <w:r w:rsidRPr="00935CF2">
              <w:rPr>
                <w:sz w:val="20"/>
                <w:szCs w:val="20"/>
                <w:lang w:val="fr-CA"/>
              </w:rPr>
              <w:t xml:space="preserve"> Hayes-Richards for the </w:t>
            </w:r>
            <w:proofErr w:type="spellStart"/>
            <w:r w:rsidRPr="00935CF2">
              <w:rPr>
                <w:sz w:val="20"/>
                <w:szCs w:val="20"/>
                <w:lang w:val="fr-CA"/>
              </w:rPr>
              <w:t>respondent</w:t>
            </w:r>
            <w:proofErr w:type="spellEnd"/>
            <w:r w:rsidRPr="00935CF2">
              <w:rPr>
                <w:sz w:val="20"/>
                <w:szCs w:val="20"/>
                <w:lang w:val="fr-CA"/>
              </w:rPr>
              <w:t>.</w:t>
            </w:r>
          </w:p>
          <w:p w:rsidR="007C5DBE" w:rsidRPr="00935CF2" w:rsidRDefault="007C5DBE" w:rsidP="007C5DBE">
            <w:pPr>
              <w:widowControl w:val="0"/>
              <w:jc w:val="both"/>
              <w:rPr>
                <w:sz w:val="20"/>
                <w:szCs w:val="20"/>
                <w:lang w:val="fr-CA"/>
              </w:rPr>
            </w:pPr>
          </w:p>
          <w:p w:rsidR="007C5DBE" w:rsidRPr="00935CF2" w:rsidRDefault="007C5DBE" w:rsidP="007C5DBE">
            <w:pPr>
              <w:widowControl w:val="0"/>
              <w:jc w:val="both"/>
              <w:rPr>
                <w:sz w:val="20"/>
                <w:szCs w:val="20"/>
                <w:lang w:val="fr-CA"/>
              </w:rPr>
            </w:pPr>
            <w:r w:rsidRPr="00935CF2">
              <w:rPr>
                <w:sz w:val="20"/>
                <w:szCs w:val="20"/>
                <w:lang w:val="fr-CA"/>
              </w:rPr>
              <w:t xml:space="preserve">Melissa Adams and Susan </w:t>
            </w:r>
            <w:proofErr w:type="spellStart"/>
            <w:r w:rsidRPr="00935CF2">
              <w:rPr>
                <w:sz w:val="20"/>
                <w:szCs w:val="20"/>
                <w:lang w:val="fr-CA"/>
              </w:rPr>
              <w:t>Magotiaux</w:t>
            </w:r>
            <w:proofErr w:type="spellEnd"/>
            <w:r w:rsidRPr="00935CF2">
              <w:rPr>
                <w:sz w:val="20"/>
                <w:szCs w:val="20"/>
                <w:lang w:val="fr-CA"/>
              </w:rPr>
              <w:t xml:space="preserve"> for the </w:t>
            </w:r>
            <w:proofErr w:type="spellStart"/>
            <w:r w:rsidRPr="00935CF2">
              <w:rPr>
                <w:sz w:val="20"/>
                <w:szCs w:val="20"/>
                <w:lang w:val="fr-CA"/>
              </w:rPr>
              <w:t>intervener</w:t>
            </w:r>
            <w:proofErr w:type="spellEnd"/>
            <w:r w:rsidRPr="00935CF2">
              <w:rPr>
                <w:sz w:val="20"/>
                <w:szCs w:val="20"/>
                <w:lang w:val="fr-CA"/>
              </w:rPr>
              <w:t xml:space="preserve"> Attorney General of Ontario.</w:t>
            </w:r>
          </w:p>
          <w:p w:rsidR="007C5DBE" w:rsidRPr="00935CF2" w:rsidRDefault="007C5DBE" w:rsidP="007C5DBE">
            <w:pPr>
              <w:widowControl w:val="0"/>
              <w:jc w:val="both"/>
              <w:rPr>
                <w:sz w:val="20"/>
                <w:szCs w:val="20"/>
                <w:lang w:val="fr-CA"/>
              </w:rPr>
            </w:pPr>
          </w:p>
          <w:p w:rsidR="007C5DBE" w:rsidRPr="00935CF2" w:rsidRDefault="007C5DBE" w:rsidP="007C5DBE">
            <w:pPr>
              <w:widowControl w:val="0"/>
              <w:jc w:val="both"/>
              <w:rPr>
                <w:sz w:val="20"/>
                <w:szCs w:val="20"/>
                <w:lang w:val="fr-CA"/>
              </w:rPr>
            </w:pPr>
            <w:r w:rsidRPr="00935CF2">
              <w:rPr>
                <w:sz w:val="20"/>
                <w:szCs w:val="20"/>
                <w:lang w:val="fr-CA"/>
              </w:rPr>
              <w:t xml:space="preserve">David </w:t>
            </w:r>
            <w:proofErr w:type="spellStart"/>
            <w:r w:rsidRPr="00935CF2">
              <w:rPr>
                <w:sz w:val="20"/>
                <w:szCs w:val="20"/>
                <w:lang w:val="fr-CA"/>
              </w:rPr>
              <w:t>Lynass</w:t>
            </w:r>
            <w:proofErr w:type="spellEnd"/>
            <w:r w:rsidRPr="00935CF2">
              <w:rPr>
                <w:sz w:val="20"/>
                <w:szCs w:val="20"/>
                <w:lang w:val="fr-CA"/>
              </w:rPr>
              <w:t xml:space="preserve"> and Greg Preston for the </w:t>
            </w:r>
            <w:proofErr w:type="spellStart"/>
            <w:r w:rsidRPr="00935CF2">
              <w:rPr>
                <w:sz w:val="20"/>
                <w:szCs w:val="20"/>
                <w:lang w:val="fr-CA"/>
              </w:rPr>
              <w:t>intervener</w:t>
            </w:r>
            <w:proofErr w:type="spellEnd"/>
            <w:r w:rsidRPr="00935CF2">
              <w:rPr>
                <w:sz w:val="20"/>
                <w:szCs w:val="20"/>
                <w:lang w:val="fr-CA"/>
              </w:rPr>
              <w:t xml:space="preserve"> Canadian Association of Chiefs of Police.</w:t>
            </w:r>
          </w:p>
        </w:tc>
      </w:tr>
    </w:tbl>
    <w:p w:rsidR="007C47C2" w:rsidRPr="00935CF2" w:rsidRDefault="007C47C2" w:rsidP="007C47C2">
      <w:pPr>
        <w:widowControl w:val="0"/>
        <w:rPr>
          <w:sz w:val="20"/>
          <w:szCs w:val="20"/>
          <w:lang w:val="fr-CA"/>
        </w:rPr>
      </w:pPr>
    </w:p>
    <w:p w:rsidR="007C47C2" w:rsidRPr="00935CF2" w:rsidRDefault="007C47C2" w:rsidP="007C47C2">
      <w:pPr>
        <w:widowControl w:val="0"/>
        <w:rPr>
          <w:sz w:val="20"/>
          <w:szCs w:val="20"/>
        </w:rPr>
      </w:pPr>
      <w:r w:rsidRPr="00935CF2">
        <w:rPr>
          <w:b/>
          <w:sz w:val="20"/>
          <w:szCs w:val="20"/>
        </w:rPr>
        <w:t xml:space="preserve">RESERVED / </w:t>
      </w:r>
      <w:r w:rsidRPr="00935CF2">
        <w:rPr>
          <w:b/>
          <w:sz w:val="20"/>
          <w:szCs w:val="20"/>
          <w:lang w:val="fr-CA"/>
        </w:rPr>
        <w:t>EN DÉLIBÉRÉ</w:t>
      </w:r>
    </w:p>
    <w:p w:rsidR="007C47C2" w:rsidRPr="00935CF2" w:rsidRDefault="007C47C2" w:rsidP="007C47C2"/>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7C47C2" w:rsidRPr="00935CF2" w:rsidTr="000B23D3">
        <w:tc>
          <w:tcPr>
            <w:tcW w:w="4380" w:type="dxa"/>
            <w:tcMar>
              <w:left w:w="0" w:type="dxa"/>
              <w:right w:w="0" w:type="dxa"/>
            </w:tcMar>
          </w:tcPr>
          <w:p w:rsidR="007C47C2" w:rsidRPr="00935CF2" w:rsidRDefault="007C47C2" w:rsidP="000B23D3">
            <w:pPr>
              <w:widowControl w:val="0"/>
              <w:jc w:val="both"/>
              <w:rPr>
                <w:b/>
                <w:sz w:val="20"/>
                <w:szCs w:val="20"/>
                <w:u w:val="single"/>
              </w:rPr>
            </w:pPr>
            <w:r w:rsidRPr="00935CF2">
              <w:rPr>
                <w:b/>
                <w:sz w:val="20"/>
                <w:szCs w:val="20"/>
                <w:u w:val="single"/>
              </w:rPr>
              <w:t>Nature of the case:</w:t>
            </w:r>
          </w:p>
          <w:p w:rsidR="007C47C2" w:rsidRPr="00935CF2" w:rsidRDefault="007C47C2" w:rsidP="000B23D3">
            <w:pPr>
              <w:widowControl w:val="0"/>
              <w:jc w:val="both"/>
              <w:rPr>
                <w:b/>
                <w:sz w:val="20"/>
                <w:szCs w:val="20"/>
              </w:rPr>
            </w:pPr>
          </w:p>
          <w:p w:rsidR="009B63A5" w:rsidRPr="00935CF2" w:rsidRDefault="009B63A5" w:rsidP="009B63A5">
            <w:pPr>
              <w:widowControl w:val="0"/>
              <w:jc w:val="both"/>
              <w:rPr>
                <w:smallCaps/>
                <w:sz w:val="20"/>
                <w:lang w:eastAsia="en-CA"/>
              </w:rPr>
            </w:pPr>
            <w:r w:rsidRPr="00935CF2">
              <w:rPr>
                <w:smallCaps/>
                <w:sz w:val="20"/>
                <w:lang w:eastAsia="en-CA"/>
              </w:rPr>
              <w:t>(Publication ban in case)</w:t>
            </w:r>
          </w:p>
          <w:p w:rsidR="009B63A5" w:rsidRPr="00935CF2" w:rsidRDefault="009B63A5" w:rsidP="009B63A5">
            <w:pPr>
              <w:rPr>
                <w:sz w:val="20"/>
              </w:rPr>
            </w:pPr>
          </w:p>
          <w:p w:rsidR="007C47C2" w:rsidRPr="00935CF2" w:rsidRDefault="009B63A5" w:rsidP="009B63A5">
            <w:pPr>
              <w:widowControl w:val="0"/>
              <w:jc w:val="both"/>
              <w:rPr>
                <w:b/>
                <w:sz w:val="20"/>
                <w:szCs w:val="20"/>
              </w:rPr>
            </w:pPr>
            <w:r w:rsidRPr="00935CF2">
              <w:rPr>
                <w:i/>
                <w:sz w:val="20"/>
                <w:lang w:eastAsia="en-CA"/>
              </w:rPr>
              <w:t>Charter of Rights and Freedoms</w:t>
            </w:r>
            <w:r w:rsidRPr="00935CF2">
              <w:rPr>
                <w:sz w:val="20"/>
                <w:lang w:eastAsia="en-CA"/>
              </w:rPr>
              <w:t xml:space="preserve"> - Search and Seizure - Criminal Law - Evidence - Admissibility of DNA evidence - Accused arrested for sexual assault and other offences - Without a warrant, police compel accused to swab his penis - Swab tested for complainant’s DNA</w:t>
            </w:r>
            <w:r w:rsidRPr="00935CF2">
              <w:rPr>
                <w:w w:val="105"/>
                <w:sz w:val="20"/>
                <w:lang w:eastAsia="en-CA"/>
              </w:rPr>
              <w:t xml:space="preserve"> - Whether search was incidental to arrest</w:t>
            </w:r>
            <w:r w:rsidRPr="00935CF2">
              <w:rPr>
                <w:sz w:val="20"/>
                <w:lang w:eastAsia="en-CA"/>
              </w:rPr>
              <w:t xml:space="preserve"> - </w:t>
            </w:r>
            <w:r w:rsidRPr="00935CF2">
              <w:rPr>
                <w:w w:val="105"/>
                <w:sz w:val="20"/>
                <w:lang w:eastAsia="en-CA"/>
              </w:rPr>
              <w:t>Whether police violated accused’s right to be secure against unreasonable search and seizure - If so, whether Court of Appeal mischaracterized the magnitude of the breach - Whether DNA evidence was properly admitted at trial -</w:t>
            </w:r>
            <w:r w:rsidRPr="00935CF2">
              <w:rPr>
                <w:i/>
                <w:w w:val="105"/>
                <w:sz w:val="20"/>
                <w:lang w:eastAsia="en-CA"/>
              </w:rPr>
              <w:t xml:space="preserve"> Charter of Rights and Freedoms</w:t>
            </w:r>
            <w:r w:rsidRPr="00935CF2">
              <w:rPr>
                <w:w w:val="105"/>
                <w:sz w:val="20"/>
                <w:lang w:eastAsia="en-CA"/>
              </w:rPr>
              <w:t>, s. 8</w:t>
            </w:r>
            <w:r w:rsidR="001D7032" w:rsidRPr="00935CF2">
              <w:rPr>
                <w:w w:val="105"/>
                <w:sz w:val="20"/>
                <w:lang w:eastAsia="en-CA"/>
              </w:rPr>
              <w:t>.</w:t>
            </w:r>
          </w:p>
        </w:tc>
        <w:tc>
          <w:tcPr>
            <w:tcW w:w="720" w:type="dxa"/>
            <w:tcMar>
              <w:left w:w="0" w:type="dxa"/>
              <w:right w:w="0" w:type="dxa"/>
            </w:tcMar>
          </w:tcPr>
          <w:p w:rsidR="007C47C2" w:rsidRPr="00935CF2" w:rsidRDefault="007C47C2" w:rsidP="000B23D3">
            <w:pPr>
              <w:widowControl w:val="0"/>
              <w:jc w:val="center"/>
              <w:rPr>
                <w:sz w:val="20"/>
                <w:szCs w:val="20"/>
              </w:rPr>
            </w:pPr>
          </w:p>
        </w:tc>
        <w:tc>
          <w:tcPr>
            <w:tcW w:w="4380" w:type="dxa"/>
            <w:tcMar>
              <w:left w:w="0" w:type="dxa"/>
              <w:right w:w="0" w:type="dxa"/>
            </w:tcMar>
          </w:tcPr>
          <w:p w:rsidR="007C47C2" w:rsidRPr="00935CF2" w:rsidRDefault="007C47C2" w:rsidP="000B23D3">
            <w:pPr>
              <w:widowControl w:val="0"/>
              <w:jc w:val="both"/>
              <w:rPr>
                <w:b/>
                <w:sz w:val="20"/>
                <w:szCs w:val="20"/>
                <w:u w:val="single"/>
                <w:lang w:val="fr-CA"/>
              </w:rPr>
            </w:pPr>
            <w:r w:rsidRPr="00935CF2">
              <w:rPr>
                <w:b/>
                <w:sz w:val="20"/>
                <w:szCs w:val="20"/>
                <w:u w:val="single"/>
                <w:lang w:val="fr-CA"/>
              </w:rPr>
              <w:t>Nature de la cause :</w:t>
            </w:r>
          </w:p>
          <w:p w:rsidR="007C47C2" w:rsidRPr="00935CF2" w:rsidRDefault="007C47C2" w:rsidP="000B23D3">
            <w:pPr>
              <w:widowControl w:val="0"/>
              <w:jc w:val="both"/>
              <w:rPr>
                <w:sz w:val="20"/>
                <w:szCs w:val="20"/>
                <w:lang w:val="fr-CA"/>
              </w:rPr>
            </w:pPr>
          </w:p>
          <w:p w:rsidR="009B63A5" w:rsidRPr="00935CF2" w:rsidRDefault="009B63A5" w:rsidP="009B63A5">
            <w:pPr>
              <w:widowControl w:val="0"/>
              <w:jc w:val="both"/>
              <w:rPr>
                <w:smallCaps/>
                <w:sz w:val="20"/>
                <w:lang w:val="fr-CA" w:eastAsia="en-CA"/>
              </w:rPr>
            </w:pPr>
            <w:r w:rsidRPr="00935CF2">
              <w:rPr>
                <w:smallCaps/>
                <w:sz w:val="20"/>
                <w:lang w:val="fr-CA" w:eastAsia="en-CA"/>
              </w:rPr>
              <w:t>(Ordonnance de non-publication dans le dossier)</w:t>
            </w:r>
          </w:p>
          <w:p w:rsidR="009B63A5" w:rsidRPr="00935CF2" w:rsidRDefault="009B63A5" w:rsidP="009B63A5">
            <w:pPr>
              <w:kinsoku w:val="0"/>
              <w:overflowPunct w:val="0"/>
              <w:autoSpaceDE w:val="0"/>
              <w:autoSpaceDN w:val="0"/>
              <w:adjustRightInd w:val="0"/>
              <w:jc w:val="both"/>
              <w:rPr>
                <w:i/>
                <w:sz w:val="20"/>
                <w:lang w:val="fr-CA" w:eastAsia="en-CA"/>
              </w:rPr>
            </w:pPr>
          </w:p>
          <w:p w:rsidR="007C47C2" w:rsidRPr="00935CF2" w:rsidRDefault="009B63A5" w:rsidP="009B63A5">
            <w:pPr>
              <w:widowControl w:val="0"/>
              <w:jc w:val="both"/>
              <w:rPr>
                <w:sz w:val="20"/>
                <w:szCs w:val="20"/>
                <w:lang w:val="fr-CA"/>
              </w:rPr>
            </w:pPr>
            <w:r w:rsidRPr="00935CF2">
              <w:rPr>
                <w:i/>
                <w:sz w:val="20"/>
                <w:lang w:val="fr-CA" w:eastAsia="en-CA"/>
              </w:rPr>
              <w:t>Charte des droits et libertés</w:t>
            </w:r>
            <w:r w:rsidRPr="00935CF2">
              <w:rPr>
                <w:sz w:val="20"/>
                <w:lang w:val="fr-CA" w:eastAsia="en-CA"/>
              </w:rPr>
              <w:t xml:space="preserve"> - Fouilles et perquisitions - Droit criminel - Preuve - Admissibilité de la preuve génétique - L’accusé a été arrêté pour agression sexuelle et d’autres infractions - Sans mandat, des policiers ont contraint l’accusé de faire un prélèvement par écouvillonnage de son pénis - Le prélèvement a été analysé pour détecter la présence de l’ADN de la plaignante</w:t>
            </w:r>
            <w:r w:rsidRPr="00935CF2">
              <w:rPr>
                <w:w w:val="105"/>
                <w:sz w:val="20"/>
                <w:lang w:val="fr-CA" w:eastAsia="en-CA"/>
              </w:rPr>
              <w:t xml:space="preserve"> - La fouille était-elle accessoire à l’arrestation? </w:t>
            </w:r>
            <w:r w:rsidRPr="00935CF2">
              <w:rPr>
                <w:sz w:val="20"/>
                <w:lang w:val="fr-CA" w:eastAsia="en-CA"/>
              </w:rPr>
              <w:t xml:space="preserve">- </w:t>
            </w:r>
            <w:r w:rsidRPr="00935CF2">
              <w:rPr>
                <w:w w:val="105"/>
                <w:sz w:val="20"/>
                <w:lang w:val="fr-CA" w:eastAsia="en-CA"/>
              </w:rPr>
              <w:t>Les policiers ont-ils violé le droit de l’accusé à la protection contre les fouilles, les perquisitions et les saisies abusives? - Dans l’affirmative, la Cour d’appel a-t-elle mal caractérisé l’ampleur de la violation? - La preuve génétique a-t-elle à bon droit été admise au procès? -</w:t>
            </w:r>
            <w:r w:rsidRPr="00935CF2">
              <w:rPr>
                <w:i/>
                <w:w w:val="105"/>
                <w:sz w:val="20"/>
                <w:lang w:val="fr-CA" w:eastAsia="en-CA"/>
              </w:rPr>
              <w:t xml:space="preserve"> Charte des droits et libertés</w:t>
            </w:r>
            <w:r w:rsidRPr="00935CF2">
              <w:rPr>
                <w:w w:val="105"/>
                <w:sz w:val="20"/>
                <w:lang w:val="fr-CA" w:eastAsia="en-CA"/>
              </w:rPr>
              <w:t>, art. 8</w:t>
            </w:r>
            <w:r w:rsidR="001D7032" w:rsidRPr="00935CF2">
              <w:rPr>
                <w:w w:val="105"/>
                <w:sz w:val="20"/>
                <w:lang w:val="fr-CA" w:eastAsia="en-CA"/>
              </w:rPr>
              <w:t>.</w:t>
            </w:r>
          </w:p>
        </w:tc>
      </w:tr>
    </w:tbl>
    <w:p w:rsidR="007C47C2" w:rsidRPr="00935CF2" w:rsidRDefault="007C47C2" w:rsidP="007C47C2">
      <w:pPr>
        <w:widowControl w:val="0"/>
        <w:rPr>
          <w:sz w:val="20"/>
          <w:szCs w:val="20"/>
          <w:lang w:val="fr-CA"/>
        </w:rPr>
      </w:pPr>
    </w:p>
    <w:p w:rsidR="002A27D1" w:rsidRPr="00935CF2" w:rsidRDefault="00B150CF" w:rsidP="002A27D1">
      <w:pPr>
        <w:widowControl w:val="0"/>
        <w:rPr>
          <w:sz w:val="20"/>
          <w:szCs w:val="20"/>
        </w:rPr>
      </w:pPr>
      <w:r>
        <w:rPr>
          <w:sz w:val="20"/>
          <w:szCs w:val="20"/>
          <w:lang w:val="fr-CA"/>
        </w:rPr>
        <w:pict>
          <v:rect id="_x0000_i1066" style="width:2in;height:1pt" o:hrpct="0" o:hralign="center" o:hrstd="t" o:hrnoshade="t" o:hr="t" fillcolor="black [3213]" stroked="f"/>
        </w:pict>
      </w:r>
    </w:p>
    <w:p w:rsidR="00CD345E" w:rsidRPr="00935CF2" w:rsidRDefault="00CD345E">
      <w:pPr>
        <w:rPr>
          <w:sz w:val="20"/>
          <w:szCs w:val="20"/>
        </w:rPr>
      </w:pPr>
      <w:r w:rsidRPr="00935CF2">
        <w:rPr>
          <w:sz w:val="20"/>
          <w:szCs w:val="20"/>
        </w:rPr>
        <w:br w:type="page"/>
      </w:r>
    </w:p>
    <w:p w:rsidR="007C47C2" w:rsidRPr="00935CF2" w:rsidRDefault="009B15E6" w:rsidP="007C47C2">
      <w:pPr>
        <w:widowControl w:val="0"/>
        <w:rPr>
          <w:sz w:val="20"/>
          <w:szCs w:val="20"/>
        </w:rPr>
      </w:pPr>
      <w:r w:rsidRPr="00935CF2">
        <w:rPr>
          <w:sz w:val="20"/>
          <w:szCs w:val="20"/>
        </w:rPr>
        <w:t>0</w:t>
      </w:r>
      <w:r w:rsidR="007C47C2" w:rsidRPr="00935CF2">
        <w:rPr>
          <w:sz w:val="20"/>
          <w:szCs w:val="20"/>
        </w:rPr>
        <w:t>2.</w:t>
      </w:r>
      <w:r w:rsidRPr="00935CF2">
        <w:rPr>
          <w:sz w:val="20"/>
          <w:szCs w:val="20"/>
        </w:rPr>
        <w:t>12</w:t>
      </w:r>
      <w:r w:rsidR="007C47C2" w:rsidRPr="00935CF2">
        <w:rPr>
          <w:sz w:val="20"/>
          <w:szCs w:val="20"/>
        </w:rPr>
        <w:t>.201</w:t>
      </w:r>
      <w:r w:rsidRPr="00935CF2">
        <w:rPr>
          <w:sz w:val="20"/>
          <w:szCs w:val="20"/>
        </w:rPr>
        <w:t>5</w:t>
      </w:r>
    </w:p>
    <w:p w:rsidR="007C47C2" w:rsidRPr="00935CF2" w:rsidRDefault="007C47C2" w:rsidP="007C47C2">
      <w:pPr>
        <w:widowControl w:val="0"/>
        <w:rPr>
          <w:sz w:val="20"/>
          <w:szCs w:val="20"/>
        </w:rPr>
      </w:pPr>
    </w:p>
    <w:p w:rsidR="007C47C2" w:rsidRPr="00935CF2" w:rsidRDefault="007C47C2" w:rsidP="007C47C2">
      <w:pPr>
        <w:widowControl w:val="0"/>
        <w:ind w:left="720" w:hanging="720"/>
        <w:rPr>
          <w:sz w:val="20"/>
          <w:szCs w:val="20"/>
        </w:rPr>
      </w:pPr>
      <w:r w:rsidRPr="00935CF2">
        <w:rPr>
          <w:sz w:val="20"/>
          <w:szCs w:val="20"/>
        </w:rPr>
        <w:t xml:space="preserve">Coram: </w:t>
      </w:r>
      <w:r w:rsidRPr="00935CF2">
        <w:rPr>
          <w:sz w:val="20"/>
          <w:szCs w:val="20"/>
        </w:rPr>
        <w:tab/>
      </w:r>
      <w:proofErr w:type="spellStart"/>
      <w:r w:rsidR="00380DA0" w:rsidRPr="00935CF2">
        <w:rPr>
          <w:sz w:val="20"/>
          <w:szCs w:val="20"/>
          <w:u w:val="single"/>
          <w:lang w:val="fr-CA"/>
        </w:rPr>
        <w:t>McLachlin</w:t>
      </w:r>
      <w:proofErr w:type="spellEnd"/>
      <w:r w:rsidR="00380DA0" w:rsidRPr="00935CF2">
        <w:rPr>
          <w:sz w:val="20"/>
          <w:szCs w:val="20"/>
          <w:u w:val="single"/>
          <w:lang w:val="fr-CA"/>
        </w:rPr>
        <w:t xml:space="preserve"> C.J. and Abella, Cromwell, </w:t>
      </w:r>
      <w:proofErr w:type="spellStart"/>
      <w:r w:rsidR="00380DA0" w:rsidRPr="00935CF2">
        <w:rPr>
          <w:sz w:val="20"/>
          <w:szCs w:val="20"/>
          <w:u w:val="single"/>
          <w:lang w:val="fr-CA"/>
        </w:rPr>
        <w:t>Moldaver</w:t>
      </w:r>
      <w:proofErr w:type="spellEnd"/>
      <w:r w:rsidR="00380DA0" w:rsidRPr="00935CF2">
        <w:rPr>
          <w:sz w:val="20"/>
          <w:szCs w:val="20"/>
          <w:u w:val="single"/>
          <w:lang w:val="fr-CA"/>
        </w:rPr>
        <w:t xml:space="preserve">, </w:t>
      </w:r>
      <w:proofErr w:type="spellStart"/>
      <w:r w:rsidR="00380DA0" w:rsidRPr="00935CF2">
        <w:rPr>
          <w:sz w:val="20"/>
          <w:szCs w:val="20"/>
          <w:u w:val="single"/>
          <w:lang w:val="fr-CA"/>
        </w:rPr>
        <w:t>Karakatsanis</w:t>
      </w:r>
      <w:proofErr w:type="spellEnd"/>
      <w:r w:rsidR="00380DA0" w:rsidRPr="00935CF2">
        <w:rPr>
          <w:sz w:val="20"/>
          <w:szCs w:val="20"/>
          <w:u w:val="single"/>
          <w:lang w:val="fr-CA"/>
        </w:rPr>
        <w:t>, Wagner, Gascon, Côté and Brown JJ.</w:t>
      </w:r>
    </w:p>
    <w:p w:rsidR="007C47C2" w:rsidRPr="00935CF2" w:rsidRDefault="007C47C2" w:rsidP="007C47C2">
      <w:pPr>
        <w:widowControl w:val="0"/>
        <w:rPr>
          <w:b/>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7C47C2" w:rsidRPr="00935CF2" w:rsidTr="00370A4C">
        <w:trPr>
          <w:trHeight w:val="5319"/>
        </w:trPr>
        <w:tc>
          <w:tcPr>
            <w:tcW w:w="4380" w:type="dxa"/>
            <w:tcMar>
              <w:left w:w="0" w:type="dxa"/>
              <w:right w:w="0" w:type="dxa"/>
            </w:tcMar>
          </w:tcPr>
          <w:p w:rsidR="007C47C2" w:rsidRPr="00935CF2" w:rsidRDefault="006A752C" w:rsidP="000B23D3">
            <w:pPr>
              <w:widowControl w:val="0"/>
              <w:jc w:val="both"/>
              <w:rPr>
                <w:b/>
                <w:sz w:val="20"/>
                <w:szCs w:val="20"/>
              </w:rPr>
            </w:pPr>
            <w:r w:rsidRPr="00935CF2">
              <w:rPr>
                <w:b/>
                <w:sz w:val="20"/>
                <w:szCs w:val="20"/>
              </w:rPr>
              <w:t>K.R.J.</w:t>
            </w:r>
          </w:p>
          <w:p w:rsidR="007C47C2" w:rsidRPr="00935CF2" w:rsidRDefault="007C47C2" w:rsidP="000B23D3">
            <w:pPr>
              <w:widowControl w:val="0"/>
              <w:jc w:val="both"/>
              <w:rPr>
                <w:b/>
                <w:sz w:val="20"/>
                <w:szCs w:val="20"/>
              </w:rPr>
            </w:pPr>
          </w:p>
          <w:p w:rsidR="007C47C2" w:rsidRPr="00935CF2" w:rsidRDefault="007C47C2" w:rsidP="000B23D3">
            <w:pPr>
              <w:widowControl w:val="0"/>
              <w:tabs>
                <w:tab w:val="left" w:pos="736"/>
              </w:tabs>
              <w:jc w:val="both"/>
              <w:rPr>
                <w:b/>
                <w:sz w:val="20"/>
                <w:szCs w:val="20"/>
              </w:rPr>
            </w:pPr>
            <w:r w:rsidRPr="00935CF2">
              <w:rPr>
                <w:b/>
                <w:sz w:val="20"/>
                <w:szCs w:val="20"/>
              </w:rPr>
              <w:tab/>
              <w:t xml:space="preserve">v. </w:t>
            </w:r>
            <w:r w:rsidR="006A752C" w:rsidRPr="00935CF2">
              <w:rPr>
                <w:sz w:val="20"/>
                <w:szCs w:val="20"/>
                <w:lang w:val="fr-CA"/>
              </w:rPr>
              <w:t>(</w:t>
            </w:r>
            <w:hyperlink r:id="rId87" w:history="1">
              <w:r w:rsidR="006A752C" w:rsidRPr="00935CF2">
                <w:rPr>
                  <w:rStyle w:val="Hyperlink"/>
                  <w:sz w:val="20"/>
                  <w:szCs w:val="20"/>
                  <w:lang w:val="fr-CA"/>
                </w:rPr>
                <w:t>36200</w:t>
              </w:r>
            </w:hyperlink>
            <w:r w:rsidR="006A752C" w:rsidRPr="00935CF2">
              <w:rPr>
                <w:sz w:val="20"/>
                <w:szCs w:val="20"/>
                <w:lang w:val="fr-CA"/>
              </w:rPr>
              <w:t>)</w:t>
            </w:r>
          </w:p>
          <w:p w:rsidR="007C47C2" w:rsidRPr="00935CF2" w:rsidRDefault="007C47C2" w:rsidP="000B23D3">
            <w:pPr>
              <w:widowControl w:val="0"/>
              <w:jc w:val="both"/>
              <w:rPr>
                <w:b/>
                <w:sz w:val="20"/>
                <w:szCs w:val="20"/>
              </w:rPr>
            </w:pPr>
          </w:p>
          <w:p w:rsidR="00030069" w:rsidRPr="00935CF2" w:rsidRDefault="00446556" w:rsidP="00446556">
            <w:pPr>
              <w:widowControl w:val="0"/>
              <w:jc w:val="both"/>
              <w:rPr>
                <w:b/>
                <w:sz w:val="20"/>
                <w:szCs w:val="20"/>
              </w:rPr>
            </w:pPr>
            <w:r w:rsidRPr="00935CF2">
              <w:rPr>
                <w:b/>
                <w:sz w:val="20"/>
                <w:szCs w:val="20"/>
              </w:rPr>
              <w:t>Her Majesty the Queen</w:t>
            </w:r>
            <w:r w:rsidR="007C47C2" w:rsidRPr="00935CF2">
              <w:rPr>
                <w:b/>
                <w:sz w:val="20"/>
                <w:szCs w:val="20"/>
              </w:rPr>
              <w:t xml:space="preserve"> (</w:t>
            </w:r>
            <w:r w:rsidRPr="00935CF2">
              <w:rPr>
                <w:b/>
                <w:sz w:val="20"/>
                <w:szCs w:val="20"/>
              </w:rPr>
              <w:t>B.C.</w:t>
            </w:r>
            <w:r w:rsidR="007C47C2" w:rsidRPr="00935CF2">
              <w:rPr>
                <w:b/>
                <w:sz w:val="20"/>
                <w:szCs w:val="20"/>
              </w:rPr>
              <w:t>) (Crimina</w:t>
            </w:r>
            <w:r w:rsidR="00030069" w:rsidRPr="00935CF2">
              <w:rPr>
                <w:b/>
                <w:sz w:val="20"/>
                <w:szCs w:val="20"/>
              </w:rPr>
              <w:t>l)</w:t>
            </w:r>
          </w:p>
          <w:p w:rsidR="007C47C2" w:rsidRPr="00935CF2" w:rsidRDefault="007C47C2" w:rsidP="00446556">
            <w:pPr>
              <w:widowControl w:val="0"/>
              <w:jc w:val="both"/>
              <w:rPr>
                <w:sz w:val="20"/>
                <w:szCs w:val="20"/>
              </w:rPr>
            </w:pPr>
            <w:r w:rsidRPr="00935CF2">
              <w:rPr>
                <w:b/>
                <w:sz w:val="20"/>
                <w:szCs w:val="20"/>
              </w:rPr>
              <w:t>(</w:t>
            </w:r>
            <w:r w:rsidR="00446556" w:rsidRPr="00935CF2">
              <w:rPr>
                <w:b/>
                <w:sz w:val="20"/>
                <w:szCs w:val="20"/>
              </w:rPr>
              <w:t>By Leave</w:t>
            </w:r>
            <w:r w:rsidRPr="00935CF2">
              <w:rPr>
                <w:b/>
                <w:sz w:val="20"/>
                <w:szCs w:val="20"/>
              </w:rPr>
              <w:t>)</w:t>
            </w:r>
          </w:p>
        </w:tc>
        <w:tc>
          <w:tcPr>
            <w:tcW w:w="720" w:type="dxa"/>
            <w:tcMar>
              <w:left w:w="0" w:type="dxa"/>
              <w:right w:w="0" w:type="dxa"/>
            </w:tcMar>
          </w:tcPr>
          <w:p w:rsidR="007C47C2" w:rsidRPr="00935CF2" w:rsidRDefault="007C47C2" w:rsidP="000B23D3">
            <w:pPr>
              <w:widowControl w:val="0"/>
              <w:jc w:val="center"/>
              <w:rPr>
                <w:sz w:val="20"/>
                <w:szCs w:val="20"/>
              </w:rPr>
            </w:pPr>
          </w:p>
        </w:tc>
        <w:tc>
          <w:tcPr>
            <w:tcW w:w="4380" w:type="dxa"/>
            <w:tcMar>
              <w:left w:w="0" w:type="dxa"/>
              <w:right w:w="0" w:type="dxa"/>
            </w:tcMar>
          </w:tcPr>
          <w:p w:rsidR="007C47C2" w:rsidRPr="00935CF2" w:rsidRDefault="00370A4C" w:rsidP="000B23D3">
            <w:pPr>
              <w:jc w:val="both"/>
              <w:rPr>
                <w:sz w:val="20"/>
                <w:szCs w:val="20"/>
              </w:rPr>
            </w:pPr>
            <w:r w:rsidRPr="00935CF2">
              <w:rPr>
                <w:sz w:val="20"/>
                <w:szCs w:val="20"/>
              </w:rPr>
              <w:t xml:space="preserve">Eric </w:t>
            </w:r>
            <w:proofErr w:type="spellStart"/>
            <w:r w:rsidRPr="00935CF2">
              <w:rPr>
                <w:sz w:val="20"/>
                <w:szCs w:val="20"/>
              </w:rPr>
              <w:t>Purtzki</w:t>
            </w:r>
            <w:proofErr w:type="spellEnd"/>
            <w:r w:rsidRPr="00935CF2">
              <w:rPr>
                <w:sz w:val="20"/>
                <w:szCs w:val="20"/>
              </w:rPr>
              <w:t xml:space="preserve"> and Garth </w:t>
            </w:r>
            <w:proofErr w:type="spellStart"/>
            <w:r w:rsidRPr="00935CF2">
              <w:rPr>
                <w:sz w:val="20"/>
                <w:szCs w:val="20"/>
              </w:rPr>
              <w:t>Barriere</w:t>
            </w:r>
            <w:proofErr w:type="spellEnd"/>
            <w:r w:rsidR="007C47C2" w:rsidRPr="00935CF2">
              <w:rPr>
                <w:sz w:val="20"/>
                <w:szCs w:val="20"/>
              </w:rPr>
              <w:t xml:space="preserve"> for the appellant.</w:t>
            </w:r>
          </w:p>
          <w:p w:rsidR="007C47C2" w:rsidRPr="00935CF2" w:rsidRDefault="007C47C2" w:rsidP="000B23D3">
            <w:pPr>
              <w:jc w:val="both"/>
              <w:rPr>
                <w:sz w:val="20"/>
                <w:szCs w:val="20"/>
              </w:rPr>
            </w:pPr>
          </w:p>
          <w:p w:rsidR="007C47C2" w:rsidRPr="00935CF2" w:rsidRDefault="00370A4C" w:rsidP="00370A4C">
            <w:pPr>
              <w:widowControl w:val="0"/>
              <w:jc w:val="both"/>
              <w:rPr>
                <w:sz w:val="20"/>
                <w:szCs w:val="20"/>
              </w:rPr>
            </w:pPr>
            <w:r w:rsidRPr="00935CF2">
              <w:rPr>
                <w:sz w:val="20"/>
                <w:szCs w:val="20"/>
              </w:rPr>
              <w:t>John Norris and Cheryl Milne</w:t>
            </w:r>
            <w:r w:rsidR="007C47C2" w:rsidRPr="00935CF2">
              <w:rPr>
                <w:sz w:val="20"/>
                <w:szCs w:val="20"/>
              </w:rPr>
              <w:t xml:space="preserve"> for the</w:t>
            </w:r>
            <w:r w:rsidRPr="00935CF2">
              <w:rPr>
                <w:sz w:val="20"/>
                <w:szCs w:val="20"/>
              </w:rPr>
              <w:t xml:space="preserve"> intervener David Asper Centre for Constitutional Rights</w:t>
            </w:r>
            <w:r w:rsidR="007C47C2" w:rsidRPr="00935CF2">
              <w:rPr>
                <w:sz w:val="20"/>
                <w:szCs w:val="20"/>
              </w:rPr>
              <w:t>.</w:t>
            </w:r>
          </w:p>
          <w:p w:rsidR="00370A4C" w:rsidRPr="00935CF2" w:rsidRDefault="00370A4C" w:rsidP="00370A4C">
            <w:pPr>
              <w:widowControl w:val="0"/>
              <w:jc w:val="both"/>
              <w:rPr>
                <w:sz w:val="20"/>
                <w:szCs w:val="20"/>
              </w:rPr>
            </w:pPr>
          </w:p>
          <w:p w:rsidR="00370A4C" w:rsidRPr="00935CF2" w:rsidRDefault="00370A4C" w:rsidP="00370A4C">
            <w:pPr>
              <w:widowControl w:val="0"/>
              <w:jc w:val="both"/>
              <w:rPr>
                <w:sz w:val="20"/>
                <w:szCs w:val="20"/>
              </w:rPr>
            </w:pPr>
            <w:r w:rsidRPr="00935CF2">
              <w:rPr>
                <w:sz w:val="20"/>
                <w:szCs w:val="20"/>
              </w:rPr>
              <w:t xml:space="preserve">Nicholas St-Jacques and </w:t>
            </w:r>
            <w:proofErr w:type="spellStart"/>
            <w:r w:rsidRPr="00935CF2">
              <w:rPr>
                <w:sz w:val="20"/>
                <w:szCs w:val="20"/>
              </w:rPr>
              <w:t>Lida</w:t>
            </w:r>
            <w:proofErr w:type="spellEnd"/>
            <w:r w:rsidRPr="00935CF2">
              <w:rPr>
                <w:sz w:val="20"/>
                <w:szCs w:val="20"/>
              </w:rPr>
              <w:t xml:space="preserve"> Sara </w:t>
            </w:r>
            <w:proofErr w:type="spellStart"/>
            <w:r w:rsidRPr="00935CF2">
              <w:rPr>
                <w:sz w:val="20"/>
                <w:szCs w:val="20"/>
              </w:rPr>
              <w:t>Nouraie</w:t>
            </w:r>
            <w:proofErr w:type="spellEnd"/>
            <w:r w:rsidRPr="00935CF2">
              <w:rPr>
                <w:sz w:val="20"/>
                <w:szCs w:val="20"/>
              </w:rPr>
              <w:t xml:space="preserve"> pour </w:t>
            </w:r>
            <w:proofErr w:type="spellStart"/>
            <w:r w:rsidRPr="00935CF2">
              <w:rPr>
                <w:sz w:val="20"/>
                <w:szCs w:val="20"/>
              </w:rPr>
              <w:t>l’intervenant</w:t>
            </w:r>
            <w:proofErr w:type="spellEnd"/>
            <w:r w:rsidRPr="00935CF2">
              <w:rPr>
                <w:sz w:val="20"/>
                <w:szCs w:val="20"/>
              </w:rPr>
              <w:t xml:space="preserve"> Association des </w:t>
            </w:r>
            <w:proofErr w:type="spellStart"/>
            <w:r w:rsidRPr="00935CF2">
              <w:rPr>
                <w:sz w:val="20"/>
                <w:szCs w:val="20"/>
              </w:rPr>
              <w:t>avocats</w:t>
            </w:r>
            <w:proofErr w:type="spellEnd"/>
            <w:r w:rsidRPr="00935CF2">
              <w:rPr>
                <w:sz w:val="20"/>
                <w:szCs w:val="20"/>
              </w:rPr>
              <w:t xml:space="preserve"> de la </w:t>
            </w:r>
            <w:proofErr w:type="spellStart"/>
            <w:r w:rsidRPr="00935CF2">
              <w:rPr>
                <w:sz w:val="20"/>
                <w:szCs w:val="20"/>
              </w:rPr>
              <w:t>défense</w:t>
            </w:r>
            <w:proofErr w:type="spellEnd"/>
            <w:r w:rsidRPr="00935CF2">
              <w:rPr>
                <w:sz w:val="20"/>
                <w:szCs w:val="20"/>
              </w:rPr>
              <w:t xml:space="preserve"> de Montréal.</w:t>
            </w:r>
          </w:p>
          <w:p w:rsidR="00370A4C" w:rsidRPr="00935CF2" w:rsidRDefault="00370A4C" w:rsidP="00370A4C">
            <w:pPr>
              <w:widowControl w:val="0"/>
              <w:jc w:val="both"/>
              <w:rPr>
                <w:sz w:val="20"/>
                <w:szCs w:val="20"/>
              </w:rPr>
            </w:pPr>
          </w:p>
          <w:p w:rsidR="00370A4C" w:rsidRPr="00935CF2" w:rsidRDefault="00370A4C" w:rsidP="00370A4C">
            <w:pPr>
              <w:widowControl w:val="0"/>
              <w:jc w:val="both"/>
              <w:rPr>
                <w:sz w:val="20"/>
                <w:szCs w:val="20"/>
              </w:rPr>
            </w:pPr>
            <w:r w:rsidRPr="00935CF2">
              <w:rPr>
                <w:sz w:val="20"/>
                <w:szCs w:val="20"/>
              </w:rPr>
              <w:t xml:space="preserve">Matthew R. </w:t>
            </w:r>
            <w:proofErr w:type="spellStart"/>
            <w:r w:rsidRPr="00935CF2">
              <w:rPr>
                <w:sz w:val="20"/>
                <w:szCs w:val="20"/>
              </w:rPr>
              <w:t>Gourlay</w:t>
            </w:r>
            <w:proofErr w:type="spellEnd"/>
            <w:r w:rsidRPr="00935CF2">
              <w:rPr>
                <w:sz w:val="20"/>
                <w:szCs w:val="20"/>
              </w:rPr>
              <w:t xml:space="preserve"> for the intervener Criminal Lawyers’ Association (Ontario).</w:t>
            </w:r>
          </w:p>
          <w:p w:rsidR="00370A4C" w:rsidRPr="00935CF2" w:rsidRDefault="00370A4C" w:rsidP="00370A4C">
            <w:pPr>
              <w:widowControl w:val="0"/>
              <w:jc w:val="both"/>
              <w:rPr>
                <w:sz w:val="20"/>
                <w:szCs w:val="20"/>
              </w:rPr>
            </w:pPr>
          </w:p>
          <w:p w:rsidR="00370A4C" w:rsidRPr="00935CF2" w:rsidRDefault="00370A4C" w:rsidP="00370A4C">
            <w:pPr>
              <w:widowControl w:val="0"/>
              <w:jc w:val="both"/>
              <w:rPr>
                <w:sz w:val="20"/>
                <w:szCs w:val="20"/>
              </w:rPr>
            </w:pPr>
            <w:r w:rsidRPr="00935CF2">
              <w:rPr>
                <w:sz w:val="20"/>
                <w:szCs w:val="20"/>
              </w:rPr>
              <w:t xml:space="preserve">Emily MacKinnon and Michael A. </w:t>
            </w:r>
            <w:proofErr w:type="spellStart"/>
            <w:r w:rsidRPr="00935CF2">
              <w:rPr>
                <w:sz w:val="20"/>
                <w:szCs w:val="20"/>
              </w:rPr>
              <w:t>Feder</w:t>
            </w:r>
            <w:proofErr w:type="spellEnd"/>
            <w:r w:rsidRPr="00935CF2">
              <w:rPr>
                <w:sz w:val="20"/>
                <w:szCs w:val="20"/>
              </w:rPr>
              <w:t xml:space="preserve"> for the intervener British Columbia Civil Liberties Association.</w:t>
            </w:r>
          </w:p>
          <w:p w:rsidR="00370A4C" w:rsidRPr="00935CF2" w:rsidRDefault="00370A4C" w:rsidP="00370A4C">
            <w:pPr>
              <w:widowControl w:val="0"/>
              <w:jc w:val="both"/>
              <w:rPr>
                <w:sz w:val="20"/>
                <w:szCs w:val="20"/>
              </w:rPr>
            </w:pPr>
          </w:p>
          <w:p w:rsidR="00370A4C" w:rsidRPr="00935CF2" w:rsidRDefault="00370A4C" w:rsidP="00370A4C">
            <w:pPr>
              <w:widowControl w:val="0"/>
              <w:jc w:val="both"/>
              <w:rPr>
                <w:sz w:val="20"/>
                <w:szCs w:val="20"/>
              </w:rPr>
            </w:pPr>
            <w:r w:rsidRPr="00935CF2">
              <w:rPr>
                <w:sz w:val="20"/>
                <w:szCs w:val="20"/>
              </w:rPr>
              <w:t xml:space="preserve">Lesley A. </w:t>
            </w:r>
            <w:proofErr w:type="spellStart"/>
            <w:r w:rsidRPr="00935CF2">
              <w:rPr>
                <w:sz w:val="20"/>
                <w:szCs w:val="20"/>
              </w:rPr>
              <w:t>Ruzicka</w:t>
            </w:r>
            <w:proofErr w:type="spellEnd"/>
            <w:r w:rsidRPr="00935CF2">
              <w:rPr>
                <w:sz w:val="20"/>
                <w:szCs w:val="20"/>
              </w:rPr>
              <w:t xml:space="preserve"> for the respondent.</w:t>
            </w:r>
          </w:p>
          <w:p w:rsidR="00765BDE" w:rsidRPr="00935CF2" w:rsidRDefault="00765BDE" w:rsidP="00370A4C">
            <w:pPr>
              <w:widowControl w:val="0"/>
              <w:jc w:val="both"/>
              <w:rPr>
                <w:sz w:val="20"/>
                <w:szCs w:val="20"/>
              </w:rPr>
            </w:pPr>
          </w:p>
          <w:p w:rsidR="00765BDE" w:rsidRPr="00935CF2" w:rsidRDefault="00765BDE" w:rsidP="00370A4C">
            <w:pPr>
              <w:widowControl w:val="0"/>
              <w:jc w:val="both"/>
              <w:rPr>
                <w:sz w:val="20"/>
                <w:szCs w:val="20"/>
              </w:rPr>
            </w:pPr>
            <w:r w:rsidRPr="00935CF2">
              <w:rPr>
                <w:sz w:val="20"/>
                <w:szCs w:val="20"/>
              </w:rPr>
              <w:t>Richard Kramer and Marc Ribeiro for the intervener Attorney General of Canada.</w:t>
            </w:r>
          </w:p>
          <w:p w:rsidR="00370A4C" w:rsidRPr="00935CF2" w:rsidRDefault="00370A4C" w:rsidP="00370A4C">
            <w:pPr>
              <w:widowControl w:val="0"/>
              <w:jc w:val="both"/>
              <w:rPr>
                <w:sz w:val="20"/>
                <w:szCs w:val="20"/>
              </w:rPr>
            </w:pPr>
          </w:p>
          <w:p w:rsidR="00370A4C" w:rsidRPr="00935CF2" w:rsidRDefault="00370A4C" w:rsidP="00370A4C">
            <w:pPr>
              <w:widowControl w:val="0"/>
              <w:jc w:val="both"/>
              <w:rPr>
                <w:sz w:val="20"/>
                <w:szCs w:val="20"/>
              </w:rPr>
            </w:pPr>
            <w:r w:rsidRPr="00935CF2">
              <w:rPr>
                <w:sz w:val="20"/>
                <w:szCs w:val="20"/>
              </w:rPr>
              <w:t>Stacey D. Young and Jennifer A. Crawford for the intervener Attorney General for Ontario.</w:t>
            </w:r>
          </w:p>
          <w:p w:rsidR="00370A4C" w:rsidRPr="00935CF2" w:rsidRDefault="00370A4C" w:rsidP="00370A4C">
            <w:pPr>
              <w:widowControl w:val="0"/>
              <w:jc w:val="both"/>
              <w:rPr>
                <w:sz w:val="20"/>
                <w:szCs w:val="20"/>
              </w:rPr>
            </w:pPr>
          </w:p>
        </w:tc>
      </w:tr>
    </w:tbl>
    <w:p w:rsidR="007C47C2" w:rsidRPr="00935CF2" w:rsidRDefault="007C47C2" w:rsidP="007C47C2">
      <w:pPr>
        <w:widowControl w:val="0"/>
      </w:pPr>
    </w:p>
    <w:p w:rsidR="002E3993" w:rsidRPr="00935CF2" w:rsidRDefault="002E3993" w:rsidP="002E3993">
      <w:pPr>
        <w:widowControl w:val="0"/>
        <w:rPr>
          <w:sz w:val="20"/>
          <w:szCs w:val="20"/>
        </w:rPr>
      </w:pPr>
      <w:r w:rsidRPr="00935CF2">
        <w:rPr>
          <w:b/>
          <w:sz w:val="20"/>
          <w:szCs w:val="20"/>
        </w:rPr>
        <w:t xml:space="preserve">RESERVED / </w:t>
      </w:r>
      <w:r w:rsidRPr="00935CF2">
        <w:rPr>
          <w:b/>
          <w:sz w:val="20"/>
          <w:szCs w:val="20"/>
          <w:lang w:val="fr-CA"/>
        </w:rPr>
        <w:t>EN DÉLIBÉRÉ</w:t>
      </w:r>
    </w:p>
    <w:p w:rsidR="002E3993" w:rsidRPr="00935CF2" w:rsidRDefault="002E3993" w:rsidP="007C47C2">
      <w:pPr>
        <w:rPr>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7C47C2" w:rsidRPr="00935CF2" w:rsidTr="000B23D3">
        <w:tc>
          <w:tcPr>
            <w:tcW w:w="4380" w:type="dxa"/>
            <w:tcMar>
              <w:left w:w="0" w:type="dxa"/>
              <w:right w:w="0" w:type="dxa"/>
            </w:tcMar>
          </w:tcPr>
          <w:p w:rsidR="007C47C2" w:rsidRPr="00935CF2" w:rsidRDefault="007C47C2" w:rsidP="000B23D3">
            <w:pPr>
              <w:widowControl w:val="0"/>
              <w:jc w:val="both"/>
              <w:rPr>
                <w:b/>
                <w:sz w:val="20"/>
                <w:szCs w:val="20"/>
                <w:u w:val="single"/>
              </w:rPr>
            </w:pPr>
            <w:r w:rsidRPr="00935CF2">
              <w:rPr>
                <w:b/>
                <w:sz w:val="20"/>
                <w:szCs w:val="20"/>
                <w:u w:val="single"/>
              </w:rPr>
              <w:t>Nature of the case:</w:t>
            </w:r>
          </w:p>
          <w:p w:rsidR="007C47C2" w:rsidRPr="00935CF2" w:rsidRDefault="007C47C2" w:rsidP="000B23D3">
            <w:pPr>
              <w:widowControl w:val="0"/>
              <w:jc w:val="both"/>
              <w:rPr>
                <w:b/>
                <w:sz w:val="20"/>
                <w:szCs w:val="20"/>
              </w:rPr>
            </w:pPr>
          </w:p>
          <w:p w:rsidR="001D7032" w:rsidRPr="00935CF2" w:rsidRDefault="001D7032" w:rsidP="001D7032">
            <w:pPr>
              <w:jc w:val="both"/>
              <w:rPr>
                <w:smallCaps/>
                <w:sz w:val="20"/>
                <w:lang w:eastAsia="en-CA"/>
              </w:rPr>
            </w:pPr>
            <w:r w:rsidRPr="00935CF2">
              <w:rPr>
                <w:smallCaps/>
                <w:sz w:val="20"/>
                <w:lang w:eastAsia="en-CA"/>
              </w:rPr>
              <w:t>(Publication ban in case)(Sealing order)</w:t>
            </w:r>
          </w:p>
          <w:p w:rsidR="001D7032" w:rsidRPr="00935CF2" w:rsidRDefault="001D7032" w:rsidP="001D7032">
            <w:pPr>
              <w:jc w:val="both"/>
              <w:rPr>
                <w:sz w:val="20"/>
                <w:lang w:eastAsia="en-CA"/>
              </w:rPr>
            </w:pPr>
          </w:p>
          <w:p w:rsidR="007C47C2" w:rsidRPr="00935CF2" w:rsidRDefault="001D7032" w:rsidP="001D7032">
            <w:pPr>
              <w:widowControl w:val="0"/>
              <w:jc w:val="both"/>
              <w:rPr>
                <w:b/>
                <w:sz w:val="20"/>
                <w:szCs w:val="20"/>
              </w:rPr>
            </w:pPr>
            <w:r w:rsidRPr="00935CF2">
              <w:rPr>
                <w:i/>
                <w:sz w:val="20"/>
                <w:lang w:eastAsia="en-CA"/>
              </w:rPr>
              <w:t>Charter of Rights and Freedoms</w:t>
            </w:r>
            <w:r w:rsidRPr="00935CF2">
              <w:rPr>
                <w:sz w:val="20"/>
                <w:lang w:eastAsia="en-CA"/>
              </w:rPr>
              <w:t xml:space="preserve"> - Criminal Law - Benefit of lesser punishment - Sentencing - Orders of prohibition -</w:t>
            </w:r>
            <w:r w:rsidRPr="00935CF2">
              <w:rPr>
                <w:rFonts w:eastAsia="Arial"/>
                <w:sz w:val="20"/>
                <w:lang w:eastAsia="en-CA"/>
              </w:rPr>
              <w:t xml:space="preserve"> Under s. 161(1) of the </w:t>
            </w:r>
            <w:r w:rsidRPr="00935CF2">
              <w:rPr>
                <w:rFonts w:eastAsia="Arial"/>
                <w:i/>
                <w:sz w:val="20"/>
                <w:lang w:eastAsia="en-CA"/>
              </w:rPr>
              <w:t>Criminal Code</w:t>
            </w:r>
            <w:r w:rsidRPr="00935CF2">
              <w:rPr>
                <w:rFonts w:eastAsia="Arial"/>
                <w:sz w:val="20"/>
                <w:lang w:eastAsia="en-CA"/>
              </w:rPr>
              <w:t xml:space="preserve">, courts may issue orders prohibiting offenders from engaging in activity listed in s. 161(1), if the offender was convicted of a sexual offence referred to in s. 161(1.1) in respect of a person under 16 years of age - </w:t>
            </w:r>
            <w:r w:rsidRPr="00935CF2">
              <w:rPr>
                <w:sz w:val="20"/>
                <w:lang w:eastAsia="en-CA"/>
              </w:rPr>
              <w:t xml:space="preserve">J </w:t>
            </w:r>
            <w:r w:rsidRPr="00935CF2">
              <w:rPr>
                <w:rFonts w:eastAsia="Arial"/>
                <w:sz w:val="20"/>
                <w:lang w:eastAsia="en-CA"/>
              </w:rPr>
              <w:t>committed sexual offences referred to in s. 161(1.1)(</w:t>
            </w:r>
            <w:r w:rsidRPr="00935CF2">
              <w:rPr>
                <w:rFonts w:eastAsia="Arial"/>
                <w:i/>
                <w:sz w:val="20"/>
                <w:lang w:eastAsia="en-CA"/>
              </w:rPr>
              <w:t>a</w:t>
            </w:r>
            <w:r w:rsidRPr="00935CF2">
              <w:rPr>
                <w:rFonts w:eastAsia="Arial"/>
                <w:sz w:val="20"/>
                <w:lang w:eastAsia="en-CA"/>
              </w:rPr>
              <w:t xml:space="preserve">) against </w:t>
            </w:r>
            <w:r w:rsidRPr="00935CF2">
              <w:rPr>
                <w:sz w:val="20"/>
                <w:lang w:eastAsia="en-CA"/>
              </w:rPr>
              <w:t>a person under the age of 16 years -</w:t>
            </w:r>
            <w:r w:rsidRPr="00935CF2">
              <w:rPr>
                <w:rFonts w:eastAsia="Arial"/>
                <w:sz w:val="20"/>
                <w:lang w:eastAsia="en-CA"/>
              </w:rPr>
              <w:t xml:space="preserve"> </w:t>
            </w:r>
            <w:r w:rsidRPr="00935CF2">
              <w:rPr>
                <w:sz w:val="20"/>
                <w:lang w:eastAsia="en-CA"/>
              </w:rPr>
              <w:t>Between J’s offence dates and</w:t>
            </w:r>
            <w:r w:rsidRPr="00935CF2">
              <w:rPr>
                <w:rFonts w:eastAsia="Arial"/>
                <w:sz w:val="20"/>
                <w:lang w:eastAsia="en-CA"/>
              </w:rPr>
              <w:t xml:space="preserve"> </w:t>
            </w:r>
            <w:r w:rsidRPr="00935CF2">
              <w:rPr>
                <w:sz w:val="20"/>
                <w:lang w:eastAsia="en-CA"/>
              </w:rPr>
              <w:t xml:space="preserve">sentencing, the </w:t>
            </w:r>
            <w:r w:rsidRPr="00935CF2">
              <w:rPr>
                <w:i/>
                <w:sz w:val="20"/>
                <w:lang w:eastAsia="en-CA"/>
              </w:rPr>
              <w:t>Criminal Code</w:t>
            </w:r>
            <w:r w:rsidRPr="00935CF2">
              <w:rPr>
                <w:sz w:val="20"/>
                <w:lang w:eastAsia="en-CA"/>
              </w:rPr>
              <w:t xml:space="preserve"> was amended and more onerous prohibitions were introduced into s. 161(1) - Whether court may order more onerous prohibitions -</w:t>
            </w:r>
            <w:r w:rsidRPr="00935CF2">
              <w:rPr>
                <w:i/>
                <w:sz w:val="20"/>
                <w:lang w:eastAsia="en-CA"/>
              </w:rPr>
              <w:t xml:space="preserve"> </w:t>
            </w:r>
            <w:r w:rsidRPr="00935CF2">
              <w:rPr>
                <w:sz w:val="20"/>
                <w:lang w:eastAsia="en-CA"/>
              </w:rPr>
              <w:t>Whether prohibitions are punishment for purposes of s. 11(</w:t>
            </w:r>
            <w:proofErr w:type="spellStart"/>
            <w:r w:rsidRPr="00935CF2">
              <w:rPr>
                <w:i/>
                <w:sz w:val="20"/>
                <w:lang w:eastAsia="en-CA"/>
              </w:rPr>
              <w:t>i</w:t>
            </w:r>
            <w:proofErr w:type="spellEnd"/>
            <w:r w:rsidRPr="00935CF2">
              <w:rPr>
                <w:sz w:val="20"/>
                <w:lang w:eastAsia="en-CA"/>
              </w:rPr>
              <w:t xml:space="preserve">) of </w:t>
            </w:r>
            <w:r w:rsidRPr="00935CF2">
              <w:rPr>
                <w:i/>
                <w:sz w:val="20"/>
                <w:lang w:eastAsia="en-CA"/>
              </w:rPr>
              <w:t xml:space="preserve">Charter </w:t>
            </w:r>
            <w:r w:rsidRPr="00935CF2">
              <w:rPr>
                <w:sz w:val="20"/>
                <w:lang w:eastAsia="en-CA"/>
              </w:rPr>
              <w:t>-</w:t>
            </w:r>
            <w:r w:rsidRPr="00935CF2">
              <w:rPr>
                <w:i/>
                <w:sz w:val="20"/>
                <w:lang w:eastAsia="en-CA"/>
              </w:rPr>
              <w:t xml:space="preserve"> </w:t>
            </w:r>
            <w:r w:rsidRPr="00935CF2">
              <w:rPr>
                <w:sz w:val="20"/>
                <w:lang w:eastAsia="en-CA"/>
              </w:rPr>
              <w:t xml:space="preserve">How to determine when community supervision measures amount to punishment - </w:t>
            </w:r>
            <w:r w:rsidRPr="00935CF2">
              <w:rPr>
                <w:i/>
                <w:sz w:val="20"/>
                <w:lang w:eastAsia="en-CA"/>
              </w:rPr>
              <w:t>Safe Streets and Communities Act,</w:t>
            </w:r>
            <w:r w:rsidRPr="00935CF2">
              <w:rPr>
                <w:sz w:val="20"/>
                <w:lang w:eastAsia="en-CA"/>
              </w:rPr>
              <w:t xml:space="preserve"> S.C. 2012, c. 1 - </w:t>
            </w:r>
            <w:r w:rsidRPr="00935CF2">
              <w:rPr>
                <w:rFonts w:eastAsia="Arial"/>
                <w:i/>
                <w:sz w:val="20"/>
                <w:lang w:eastAsia="en-CA"/>
              </w:rPr>
              <w:t>Criminal Code</w:t>
            </w:r>
            <w:r w:rsidRPr="00935CF2">
              <w:rPr>
                <w:rFonts w:eastAsia="Arial"/>
                <w:sz w:val="20"/>
                <w:lang w:eastAsia="en-CA"/>
              </w:rPr>
              <w:t xml:space="preserve">, R.S.C. 1985 c. C-46, s. 161 - </w:t>
            </w:r>
            <w:r w:rsidRPr="00935CF2">
              <w:rPr>
                <w:rFonts w:eastAsia="Arial"/>
                <w:i/>
                <w:sz w:val="20"/>
                <w:lang w:eastAsia="en-CA"/>
              </w:rPr>
              <w:t>Canadian Charter of Rights and Freedoms</w:t>
            </w:r>
            <w:r w:rsidRPr="00935CF2">
              <w:rPr>
                <w:rFonts w:eastAsia="Arial"/>
                <w:sz w:val="20"/>
                <w:lang w:eastAsia="en-CA"/>
              </w:rPr>
              <w:t>, s. 11(</w:t>
            </w:r>
            <w:proofErr w:type="spellStart"/>
            <w:r w:rsidRPr="00935CF2">
              <w:rPr>
                <w:rFonts w:eastAsia="Arial"/>
                <w:i/>
                <w:sz w:val="20"/>
                <w:lang w:eastAsia="en-CA"/>
              </w:rPr>
              <w:t>i</w:t>
            </w:r>
            <w:proofErr w:type="spellEnd"/>
            <w:r w:rsidRPr="00935CF2">
              <w:rPr>
                <w:rFonts w:eastAsia="Arial"/>
                <w:sz w:val="20"/>
                <w:lang w:eastAsia="en-CA"/>
              </w:rPr>
              <w:t>).</w:t>
            </w:r>
          </w:p>
        </w:tc>
        <w:tc>
          <w:tcPr>
            <w:tcW w:w="720" w:type="dxa"/>
            <w:tcMar>
              <w:left w:w="0" w:type="dxa"/>
              <w:right w:w="0" w:type="dxa"/>
            </w:tcMar>
          </w:tcPr>
          <w:p w:rsidR="007C47C2" w:rsidRPr="00935CF2" w:rsidRDefault="007C47C2" w:rsidP="000B23D3">
            <w:pPr>
              <w:widowControl w:val="0"/>
              <w:jc w:val="center"/>
              <w:rPr>
                <w:sz w:val="20"/>
                <w:szCs w:val="20"/>
              </w:rPr>
            </w:pPr>
          </w:p>
        </w:tc>
        <w:tc>
          <w:tcPr>
            <w:tcW w:w="4380" w:type="dxa"/>
            <w:tcMar>
              <w:left w:w="0" w:type="dxa"/>
              <w:right w:w="0" w:type="dxa"/>
            </w:tcMar>
          </w:tcPr>
          <w:p w:rsidR="007C47C2" w:rsidRPr="00935CF2" w:rsidRDefault="007C47C2" w:rsidP="000B23D3">
            <w:pPr>
              <w:widowControl w:val="0"/>
              <w:jc w:val="both"/>
              <w:rPr>
                <w:b/>
                <w:sz w:val="20"/>
                <w:szCs w:val="20"/>
                <w:u w:val="single"/>
                <w:lang w:val="fr-CA"/>
              </w:rPr>
            </w:pPr>
            <w:r w:rsidRPr="00935CF2">
              <w:rPr>
                <w:b/>
                <w:sz w:val="20"/>
                <w:szCs w:val="20"/>
                <w:u w:val="single"/>
                <w:lang w:val="fr-CA"/>
              </w:rPr>
              <w:t>Nature de la cause :</w:t>
            </w:r>
          </w:p>
          <w:p w:rsidR="007C47C2" w:rsidRPr="00935CF2" w:rsidRDefault="007C47C2" w:rsidP="000B23D3">
            <w:pPr>
              <w:widowControl w:val="0"/>
              <w:jc w:val="both"/>
              <w:rPr>
                <w:sz w:val="20"/>
                <w:szCs w:val="20"/>
                <w:lang w:val="fr-CA"/>
              </w:rPr>
            </w:pPr>
          </w:p>
          <w:p w:rsidR="00957C80" w:rsidRPr="00935CF2" w:rsidRDefault="00957C80" w:rsidP="00957C80">
            <w:pPr>
              <w:jc w:val="both"/>
              <w:rPr>
                <w:smallCaps/>
                <w:sz w:val="20"/>
                <w:lang w:val="fr-CA" w:eastAsia="en-CA"/>
              </w:rPr>
            </w:pPr>
            <w:r w:rsidRPr="00935CF2">
              <w:rPr>
                <w:smallCaps/>
                <w:sz w:val="20"/>
                <w:lang w:val="fr-CA" w:eastAsia="en-CA"/>
              </w:rPr>
              <w:t>(Ordonnance de non-publication dans le dossier) (Ordonnance de mise sous scellés)</w:t>
            </w:r>
          </w:p>
          <w:p w:rsidR="00957C80" w:rsidRPr="00935CF2" w:rsidRDefault="00957C80" w:rsidP="00957C80">
            <w:pPr>
              <w:jc w:val="both"/>
              <w:rPr>
                <w:sz w:val="20"/>
                <w:lang w:val="fr-CA" w:eastAsia="en-CA"/>
              </w:rPr>
            </w:pPr>
          </w:p>
          <w:p w:rsidR="007C47C2" w:rsidRPr="00935CF2" w:rsidRDefault="00957C80" w:rsidP="00957C80">
            <w:pPr>
              <w:widowControl w:val="0"/>
              <w:jc w:val="both"/>
              <w:rPr>
                <w:sz w:val="20"/>
                <w:szCs w:val="20"/>
                <w:lang w:val="fr-CA"/>
              </w:rPr>
            </w:pPr>
            <w:r w:rsidRPr="00935CF2">
              <w:rPr>
                <w:i/>
                <w:sz w:val="20"/>
                <w:lang w:val="fr-CA" w:eastAsia="en-CA"/>
              </w:rPr>
              <w:t>Charte des droits et libertés</w:t>
            </w:r>
            <w:r w:rsidRPr="00935CF2">
              <w:rPr>
                <w:sz w:val="20"/>
                <w:lang w:val="fr-CA" w:eastAsia="en-CA"/>
              </w:rPr>
              <w:t xml:space="preserve"> - Droit criminel - Droit de bénéficier de la peine la moins sévère - Détermination de la peine - Ordonnances d’interdiction - En vertu du par. 161(1) du </w:t>
            </w:r>
            <w:r w:rsidRPr="00935CF2">
              <w:rPr>
                <w:i/>
                <w:sz w:val="20"/>
                <w:lang w:val="fr-CA" w:eastAsia="en-CA"/>
              </w:rPr>
              <w:t>Code criminel</w:t>
            </w:r>
            <w:r w:rsidRPr="00935CF2">
              <w:rPr>
                <w:sz w:val="20"/>
                <w:lang w:val="fr-CA" w:eastAsia="en-CA"/>
              </w:rPr>
              <w:t xml:space="preserve">, les tribunaux peuvent rendre des ordonnances interdisant aux contrevenants de se livrer à une activité énumérée au </w:t>
            </w:r>
            <w:proofErr w:type="spellStart"/>
            <w:r w:rsidRPr="00935CF2">
              <w:rPr>
                <w:sz w:val="20"/>
                <w:lang w:val="fr-CA" w:eastAsia="en-CA"/>
              </w:rPr>
              <w:t>par</w:t>
            </w:r>
            <w:proofErr w:type="spellEnd"/>
            <w:r w:rsidRPr="00935CF2">
              <w:rPr>
                <w:sz w:val="20"/>
                <w:lang w:val="fr-CA" w:eastAsia="en-CA"/>
              </w:rPr>
              <w:t xml:space="preserve">. 161(1) si le contrevenant a été déclaré coupable d’une infraction d’ordre sexuel mentionnée au </w:t>
            </w:r>
            <w:proofErr w:type="spellStart"/>
            <w:r w:rsidRPr="00935CF2">
              <w:rPr>
                <w:sz w:val="20"/>
                <w:lang w:val="fr-CA" w:eastAsia="en-CA"/>
              </w:rPr>
              <w:t>par</w:t>
            </w:r>
            <w:proofErr w:type="spellEnd"/>
            <w:r w:rsidRPr="00935CF2">
              <w:rPr>
                <w:sz w:val="20"/>
                <w:lang w:val="fr-CA" w:eastAsia="en-CA"/>
              </w:rPr>
              <w:t>. 161(1.1) à l’égard d’une personne âgée de moins de seize ans - J a commis des infractions d’ordre sexuel mentionnées à l’al. 161(1.1)</w:t>
            </w:r>
            <w:r w:rsidRPr="00935CF2">
              <w:rPr>
                <w:i/>
                <w:sz w:val="20"/>
                <w:lang w:val="fr-CA" w:eastAsia="en-CA"/>
              </w:rPr>
              <w:t>a</w:t>
            </w:r>
            <w:r w:rsidRPr="00935CF2">
              <w:rPr>
                <w:sz w:val="20"/>
                <w:lang w:val="fr-CA" w:eastAsia="en-CA"/>
              </w:rPr>
              <w:t xml:space="preserve">) à l’égard d’une personne âgée de moins de seize ans - Entre les dates où J a commis les infractions et la détermination de la peine, le </w:t>
            </w:r>
            <w:r w:rsidRPr="00935CF2">
              <w:rPr>
                <w:i/>
                <w:sz w:val="20"/>
                <w:lang w:val="fr-CA" w:eastAsia="en-CA"/>
              </w:rPr>
              <w:t>Code criminel</w:t>
            </w:r>
            <w:r w:rsidRPr="00935CF2">
              <w:rPr>
                <w:sz w:val="20"/>
                <w:lang w:val="fr-CA" w:eastAsia="en-CA"/>
              </w:rPr>
              <w:t xml:space="preserve"> a été modifié et des interdictions plus onéreuses ont été introduites au </w:t>
            </w:r>
            <w:proofErr w:type="spellStart"/>
            <w:r w:rsidRPr="00935CF2">
              <w:rPr>
                <w:sz w:val="20"/>
                <w:lang w:val="fr-CA" w:eastAsia="en-CA"/>
              </w:rPr>
              <w:t>par</w:t>
            </w:r>
            <w:proofErr w:type="spellEnd"/>
            <w:r w:rsidRPr="00935CF2">
              <w:rPr>
                <w:sz w:val="20"/>
                <w:lang w:val="fr-CA" w:eastAsia="en-CA"/>
              </w:rPr>
              <w:t>. 161(1) - Le tribunal peut-il ordonner des interdictions plus onéreuses? - Les interdictions sont-elles à une « peine » au sens de l’al. 11</w:t>
            </w:r>
            <w:r w:rsidRPr="00935CF2">
              <w:rPr>
                <w:i/>
                <w:sz w:val="20"/>
                <w:lang w:val="fr-CA" w:eastAsia="en-CA"/>
              </w:rPr>
              <w:t>i</w:t>
            </w:r>
            <w:r w:rsidRPr="00935CF2">
              <w:rPr>
                <w:sz w:val="20"/>
                <w:lang w:val="fr-CA" w:eastAsia="en-CA"/>
              </w:rPr>
              <w:t xml:space="preserve">) de la </w:t>
            </w:r>
            <w:r w:rsidRPr="00935CF2">
              <w:rPr>
                <w:i/>
                <w:sz w:val="20"/>
                <w:lang w:val="fr-CA" w:eastAsia="en-CA"/>
              </w:rPr>
              <w:t>Charte</w:t>
            </w:r>
            <w:r w:rsidRPr="00935CF2">
              <w:rPr>
                <w:sz w:val="20"/>
                <w:lang w:val="fr-CA" w:eastAsia="en-CA"/>
              </w:rPr>
              <w:t>? - Comment déterminer les cas où des mesures de surveillance dans la collectivité équivalent à une peine? -</w:t>
            </w:r>
            <w:r w:rsidRPr="00935CF2">
              <w:rPr>
                <w:rFonts w:eastAsia="Arial"/>
                <w:sz w:val="20"/>
                <w:lang w:val="fr-CA" w:eastAsia="en-CA"/>
              </w:rPr>
              <w:t xml:space="preserve"> </w:t>
            </w:r>
            <w:r w:rsidRPr="00935CF2">
              <w:rPr>
                <w:i/>
                <w:sz w:val="20"/>
                <w:lang w:val="fr-CA" w:eastAsia="en-CA"/>
              </w:rPr>
              <w:t>Loi sur la sécurité des rues et des communautés,</w:t>
            </w:r>
            <w:r w:rsidRPr="00935CF2">
              <w:rPr>
                <w:sz w:val="20"/>
                <w:lang w:val="fr-CA" w:eastAsia="en-CA"/>
              </w:rPr>
              <w:t xml:space="preserve"> L.C. 2012, ch. 1 - </w:t>
            </w:r>
            <w:r w:rsidRPr="00935CF2">
              <w:rPr>
                <w:rFonts w:eastAsia="Arial"/>
                <w:i/>
                <w:sz w:val="20"/>
                <w:lang w:val="fr-CA" w:eastAsia="en-CA"/>
              </w:rPr>
              <w:t>Code criminel</w:t>
            </w:r>
            <w:r w:rsidRPr="00935CF2">
              <w:rPr>
                <w:rFonts w:eastAsia="Arial"/>
                <w:sz w:val="20"/>
                <w:lang w:val="fr-CA" w:eastAsia="en-CA"/>
              </w:rPr>
              <w:t xml:space="preserve">, L.R.C. 1985 ch. C-46, art. 161 - </w:t>
            </w:r>
            <w:r w:rsidRPr="00935CF2">
              <w:rPr>
                <w:rFonts w:eastAsia="Arial"/>
                <w:i/>
                <w:sz w:val="20"/>
                <w:lang w:val="fr-CA" w:eastAsia="en-CA"/>
              </w:rPr>
              <w:t>Charte canadienne des droits et libertés</w:t>
            </w:r>
            <w:r w:rsidRPr="00935CF2">
              <w:rPr>
                <w:rFonts w:eastAsia="Arial"/>
                <w:sz w:val="20"/>
                <w:lang w:val="fr-CA" w:eastAsia="en-CA"/>
              </w:rPr>
              <w:t>, al. 11</w:t>
            </w:r>
            <w:r w:rsidRPr="00935CF2">
              <w:rPr>
                <w:rFonts w:eastAsia="Arial"/>
                <w:i/>
                <w:sz w:val="20"/>
                <w:lang w:val="fr-CA" w:eastAsia="en-CA"/>
              </w:rPr>
              <w:t>i</w:t>
            </w:r>
            <w:r w:rsidRPr="00935CF2">
              <w:rPr>
                <w:rFonts w:eastAsia="Arial"/>
                <w:sz w:val="20"/>
                <w:lang w:val="fr-CA" w:eastAsia="en-CA"/>
              </w:rPr>
              <w:t>).</w:t>
            </w:r>
          </w:p>
        </w:tc>
      </w:tr>
    </w:tbl>
    <w:p w:rsidR="007C47C2" w:rsidRPr="00935CF2" w:rsidRDefault="007C47C2" w:rsidP="007C47C2">
      <w:pPr>
        <w:widowControl w:val="0"/>
        <w:rPr>
          <w:sz w:val="20"/>
          <w:szCs w:val="20"/>
          <w:lang w:val="fr-CA"/>
        </w:rPr>
      </w:pPr>
    </w:p>
    <w:p w:rsidR="00EF4BC1" w:rsidRPr="00935CF2" w:rsidRDefault="00B150CF" w:rsidP="007C47C2">
      <w:pPr>
        <w:widowControl w:val="0"/>
        <w:rPr>
          <w:sz w:val="20"/>
          <w:szCs w:val="20"/>
          <w:lang w:val="fr-CA"/>
        </w:rPr>
      </w:pPr>
      <w:r>
        <w:rPr>
          <w:sz w:val="20"/>
          <w:szCs w:val="20"/>
          <w:lang w:val="fr-CA"/>
        </w:rPr>
        <w:pict>
          <v:rect id="_x0000_i1067" style="width:2in;height:1pt" o:hrpct="0" o:hralign="center" o:hrstd="t" o:hrnoshade="t" o:hr="t" fillcolor="black [3213]" stroked="f"/>
        </w:pict>
      </w:r>
    </w:p>
    <w:p w:rsidR="00EF4BC1" w:rsidRPr="00935CF2" w:rsidRDefault="00EF4BC1" w:rsidP="007C47C2">
      <w:pPr>
        <w:widowControl w:val="0"/>
        <w:rPr>
          <w:sz w:val="20"/>
          <w:szCs w:val="20"/>
          <w:lang w:val="fr-CA"/>
        </w:rPr>
      </w:pPr>
    </w:p>
    <w:p w:rsidR="00EF4BC1" w:rsidRPr="00935CF2" w:rsidRDefault="00EF4BC1" w:rsidP="00EF4BC1">
      <w:pPr>
        <w:widowControl w:val="0"/>
        <w:rPr>
          <w:sz w:val="20"/>
          <w:szCs w:val="20"/>
        </w:rPr>
      </w:pPr>
      <w:r w:rsidRPr="00935CF2">
        <w:rPr>
          <w:sz w:val="20"/>
          <w:szCs w:val="20"/>
        </w:rPr>
        <w:t>0</w:t>
      </w:r>
      <w:r w:rsidR="00055F15" w:rsidRPr="00935CF2">
        <w:rPr>
          <w:sz w:val="20"/>
          <w:szCs w:val="20"/>
        </w:rPr>
        <w:t>3</w:t>
      </w:r>
      <w:r w:rsidRPr="00935CF2">
        <w:rPr>
          <w:sz w:val="20"/>
          <w:szCs w:val="20"/>
        </w:rPr>
        <w:t>.12.2015</w:t>
      </w:r>
    </w:p>
    <w:p w:rsidR="00EF4BC1" w:rsidRPr="00935CF2" w:rsidRDefault="00EF4BC1" w:rsidP="00EF4BC1">
      <w:pPr>
        <w:widowControl w:val="0"/>
        <w:rPr>
          <w:sz w:val="20"/>
          <w:szCs w:val="20"/>
        </w:rPr>
      </w:pPr>
    </w:p>
    <w:p w:rsidR="00EF4BC1" w:rsidRPr="00935CF2" w:rsidRDefault="00EF4BC1" w:rsidP="00EF4BC1">
      <w:pPr>
        <w:widowControl w:val="0"/>
        <w:ind w:left="720" w:hanging="720"/>
        <w:rPr>
          <w:sz w:val="20"/>
          <w:szCs w:val="20"/>
        </w:rPr>
      </w:pPr>
      <w:r w:rsidRPr="00935CF2">
        <w:rPr>
          <w:sz w:val="20"/>
          <w:szCs w:val="20"/>
        </w:rPr>
        <w:t xml:space="preserve">Coram: </w:t>
      </w:r>
      <w:r w:rsidRPr="00935CF2">
        <w:rPr>
          <w:sz w:val="20"/>
          <w:szCs w:val="20"/>
        </w:rPr>
        <w:tab/>
      </w:r>
      <w:proofErr w:type="spellStart"/>
      <w:r w:rsidRPr="00935CF2">
        <w:rPr>
          <w:sz w:val="20"/>
          <w:szCs w:val="20"/>
          <w:u w:val="single"/>
          <w:lang w:val="fr-CA"/>
        </w:rPr>
        <w:t>McLachlin</w:t>
      </w:r>
      <w:proofErr w:type="spellEnd"/>
      <w:r w:rsidRPr="00935CF2">
        <w:rPr>
          <w:sz w:val="20"/>
          <w:szCs w:val="20"/>
          <w:u w:val="single"/>
          <w:lang w:val="fr-CA"/>
        </w:rPr>
        <w:t xml:space="preserve"> C.J. and Abella, Cromwell, </w:t>
      </w:r>
      <w:proofErr w:type="spellStart"/>
      <w:r w:rsidRPr="00935CF2">
        <w:rPr>
          <w:sz w:val="20"/>
          <w:szCs w:val="20"/>
          <w:u w:val="single"/>
          <w:lang w:val="fr-CA"/>
        </w:rPr>
        <w:t>Karakatsanis</w:t>
      </w:r>
      <w:proofErr w:type="spellEnd"/>
      <w:r w:rsidRPr="00935CF2">
        <w:rPr>
          <w:sz w:val="20"/>
          <w:szCs w:val="20"/>
          <w:u w:val="single"/>
          <w:lang w:val="fr-CA"/>
        </w:rPr>
        <w:t>, Wagner, Gascon, Côté JJ.</w:t>
      </w:r>
    </w:p>
    <w:p w:rsidR="00EF4BC1" w:rsidRPr="00935CF2" w:rsidRDefault="00EF4BC1" w:rsidP="00EF4BC1">
      <w:pPr>
        <w:widowControl w:val="0"/>
        <w:rPr>
          <w:b/>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EF4BC1" w:rsidRPr="0021796F" w:rsidTr="00373255">
        <w:tc>
          <w:tcPr>
            <w:tcW w:w="4380" w:type="dxa"/>
            <w:tcMar>
              <w:left w:w="0" w:type="dxa"/>
              <w:right w:w="0" w:type="dxa"/>
            </w:tcMar>
          </w:tcPr>
          <w:p w:rsidR="00EF4BC1" w:rsidRPr="0021796F" w:rsidRDefault="0028560A" w:rsidP="00373255">
            <w:pPr>
              <w:widowControl w:val="0"/>
              <w:jc w:val="both"/>
              <w:rPr>
                <w:b/>
                <w:sz w:val="20"/>
                <w:szCs w:val="20"/>
              </w:rPr>
            </w:pPr>
            <w:proofErr w:type="spellStart"/>
            <w:r w:rsidRPr="0021796F">
              <w:rPr>
                <w:b/>
                <w:sz w:val="20"/>
                <w:szCs w:val="20"/>
              </w:rPr>
              <w:t>Lapointe</w:t>
            </w:r>
            <w:proofErr w:type="spellEnd"/>
            <w:r w:rsidRPr="0021796F">
              <w:rPr>
                <w:b/>
                <w:sz w:val="20"/>
                <w:szCs w:val="20"/>
              </w:rPr>
              <w:t xml:space="preserve"> Rosenstein </w:t>
            </w:r>
            <w:proofErr w:type="spellStart"/>
            <w:r w:rsidRPr="0021796F">
              <w:rPr>
                <w:b/>
                <w:sz w:val="20"/>
                <w:szCs w:val="20"/>
              </w:rPr>
              <w:t>Marchand</w:t>
            </w:r>
            <w:proofErr w:type="spellEnd"/>
            <w:r w:rsidRPr="0021796F">
              <w:rPr>
                <w:b/>
                <w:sz w:val="20"/>
                <w:szCs w:val="20"/>
              </w:rPr>
              <w:t xml:space="preserve"> </w:t>
            </w:r>
            <w:proofErr w:type="spellStart"/>
            <w:r w:rsidRPr="0021796F">
              <w:rPr>
                <w:b/>
                <w:sz w:val="20"/>
                <w:szCs w:val="20"/>
              </w:rPr>
              <w:t>Melançon</w:t>
            </w:r>
            <w:proofErr w:type="spellEnd"/>
            <w:r w:rsidRPr="0021796F">
              <w:rPr>
                <w:b/>
                <w:sz w:val="20"/>
                <w:szCs w:val="20"/>
              </w:rPr>
              <w:t xml:space="preserve"> </w:t>
            </w:r>
            <w:proofErr w:type="spellStart"/>
            <w:r w:rsidRPr="0021796F">
              <w:rPr>
                <w:b/>
                <w:sz w:val="20"/>
                <w:szCs w:val="20"/>
              </w:rPr>
              <w:t>s.e.n.c.r.l</w:t>
            </w:r>
            <w:proofErr w:type="spellEnd"/>
            <w:r w:rsidRPr="0021796F">
              <w:rPr>
                <w:b/>
                <w:sz w:val="20"/>
                <w:szCs w:val="20"/>
              </w:rPr>
              <w:t xml:space="preserve">. et </w:t>
            </w:r>
            <w:proofErr w:type="spellStart"/>
            <w:r w:rsidRPr="0021796F">
              <w:rPr>
                <w:b/>
                <w:sz w:val="20"/>
                <w:szCs w:val="20"/>
              </w:rPr>
              <w:t>autres</w:t>
            </w:r>
            <w:proofErr w:type="spellEnd"/>
          </w:p>
          <w:p w:rsidR="00EF4BC1" w:rsidRPr="0021796F" w:rsidRDefault="00EF4BC1" w:rsidP="00373255">
            <w:pPr>
              <w:widowControl w:val="0"/>
              <w:jc w:val="both"/>
              <w:rPr>
                <w:b/>
                <w:sz w:val="20"/>
                <w:szCs w:val="20"/>
              </w:rPr>
            </w:pPr>
          </w:p>
          <w:p w:rsidR="00EF4BC1" w:rsidRPr="0021796F" w:rsidRDefault="00EF4BC1" w:rsidP="00373255">
            <w:pPr>
              <w:widowControl w:val="0"/>
              <w:tabs>
                <w:tab w:val="left" w:pos="736"/>
              </w:tabs>
              <w:jc w:val="both"/>
              <w:rPr>
                <w:b/>
                <w:sz w:val="20"/>
                <w:szCs w:val="20"/>
              </w:rPr>
            </w:pPr>
            <w:r w:rsidRPr="0021796F">
              <w:rPr>
                <w:b/>
                <w:sz w:val="20"/>
                <w:szCs w:val="20"/>
              </w:rPr>
              <w:tab/>
            </w:r>
            <w:r w:rsidR="0028560A" w:rsidRPr="0021796F">
              <w:rPr>
                <w:b/>
                <w:sz w:val="20"/>
                <w:szCs w:val="20"/>
              </w:rPr>
              <w:t>c</w:t>
            </w:r>
            <w:r w:rsidRPr="0021796F">
              <w:rPr>
                <w:b/>
                <w:sz w:val="20"/>
                <w:szCs w:val="20"/>
              </w:rPr>
              <w:t xml:space="preserve">. </w:t>
            </w:r>
            <w:r w:rsidRPr="0021796F">
              <w:rPr>
                <w:sz w:val="20"/>
                <w:szCs w:val="20"/>
                <w:lang w:val="fr-CA"/>
              </w:rPr>
              <w:t>(</w:t>
            </w:r>
            <w:hyperlink r:id="rId88" w:history="1">
              <w:r w:rsidRPr="0021796F">
                <w:rPr>
                  <w:rStyle w:val="Hyperlink"/>
                  <w:sz w:val="20"/>
                  <w:szCs w:val="20"/>
                  <w:lang w:val="fr-CA"/>
                </w:rPr>
                <w:t>360</w:t>
              </w:r>
              <w:r w:rsidR="0028560A" w:rsidRPr="0021796F">
                <w:rPr>
                  <w:rStyle w:val="Hyperlink"/>
                  <w:sz w:val="20"/>
                  <w:szCs w:val="20"/>
                  <w:lang w:val="fr-CA"/>
                </w:rPr>
                <w:t>87</w:t>
              </w:r>
            </w:hyperlink>
            <w:r w:rsidRPr="0021796F">
              <w:rPr>
                <w:sz w:val="20"/>
                <w:szCs w:val="20"/>
                <w:lang w:val="fr-CA"/>
              </w:rPr>
              <w:t>)</w:t>
            </w:r>
          </w:p>
          <w:p w:rsidR="00EF4BC1" w:rsidRPr="0021796F" w:rsidRDefault="00EF4BC1" w:rsidP="00373255">
            <w:pPr>
              <w:widowControl w:val="0"/>
              <w:jc w:val="both"/>
              <w:rPr>
                <w:b/>
                <w:sz w:val="20"/>
                <w:szCs w:val="20"/>
              </w:rPr>
            </w:pPr>
          </w:p>
          <w:p w:rsidR="000B447A" w:rsidRPr="0021796F" w:rsidRDefault="0028560A" w:rsidP="00373255">
            <w:pPr>
              <w:widowControl w:val="0"/>
              <w:jc w:val="both"/>
              <w:rPr>
                <w:b/>
                <w:sz w:val="20"/>
                <w:szCs w:val="20"/>
              </w:rPr>
            </w:pPr>
            <w:r w:rsidRPr="0021796F">
              <w:rPr>
                <w:b/>
                <w:sz w:val="20"/>
                <w:szCs w:val="20"/>
              </w:rPr>
              <w:t>Cassels Brock &amp; Blackwell LLP</w:t>
            </w:r>
            <w:r w:rsidR="00EF4BC1" w:rsidRPr="0021796F">
              <w:rPr>
                <w:b/>
                <w:sz w:val="20"/>
                <w:szCs w:val="20"/>
              </w:rPr>
              <w:t xml:space="preserve"> (</w:t>
            </w:r>
            <w:r w:rsidRPr="0021796F">
              <w:rPr>
                <w:b/>
                <w:sz w:val="20"/>
                <w:szCs w:val="20"/>
              </w:rPr>
              <w:t>Ont</w:t>
            </w:r>
            <w:r w:rsidR="00EF4BC1" w:rsidRPr="0021796F">
              <w:rPr>
                <w:b/>
                <w:sz w:val="20"/>
                <w:szCs w:val="20"/>
              </w:rPr>
              <w:t>.) (</w:t>
            </w:r>
            <w:proofErr w:type="spellStart"/>
            <w:r w:rsidR="00EF4BC1" w:rsidRPr="0021796F">
              <w:rPr>
                <w:b/>
                <w:sz w:val="20"/>
                <w:szCs w:val="20"/>
              </w:rPr>
              <w:t>Ci</w:t>
            </w:r>
            <w:r w:rsidRPr="0021796F">
              <w:rPr>
                <w:b/>
                <w:sz w:val="20"/>
                <w:szCs w:val="20"/>
              </w:rPr>
              <w:t>v</w:t>
            </w:r>
            <w:r w:rsidR="00EF4BC1" w:rsidRPr="0021796F">
              <w:rPr>
                <w:b/>
                <w:sz w:val="20"/>
                <w:szCs w:val="20"/>
              </w:rPr>
              <w:t>il</w:t>
            </w:r>
            <w:r w:rsidRPr="0021796F">
              <w:rPr>
                <w:b/>
                <w:sz w:val="20"/>
                <w:szCs w:val="20"/>
              </w:rPr>
              <w:t>e</w:t>
            </w:r>
            <w:proofErr w:type="spellEnd"/>
            <w:r w:rsidR="00EF4BC1" w:rsidRPr="0021796F">
              <w:rPr>
                <w:b/>
                <w:sz w:val="20"/>
                <w:szCs w:val="20"/>
              </w:rPr>
              <w:t>)</w:t>
            </w:r>
          </w:p>
          <w:p w:rsidR="00EF4BC1" w:rsidRPr="0021796F" w:rsidRDefault="00EF4BC1" w:rsidP="0028560A">
            <w:pPr>
              <w:widowControl w:val="0"/>
              <w:jc w:val="both"/>
              <w:rPr>
                <w:sz w:val="20"/>
                <w:szCs w:val="20"/>
              </w:rPr>
            </w:pPr>
            <w:r w:rsidRPr="0021796F">
              <w:rPr>
                <w:b/>
                <w:sz w:val="20"/>
                <w:szCs w:val="20"/>
              </w:rPr>
              <w:t>(</w:t>
            </w:r>
            <w:proofErr w:type="spellStart"/>
            <w:r w:rsidR="0028560A" w:rsidRPr="0021796F">
              <w:rPr>
                <w:b/>
                <w:sz w:val="20"/>
                <w:szCs w:val="20"/>
              </w:rPr>
              <w:t>Autorisation</w:t>
            </w:r>
            <w:proofErr w:type="spellEnd"/>
            <w:r w:rsidRPr="0021796F">
              <w:rPr>
                <w:b/>
                <w:sz w:val="20"/>
                <w:szCs w:val="20"/>
              </w:rPr>
              <w:t>)</w:t>
            </w:r>
          </w:p>
        </w:tc>
        <w:tc>
          <w:tcPr>
            <w:tcW w:w="720" w:type="dxa"/>
            <w:tcMar>
              <w:left w:w="0" w:type="dxa"/>
              <w:right w:w="0" w:type="dxa"/>
            </w:tcMar>
          </w:tcPr>
          <w:p w:rsidR="00EF4BC1" w:rsidRPr="0021796F" w:rsidRDefault="00EF4BC1" w:rsidP="00373255">
            <w:pPr>
              <w:widowControl w:val="0"/>
              <w:jc w:val="center"/>
              <w:rPr>
                <w:sz w:val="20"/>
                <w:szCs w:val="20"/>
              </w:rPr>
            </w:pPr>
          </w:p>
        </w:tc>
        <w:tc>
          <w:tcPr>
            <w:tcW w:w="4380" w:type="dxa"/>
            <w:tcMar>
              <w:left w:w="0" w:type="dxa"/>
              <w:right w:w="0" w:type="dxa"/>
            </w:tcMar>
          </w:tcPr>
          <w:p w:rsidR="00EF4BC1" w:rsidRPr="0021796F" w:rsidRDefault="00303ADD" w:rsidP="00373255">
            <w:pPr>
              <w:jc w:val="both"/>
              <w:rPr>
                <w:sz w:val="20"/>
                <w:szCs w:val="20"/>
              </w:rPr>
            </w:pPr>
            <w:r w:rsidRPr="0021796F">
              <w:rPr>
                <w:sz w:val="20"/>
                <w:szCs w:val="20"/>
              </w:rPr>
              <w:t xml:space="preserve">Jo-Anne Demers et Jean-Olivier </w:t>
            </w:r>
            <w:proofErr w:type="spellStart"/>
            <w:r w:rsidRPr="0021796F">
              <w:rPr>
                <w:sz w:val="20"/>
                <w:szCs w:val="20"/>
              </w:rPr>
              <w:t>Lessard</w:t>
            </w:r>
            <w:proofErr w:type="spellEnd"/>
            <w:r w:rsidRPr="0021796F">
              <w:rPr>
                <w:sz w:val="20"/>
                <w:szCs w:val="20"/>
              </w:rPr>
              <w:t xml:space="preserve"> pour les</w:t>
            </w:r>
            <w:r w:rsidR="00DC3AF6" w:rsidRPr="0021796F">
              <w:rPr>
                <w:sz w:val="20"/>
                <w:szCs w:val="20"/>
              </w:rPr>
              <w:t xml:space="preserve"> </w:t>
            </w:r>
            <w:r w:rsidRPr="0021796F">
              <w:rPr>
                <w:sz w:val="20"/>
                <w:szCs w:val="20"/>
              </w:rPr>
              <w:t xml:space="preserve"> </w:t>
            </w:r>
            <w:r w:rsidR="00EF4BC1" w:rsidRPr="0021796F">
              <w:rPr>
                <w:sz w:val="20"/>
                <w:szCs w:val="20"/>
              </w:rPr>
              <w:t xml:space="preserve"> </w:t>
            </w:r>
            <w:proofErr w:type="spellStart"/>
            <w:r w:rsidR="00EF4BC1" w:rsidRPr="0021796F">
              <w:rPr>
                <w:sz w:val="20"/>
                <w:szCs w:val="20"/>
              </w:rPr>
              <w:t>appelant</w:t>
            </w:r>
            <w:r w:rsidRPr="0021796F">
              <w:rPr>
                <w:sz w:val="20"/>
                <w:szCs w:val="20"/>
              </w:rPr>
              <w:t>s</w:t>
            </w:r>
            <w:proofErr w:type="spellEnd"/>
            <w:r w:rsidR="00EF4BC1" w:rsidRPr="0021796F">
              <w:rPr>
                <w:sz w:val="20"/>
                <w:szCs w:val="20"/>
              </w:rPr>
              <w:t>.</w:t>
            </w:r>
          </w:p>
          <w:p w:rsidR="00EF4BC1" w:rsidRPr="0021796F" w:rsidRDefault="00EF4BC1" w:rsidP="00373255">
            <w:pPr>
              <w:jc w:val="both"/>
              <w:rPr>
                <w:sz w:val="20"/>
                <w:szCs w:val="20"/>
              </w:rPr>
            </w:pPr>
          </w:p>
          <w:p w:rsidR="00EF4BC1" w:rsidRPr="0021796F" w:rsidRDefault="00303ADD" w:rsidP="00303ADD">
            <w:pPr>
              <w:widowControl w:val="0"/>
              <w:jc w:val="both"/>
              <w:rPr>
                <w:sz w:val="20"/>
                <w:szCs w:val="20"/>
              </w:rPr>
            </w:pPr>
            <w:r w:rsidRPr="0021796F">
              <w:rPr>
                <w:sz w:val="20"/>
                <w:szCs w:val="20"/>
              </w:rPr>
              <w:t xml:space="preserve">Peter H. Griffin et Jon Laxer pour </w:t>
            </w:r>
            <w:proofErr w:type="spellStart"/>
            <w:r w:rsidRPr="0021796F">
              <w:rPr>
                <w:sz w:val="20"/>
                <w:szCs w:val="20"/>
              </w:rPr>
              <w:t>l’intimée</w:t>
            </w:r>
            <w:proofErr w:type="spellEnd"/>
            <w:r w:rsidRPr="0021796F">
              <w:rPr>
                <w:sz w:val="20"/>
                <w:szCs w:val="20"/>
              </w:rPr>
              <w:t>.</w:t>
            </w:r>
          </w:p>
        </w:tc>
      </w:tr>
    </w:tbl>
    <w:p w:rsidR="00EF4BC1" w:rsidRPr="0021796F" w:rsidRDefault="00EF4BC1" w:rsidP="00EF4BC1">
      <w:pPr>
        <w:widowControl w:val="0"/>
      </w:pPr>
    </w:p>
    <w:p w:rsidR="00EF4BC1" w:rsidRPr="0021796F" w:rsidRDefault="00EF4BC1" w:rsidP="00EF4BC1">
      <w:pPr>
        <w:widowControl w:val="0"/>
        <w:rPr>
          <w:sz w:val="20"/>
          <w:szCs w:val="20"/>
        </w:rPr>
      </w:pPr>
      <w:r w:rsidRPr="0021796F">
        <w:rPr>
          <w:b/>
          <w:sz w:val="20"/>
          <w:szCs w:val="20"/>
        </w:rPr>
        <w:t xml:space="preserve">RESERVED / </w:t>
      </w:r>
      <w:r w:rsidRPr="0021796F">
        <w:rPr>
          <w:b/>
          <w:sz w:val="20"/>
          <w:szCs w:val="20"/>
          <w:lang w:val="fr-CA"/>
        </w:rPr>
        <w:t>EN DÉLIBÉRÉ</w:t>
      </w:r>
    </w:p>
    <w:p w:rsidR="00EF4BC1" w:rsidRPr="0021796F" w:rsidRDefault="00EF4BC1" w:rsidP="00EF4BC1">
      <w:pPr>
        <w:rPr>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720"/>
        <w:gridCol w:w="4380"/>
      </w:tblGrid>
      <w:tr w:rsidR="00EF4BC1" w:rsidRPr="00FB4A2E" w:rsidTr="00373255">
        <w:tc>
          <w:tcPr>
            <w:tcW w:w="4380" w:type="dxa"/>
            <w:tcMar>
              <w:left w:w="0" w:type="dxa"/>
              <w:right w:w="0" w:type="dxa"/>
            </w:tcMar>
          </w:tcPr>
          <w:p w:rsidR="00EF4BC1" w:rsidRPr="0021796F" w:rsidRDefault="00EF4BC1" w:rsidP="00373255">
            <w:pPr>
              <w:widowControl w:val="0"/>
              <w:jc w:val="both"/>
              <w:rPr>
                <w:b/>
                <w:sz w:val="20"/>
                <w:szCs w:val="20"/>
                <w:u w:val="single"/>
              </w:rPr>
            </w:pPr>
            <w:r w:rsidRPr="0021796F">
              <w:rPr>
                <w:b/>
                <w:sz w:val="20"/>
                <w:szCs w:val="20"/>
                <w:u w:val="single"/>
              </w:rPr>
              <w:t>Nature of the case:</w:t>
            </w:r>
          </w:p>
          <w:p w:rsidR="00EF4BC1" w:rsidRPr="0021796F" w:rsidRDefault="00EF4BC1" w:rsidP="00373255">
            <w:pPr>
              <w:widowControl w:val="0"/>
              <w:jc w:val="both"/>
              <w:rPr>
                <w:b/>
                <w:sz w:val="20"/>
                <w:szCs w:val="20"/>
              </w:rPr>
            </w:pPr>
          </w:p>
          <w:p w:rsidR="00EF4BC1" w:rsidRPr="0021796F" w:rsidRDefault="00B4289B" w:rsidP="00373255">
            <w:pPr>
              <w:widowControl w:val="0"/>
              <w:jc w:val="both"/>
              <w:rPr>
                <w:b/>
                <w:sz w:val="20"/>
                <w:szCs w:val="20"/>
              </w:rPr>
            </w:pPr>
            <w:r w:rsidRPr="0021796F">
              <w:rPr>
                <w:sz w:val="20"/>
                <w:lang w:eastAsia="en-CA"/>
              </w:rPr>
              <w:t xml:space="preserve">Private international law - Choice of forum - Competent jurisdiction - Real and substantial connection - </w:t>
            </w:r>
            <w:r w:rsidRPr="0021796F">
              <w:rPr>
                <w:i/>
                <w:sz w:val="20"/>
                <w:lang w:eastAsia="en-CA"/>
              </w:rPr>
              <w:t>Forum non </w:t>
            </w:r>
            <w:proofErr w:type="spellStart"/>
            <w:r w:rsidRPr="0021796F">
              <w:rPr>
                <w:i/>
                <w:sz w:val="20"/>
                <w:lang w:eastAsia="en-CA"/>
              </w:rPr>
              <w:t>conveniens</w:t>
            </w:r>
            <w:proofErr w:type="spellEnd"/>
            <w:r w:rsidRPr="0021796F">
              <w:rPr>
                <w:sz w:val="20"/>
                <w:lang w:eastAsia="en-CA"/>
              </w:rPr>
              <w:t xml:space="preserve"> - Quebec counsel and law firms issued third party claim by party to class action initiated in Ontario - What is contract connected with dispute for purposes of analysis of fourth connecting factor in </w:t>
            </w:r>
            <w:r w:rsidRPr="0021796F">
              <w:rPr>
                <w:i/>
                <w:sz w:val="20"/>
                <w:lang w:eastAsia="en-CA"/>
              </w:rPr>
              <w:t>Club Resorts Ltd. </w:t>
            </w:r>
            <w:r w:rsidRPr="0021796F">
              <w:rPr>
                <w:i/>
                <w:iCs/>
                <w:sz w:val="20"/>
                <w:lang w:eastAsia="en-CA"/>
              </w:rPr>
              <w:t>v. Van Breda</w:t>
            </w:r>
            <w:r w:rsidRPr="0021796F">
              <w:rPr>
                <w:sz w:val="20"/>
                <w:lang w:eastAsia="en-CA"/>
              </w:rPr>
              <w:t>, 2012 SCC 17, [2012] 1 S.C.R. 572 (“</w:t>
            </w:r>
            <w:r w:rsidRPr="0021796F">
              <w:rPr>
                <w:i/>
                <w:sz w:val="20"/>
                <w:lang w:eastAsia="en-CA"/>
              </w:rPr>
              <w:t>Van Breda</w:t>
            </w:r>
            <w:r w:rsidRPr="0021796F">
              <w:rPr>
                <w:sz w:val="20"/>
                <w:lang w:eastAsia="en-CA"/>
              </w:rPr>
              <w:t xml:space="preserve">”)? - Rule that must be applied to determine jurisdiction where contract connected with dispute was entered into - Parameters for rebutting presumption resulting from second and fourth connecting factors in </w:t>
            </w:r>
            <w:r w:rsidRPr="0021796F">
              <w:rPr>
                <w:i/>
                <w:sz w:val="20"/>
                <w:lang w:eastAsia="en-CA"/>
              </w:rPr>
              <w:t>Van Breda</w:t>
            </w:r>
            <w:r w:rsidRPr="0021796F">
              <w:rPr>
                <w:sz w:val="20"/>
                <w:lang w:eastAsia="en-CA"/>
              </w:rPr>
              <w:t xml:space="preserve"> - Whether court considering </w:t>
            </w:r>
            <w:r w:rsidRPr="0021796F">
              <w:rPr>
                <w:i/>
                <w:sz w:val="20"/>
                <w:lang w:eastAsia="en-CA"/>
              </w:rPr>
              <w:t xml:space="preserve">forum non </w:t>
            </w:r>
            <w:proofErr w:type="spellStart"/>
            <w:r w:rsidRPr="0021796F">
              <w:rPr>
                <w:i/>
                <w:sz w:val="20"/>
                <w:lang w:eastAsia="en-CA"/>
              </w:rPr>
              <w:t>conveniens</w:t>
            </w:r>
            <w:proofErr w:type="spellEnd"/>
            <w:r w:rsidRPr="0021796F">
              <w:rPr>
                <w:sz w:val="20"/>
                <w:lang w:eastAsia="en-CA"/>
              </w:rPr>
              <w:t xml:space="preserve"> argument has duty to weigh all factors specific to circumstances.</w:t>
            </w:r>
          </w:p>
        </w:tc>
        <w:tc>
          <w:tcPr>
            <w:tcW w:w="720" w:type="dxa"/>
            <w:tcMar>
              <w:left w:w="0" w:type="dxa"/>
              <w:right w:w="0" w:type="dxa"/>
            </w:tcMar>
          </w:tcPr>
          <w:p w:rsidR="00EF4BC1" w:rsidRPr="0021796F" w:rsidRDefault="00EF4BC1" w:rsidP="00373255">
            <w:pPr>
              <w:widowControl w:val="0"/>
              <w:jc w:val="center"/>
              <w:rPr>
                <w:sz w:val="20"/>
                <w:szCs w:val="20"/>
              </w:rPr>
            </w:pPr>
          </w:p>
        </w:tc>
        <w:tc>
          <w:tcPr>
            <w:tcW w:w="4380" w:type="dxa"/>
            <w:tcMar>
              <w:left w:w="0" w:type="dxa"/>
              <w:right w:w="0" w:type="dxa"/>
            </w:tcMar>
          </w:tcPr>
          <w:p w:rsidR="00EF4BC1" w:rsidRPr="0021796F" w:rsidRDefault="00EF4BC1" w:rsidP="00373255">
            <w:pPr>
              <w:widowControl w:val="0"/>
              <w:jc w:val="both"/>
              <w:rPr>
                <w:b/>
                <w:sz w:val="20"/>
                <w:szCs w:val="20"/>
                <w:u w:val="single"/>
                <w:lang w:val="fr-CA"/>
              </w:rPr>
            </w:pPr>
            <w:r w:rsidRPr="0021796F">
              <w:rPr>
                <w:b/>
                <w:sz w:val="20"/>
                <w:szCs w:val="20"/>
                <w:u w:val="single"/>
                <w:lang w:val="fr-CA"/>
              </w:rPr>
              <w:t>Nature de la cause :</w:t>
            </w:r>
          </w:p>
          <w:p w:rsidR="00EF4BC1" w:rsidRPr="0021796F" w:rsidRDefault="00EF4BC1" w:rsidP="00373255">
            <w:pPr>
              <w:widowControl w:val="0"/>
              <w:jc w:val="both"/>
              <w:rPr>
                <w:sz w:val="20"/>
                <w:szCs w:val="20"/>
                <w:lang w:val="fr-CA"/>
              </w:rPr>
            </w:pPr>
          </w:p>
          <w:p w:rsidR="00EF4BC1" w:rsidRPr="00C1697B" w:rsidRDefault="00B4289B" w:rsidP="00373255">
            <w:pPr>
              <w:widowControl w:val="0"/>
              <w:jc w:val="both"/>
              <w:rPr>
                <w:sz w:val="20"/>
                <w:szCs w:val="20"/>
                <w:lang w:val="fr-CA"/>
              </w:rPr>
            </w:pPr>
            <w:r w:rsidRPr="0021796F">
              <w:rPr>
                <w:sz w:val="20"/>
                <w:lang w:val="fr-CA" w:eastAsia="en-CA"/>
              </w:rPr>
              <w:t xml:space="preserve">Droit international privé - Choix du tribunal - Juridiction compétente - Lien réel et substantiel - </w:t>
            </w:r>
            <w:r w:rsidRPr="0021796F">
              <w:rPr>
                <w:i/>
                <w:sz w:val="20"/>
                <w:lang w:val="fr-CA" w:eastAsia="en-CA"/>
              </w:rPr>
              <w:t xml:space="preserve">Forum non </w:t>
            </w:r>
            <w:proofErr w:type="spellStart"/>
            <w:r w:rsidRPr="0021796F">
              <w:rPr>
                <w:i/>
                <w:sz w:val="20"/>
                <w:lang w:val="fr-CA" w:eastAsia="en-CA"/>
              </w:rPr>
              <w:t>conveniens</w:t>
            </w:r>
            <w:proofErr w:type="spellEnd"/>
            <w:r w:rsidRPr="0021796F">
              <w:rPr>
                <w:sz w:val="20"/>
                <w:lang w:val="fr-CA" w:eastAsia="en-CA"/>
              </w:rPr>
              <w:t xml:space="preserve"> - Avocats et cabinets juridiques québécois mis en cause par partie à un recours collectif intenté en Ontario - Qu’est-ce qu’un contrat lié au litige aux fins de l’analyse du quatrième facteur de rattachement de </w:t>
            </w:r>
            <w:r w:rsidRPr="0021796F">
              <w:rPr>
                <w:i/>
                <w:sz w:val="20"/>
                <w:lang w:val="fr-CA" w:eastAsia="en-CA"/>
              </w:rPr>
              <w:t xml:space="preserve">Club </w:t>
            </w:r>
            <w:proofErr w:type="spellStart"/>
            <w:r w:rsidRPr="0021796F">
              <w:rPr>
                <w:i/>
                <w:sz w:val="20"/>
                <w:lang w:val="fr-CA" w:eastAsia="en-CA"/>
              </w:rPr>
              <w:t>Resorts</w:t>
            </w:r>
            <w:proofErr w:type="spellEnd"/>
            <w:r w:rsidRPr="0021796F">
              <w:rPr>
                <w:i/>
                <w:sz w:val="20"/>
                <w:lang w:val="fr-CA" w:eastAsia="en-CA"/>
              </w:rPr>
              <w:t xml:space="preserve"> Ltd. </w:t>
            </w:r>
            <w:r w:rsidRPr="0021796F">
              <w:rPr>
                <w:i/>
                <w:iCs/>
                <w:sz w:val="20"/>
                <w:lang w:val="fr-CA" w:eastAsia="en-CA"/>
              </w:rPr>
              <w:t>v. Van Breda</w:t>
            </w:r>
            <w:r w:rsidRPr="0021796F">
              <w:rPr>
                <w:sz w:val="20"/>
                <w:lang w:val="fr-CA" w:eastAsia="en-CA"/>
              </w:rPr>
              <w:t>, 2012 SCC 17, [2012] 1 S.C.R. 572 (« </w:t>
            </w:r>
            <w:r w:rsidRPr="0021796F">
              <w:rPr>
                <w:i/>
                <w:sz w:val="20"/>
                <w:lang w:val="fr-CA" w:eastAsia="en-CA"/>
              </w:rPr>
              <w:t>Van Breda</w:t>
            </w:r>
            <w:r w:rsidRPr="0021796F">
              <w:rPr>
                <w:sz w:val="20"/>
                <w:lang w:val="fr-CA" w:eastAsia="en-CA"/>
              </w:rPr>
              <w:t xml:space="preserve"> »)? - Quelle règle doit être appliquée pour déterminer dans quelle juridiction un contrat lié au litige a été conclu? - Quels sont les paramètres pour réfuter la présomption du deuxième et du quatrième facteur de rattachement de </w:t>
            </w:r>
            <w:r w:rsidRPr="0021796F">
              <w:rPr>
                <w:i/>
                <w:sz w:val="20"/>
                <w:lang w:val="fr-CA" w:eastAsia="en-CA"/>
              </w:rPr>
              <w:t>Van Breda</w:t>
            </w:r>
            <w:r w:rsidRPr="0021796F">
              <w:rPr>
                <w:sz w:val="20"/>
                <w:lang w:val="fr-CA" w:eastAsia="en-CA"/>
              </w:rPr>
              <w:t xml:space="preserve">? - Lorsqu’un tribunal examine un argument de </w:t>
            </w:r>
            <w:r w:rsidRPr="0021796F">
              <w:rPr>
                <w:i/>
                <w:sz w:val="20"/>
                <w:lang w:val="fr-CA" w:eastAsia="en-CA"/>
              </w:rPr>
              <w:t xml:space="preserve">forum non </w:t>
            </w:r>
            <w:proofErr w:type="spellStart"/>
            <w:r w:rsidRPr="0021796F">
              <w:rPr>
                <w:i/>
                <w:sz w:val="20"/>
                <w:lang w:val="fr-CA" w:eastAsia="en-CA"/>
              </w:rPr>
              <w:t>conveniens</w:t>
            </w:r>
            <w:proofErr w:type="spellEnd"/>
            <w:r w:rsidRPr="0021796F">
              <w:rPr>
                <w:sz w:val="20"/>
                <w:lang w:val="fr-CA" w:eastAsia="en-CA"/>
              </w:rPr>
              <w:t xml:space="preserve">, </w:t>
            </w:r>
            <w:proofErr w:type="spellStart"/>
            <w:r w:rsidRPr="0021796F">
              <w:rPr>
                <w:sz w:val="20"/>
                <w:lang w:val="fr-CA" w:eastAsia="en-CA"/>
              </w:rPr>
              <w:t>a-t-il</w:t>
            </w:r>
            <w:proofErr w:type="spellEnd"/>
            <w:r w:rsidRPr="0021796F">
              <w:rPr>
                <w:sz w:val="20"/>
                <w:lang w:val="fr-CA" w:eastAsia="en-CA"/>
              </w:rPr>
              <w:t xml:space="preserve"> l’obligation de soupeser tous les éléments propres aux circonstances?</w:t>
            </w:r>
          </w:p>
        </w:tc>
      </w:tr>
    </w:tbl>
    <w:p w:rsidR="00EF4BC1" w:rsidRDefault="00EF4BC1" w:rsidP="00EF4BC1">
      <w:pPr>
        <w:widowControl w:val="0"/>
        <w:rPr>
          <w:sz w:val="20"/>
          <w:szCs w:val="20"/>
          <w:lang w:val="fr-CA"/>
        </w:rPr>
      </w:pPr>
    </w:p>
    <w:p w:rsidR="00E940EB" w:rsidRDefault="00B150CF" w:rsidP="00732DB7">
      <w:pPr>
        <w:widowControl w:val="0"/>
        <w:rPr>
          <w:sz w:val="20"/>
          <w:szCs w:val="20"/>
          <w:lang w:val="fr-CA"/>
        </w:rPr>
      </w:pPr>
      <w:r>
        <w:rPr>
          <w:sz w:val="20"/>
          <w:szCs w:val="20"/>
          <w:lang w:val="fr-CA"/>
        </w:rPr>
        <w:pict>
          <v:rect id="_x0000_i1068" style="width:2in;height:1pt" o:hrpct="0" o:hralign="center" o:hrstd="t" o:hrnoshade="t" o:hr="t" fillcolor="black [3213]" stroked="f"/>
        </w:pict>
      </w:r>
    </w:p>
    <w:p w:rsidR="00D004FC" w:rsidRPr="00C1697B" w:rsidRDefault="00D004FC" w:rsidP="00732DB7">
      <w:pPr>
        <w:widowControl w:val="0"/>
        <w:rPr>
          <w:sz w:val="20"/>
          <w:szCs w:val="20"/>
          <w:lang w:val="fr-CA"/>
        </w:rPr>
      </w:pPr>
    </w:p>
    <w:p w:rsidR="00732DB7" w:rsidRPr="00C1697B" w:rsidRDefault="00732DB7" w:rsidP="00732DB7">
      <w:pPr>
        <w:widowControl w:val="0"/>
        <w:rPr>
          <w:sz w:val="20"/>
          <w:szCs w:val="20"/>
          <w:lang w:val="fr-CA"/>
        </w:rPr>
      </w:pPr>
    </w:p>
    <w:p w:rsidR="00732DB7" w:rsidRPr="00C1697B" w:rsidRDefault="00732DB7" w:rsidP="00732DB7">
      <w:pPr>
        <w:widowControl w:val="0"/>
        <w:rPr>
          <w:sz w:val="20"/>
          <w:szCs w:val="20"/>
          <w:lang w:val="fr-CA"/>
        </w:rPr>
        <w:sectPr w:rsidR="00732DB7" w:rsidRPr="00C1697B" w:rsidSect="00732DB7">
          <w:headerReference w:type="even" r:id="rId89"/>
          <w:headerReference w:type="default" r:id="rId90"/>
          <w:footerReference w:type="even" r:id="rId91"/>
          <w:footerReference w:type="default" r:id="rId92"/>
          <w:headerReference w:type="first" r:id="rId93"/>
          <w:footerReference w:type="first" r:id="rId94"/>
          <w:pgSz w:w="12240" w:h="15840"/>
          <w:pgMar w:top="720" w:right="965" w:bottom="1080" w:left="1656" w:header="720" w:footer="960" w:gutter="0"/>
          <w:cols w:space="720"/>
          <w:titlePg/>
          <w:docGrid w:linePitch="326"/>
        </w:sectPr>
      </w:pPr>
    </w:p>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FF6EEC" w:rsidRPr="00FB4A2E"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Pr="003B3977" w:rsidRDefault="00FF6EEC" w:rsidP="00FF6EEC">
      <w:pPr>
        <w:rPr>
          <w:b/>
          <w:sz w:val="20"/>
          <w:szCs w:val="20"/>
          <w:lang w:val="fr-CA"/>
        </w:rPr>
      </w:pPr>
    </w:p>
    <w:p w:rsidR="0052229C" w:rsidRPr="00C42C54" w:rsidRDefault="00EA6E3E" w:rsidP="0052229C">
      <w:pPr>
        <w:rPr>
          <w:b/>
          <w:sz w:val="20"/>
          <w:szCs w:val="20"/>
          <w:lang w:val="fr-CA"/>
        </w:rPr>
      </w:pPr>
      <w:r>
        <w:rPr>
          <w:b/>
          <w:sz w:val="20"/>
          <w:szCs w:val="20"/>
          <w:lang w:val="fr-CA"/>
        </w:rPr>
        <w:t>DECEMBER</w:t>
      </w:r>
      <w:r w:rsidR="0052229C" w:rsidRPr="00C42C54">
        <w:rPr>
          <w:b/>
          <w:sz w:val="20"/>
          <w:szCs w:val="20"/>
          <w:lang w:val="fr-CA"/>
        </w:rPr>
        <w:t xml:space="preserve"> </w:t>
      </w:r>
      <w:r>
        <w:rPr>
          <w:b/>
          <w:sz w:val="20"/>
          <w:szCs w:val="20"/>
          <w:lang w:val="fr-CA"/>
        </w:rPr>
        <w:t>4</w:t>
      </w:r>
      <w:r w:rsidR="0052229C" w:rsidRPr="00C42C54">
        <w:rPr>
          <w:b/>
          <w:sz w:val="20"/>
          <w:szCs w:val="20"/>
          <w:lang w:val="fr-CA"/>
        </w:rPr>
        <w:t>, 201</w:t>
      </w:r>
      <w:r>
        <w:rPr>
          <w:b/>
          <w:sz w:val="20"/>
          <w:szCs w:val="20"/>
          <w:lang w:val="fr-CA"/>
        </w:rPr>
        <w:t>5</w:t>
      </w:r>
      <w:r w:rsidR="0052229C" w:rsidRPr="00C42C54">
        <w:rPr>
          <w:b/>
          <w:sz w:val="20"/>
          <w:szCs w:val="20"/>
          <w:lang w:val="fr-CA"/>
        </w:rPr>
        <w:t xml:space="preserve"> / LE </w:t>
      </w:r>
      <w:r>
        <w:rPr>
          <w:b/>
          <w:sz w:val="20"/>
          <w:szCs w:val="20"/>
          <w:lang w:val="fr-CA"/>
        </w:rPr>
        <w:t>4</w:t>
      </w:r>
      <w:r w:rsidR="0052229C" w:rsidRPr="00C42C54">
        <w:rPr>
          <w:b/>
          <w:sz w:val="20"/>
          <w:szCs w:val="20"/>
          <w:lang w:val="fr-CA"/>
        </w:rPr>
        <w:t xml:space="preserve"> </w:t>
      </w:r>
      <w:r>
        <w:rPr>
          <w:b/>
          <w:sz w:val="20"/>
          <w:szCs w:val="20"/>
          <w:lang w:val="fr-CA"/>
        </w:rPr>
        <w:t>DÉCEMBRE</w:t>
      </w:r>
      <w:r w:rsidR="0052229C" w:rsidRPr="00C42C54">
        <w:rPr>
          <w:b/>
          <w:sz w:val="20"/>
          <w:szCs w:val="20"/>
          <w:lang w:val="fr-CA"/>
        </w:rPr>
        <w:t xml:space="preserve"> 201</w:t>
      </w:r>
      <w:r>
        <w:rPr>
          <w:b/>
          <w:sz w:val="20"/>
          <w:szCs w:val="20"/>
          <w:lang w:val="fr-CA"/>
        </w:rPr>
        <w:t>5</w:t>
      </w:r>
    </w:p>
    <w:p w:rsidR="0052229C" w:rsidRPr="00C42C54" w:rsidRDefault="0052229C" w:rsidP="0052229C">
      <w:pPr>
        <w:rPr>
          <w:sz w:val="20"/>
          <w:szCs w:val="20"/>
          <w:lang w:val="fr-CA"/>
        </w:rPr>
      </w:pPr>
    </w:p>
    <w:p w:rsidR="0052229C" w:rsidRPr="00464DC0" w:rsidRDefault="000E27A5" w:rsidP="0052229C">
      <w:pPr>
        <w:ind w:left="1440" w:hanging="1440"/>
        <w:jc w:val="both"/>
        <w:rPr>
          <w:sz w:val="20"/>
          <w:lang w:val="fr-CA"/>
        </w:rPr>
      </w:pPr>
      <w:r w:rsidRPr="000E3F59">
        <w:rPr>
          <w:b/>
          <w:sz w:val="20"/>
        </w:rPr>
        <w:fldChar w:fldCharType="begin"/>
      </w:r>
      <w:r w:rsidR="0052229C" w:rsidRPr="000E3F59">
        <w:rPr>
          <w:b/>
          <w:sz w:val="20"/>
          <w:lang w:val="fr-CA"/>
        </w:rPr>
        <w:instrText xml:space="preserve"> SEQ CHAPTER \h \r 1</w:instrText>
      </w:r>
      <w:r w:rsidRPr="000E3F59">
        <w:rPr>
          <w:b/>
          <w:sz w:val="20"/>
        </w:rPr>
        <w:fldChar w:fldCharType="end"/>
      </w:r>
      <w:r w:rsidR="0052229C" w:rsidRPr="000E3F59">
        <w:rPr>
          <w:b/>
          <w:sz w:val="20"/>
          <w:lang w:val="fr-CA"/>
        </w:rPr>
        <w:t>3</w:t>
      </w:r>
      <w:r w:rsidR="00373255" w:rsidRPr="000E3F59">
        <w:rPr>
          <w:b/>
          <w:sz w:val="20"/>
          <w:lang w:val="fr-CA"/>
        </w:rPr>
        <w:t>5</w:t>
      </w:r>
      <w:r w:rsidR="0052229C" w:rsidRPr="000E3F59">
        <w:rPr>
          <w:b/>
          <w:sz w:val="20"/>
          <w:lang w:val="fr-CA"/>
        </w:rPr>
        <w:t>80</w:t>
      </w:r>
      <w:r w:rsidR="00373255" w:rsidRPr="000E3F59">
        <w:rPr>
          <w:b/>
          <w:sz w:val="20"/>
          <w:lang w:val="fr-CA"/>
        </w:rPr>
        <w:t>7</w:t>
      </w:r>
      <w:r w:rsidR="0052229C" w:rsidRPr="000E3F59">
        <w:rPr>
          <w:sz w:val="20"/>
          <w:lang w:val="fr-CA"/>
        </w:rPr>
        <w:tab/>
      </w:r>
      <w:r w:rsidR="0097518F" w:rsidRPr="000E3F59">
        <w:rPr>
          <w:b/>
          <w:sz w:val="20"/>
          <w:u w:val="single"/>
          <w:lang w:val="fr-CA"/>
        </w:rPr>
        <w:t>Canadian Imperial Bank of Commerce</w:t>
      </w:r>
      <w:r w:rsidR="0052229C" w:rsidRPr="000E3F59">
        <w:rPr>
          <w:b/>
          <w:sz w:val="20"/>
          <w:u w:val="single"/>
          <w:lang w:val="fr-CA"/>
        </w:rPr>
        <w:t xml:space="preserve"> </w:t>
      </w:r>
      <w:r w:rsidR="0097518F" w:rsidRPr="000E3F59">
        <w:rPr>
          <w:b/>
          <w:sz w:val="20"/>
          <w:u w:val="single"/>
          <w:lang w:val="fr-CA"/>
        </w:rPr>
        <w:t>v</w:t>
      </w:r>
      <w:r w:rsidR="0052229C" w:rsidRPr="000E3F59">
        <w:rPr>
          <w:b/>
          <w:sz w:val="20"/>
          <w:u w:val="single"/>
          <w:lang w:val="fr-CA"/>
        </w:rPr>
        <w:t xml:space="preserve">. </w:t>
      </w:r>
      <w:r w:rsidR="0097518F" w:rsidRPr="000E3F59">
        <w:rPr>
          <w:b/>
          <w:sz w:val="20"/>
          <w:u w:val="single"/>
          <w:lang w:val="fr-CA"/>
        </w:rPr>
        <w:t>Howard Green and Anne</w:t>
      </w:r>
      <w:r w:rsidR="00577ABD" w:rsidRPr="000E3F59">
        <w:rPr>
          <w:b/>
          <w:sz w:val="20"/>
          <w:u w:val="single"/>
          <w:lang w:val="fr-CA"/>
        </w:rPr>
        <w:t xml:space="preserve"> Bell – AND BETWEEN – Gerald </w:t>
      </w:r>
      <w:proofErr w:type="spellStart"/>
      <w:r w:rsidR="00577ABD" w:rsidRPr="00464DC0">
        <w:rPr>
          <w:b/>
          <w:sz w:val="20"/>
          <w:u w:val="single"/>
          <w:lang w:val="fr-CA"/>
        </w:rPr>
        <w:t>McCaughey</w:t>
      </w:r>
      <w:proofErr w:type="spellEnd"/>
      <w:r w:rsidR="00577ABD" w:rsidRPr="00464DC0">
        <w:rPr>
          <w:b/>
          <w:sz w:val="20"/>
          <w:u w:val="single"/>
          <w:lang w:val="fr-CA"/>
        </w:rPr>
        <w:t xml:space="preserve">, Tom Woods, Brian G. Shaw and Ken </w:t>
      </w:r>
      <w:proofErr w:type="spellStart"/>
      <w:r w:rsidR="00577ABD" w:rsidRPr="00464DC0">
        <w:rPr>
          <w:b/>
          <w:sz w:val="20"/>
          <w:u w:val="single"/>
          <w:lang w:val="fr-CA"/>
        </w:rPr>
        <w:t>Kilgour</w:t>
      </w:r>
      <w:proofErr w:type="spellEnd"/>
      <w:r w:rsidR="00577ABD" w:rsidRPr="00464DC0">
        <w:rPr>
          <w:b/>
          <w:sz w:val="20"/>
          <w:u w:val="single"/>
          <w:lang w:val="fr-CA"/>
        </w:rPr>
        <w:t xml:space="preserve"> v. Howard Green and Anne Bell</w:t>
      </w:r>
      <w:r w:rsidR="0097518F" w:rsidRPr="00464DC0">
        <w:rPr>
          <w:b/>
          <w:sz w:val="20"/>
          <w:u w:val="single"/>
          <w:lang w:val="fr-CA"/>
        </w:rPr>
        <w:t xml:space="preserve"> </w:t>
      </w:r>
      <w:r w:rsidR="00577ABD" w:rsidRPr="00464DC0">
        <w:rPr>
          <w:b/>
          <w:sz w:val="20"/>
          <w:u w:val="single"/>
          <w:lang w:val="fr-CA"/>
        </w:rPr>
        <w:t xml:space="preserve">– and </w:t>
      </w:r>
      <w:r w:rsidR="008E7441" w:rsidRPr="00464DC0">
        <w:rPr>
          <w:b/>
          <w:sz w:val="20"/>
          <w:u w:val="single"/>
          <w:lang w:val="fr-CA"/>
        </w:rPr>
        <w:t>–</w:t>
      </w:r>
      <w:r w:rsidR="00577ABD" w:rsidRPr="00464DC0">
        <w:rPr>
          <w:b/>
          <w:sz w:val="20"/>
          <w:u w:val="single"/>
          <w:lang w:val="fr-CA"/>
        </w:rPr>
        <w:t xml:space="preserve"> </w:t>
      </w:r>
      <w:r w:rsidR="008E7441" w:rsidRPr="00464DC0">
        <w:rPr>
          <w:b/>
          <w:sz w:val="20"/>
          <w:u w:val="single"/>
          <w:lang w:val="fr-CA"/>
        </w:rPr>
        <w:t xml:space="preserve">Canadian </w:t>
      </w:r>
      <w:proofErr w:type="spellStart"/>
      <w:r w:rsidR="008E7441" w:rsidRPr="00464DC0">
        <w:rPr>
          <w:b/>
          <w:sz w:val="20"/>
          <w:u w:val="single"/>
          <w:lang w:val="fr-CA"/>
        </w:rPr>
        <w:t>Foundation</w:t>
      </w:r>
      <w:proofErr w:type="spellEnd"/>
      <w:r w:rsidR="008E7441" w:rsidRPr="00464DC0">
        <w:rPr>
          <w:b/>
          <w:sz w:val="20"/>
          <w:u w:val="single"/>
          <w:lang w:val="fr-CA"/>
        </w:rPr>
        <w:t xml:space="preserve"> for </w:t>
      </w:r>
      <w:proofErr w:type="spellStart"/>
      <w:r w:rsidR="008E7441" w:rsidRPr="00464DC0">
        <w:rPr>
          <w:b/>
          <w:sz w:val="20"/>
          <w:u w:val="single"/>
          <w:lang w:val="fr-CA"/>
        </w:rPr>
        <w:t>Advancement</w:t>
      </w:r>
      <w:proofErr w:type="spellEnd"/>
      <w:r w:rsidR="008E7441" w:rsidRPr="00464DC0">
        <w:rPr>
          <w:b/>
          <w:sz w:val="20"/>
          <w:u w:val="single"/>
          <w:lang w:val="fr-CA"/>
        </w:rPr>
        <w:t xml:space="preserve"> of </w:t>
      </w:r>
      <w:proofErr w:type="spellStart"/>
      <w:r w:rsidR="008E7441" w:rsidRPr="00464DC0">
        <w:rPr>
          <w:b/>
          <w:sz w:val="20"/>
          <w:u w:val="single"/>
          <w:lang w:val="fr-CA"/>
        </w:rPr>
        <w:t>Investor</w:t>
      </w:r>
      <w:proofErr w:type="spellEnd"/>
      <w:r w:rsidR="008E7441" w:rsidRPr="00464DC0">
        <w:rPr>
          <w:b/>
          <w:sz w:val="20"/>
          <w:u w:val="single"/>
          <w:lang w:val="fr-CA"/>
        </w:rPr>
        <w:t xml:space="preserve"> </w:t>
      </w:r>
      <w:proofErr w:type="spellStart"/>
      <w:r w:rsidR="008E7441" w:rsidRPr="00464DC0">
        <w:rPr>
          <w:b/>
          <w:sz w:val="20"/>
          <w:u w:val="single"/>
          <w:lang w:val="fr-CA"/>
        </w:rPr>
        <w:t>Rights</w:t>
      </w:r>
      <w:proofErr w:type="spellEnd"/>
      <w:r w:rsidR="008E7441" w:rsidRPr="00464DC0">
        <w:rPr>
          <w:b/>
          <w:sz w:val="20"/>
          <w:u w:val="single"/>
          <w:lang w:val="fr-CA"/>
        </w:rPr>
        <w:t xml:space="preserve">, </w:t>
      </w:r>
      <w:proofErr w:type="spellStart"/>
      <w:r w:rsidR="008E7441" w:rsidRPr="00464DC0">
        <w:rPr>
          <w:b/>
          <w:sz w:val="20"/>
          <w:u w:val="single"/>
          <w:lang w:val="fr-CA"/>
        </w:rPr>
        <w:t>Shareholder</w:t>
      </w:r>
      <w:proofErr w:type="spellEnd"/>
      <w:r w:rsidR="008E7441" w:rsidRPr="00464DC0">
        <w:rPr>
          <w:b/>
          <w:sz w:val="20"/>
          <w:u w:val="single"/>
          <w:lang w:val="fr-CA"/>
        </w:rPr>
        <w:t xml:space="preserve"> Association for </w:t>
      </w:r>
      <w:proofErr w:type="spellStart"/>
      <w:r w:rsidR="008E7441" w:rsidRPr="00464DC0">
        <w:rPr>
          <w:b/>
          <w:sz w:val="20"/>
          <w:u w:val="single"/>
          <w:lang w:val="fr-CA"/>
        </w:rPr>
        <w:t>Research</w:t>
      </w:r>
      <w:proofErr w:type="spellEnd"/>
      <w:r w:rsidR="008E7441" w:rsidRPr="00464DC0">
        <w:rPr>
          <w:b/>
          <w:sz w:val="20"/>
          <w:u w:val="single"/>
          <w:lang w:val="fr-CA"/>
        </w:rPr>
        <w:t xml:space="preserve"> and </w:t>
      </w:r>
      <w:proofErr w:type="spellStart"/>
      <w:r w:rsidR="008E7441" w:rsidRPr="00464DC0">
        <w:rPr>
          <w:b/>
          <w:sz w:val="20"/>
          <w:u w:val="single"/>
          <w:lang w:val="fr-CA"/>
        </w:rPr>
        <w:t>Education</w:t>
      </w:r>
      <w:proofErr w:type="spellEnd"/>
      <w:r w:rsidR="008E7441" w:rsidRPr="00464DC0">
        <w:rPr>
          <w:b/>
          <w:sz w:val="20"/>
          <w:u w:val="single"/>
          <w:lang w:val="fr-CA"/>
        </w:rPr>
        <w:t>, Ontario Securities Com</w:t>
      </w:r>
      <w:r w:rsidR="00336E31" w:rsidRPr="00464DC0">
        <w:rPr>
          <w:b/>
          <w:sz w:val="20"/>
          <w:u w:val="single"/>
          <w:lang w:val="fr-CA"/>
        </w:rPr>
        <w:t>m</w:t>
      </w:r>
      <w:r w:rsidR="00322C8D" w:rsidRPr="00464DC0">
        <w:rPr>
          <w:b/>
          <w:sz w:val="20"/>
          <w:u w:val="single"/>
          <w:lang w:val="fr-CA"/>
        </w:rPr>
        <w:t xml:space="preserve">ission and </w:t>
      </w:r>
      <w:proofErr w:type="spellStart"/>
      <w:r w:rsidR="008E7441" w:rsidRPr="00464DC0">
        <w:rPr>
          <w:b/>
          <w:sz w:val="20"/>
          <w:u w:val="single"/>
          <w:lang w:val="fr-CA"/>
        </w:rPr>
        <w:t>Insurance</w:t>
      </w:r>
      <w:proofErr w:type="spellEnd"/>
      <w:r w:rsidR="008E7441" w:rsidRPr="00464DC0">
        <w:rPr>
          <w:b/>
          <w:sz w:val="20"/>
          <w:u w:val="single"/>
          <w:lang w:val="fr-CA"/>
        </w:rPr>
        <w:t xml:space="preserve"> Bureau of Canada</w:t>
      </w:r>
      <w:r w:rsidR="00322C8D" w:rsidRPr="00464DC0">
        <w:rPr>
          <w:iCs/>
          <w:sz w:val="20"/>
          <w:lang w:val="fr-CA"/>
        </w:rPr>
        <w:t xml:space="preserve"> </w:t>
      </w:r>
      <w:r w:rsidR="0052229C" w:rsidRPr="00464DC0">
        <w:rPr>
          <w:iCs/>
          <w:sz w:val="20"/>
          <w:lang w:val="fr-CA"/>
        </w:rPr>
        <w:t>(</w:t>
      </w:r>
      <w:r w:rsidR="00577ABD" w:rsidRPr="00464DC0">
        <w:rPr>
          <w:iCs/>
          <w:sz w:val="20"/>
          <w:lang w:val="fr-CA"/>
        </w:rPr>
        <w:t>Ont.</w:t>
      </w:r>
      <w:r w:rsidR="0052229C" w:rsidRPr="00464DC0">
        <w:rPr>
          <w:iCs/>
          <w:sz w:val="20"/>
          <w:lang w:val="fr-CA"/>
        </w:rPr>
        <w:t>)</w:t>
      </w:r>
    </w:p>
    <w:p w:rsidR="0052229C" w:rsidRPr="00464DC0" w:rsidRDefault="0052229C" w:rsidP="0052229C">
      <w:pPr>
        <w:tabs>
          <w:tab w:val="left" w:pos="1440"/>
          <w:tab w:val="left" w:pos="2160"/>
          <w:tab w:val="left" w:pos="2880"/>
          <w:tab w:val="left" w:pos="3600"/>
          <w:tab w:val="left" w:pos="4320"/>
          <w:tab w:val="left" w:pos="5040"/>
          <w:tab w:val="left" w:pos="5760"/>
          <w:tab w:val="left" w:pos="6480"/>
          <w:tab w:val="left" w:pos="7200"/>
        </w:tabs>
        <w:ind w:left="1440"/>
        <w:jc w:val="both"/>
        <w:rPr>
          <w:sz w:val="20"/>
          <w:lang w:val="fr-CA"/>
        </w:rPr>
      </w:pPr>
      <w:r w:rsidRPr="00464DC0">
        <w:rPr>
          <w:b/>
          <w:sz w:val="20"/>
          <w:lang w:val="fr-CA"/>
        </w:rPr>
        <w:t>201</w:t>
      </w:r>
      <w:r w:rsidR="00577ABD" w:rsidRPr="00464DC0">
        <w:rPr>
          <w:b/>
          <w:sz w:val="20"/>
          <w:lang w:val="fr-CA"/>
        </w:rPr>
        <w:t>5</w:t>
      </w:r>
      <w:r w:rsidRPr="00464DC0">
        <w:rPr>
          <w:b/>
          <w:sz w:val="20"/>
          <w:lang w:val="fr-CA"/>
        </w:rPr>
        <w:t xml:space="preserve"> SCC </w:t>
      </w:r>
      <w:r w:rsidR="00464DC0" w:rsidRPr="00464DC0">
        <w:rPr>
          <w:b/>
          <w:sz w:val="20"/>
          <w:lang w:val="fr-CA"/>
        </w:rPr>
        <w:t>60</w:t>
      </w:r>
      <w:r w:rsidRPr="00464DC0">
        <w:rPr>
          <w:b/>
          <w:sz w:val="20"/>
          <w:lang w:val="fr-CA"/>
        </w:rPr>
        <w:t xml:space="preserve"> / 201</w:t>
      </w:r>
      <w:r w:rsidR="00577ABD" w:rsidRPr="00464DC0">
        <w:rPr>
          <w:b/>
          <w:sz w:val="20"/>
          <w:lang w:val="fr-CA"/>
        </w:rPr>
        <w:t>5</w:t>
      </w:r>
      <w:r w:rsidRPr="00464DC0">
        <w:rPr>
          <w:b/>
          <w:sz w:val="20"/>
          <w:lang w:val="fr-CA"/>
        </w:rPr>
        <w:t xml:space="preserve"> CSC </w:t>
      </w:r>
      <w:r w:rsidR="00464DC0" w:rsidRPr="00464DC0">
        <w:rPr>
          <w:b/>
          <w:sz w:val="20"/>
          <w:lang w:val="fr-CA"/>
        </w:rPr>
        <w:t>60</w:t>
      </w:r>
    </w:p>
    <w:p w:rsidR="0052229C" w:rsidRPr="00464DC0" w:rsidRDefault="0052229C" w:rsidP="0052229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lang w:val="fr-CA"/>
        </w:rPr>
      </w:pPr>
    </w:p>
    <w:p w:rsidR="0052229C" w:rsidRPr="00464DC0" w:rsidRDefault="0052229C" w:rsidP="0052229C">
      <w:pPr>
        <w:ind w:left="1440" w:hanging="1440"/>
        <w:rPr>
          <w:sz w:val="20"/>
          <w:u w:val="single"/>
          <w:lang w:val="fr-CA"/>
        </w:rPr>
      </w:pPr>
      <w:r w:rsidRPr="00464DC0">
        <w:rPr>
          <w:sz w:val="20"/>
          <w:lang w:val="fr-CA"/>
        </w:rPr>
        <w:t>Coram:</w:t>
      </w:r>
      <w:r w:rsidRPr="00464DC0">
        <w:rPr>
          <w:sz w:val="20"/>
          <w:lang w:val="fr-CA"/>
        </w:rPr>
        <w:tab/>
      </w:r>
      <w:proofErr w:type="spellStart"/>
      <w:r w:rsidR="00577ABD" w:rsidRPr="00464DC0">
        <w:rPr>
          <w:sz w:val="20"/>
          <w:u w:val="single"/>
          <w:lang w:val="fr-CA"/>
        </w:rPr>
        <w:t>McLachlin</w:t>
      </w:r>
      <w:proofErr w:type="spellEnd"/>
      <w:r w:rsidR="00577ABD" w:rsidRPr="00464DC0">
        <w:rPr>
          <w:sz w:val="20"/>
          <w:u w:val="single"/>
          <w:lang w:val="fr-CA"/>
        </w:rPr>
        <w:t xml:space="preserve"> C.J. and </w:t>
      </w:r>
      <w:proofErr w:type="spellStart"/>
      <w:r w:rsidR="00577ABD" w:rsidRPr="00464DC0">
        <w:rPr>
          <w:sz w:val="20"/>
          <w:u w:val="single"/>
          <w:lang w:val="fr-CA"/>
        </w:rPr>
        <w:t>Rothstein</w:t>
      </w:r>
      <w:proofErr w:type="spellEnd"/>
      <w:r w:rsidRPr="00464DC0">
        <w:rPr>
          <w:sz w:val="20"/>
          <w:u w:val="single"/>
          <w:lang w:val="fr-CA"/>
        </w:rPr>
        <w:t xml:space="preserve">, </w:t>
      </w:r>
      <w:r w:rsidR="00577ABD" w:rsidRPr="00464DC0">
        <w:rPr>
          <w:sz w:val="20"/>
          <w:u w:val="single"/>
          <w:lang w:val="fr-CA"/>
        </w:rPr>
        <w:t xml:space="preserve">Cromwell, </w:t>
      </w:r>
      <w:proofErr w:type="spellStart"/>
      <w:r w:rsidRPr="00464DC0">
        <w:rPr>
          <w:sz w:val="20"/>
          <w:u w:val="single"/>
          <w:lang w:val="fr-CA"/>
        </w:rPr>
        <w:t>Moldaver</w:t>
      </w:r>
      <w:proofErr w:type="spellEnd"/>
      <w:r w:rsidRPr="00464DC0">
        <w:rPr>
          <w:sz w:val="20"/>
          <w:u w:val="single"/>
          <w:lang w:val="fr-CA"/>
        </w:rPr>
        <w:t xml:space="preserve">, </w:t>
      </w:r>
      <w:proofErr w:type="spellStart"/>
      <w:r w:rsidRPr="00464DC0">
        <w:rPr>
          <w:sz w:val="20"/>
          <w:u w:val="single"/>
          <w:lang w:val="fr-CA"/>
        </w:rPr>
        <w:t>Karakatsanis</w:t>
      </w:r>
      <w:proofErr w:type="spellEnd"/>
      <w:r w:rsidR="00577ABD" w:rsidRPr="00464DC0">
        <w:rPr>
          <w:sz w:val="20"/>
          <w:u w:val="single"/>
          <w:lang w:val="fr-CA"/>
        </w:rPr>
        <w:t>, Gascon and</w:t>
      </w:r>
      <w:r w:rsidRPr="00464DC0">
        <w:rPr>
          <w:sz w:val="20"/>
          <w:u w:val="single"/>
          <w:lang w:val="fr-CA"/>
        </w:rPr>
        <w:t xml:space="preserve"> </w:t>
      </w:r>
      <w:r w:rsidR="00577ABD" w:rsidRPr="00464DC0">
        <w:rPr>
          <w:sz w:val="20"/>
          <w:u w:val="single"/>
          <w:lang w:val="fr-CA"/>
        </w:rPr>
        <w:t>Côté JJ.</w:t>
      </w:r>
    </w:p>
    <w:p w:rsidR="0052229C" w:rsidRPr="00464DC0" w:rsidRDefault="0052229C" w:rsidP="0052229C">
      <w:pPr>
        <w:ind w:left="1440" w:hanging="1440"/>
        <w:rPr>
          <w:sz w:val="16"/>
          <w:u w:val="single"/>
          <w:lang w:val="fr-CA"/>
        </w:rPr>
      </w:pPr>
    </w:p>
    <w:p w:rsidR="0052229C" w:rsidRPr="00FD39B8" w:rsidRDefault="007412FF" w:rsidP="0052229C">
      <w:pPr>
        <w:jc w:val="both"/>
        <w:rPr>
          <w:rFonts w:eastAsia="Calibri"/>
          <w:sz w:val="20"/>
          <w:highlight w:val="yellow"/>
        </w:rPr>
      </w:pPr>
      <w:r w:rsidRPr="00464DC0">
        <w:rPr>
          <w:sz w:val="20"/>
          <w:szCs w:val="20"/>
        </w:rPr>
        <w:t>The appeals from the judgment of</w:t>
      </w:r>
      <w:r w:rsidRPr="007412FF">
        <w:rPr>
          <w:sz w:val="20"/>
          <w:szCs w:val="20"/>
        </w:rPr>
        <w:t xml:space="preserve"> the Court of Appeal for Ontario, Number C55832, 2014 ONCA 90, dated February 3, 2014, heard on February 9, 2015, are dismissed with costs throughout.  </w:t>
      </w:r>
      <w:proofErr w:type="spellStart"/>
      <w:r w:rsidRPr="007412FF">
        <w:rPr>
          <w:sz w:val="20"/>
          <w:szCs w:val="20"/>
          <w:lang w:val="en-US"/>
        </w:rPr>
        <w:t>McLachlin</w:t>
      </w:r>
      <w:proofErr w:type="spellEnd"/>
      <w:r w:rsidRPr="007412FF">
        <w:rPr>
          <w:sz w:val="20"/>
          <w:szCs w:val="20"/>
          <w:lang w:val="en-US"/>
        </w:rPr>
        <w:t xml:space="preserve"> C.J. and Rothstein and </w:t>
      </w:r>
      <w:proofErr w:type="spellStart"/>
      <w:r w:rsidRPr="007412FF">
        <w:rPr>
          <w:sz w:val="20"/>
          <w:szCs w:val="20"/>
          <w:lang w:val="en-US"/>
        </w:rPr>
        <w:t>Côté</w:t>
      </w:r>
      <w:proofErr w:type="spellEnd"/>
      <w:r w:rsidRPr="007412FF">
        <w:rPr>
          <w:sz w:val="20"/>
          <w:szCs w:val="20"/>
          <w:lang w:val="en-US"/>
        </w:rPr>
        <w:t xml:space="preserve"> JJ. </w:t>
      </w:r>
      <w:proofErr w:type="gramStart"/>
      <w:r w:rsidRPr="007412FF">
        <w:rPr>
          <w:sz w:val="20"/>
          <w:szCs w:val="20"/>
          <w:lang w:val="en-US"/>
        </w:rPr>
        <w:t>are</w:t>
      </w:r>
      <w:proofErr w:type="gramEnd"/>
      <w:r w:rsidRPr="007412FF">
        <w:rPr>
          <w:sz w:val="20"/>
          <w:szCs w:val="20"/>
          <w:lang w:val="en-US"/>
        </w:rPr>
        <w:t xml:space="preserve"> dissenting in part.</w:t>
      </w:r>
    </w:p>
    <w:p w:rsidR="00B739E6" w:rsidRPr="006842CA" w:rsidRDefault="00B739E6" w:rsidP="0052229C">
      <w:pPr>
        <w:jc w:val="both"/>
        <w:rPr>
          <w:rFonts w:eastAsia="Calibri"/>
          <w:sz w:val="20"/>
        </w:rPr>
      </w:pPr>
    </w:p>
    <w:p w:rsidR="00B739E6" w:rsidRDefault="006842CA" w:rsidP="00B739E6">
      <w:pPr>
        <w:jc w:val="both"/>
        <w:rPr>
          <w:rFonts w:eastAsia="Calibri"/>
          <w:sz w:val="20"/>
          <w:lang w:val="fr-CA"/>
        </w:rPr>
      </w:pPr>
      <w:r w:rsidRPr="006842CA">
        <w:rPr>
          <w:sz w:val="20"/>
          <w:szCs w:val="20"/>
          <w:lang w:val="fr-CA"/>
        </w:rPr>
        <w:t xml:space="preserve">Les appels interjetés contre l’arrêt de la Cour d’appel de l’Ontario, numéro C55832, 2014 ONCA 90, en date du 3 février 2014, entendus le 9 février 2015, sont rejetés avec dépens devant toutes les cours.  La juge en chef </w:t>
      </w:r>
      <w:proofErr w:type="spellStart"/>
      <w:r w:rsidRPr="006842CA">
        <w:rPr>
          <w:sz w:val="20"/>
          <w:szCs w:val="20"/>
          <w:lang w:val="fr-CA"/>
        </w:rPr>
        <w:t>McLachlin</w:t>
      </w:r>
      <w:proofErr w:type="spellEnd"/>
      <w:r w:rsidRPr="006842CA">
        <w:rPr>
          <w:sz w:val="20"/>
          <w:szCs w:val="20"/>
          <w:lang w:val="fr-CA"/>
        </w:rPr>
        <w:t xml:space="preserve"> et les juges </w:t>
      </w:r>
      <w:proofErr w:type="spellStart"/>
      <w:r w:rsidRPr="006842CA">
        <w:rPr>
          <w:sz w:val="20"/>
          <w:szCs w:val="20"/>
          <w:lang w:val="fr-CA"/>
        </w:rPr>
        <w:t>Rothstein</w:t>
      </w:r>
      <w:proofErr w:type="spellEnd"/>
      <w:r w:rsidRPr="006842CA">
        <w:rPr>
          <w:sz w:val="20"/>
          <w:szCs w:val="20"/>
          <w:lang w:val="fr-CA"/>
        </w:rPr>
        <w:t xml:space="preserve"> et Côté sont dissidents en partie.</w:t>
      </w:r>
    </w:p>
    <w:p w:rsidR="0052229C" w:rsidRDefault="0052229C" w:rsidP="0052229C">
      <w:pPr>
        <w:rPr>
          <w:sz w:val="20"/>
          <w:szCs w:val="20"/>
        </w:rPr>
      </w:pPr>
    </w:p>
    <w:p w:rsidR="0052229C" w:rsidRPr="003B3977" w:rsidRDefault="00B150CF" w:rsidP="0052229C">
      <w:pPr>
        <w:spacing w:line="0" w:lineRule="atLeast"/>
        <w:rPr>
          <w:sz w:val="20"/>
          <w:szCs w:val="20"/>
        </w:rPr>
      </w:pPr>
      <w:r>
        <w:rPr>
          <w:b/>
          <w:sz w:val="20"/>
          <w:szCs w:val="20"/>
        </w:rPr>
        <w:pict>
          <v:rect id="_x0000_i1071" style="width:144.3pt;height:1pt" o:hrpct="300" o:hralign="center" o:hrstd="t" o:hrnoshade="t" o:hr="t" fillcolor="black [3213]" stroked="f"/>
        </w:pict>
      </w:r>
    </w:p>
    <w:p w:rsidR="0052229C" w:rsidRPr="00A84883" w:rsidRDefault="0052229C" w:rsidP="0052229C">
      <w:pPr>
        <w:spacing w:line="0" w:lineRule="atLeast"/>
        <w:rPr>
          <w:rFonts w:cs="Times New Roman"/>
          <w:sz w:val="20"/>
          <w:szCs w:val="20"/>
        </w:rPr>
      </w:pPr>
    </w:p>
    <w:p w:rsidR="0052229C" w:rsidRPr="0061510E" w:rsidRDefault="000E27A5" w:rsidP="0052229C">
      <w:pPr>
        <w:ind w:left="1440" w:hanging="1440"/>
        <w:jc w:val="both"/>
        <w:rPr>
          <w:sz w:val="20"/>
          <w:szCs w:val="20"/>
        </w:rPr>
      </w:pPr>
      <w:r w:rsidRPr="0061510E">
        <w:rPr>
          <w:b/>
          <w:sz w:val="20"/>
          <w:szCs w:val="20"/>
        </w:rPr>
        <w:fldChar w:fldCharType="begin"/>
      </w:r>
      <w:r w:rsidR="0052229C" w:rsidRPr="0061510E">
        <w:rPr>
          <w:b/>
          <w:sz w:val="20"/>
          <w:szCs w:val="20"/>
        </w:rPr>
        <w:instrText xml:space="preserve"> SEQ CHAPTER \h \r 1</w:instrText>
      </w:r>
      <w:r w:rsidRPr="0061510E">
        <w:rPr>
          <w:b/>
          <w:sz w:val="20"/>
          <w:szCs w:val="20"/>
        </w:rPr>
        <w:fldChar w:fldCharType="end"/>
      </w:r>
      <w:r w:rsidR="0052229C" w:rsidRPr="0061510E">
        <w:rPr>
          <w:b/>
          <w:sz w:val="20"/>
          <w:szCs w:val="20"/>
        </w:rPr>
        <w:t>3</w:t>
      </w:r>
      <w:r w:rsidR="00A0181C" w:rsidRPr="0061510E">
        <w:rPr>
          <w:b/>
          <w:sz w:val="20"/>
          <w:szCs w:val="20"/>
        </w:rPr>
        <w:t>5811</w:t>
      </w:r>
      <w:r w:rsidR="0052229C" w:rsidRPr="0061510E">
        <w:rPr>
          <w:sz w:val="20"/>
          <w:szCs w:val="20"/>
        </w:rPr>
        <w:tab/>
      </w:r>
      <w:r w:rsidR="000A72B6" w:rsidRPr="0061510E">
        <w:rPr>
          <w:b/>
          <w:sz w:val="20"/>
          <w:szCs w:val="20"/>
          <w:u w:val="single"/>
        </w:rPr>
        <w:t>I</w:t>
      </w:r>
      <w:r w:rsidR="00F8267E" w:rsidRPr="0061510E">
        <w:rPr>
          <w:b/>
          <w:sz w:val="20"/>
          <w:szCs w:val="20"/>
          <w:u w:val="single"/>
        </w:rPr>
        <w:t>MAX</w:t>
      </w:r>
      <w:r w:rsidR="000A72B6" w:rsidRPr="0061510E">
        <w:rPr>
          <w:b/>
          <w:sz w:val="20"/>
          <w:szCs w:val="20"/>
          <w:u w:val="single"/>
        </w:rPr>
        <w:t xml:space="preserve"> Corporation, Richard L. </w:t>
      </w:r>
      <w:proofErr w:type="spellStart"/>
      <w:r w:rsidR="000A72B6" w:rsidRPr="0061510E">
        <w:rPr>
          <w:b/>
          <w:sz w:val="20"/>
          <w:szCs w:val="20"/>
          <w:u w:val="single"/>
        </w:rPr>
        <w:t>Gelfond</w:t>
      </w:r>
      <w:proofErr w:type="spellEnd"/>
      <w:r w:rsidR="000A72B6" w:rsidRPr="0061510E">
        <w:rPr>
          <w:b/>
          <w:sz w:val="20"/>
          <w:szCs w:val="20"/>
          <w:u w:val="single"/>
        </w:rPr>
        <w:t xml:space="preserve">, Bradley J. Wechsler, Francis T. Joyce, Neil S. Braun, Kenneth G. Copland, Garth M. Girvan, David W. </w:t>
      </w:r>
      <w:proofErr w:type="spellStart"/>
      <w:r w:rsidR="000A72B6" w:rsidRPr="0061510E">
        <w:rPr>
          <w:b/>
          <w:sz w:val="20"/>
          <w:szCs w:val="20"/>
          <w:u w:val="single"/>
        </w:rPr>
        <w:t>Leebron</w:t>
      </w:r>
      <w:proofErr w:type="spellEnd"/>
      <w:r w:rsidR="000A72B6" w:rsidRPr="0061510E">
        <w:rPr>
          <w:b/>
          <w:sz w:val="20"/>
          <w:szCs w:val="20"/>
          <w:u w:val="single"/>
        </w:rPr>
        <w:t xml:space="preserve"> and Kathryn A. Gamble</w:t>
      </w:r>
      <w:r w:rsidR="0052229C" w:rsidRPr="0061510E">
        <w:rPr>
          <w:b/>
          <w:sz w:val="20"/>
          <w:szCs w:val="20"/>
          <w:u w:val="single"/>
        </w:rPr>
        <w:t xml:space="preserve"> v. </w:t>
      </w:r>
      <w:r w:rsidR="000A72B6" w:rsidRPr="0061510E">
        <w:rPr>
          <w:b/>
          <w:sz w:val="20"/>
          <w:szCs w:val="20"/>
          <w:u w:val="single"/>
        </w:rPr>
        <w:t>Marvin Neil Silver and Cliff Cohen</w:t>
      </w:r>
      <w:r w:rsidR="0052229C" w:rsidRPr="0061510E">
        <w:rPr>
          <w:b/>
          <w:sz w:val="20"/>
          <w:szCs w:val="20"/>
          <w:u w:val="single"/>
        </w:rPr>
        <w:t xml:space="preserve"> – and –</w:t>
      </w:r>
      <w:r w:rsidR="000A72B6" w:rsidRPr="0061510E">
        <w:rPr>
          <w:b/>
          <w:sz w:val="20"/>
          <w:szCs w:val="20"/>
          <w:u w:val="single"/>
        </w:rPr>
        <w:t xml:space="preserve"> Canadian Fo</w:t>
      </w:r>
      <w:r w:rsidR="005B3725" w:rsidRPr="0061510E">
        <w:rPr>
          <w:b/>
          <w:sz w:val="20"/>
          <w:szCs w:val="20"/>
          <w:u w:val="single"/>
        </w:rPr>
        <w:t>u</w:t>
      </w:r>
      <w:r w:rsidR="000A72B6" w:rsidRPr="0061510E">
        <w:rPr>
          <w:b/>
          <w:sz w:val="20"/>
          <w:szCs w:val="20"/>
          <w:u w:val="single"/>
        </w:rPr>
        <w:t>ndation for Advancement of Investor Rights</w:t>
      </w:r>
      <w:r w:rsidR="009D319D" w:rsidRPr="0061510E">
        <w:rPr>
          <w:b/>
          <w:sz w:val="20"/>
          <w:szCs w:val="20"/>
          <w:u w:val="single"/>
        </w:rPr>
        <w:t xml:space="preserve"> and</w:t>
      </w:r>
      <w:r w:rsidR="000A72B6" w:rsidRPr="0061510E">
        <w:rPr>
          <w:b/>
          <w:sz w:val="20"/>
          <w:szCs w:val="20"/>
          <w:u w:val="single"/>
        </w:rPr>
        <w:t xml:space="preserve"> Ontario Securities Commission</w:t>
      </w:r>
      <w:r w:rsidR="0052229C" w:rsidRPr="0061510E">
        <w:rPr>
          <w:b/>
          <w:sz w:val="20"/>
          <w:szCs w:val="20"/>
        </w:rPr>
        <w:t xml:space="preserve"> </w:t>
      </w:r>
      <w:r w:rsidR="0052229C" w:rsidRPr="0061510E">
        <w:rPr>
          <w:iCs/>
          <w:sz w:val="20"/>
          <w:szCs w:val="20"/>
        </w:rPr>
        <w:t>(</w:t>
      </w:r>
      <w:r w:rsidR="000A72B6" w:rsidRPr="0061510E">
        <w:rPr>
          <w:iCs/>
          <w:sz w:val="20"/>
          <w:szCs w:val="20"/>
        </w:rPr>
        <w:t>Ont</w:t>
      </w:r>
      <w:r w:rsidR="0052229C" w:rsidRPr="0061510E">
        <w:rPr>
          <w:iCs/>
          <w:sz w:val="20"/>
          <w:szCs w:val="20"/>
        </w:rPr>
        <w:t>.)</w:t>
      </w:r>
    </w:p>
    <w:p w:rsidR="0052229C" w:rsidRPr="0061510E" w:rsidRDefault="0052229C" w:rsidP="0052229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rPr>
      </w:pPr>
      <w:r w:rsidRPr="0061510E">
        <w:rPr>
          <w:b/>
          <w:sz w:val="20"/>
          <w:szCs w:val="20"/>
        </w:rPr>
        <w:t>201</w:t>
      </w:r>
      <w:r w:rsidR="00E872CA" w:rsidRPr="0061510E">
        <w:rPr>
          <w:b/>
          <w:sz w:val="20"/>
          <w:szCs w:val="20"/>
        </w:rPr>
        <w:t>5</w:t>
      </w:r>
      <w:r w:rsidRPr="0061510E">
        <w:rPr>
          <w:b/>
          <w:sz w:val="20"/>
          <w:szCs w:val="20"/>
        </w:rPr>
        <w:t xml:space="preserve"> SCC </w:t>
      </w:r>
      <w:r w:rsidR="0061510E" w:rsidRPr="0061510E">
        <w:rPr>
          <w:b/>
          <w:sz w:val="20"/>
          <w:szCs w:val="20"/>
        </w:rPr>
        <w:t>60</w:t>
      </w:r>
      <w:r w:rsidRPr="0061510E">
        <w:rPr>
          <w:b/>
          <w:sz w:val="20"/>
          <w:szCs w:val="20"/>
        </w:rPr>
        <w:t xml:space="preserve"> / 201</w:t>
      </w:r>
      <w:r w:rsidR="00E872CA" w:rsidRPr="0061510E">
        <w:rPr>
          <w:b/>
          <w:sz w:val="20"/>
          <w:szCs w:val="20"/>
        </w:rPr>
        <w:t>5</w:t>
      </w:r>
      <w:r w:rsidRPr="0061510E">
        <w:rPr>
          <w:b/>
          <w:sz w:val="20"/>
          <w:szCs w:val="20"/>
        </w:rPr>
        <w:t xml:space="preserve"> CSC </w:t>
      </w:r>
      <w:r w:rsidR="0061510E" w:rsidRPr="0061510E">
        <w:rPr>
          <w:b/>
          <w:sz w:val="20"/>
          <w:szCs w:val="20"/>
        </w:rPr>
        <w:t>60</w:t>
      </w:r>
    </w:p>
    <w:p w:rsidR="0052229C" w:rsidRPr="0061510E" w:rsidRDefault="0052229C" w:rsidP="0052229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B97932" w:rsidRPr="0061510E" w:rsidRDefault="0052229C" w:rsidP="00B97932">
      <w:pPr>
        <w:ind w:left="1440" w:hanging="1440"/>
        <w:rPr>
          <w:sz w:val="20"/>
          <w:u w:val="single"/>
          <w:lang w:val="fr-CA"/>
        </w:rPr>
      </w:pPr>
      <w:r w:rsidRPr="0061510E">
        <w:rPr>
          <w:sz w:val="20"/>
          <w:szCs w:val="20"/>
        </w:rPr>
        <w:t>Coram:</w:t>
      </w:r>
      <w:r w:rsidRPr="0061510E">
        <w:rPr>
          <w:sz w:val="20"/>
          <w:szCs w:val="20"/>
        </w:rPr>
        <w:tab/>
      </w:r>
      <w:proofErr w:type="spellStart"/>
      <w:r w:rsidR="00B97932" w:rsidRPr="0061510E">
        <w:rPr>
          <w:sz w:val="20"/>
          <w:u w:val="single"/>
          <w:lang w:val="fr-CA"/>
        </w:rPr>
        <w:t>McLachlin</w:t>
      </w:r>
      <w:proofErr w:type="spellEnd"/>
      <w:r w:rsidR="00B97932" w:rsidRPr="0061510E">
        <w:rPr>
          <w:sz w:val="20"/>
          <w:u w:val="single"/>
          <w:lang w:val="fr-CA"/>
        </w:rPr>
        <w:t xml:space="preserve"> C.J. and </w:t>
      </w:r>
      <w:proofErr w:type="spellStart"/>
      <w:r w:rsidR="00B97932" w:rsidRPr="0061510E">
        <w:rPr>
          <w:sz w:val="20"/>
          <w:u w:val="single"/>
          <w:lang w:val="fr-CA"/>
        </w:rPr>
        <w:t>Rothstein</w:t>
      </w:r>
      <w:proofErr w:type="spellEnd"/>
      <w:r w:rsidR="00B97932" w:rsidRPr="0061510E">
        <w:rPr>
          <w:sz w:val="20"/>
          <w:u w:val="single"/>
          <w:lang w:val="fr-CA"/>
        </w:rPr>
        <w:t xml:space="preserve">, Cromwell, </w:t>
      </w:r>
      <w:proofErr w:type="spellStart"/>
      <w:r w:rsidR="00B97932" w:rsidRPr="0061510E">
        <w:rPr>
          <w:sz w:val="20"/>
          <w:u w:val="single"/>
          <w:lang w:val="fr-CA"/>
        </w:rPr>
        <w:t>Moldaver</w:t>
      </w:r>
      <w:proofErr w:type="spellEnd"/>
      <w:r w:rsidR="00B97932" w:rsidRPr="0061510E">
        <w:rPr>
          <w:sz w:val="20"/>
          <w:u w:val="single"/>
          <w:lang w:val="fr-CA"/>
        </w:rPr>
        <w:t xml:space="preserve">, </w:t>
      </w:r>
      <w:proofErr w:type="spellStart"/>
      <w:r w:rsidR="00B97932" w:rsidRPr="0061510E">
        <w:rPr>
          <w:sz w:val="20"/>
          <w:u w:val="single"/>
          <w:lang w:val="fr-CA"/>
        </w:rPr>
        <w:t>Karakatsanis</w:t>
      </w:r>
      <w:proofErr w:type="spellEnd"/>
      <w:r w:rsidR="00B97932" w:rsidRPr="0061510E">
        <w:rPr>
          <w:sz w:val="20"/>
          <w:u w:val="single"/>
          <w:lang w:val="fr-CA"/>
        </w:rPr>
        <w:t>, Gascon and Côté JJ.</w:t>
      </w:r>
    </w:p>
    <w:p w:rsidR="0052229C" w:rsidRPr="0061510E" w:rsidRDefault="0052229C" w:rsidP="00B97932">
      <w:pPr>
        <w:ind w:left="1440" w:hanging="1440"/>
        <w:rPr>
          <w:sz w:val="20"/>
          <w:szCs w:val="20"/>
          <w:u w:val="single"/>
        </w:rPr>
      </w:pPr>
    </w:p>
    <w:p w:rsidR="0052229C" w:rsidRPr="007C1078" w:rsidRDefault="00CF3915" w:rsidP="0052229C">
      <w:pPr>
        <w:jc w:val="both"/>
        <w:rPr>
          <w:rFonts w:eastAsia="Calibri"/>
          <w:sz w:val="20"/>
          <w:szCs w:val="20"/>
          <w:highlight w:val="yellow"/>
        </w:rPr>
      </w:pPr>
      <w:r w:rsidRPr="0061510E">
        <w:rPr>
          <w:sz w:val="20"/>
          <w:szCs w:val="20"/>
        </w:rPr>
        <w:t>The appeal from the judgment of the Court of Appeal for Ontario, Number C55982, 2014 ONCA 90, dated February 3, 2014, heard on February 9, 2015, is dismissed</w:t>
      </w:r>
      <w:r w:rsidRPr="00CF3915">
        <w:rPr>
          <w:sz w:val="20"/>
          <w:szCs w:val="20"/>
        </w:rPr>
        <w:t xml:space="preserve"> with costs throughout.  </w:t>
      </w:r>
      <w:proofErr w:type="spellStart"/>
      <w:r w:rsidRPr="00CF3915">
        <w:rPr>
          <w:sz w:val="20"/>
          <w:szCs w:val="20"/>
          <w:lang w:val="en-US"/>
        </w:rPr>
        <w:t>McLachlin</w:t>
      </w:r>
      <w:proofErr w:type="spellEnd"/>
      <w:r w:rsidRPr="00CF3915">
        <w:rPr>
          <w:sz w:val="20"/>
          <w:szCs w:val="20"/>
          <w:lang w:val="en-US"/>
        </w:rPr>
        <w:t xml:space="preserve"> C.J. and Rothstein and </w:t>
      </w:r>
      <w:proofErr w:type="spellStart"/>
      <w:r w:rsidRPr="00CF3915">
        <w:rPr>
          <w:sz w:val="20"/>
          <w:szCs w:val="20"/>
          <w:lang w:val="en-US"/>
        </w:rPr>
        <w:t>Côté</w:t>
      </w:r>
      <w:proofErr w:type="spellEnd"/>
      <w:r w:rsidRPr="00CF3915">
        <w:rPr>
          <w:sz w:val="20"/>
          <w:szCs w:val="20"/>
          <w:lang w:val="en-US"/>
        </w:rPr>
        <w:t xml:space="preserve"> JJ. </w:t>
      </w:r>
      <w:proofErr w:type="gramStart"/>
      <w:r w:rsidRPr="00CF3915">
        <w:rPr>
          <w:sz w:val="20"/>
          <w:szCs w:val="20"/>
          <w:lang w:val="en-US"/>
        </w:rPr>
        <w:t>are</w:t>
      </w:r>
      <w:proofErr w:type="gramEnd"/>
      <w:r w:rsidRPr="00CF3915">
        <w:rPr>
          <w:sz w:val="20"/>
          <w:szCs w:val="20"/>
          <w:lang w:val="en-US"/>
        </w:rPr>
        <w:t xml:space="preserve"> dissenting in part.</w:t>
      </w:r>
    </w:p>
    <w:p w:rsidR="0052229C" w:rsidRPr="007C1078" w:rsidRDefault="0052229C" w:rsidP="0052229C">
      <w:pPr>
        <w:jc w:val="both"/>
        <w:rPr>
          <w:rFonts w:eastAsia="Calibri"/>
          <w:sz w:val="20"/>
          <w:szCs w:val="20"/>
          <w:highlight w:val="yellow"/>
        </w:rPr>
      </w:pPr>
    </w:p>
    <w:p w:rsidR="0052229C" w:rsidRPr="005C722A" w:rsidRDefault="00CF3915" w:rsidP="0052229C">
      <w:pPr>
        <w:jc w:val="both"/>
        <w:rPr>
          <w:rFonts w:eastAsia="Calibri"/>
          <w:sz w:val="20"/>
          <w:szCs w:val="20"/>
          <w:lang w:val="fr-CA"/>
        </w:rPr>
      </w:pPr>
      <w:r w:rsidRPr="00CF3915">
        <w:rPr>
          <w:sz w:val="20"/>
          <w:szCs w:val="20"/>
          <w:lang w:val="fr-CA"/>
        </w:rPr>
        <w:t xml:space="preserve">L’appel interjeté contre l’arrêt de la Cour d’appel de l’Ontario, numéro C55982, 2014 ONCA 90, en date du 3 février 2014, entendu le 9 février 2015, est rejeté avec dépens devant toutes les cours.  La juge en chef </w:t>
      </w:r>
      <w:proofErr w:type="spellStart"/>
      <w:r w:rsidRPr="00CF3915">
        <w:rPr>
          <w:sz w:val="20"/>
          <w:szCs w:val="20"/>
          <w:lang w:val="fr-CA"/>
        </w:rPr>
        <w:t>McLachlin</w:t>
      </w:r>
      <w:proofErr w:type="spellEnd"/>
      <w:r w:rsidRPr="00CF3915">
        <w:rPr>
          <w:sz w:val="20"/>
          <w:szCs w:val="20"/>
          <w:lang w:val="fr-CA"/>
        </w:rPr>
        <w:t xml:space="preserve"> et les juges </w:t>
      </w:r>
      <w:proofErr w:type="spellStart"/>
      <w:r w:rsidRPr="00CF3915">
        <w:rPr>
          <w:sz w:val="20"/>
          <w:szCs w:val="20"/>
          <w:lang w:val="fr-CA"/>
        </w:rPr>
        <w:t>Rothstein</w:t>
      </w:r>
      <w:proofErr w:type="spellEnd"/>
      <w:r w:rsidRPr="00CF3915">
        <w:rPr>
          <w:sz w:val="20"/>
          <w:szCs w:val="20"/>
          <w:lang w:val="fr-CA"/>
        </w:rPr>
        <w:t xml:space="preserve"> et Côté sont dissidents en partie.</w:t>
      </w:r>
    </w:p>
    <w:p w:rsidR="00D004FC" w:rsidRPr="0052229C" w:rsidRDefault="00D004FC" w:rsidP="00D004FC">
      <w:pPr>
        <w:spacing w:line="0" w:lineRule="atLeast"/>
        <w:rPr>
          <w:rFonts w:cs="Times New Roman"/>
          <w:sz w:val="20"/>
          <w:szCs w:val="20"/>
          <w:lang w:val="fr-CA"/>
        </w:rPr>
      </w:pPr>
    </w:p>
    <w:p w:rsidR="00D004FC" w:rsidRDefault="00B150CF" w:rsidP="00D004FC">
      <w:pPr>
        <w:jc w:val="both"/>
        <w:rPr>
          <w:rFonts w:cs="Times New Roman"/>
          <w:b/>
          <w:sz w:val="20"/>
          <w:szCs w:val="20"/>
        </w:rPr>
      </w:pPr>
      <w:r>
        <w:rPr>
          <w:rFonts w:cs="Times New Roman"/>
          <w:b/>
          <w:sz w:val="20"/>
          <w:szCs w:val="20"/>
        </w:rPr>
        <w:pict>
          <v:rect id="_x0000_i1072" style="width:144.3pt;height:1pt" o:hrpct="300" o:hralign="center" o:hrstd="t" o:hrnoshade="t" o:hr="t" fillcolor="black [3213]" stroked="f"/>
        </w:pict>
      </w:r>
    </w:p>
    <w:p w:rsidR="00853420" w:rsidRDefault="00853420">
      <w:pPr>
        <w:rPr>
          <w:rFonts w:cs="Times New Roman"/>
          <w:sz w:val="20"/>
          <w:szCs w:val="20"/>
        </w:rPr>
      </w:pPr>
      <w:r>
        <w:rPr>
          <w:rFonts w:cs="Times New Roman"/>
          <w:sz w:val="20"/>
          <w:szCs w:val="20"/>
        </w:rPr>
        <w:br w:type="page"/>
      </w:r>
    </w:p>
    <w:p w:rsidR="007C1078" w:rsidRPr="0061510E" w:rsidRDefault="007C1078" w:rsidP="007C1078">
      <w:pPr>
        <w:ind w:left="1440" w:hanging="1440"/>
        <w:jc w:val="both"/>
        <w:rPr>
          <w:sz w:val="20"/>
          <w:lang w:val="fr-CA"/>
        </w:rPr>
      </w:pPr>
      <w:r w:rsidRPr="00641045">
        <w:rPr>
          <w:b/>
          <w:sz w:val="20"/>
        </w:rPr>
        <w:fldChar w:fldCharType="begin"/>
      </w:r>
      <w:r w:rsidRPr="00641045">
        <w:rPr>
          <w:b/>
          <w:sz w:val="20"/>
          <w:lang w:val="fr-CA"/>
        </w:rPr>
        <w:instrText xml:space="preserve"> SEQ CHAPTER \h \r 1</w:instrText>
      </w:r>
      <w:r w:rsidRPr="00641045">
        <w:rPr>
          <w:b/>
          <w:sz w:val="20"/>
        </w:rPr>
        <w:fldChar w:fldCharType="end"/>
      </w:r>
      <w:r w:rsidRPr="00641045">
        <w:rPr>
          <w:b/>
          <w:sz w:val="20"/>
          <w:lang w:val="fr-CA"/>
        </w:rPr>
        <w:t>358</w:t>
      </w:r>
      <w:r w:rsidR="00844250" w:rsidRPr="00641045">
        <w:rPr>
          <w:b/>
          <w:sz w:val="20"/>
          <w:lang w:val="fr-CA"/>
        </w:rPr>
        <w:t>13</w:t>
      </w:r>
      <w:r w:rsidRPr="00641045">
        <w:rPr>
          <w:sz w:val="20"/>
          <w:lang w:val="fr-CA"/>
        </w:rPr>
        <w:tab/>
      </w:r>
      <w:proofErr w:type="spellStart"/>
      <w:r w:rsidRPr="00641045">
        <w:rPr>
          <w:b/>
          <w:sz w:val="20"/>
          <w:u w:val="single"/>
          <w:lang w:val="fr-CA"/>
        </w:rPr>
        <w:t>C</w:t>
      </w:r>
      <w:r w:rsidR="00DB327F" w:rsidRPr="00641045">
        <w:rPr>
          <w:b/>
          <w:sz w:val="20"/>
          <w:u w:val="single"/>
          <w:lang w:val="fr-CA"/>
        </w:rPr>
        <w:t>elestica</w:t>
      </w:r>
      <w:proofErr w:type="spellEnd"/>
      <w:r w:rsidR="00DB327F" w:rsidRPr="00641045">
        <w:rPr>
          <w:b/>
          <w:sz w:val="20"/>
          <w:u w:val="single"/>
          <w:lang w:val="fr-CA"/>
        </w:rPr>
        <w:t xml:space="preserve"> Inc., Stephen W. Delaney and Anthony P. </w:t>
      </w:r>
      <w:proofErr w:type="spellStart"/>
      <w:r w:rsidR="00DB327F" w:rsidRPr="00641045">
        <w:rPr>
          <w:b/>
          <w:sz w:val="20"/>
          <w:u w:val="single"/>
          <w:lang w:val="fr-CA"/>
        </w:rPr>
        <w:t>Puppi</w:t>
      </w:r>
      <w:proofErr w:type="spellEnd"/>
      <w:r w:rsidRPr="00641045">
        <w:rPr>
          <w:b/>
          <w:sz w:val="20"/>
          <w:u w:val="single"/>
          <w:lang w:val="fr-CA"/>
        </w:rPr>
        <w:t xml:space="preserve"> v.</w:t>
      </w:r>
      <w:r w:rsidR="00DB327F" w:rsidRPr="00641045">
        <w:rPr>
          <w:b/>
          <w:sz w:val="20"/>
          <w:u w:val="single"/>
          <w:lang w:val="fr-CA"/>
        </w:rPr>
        <w:t xml:space="preserve"> Trustees of the </w:t>
      </w:r>
      <w:proofErr w:type="spellStart"/>
      <w:r w:rsidR="00DB327F" w:rsidRPr="00641045">
        <w:rPr>
          <w:b/>
          <w:sz w:val="20"/>
          <w:u w:val="single"/>
          <w:lang w:val="fr-CA"/>
        </w:rPr>
        <w:t>Millwright</w:t>
      </w:r>
      <w:proofErr w:type="spellEnd"/>
      <w:r w:rsidR="00DB327F" w:rsidRPr="00641045">
        <w:rPr>
          <w:b/>
          <w:sz w:val="20"/>
          <w:u w:val="single"/>
          <w:lang w:val="fr-CA"/>
        </w:rPr>
        <w:t xml:space="preserve"> </w:t>
      </w:r>
      <w:proofErr w:type="spellStart"/>
      <w:r w:rsidR="00DB327F" w:rsidRPr="00641045">
        <w:rPr>
          <w:b/>
          <w:sz w:val="20"/>
          <w:u w:val="single"/>
          <w:lang w:val="fr-CA"/>
        </w:rPr>
        <w:t>Regional</w:t>
      </w:r>
      <w:proofErr w:type="spellEnd"/>
      <w:r w:rsidR="00DB327F" w:rsidRPr="00641045">
        <w:rPr>
          <w:b/>
          <w:sz w:val="20"/>
          <w:u w:val="single"/>
          <w:lang w:val="fr-CA"/>
        </w:rPr>
        <w:t xml:space="preserve"> Council of Ontario Pension Trust </w:t>
      </w:r>
      <w:proofErr w:type="spellStart"/>
      <w:r w:rsidR="00DB327F" w:rsidRPr="00641045">
        <w:rPr>
          <w:b/>
          <w:sz w:val="20"/>
          <w:u w:val="single"/>
          <w:lang w:val="fr-CA"/>
        </w:rPr>
        <w:t>Fund</w:t>
      </w:r>
      <w:proofErr w:type="spellEnd"/>
      <w:r w:rsidR="00DB327F" w:rsidRPr="00641045">
        <w:rPr>
          <w:b/>
          <w:sz w:val="20"/>
          <w:u w:val="single"/>
          <w:lang w:val="fr-CA"/>
        </w:rPr>
        <w:t xml:space="preserve"> </w:t>
      </w:r>
      <w:r w:rsidRPr="00641045">
        <w:rPr>
          <w:b/>
          <w:sz w:val="20"/>
          <w:u w:val="single"/>
          <w:lang w:val="fr-CA"/>
        </w:rPr>
        <w:t xml:space="preserve">– AND BETWEEN – </w:t>
      </w:r>
      <w:proofErr w:type="spellStart"/>
      <w:r w:rsidR="00DB327F" w:rsidRPr="00641045">
        <w:rPr>
          <w:b/>
          <w:sz w:val="20"/>
          <w:u w:val="single"/>
          <w:lang w:val="fr-CA"/>
        </w:rPr>
        <w:t>Celestica</w:t>
      </w:r>
      <w:proofErr w:type="spellEnd"/>
      <w:r w:rsidR="00DB327F" w:rsidRPr="00641045">
        <w:rPr>
          <w:b/>
          <w:sz w:val="20"/>
          <w:u w:val="single"/>
          <w:lang w:val="fr-CA"/>
        </w:rPr>
        <w:t xml:space="preserve"> Inc., Stephen W. Delaney and Anthony P. </w:t>
      </w:r>
      <w:proofErr w:type="spellStart"/>
      <w:r w:rsidR="00DB327F" w:rsidRPr="00641045">
        <w:rPr>
          <w:b/>
          <w:sz w:val="20"/>
          <w:u w:val="single"/>
          <w:lang w:val="fr-CA"/>
        </w:rPr>
        <w:t>Puppi</w:t>
      </w:r>
      <w:proofErr w:type="spellEnd"/>
      <w:r w:rsidRPr="00641045">
        <w:rPr>
          <w:b/>
          <w:sz w:val="20"/>
          <w:u w:val="single"/>
          <w:lang w:val="fr-CA"/>
        </w:rPr>
        <w:t xml:space="preserve"> v.</w:t>
      </w:r>
      <w:r w:rsidR="00DB327F" w:rsidRPr="00641045">
        <w:rPr>
          <w:b/>
          <w:sz w:val="20"/>
          <w:u w:val="single"/>
          <w:lang w:val="fr-CA"/>
        </w:rPr>
        <w:t xml:space="preserve"> Nabil </w:t>
      </w:r>
      <w:proofErr w:type="spellStart"/>
      <w:r w:rsidR="00DB327F" w:rsidRPr="00641045">
        <w:rPr>
          <w:b/>
          <w:sz w:val="20"/>
          <w:u w:val="single"/>
          <w:lang w:val="fr-CA"/>
        </w:rPr>
        <w:t>Berzi</w:t>
      </w:r>
      <w:proofErr w:type="spellEnd"/>
      <w:r w:rsidR="00DB327F" w:rsidRPr="00641045">
        <w:rPr>
          <w:b/>
          <w:sz w:val="20"/>
          <w:u w:val="single"/>
          <w:lang w:val="fr-CA"/>
        </w:rPr>
        <w:t xml:space="preserve"> – AND BETWEEN – </w:t>
      </w:r>
      <w:proofErr w:type="spellStart"/>
      <w:r w:rsidR="00DB327F" w:rsidRPr="00641045">
        <w:rPr>
          <w:b/>
          <w:sz w:val="20"/>
          <w:u w:val="single"/>
          <w:lang w:val="fr-CA"/>
        </w:rPr>
        <w:t>Celestica</w:t>
      </w:r>
      <w:proofErr w:type="spellEnd"/>
      <w:r w:rsidR="00DB327F" w:rsidRPr="00641045">
        <w:rPr>
          <w:b/>
          <w:sz w:val="20"/>
          <w:u w:val="single"/>
          <w:lang w:val="fr-CA"/>
        </w:rPr>
        <w:t xml:space="preserve"> Inc., Stephen W. Delaney and Anthony P. </w:t>
      </w:r>
      <w:proofErr w:type="spellStart"/>
      <w:r w:rsidR="00DB327F" w:rsidRPr="00641045">
        <w:rPr>
          <w:b/>
          <w:sz w:val="20"/>
          <w:u w:val="single"/>
          <w:lang w:val="fr-CA"/>
        </w:rPr>
        <w:t>Pu</w:t>
      </w:r>
      <w:r w:rsidR="005A1DF4" w:rsidRPr="00641045">
        <w:rPr>
          <w:b/>
          <w:sz w:val="20"/>
          <w:u w:val="single"/>
          <w:lang w:val="fr-CA"/>
        </w:rPr>
        <w:t>pp</w:t>
      </w:r>
      <w:r w:rsidR="00DB327F" w:rsidRPr="00641045">
        <w:rPr>
          <w:b/>
          <w:sz w:val="20"/>
          <w:u w:val="single"/>
          <w:lang w:val="fr-CA"/>
        </w:rPr>
        <w:t>i</w:t>
      </w:r>
      <w:proofErr w:type="spellEnd"/>
      <w:r w:rsidR="00DB327F" w:rsidRPr="00641045">
        <w:rPr>
          <w:b/>
          <w:sz w:val="20"/>
          <w:u w:val="single"/>
          <w:lang w:val="fr-CA"/>
        </w:rPr>
        <w:t xml:space="preserve"> v. </w:t>
      </w:r>
      <w:proofErr w:type="spellStart"/>
      <w:r w:rsidR="00DB327F" w:rsidRPr="0061510E">
        <w:rPr>
          <w:b/>
          <w:sz w:val="20"/>
          <w:u w:val="single"/>
          <w:lang w:val="fr-CA"/>
        </w:rPr>
        <w:t>Huacheng</w:t>
      </w:r>
      <w:proofErr w:type="spellEnd"/>
      <w:r w:rsidR="00DB327F" w:rsidRPr="0061510E">
        <w:rPr>
          <w:b/>
          <w:sz w:val="20"/>
          <w:u w:val="single"/>
          <w:lang w:val="fr-CA"/>
        </w:rPr>
        <w:t xml:space="preserve"> </w:t>
      </w:r>
      <w:proofErr w:type="spellStart"/>
      <w:r w:rsidR="00DB327F" w:rsidRPr="0061510E">
        <w:rPr>
          <w:b/>
          <w:sz w:val="20"/>
          <w:u w:val="single"/>
          <w:lang w:val="fr-CA"/>
        </w:rPr>
        <w:t>Xing</w:t>
      </w:r>
      <w:proofErr w:type="spellEnd"/>
      <w:r w:rsidR="00C020E6" w:rsidRPr="0061510E">
        <w:rPr>
          <w:b/>
          <w:sz w:val="20"/>
          <w:u w:val="single"/>
          <w:lang w:val="fr-CA"/>
        </w:rPr>
        <w:t xml:space="preserve"> </w:t>
      </w:r>
      <w:r w:rsidRPr="0061510E">
        <w:rPr>
          <w:b/>
          <w:sz w:val="20"/>
          <w:u w:val="single"/>
          <w:lang w:val="fr-CA"/>
        </w:rPr>
        <w:t xml:space="preserve">– and – Canadian </w:t>
      </w:r>
      <w:proofErr w:type="spellStart"/>
      <w:r w:rsidRPr="0061510E">
        <w:rPr>
          <w:b/>
          <w:sz w:val="20"/>
          <w:u w:val="single"/>
          <w:lang w:val="fr-CA"/>
        </w:rPr>
        <w:t>Foundation</w:t>
      </w:r>
      <w:proofErr w:type="spellEnd"/>
      <w:r w:rsidRPr="0061510E">
        <w:rPr>
          <w:b/>
          <w:sz w:val="20"/>
          <w:u w:val="single"/>
          <w:lang w:val="fr-CA"/>
        </w:rPr>
        <w:t xml:space="preserve"> for </w:t>
      </w:r>
      <w:proofErr w:type="spellStart"/>
      <w:r w:rsidRPr="0061510E">
        <w:rPr>
          <w:b/>
          <w:sz w:val="20"/>
          <w:u w:val="single"/>
          <w:lang w:val="fr-CA"/>
        </w:rPr>
        <w:t>Advancement</w:t>
      </w:r>
      <w:proofErr w:type="spellEnd"/>
      <w:r w:rsidRPr="0061510E">
        <w:rPr>
          <w:b/>
          <w:sz w:val="20"/>
          <w:u w:val="single"/>
          <w:lang w:val="fr-CA"/>
        </w:rPr>
        <w:t xml:space="preserve"> of </w:t>
      </w:r>
      <w:proofErr w:type="spellStart"/>
      <w:r w:rsidRPr="0061510E">
        <w:rPr>
          <w:b/>
          <w:sz w:val="20"/>
          <w:u w:val="single"/>
          <w:lang w:val="fr-CA"/>
        </w:rPr>
        <w:t>Investor</w:t>
      </w:r>
      <w:proofErr w:type="spellEnd"/>
      <w:r w:rsidRPr="0061510E">
        <w:rPr>
          <w:b/>
          <w:sz w:val="20"/>
          <w:u w:val="single"/>
          <w:lang w:val="fr-CA"/>
        </w:rPr>
        <w:t xml:space="preserve"> </w:t>
      </w:r>
      <w:proofErr w:type="spellStart"/>
      <w:r w:rsidRPr="0061510E">
        <w:rPr>
          <w:b/>
          <w:sz w:val="20"/>
          <w:u w:val="single"/>
          <w:lang w:val="fr-CA"/>
        </w:rPr>
        <w:t>Rights</w:t>
      </w:r>
      <w:proofErr w:type="spellEnd"/>
      <w:r w:rsidR="00756B71" w:rsidRPr="0061510E">
        <w:rPr>
          <w:b/>
          <w:sz w:val="20"/>
          <w:u w:val="single"/>
          <w:lang w:val="fr-CA"/>
        </w:rPr>
        <w:t xml:space="preserve"> and </w:t>
      </w:r>
      <w:r w:rsidRPr="0061510E">
        <w:rPr>
          <w:b/>
          <w:sz w:val="20"/>
          <w:u w:val="single"/>
          <w:lang w:val="fr-CA"/>
        </w:rPr>
        <w:t xml:space="preserve"> Ontario Securities Commission</w:t>
      </w:r>
      <w:r w:rsidRPr="00E14855">
        <w:rPr>
          <w:b/>
          <w:sz w:val="20"/>
          <w:lang w:val="fr-CA"/>
        </w:rPr>
        <w:t xml:space="preserve"> </w:t>
      </w:r>
      <w:r w:rsidRPr="0061510E">
        <w:rPr>
          <w:iCs/>
          <w:sz w:val="20"/>
          <w:lang w:val="fr-CA"/>
        </w:rPr>
        <w:t>(Ont.)</w:t>
      </w:r>
    </w:p>
    <w:p w:rsidR="007C1078" w:rsidRPr="0061510E" w:rsidRDefault="007C1078" w:rsidP="007C1078">
      <w:pPr>
        <w:tabs>
          <w:tab w:val="left" w:pos="1440"/>
          <w:tab w:val="left" w:pos="2160"/>
          <w:tab w:val="left" w:pos="2880"/>
          <w:tab w:val="left" w:pos="3600"/>
          <w:tab w:val="left" w:pos="4320"/>
          <w:tab w:val="left" w:pos="5040"/>
          <w:tab w:val="left" w:pos="5760"/>
          <w:tab w:val="left" w:pos="6480"/>
          <w:tab w:val="left" w:pos="7200"/>
        </w:tabs>
        <w:ind w:left="1440"/>
        <w:jc w:val="both"/>
        <w:rPr>
          <w:sz w:val="20"/>
          <w:lang w:val="fr-CA"/>
        </w:rPr>
      </w:pPr>
      <w:r w:rsidRPr="0061510E">
        <w:rPr>
          <w:b/>
          <w:sz w:val="20"/>
          <w:lang w:val="fr-CA"/>
        </w:rPr>
        <w:t xml:space="preserve">2015 SCC </w:t>
      </w:r>
      <w:r w:rsidR="0061510E" w:rsidRPr="0061510E">
        <w:rPr>
          <w:b/>
          <w:sz w:val="20"/>
          <w:lang w:val="fr-CA"/>
        </w:rPr>
        <w:t>60</w:t>
      </w:r>
      <w:r w:rsidRPr="0061510E">
        <w:rPr>
          <w:b/>
          <w:sz w:val="20"/>
          <w:lang w:val="fr-CA"/>
        </w:rPr>
        <w:t xml:space="preserve"> / 2015 CSC </w:t>
      </w:r>
      <w:r w:rsidR="0061510E" w:rsidRPr="0061510E">
        <w:rPr>
          <w:b/>
          <w:sz w:val="20"/>
          <w:lang w:val="fr-CA"/>
        </w:rPr>
        <w:t>60</w:t>
      </w:r>
    </w:p>
    <w:p w:rsidR="007C1078" w:rsidRPr="0061510E" w:rsidRDefault="007C1078" w:rsidP="007C107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lang w:val="fr-CA"/>
        </w:rPr>
      </w:pPr>
    </w:p>
    <w:p w:rsidR="007C1078" w:rsidRPr="007B579D" w:rsidRDefault="007C1078" w:rsidP="007C1078">
      <w:pPr>
        <w:ind w:left="1440" w:hanging="1440"/>
        <w:rPr>
          <w:sz w:val="20"/>
          <w:u w:val="single"/>
          <w:lang w:val="fr-CA"/>
        </w:rPr>
      </w:pPr>
      <w:r w:rsidRPr="0061510E">
        <w:rPr>
          <w:sz w:val="20"/>
          <w:lang w:val="fr-CA"/>
        </w:rPr>
        <w:t>Coram:</w:t>
      </w:r>
      <w:r w:rsidRPr="0061510E">
        <w:rPr>
          <w:sz w:val="20"/>
          <w:lang w:val="fr-CA"/>
        </w:rPr>
        <w:tab/>
      </w:r>
      <w:proofErr w:type="spellStart"/>
      <w:r w:rsidRPr="0061510E">
        <w:rPr>
          <w:sz w:val="20"/>
          <w:u w:val="single"/>
          <w:lang w:val="fr-CA"/>
        </w:rPr>
        <w:t>McLachlin</w:t>
      </w:r>
      <w:proofErr w:type="spellEnd"/>
      <w:r w:rsidRPr="0061510E">
        <w:rPr>
          <w:sz w:val="20"/>
          <w:u w:val="single"/>
          <w:lang w:val="fr-CA"/>
        </w:rPr>
        <w:t xml:space="preserve"> C.J. and </w:t>
      </w:r>
      <w:proofErr w:type="spellStart"/>
      <w:r w:rsidRPr="0061510E">
        <w:rPr>
          <w:sz w:val="20"/>
          <w:u w:val="single"/>
          <w:lang w:val="fr-CA"/>
        </w:rPr>
        <w:t>Rothstein</w:t>
      </w:r>
      <w:proofErr w:type="spellEnd"/>
      <w:r w:rsidRPr="0061510E">
        <w:rPr>
          <w:sz w:val="20"/>
          <w:u w:val="single"/>
          <w:lang w:val="fr-CA"/>
        </w:rPr>
        <w:t xml:space="preserve">, Cromwell, </w:t>
      </w:r>
      <w:proofErr w:type="spellStart"/>
      <w:r w:rsidRPr="0061510E">
        <w:rPr>
          <w:sz w:val="20"/>
          <w:u w:val="single"/>
          <w:lang w:val="fr-CA"/>
        </w:rPr>
        <w:t>Moldaver</w:t>
      </w:r>
      <w:proofErr w:type="spellEnd"/>
      <w:r w:rsidRPr="0061510E">
        <w:rPr>
          <w:sz w:val="20"/>
          <w:u w:val="single"/>
          <w:lang w:val="fr-CA"/>
        </w:rPr>
        <w:t xml:space="preserve">, </w:t>
      </w:r>
      <w:proofErr w:type="spellStart"/>
      <w:r w:rsidRPr="0061510E">
        <w:rPr>
          <w:sz w:val="20"/>
          <w:u w:val="single"/>
          <w:lang w:val="fr-CA"/>
        </w:rPr>
        <w:t>Karakatsanis</w:t>
      </w:r>
      <w:proofErr w:type="spellEnd"/>
      <w:r w:rsidRPr="0061510E">
        <w:rPr>
          <w:sz w:val="20"/>
          <w:u w:val="single"/>
          <w:lang w:val="fr-CA"/>
        </w:rPr>
        <w:t>, Gascon and Côté JJ.</w:t>
      </w:r>
    </w:p>
    <w:p w:rsidR="007C1078" w:rsidRPr="007B579D" w:rsidRDefault="007C1078" w:rsidP="007C1078">
      <w:pPr>
        <w:ind w:left="1440" w:hanging="1440"/>
        <w:rPr>
          <w:sz w:val="16"/>
          <w:u w:val="single"/>
          <w:lang w:val="fr-CA"/>
        </w:rPr>
      </w:pPr>
    </w:p>
    <w:p w:rsidR="007C1078" w:rsidRPr="00FD39B8" w:rsidRDefault="00265E83" w:rsidP="007C1078">
      <w:pPr>
        <w:jc w:val="both"/>
        <w:rPr>
          <w:rFonts w:eastAsia="Calibri"/>
          <w:sz w:val="20"/>
          <w:highlight w:val="yellow"/>
        </w:rPr>
      </w:pPr>
      <w:r w:rsidRPr="00265E83">
        <w:rPr>
          <w:sz w:val="20"/>
          <w:szCs w:val="20"/>
        </w:rPr>
        <w:t xml:space="preserve">The appeal from the judgment of the Court of Appeal for Ontario, Number C56252, 2014 ONCA 90, dated February 3, 2014, heard on February 9, 2015, is allowed with costs throughout. </w:t>
      </w:r>
      <w:proofErr w:type="spellStart"/>
      <w:r w:rsidRPr="00265E83">
        <w:rPr>
          <w:sz w:val="20"/>
          <w:szCs w:val="20"/>
        </w:rPr>
        <w:t>Moldaver</w:t>
      </w:r>
      <w:proofErr w:type="spellEnd"/>
      <w:r w:rsidRPr="00265E83">
        <w:rPr>
          <w:sz w:val="20"/>
          <w:szCs w:val="20"/>
        </w:rPr>
        <w:t xml:space="preserve">, </w:t>
      </w:r>
      <w:proofErr w:type="spellStart"/>
      <w:r w:rsidRPr="00265E83">
        <w:rPr>
          <w:sz w:val="20"/>
          <w:szCs w:val="20"/>
        </w:rPr>
        <w:t>Karakatsanis</w:t>
      </w:r>
      <w:proofErr w:type="spellEnd"/>
      <w:r w:rsidRPr="00265E83">
        <w:rPr>
          <w:sz w:val="20"/>
          <w:szCs w:val="20"/>
        </w:rPr>
        <w:t xml:space="preserve"> and </w:t>
      </w:r>
      <w:proofErr w:type="spellStart"/>
      <w:r w:rsidRPr="00265E83">
        <w:rPr>
          <w:sz w:val="20"/>
          <w:szCs w:val="20"/>
        </w:rPr>
        <w:t>Gascon</w:t>
      </w:r>
      <w:proofErr w:type="spellEnd"/>
      <w:r w:rsidRPr="00265E83">
        <w:rPr>
          <w:sz w:val="20"/>
          <w:szCs w:val="20"/>
        </w:rPr>
        <w:t xml:space="preserve"> JJ. </w:t>
      </w:r>
      <w:proofErr w:type="gramStart"/>
      <w:r w:rsidRPr="00265E83">
        <w:rPr>
          <w:sz w:val="20"/>
          <w:szCs w:val="20"/>
        </w:rPr>
        <w:t>are</w:t>
      </w:r>
      <w:proofErr w:type="gramEnd"/>
      <w:r w:rsidRPr="00265E83">
        <w:rPr>
          <w:sz w:val="20"/>
          <w:szCs w:val="20"/>
        </w:rPr>
        <w:t xml:space="preserve"> dissenting.</w:t>
      </w:r>
    </w:p>
    <w:p w:rsidR="007C1078" w:rsidRPr="00FD39B8" w:rsidRDefault="007C1078" w:rsidP="007C1078">
      <w:pPr>
        <w:jc w:val="both"/>
        <w:rPr>
          <w:rFonts w:eastAsia="Calibri"/>
          <w:sz w:val="20"/>
          <w:highlight w:val="yellow"/>
        </w:rPr>
      </w:pPr>
    </w:p>
    <w:p w:rsidR="007C1078" w:rsidRDefault="00777465" w:rsidP="007C1078">
      <w:pPr>
        <w:jc w:val="both"/>
        <w:rPr>
          <w:rFonts w:eastAsia="Calibri"/>
          <w:sz w:val="20"/>
          <w:lang w:val="fr-CA"/>
        </w:rPr>
      </w:pPr>
      <w:proofErr w:type="spellStart"/>
      <w:r w:rsidRPr="00777465">
        <w:rPr>
          <w:sz w:val="20"/>
          <w:szCs w:val="20"/>
          <w:lang w:val="en-US"/>
        </w:rPr>
        <w:t>L’appel</w:t>
      </w:r>
      <w:proofErr w:type="spellEnd"/>
      <w:r w:rsidRPr="00777465">
        <w:rPr>
          <w:sz w:val="20"/>
          <w:szCs w:val="20"/>
          <w:lang w:val="en-US"/>
        </w:rPr>
        <w:t xml:space="preserve"> </w:t>
      </w:r>
      <w:proofErr w:type="spellStart"/>
      <w:r w:rsidRPr="00777465">
        <w:rPr>
          <w:sz w:val="20"/>
          <w:szCs w:val="20"/>
          <w:lang w:val="en-US"/>
        </w:rPr>
        <w:t>interjeté</w:t>
      </w:r>
      <w:proofErr w:type="spellEnd"/>
      <w:r w:rsidRPr="00777465">
        <w:rPr>
          <w:sz w:val="20"/>
          <w:szCs w:val="20"/>
          <w:lang w:val="en-US"/>
        </w:rPr>
        <w:t xml:space="preserve"> </w:t>
      </w:r>
      <w:proofErr w:type="spellStart"/>
      <w:r w:rsidRPr="00777465">
        <w:rPr>
          <w:sz w:val="20"/>
          <w:szCs w:val="20"/>
          <w:lang w:val="en-US"/>
        </w:rPr>
        <w:t>contre</w:t>
      </w:r>
      <w:proofErr w:type="spellEnd"/>
      <w:r w:rsidRPr="00777465">
        <w:rPr>
          <w:sz w:val="20"/>
          <w:szCs w:val="20"/>
          <w:lang w:val="en-US"/>
        </w:rPr>
        <w:t xml:space="preserve"> </w:t>
      </w:r>
      <w:proofErr w:type="spellStart"/>
      <w:r w:rsidRPr="00777465">
        <w:rPr>
          <w:sz w:val="20"/>
          <w:szCs w:val="20"/>
          <w:lang w:val="en-US"/>
        </w:rPr>
        <w:t>l’arrêt</w:t>
      </w:r>
      <w:proofErr w:type="spellEnd"/>
      <w:r w:rsidRPr="00777465">
        <w:rPr>
          <w:sz w:val="20"/>
          <w:szCs w:val="20"/>
          <w:lang w:val="en-US"/>
        </w:rPr>
        <w:t xml:space="preserve"> de la </w:t>
      </w:r>
      <w:proofErr w:type="spellStart"/>
      <w:r w:rsidRPr="00777465">
        <w:rPr>
          <w:sz w:val="20"/>
          <w:szCs w:val="20"/>
          <w:lang w:val="en-US"/>
        </w:rPr>
        <w:t>Cour</w:t>
      </w:r>
      <w:proofErr w:type="spellEnd"/>
      <w:r w:rsidRPr="00777465">
        <w:rPr>
          <w:sz w:val="20"/>
          <w:szCs w:val="20"/>
          <w:lang w:val="en-US"/>
        </w:rPr>
        <w:t xml:space="preserve"> </w:t>
      </w:r>
      <w:proofErr w:type="spellStart"/>
      <w:r w:rsidRPr="00777465">
        <w:rPr>
          <w:sz w:val="20"/>
          <w:szCs w:val="20"/>
          <w:lang w:val="en-US"/>
        </w:rPr>
        <w:t>d’appel</w:t>
      </w:r>
      <w:proofErr w:type="spellEnd"/>
      <w:r w:rsidRPr="00777465">
        <w:rPr>
          <w:sz w:val="20"/>
          <w:szCs w:val="20"/>
          <w:lang w:val="en-US"/>
        </w:rPr>
        <w:t xml:space="preserve"> de </w:t>
      </w:r>
      <w:proofErr w:type="spellStart"/>
      <w:r w:rsidRPr="00777465">
        <w:rPr>
          <w:sz w:val="20"/>
          <w:szCs w:val="20"/>
          <w:lang w:val="en-US"/>
        </w:rPr>
        <w:t>l’Ontario</w:t>
      </w:r>
      <w:proofErr w:type="spellEnd"/>
      <w:r w:rsidRPr="00777465">
        <w:rPr>
          <w:sz w:val="20"/>
          <w:szCs w:val="20"/>
          <w:lang w:val="en-US"/>
        </w:rPr>
        <w:t xml:space="preserve">, </w:t>
      </w:r>
      <w:proofErr w:type="spellStart"/>
      <w:r w:rsidRPr="00777465">
        <w:rPr>
          <w:sz w:val="20"/>
          <w:szCs w:val="20"/>
          <w:lang w:val="en-US"/>
        </w:rPr>
        <w:t>numéro</w:t>
      </w:r>
      <w:proofErr w:type="spellEnd"/>
      <w:r w:rsidRPr="00777465">
        <w:rPr>
          <w:sz w:val="20"/>
          <w:szCs w:val="20"/>
          <w:lang w:val="en-US"/>
        </w:rPr>
        <w:t xml:space="preserve"> C56252, 2014 ONCA 90, </w:t>
      </w:r>
      <w:proofErr w:type="spellStart"/>
      <w:r w:rsidRPr="00777465">
        <w:rPr>
          <w:sz w:val="20"/>
          <w:szCs w:val="20"/>
          <w:lang w:val="en-US"/>
        </w:rPr>
        <w:t>en</w:t>
      </w:r>
      <w:proofErr w:type="spellEnd"/>
      <w:r w:rsidRPr="00777465">
        <w:rPr>
          <w:sz w:val="20"/>
          <w:szCs w:val="20"/>
          <w:lang w:val="en-US"/>
        </w:rPr>
        <w:t xml:space="preserve"> date du 3 </w:t>
      </w:r>
      <w:proofErr w:type="spellStart"/>
      <w:r w:rsidRPr="00777465">
        <w:rPr>
          <w:sz w:val="20"/>
          <w:szCs w:val="20"/>
          <w:lang w:val="en-US"/>
        </w:rPr>
        <w:t>février</w:t>
      </w:r>
      <w:proofErr w:type="spellEnd"/>
      <w:r w:rsidRPr="00777465">
        <w:rPr>
          <w:sz w:val="20"/>
          <w:szCs w:val="20"/>
          <w:lang w:val="en-US"/>
        </w:rPr>
        <w:t> </w:t>
      </w:r>
      <w:r w:rsidRPr="00777465">
        <w:rPr>
          <w:sz w:val="20"/>
          <w:szCs w:val="20"/>
          <w:lang w:val="fr-CA"/>
        </w:rPr>
        <w:t xml:space="preserve">2014, entendu le 9 février 2015, est accueilli avec dépens devant toutes les cours. Les juges </w:t>
      </w:r>
      <w:proofErr w:type="spellStart"/>
      <w:r w:rsidRPr="00777465">
        <w:rPr>
          <w:sz w:val="20"/>
          <w:szCs w:val="20"/>
          <w:lang w:val="fr-CA"/>
        </w:rPr>
        <w:t>Moldaver</w:t>
      </w:r>
      <w:proofErr w:type="spellEnd"/>
      <w:r w:rsidRPr="00777465">
        <w:rPr>
          <w:sz w:val="20"/>
          <w:szCs w:val="20"/>
          <w:lang w:val="fr-CA"/>
        </w:rPr>
        <w:t xml:space="preserve">, </w:t>
      </w:r>
      <w:proofErr w:type="spellStart"/>
      <w:r w:rsidRPr="00777465">
        <w:rPr>
          <w:sz w:val="20"/>
          <w:szCs w:val="20"/>
          <w:lang w:val="fr-CA"/>
        </w:rPr>
        <w:t>Karakatsanis</w:t>
      </w:r>
      <w:proofErr w:type="spellEnd"/>
      <w:r w:rsidRPr="00777465">
        <w:rPr>
          <w:sz w:val="20"/>
          <w:szCs w:val="20"/>
          <w:lang w:val="fr-CA"/>
        </w:rPr>
        <w:t xml:space="preserve"> et Gascon sont dissidents.</w:t>
      </w:r>
    </w:p>
    <w:p w:rsidR="007C1078" w:rsidRDefault="007C1078" w:rsidP="007C1078">
      <w:pPr>
        <w:rPr>
          <w:sz w:val="20"/>
          <w:szCs w:val="20"/>
        </w:rPr>
      </w:pPr>
    </w:p>
    <w:p w:rsidR="007C1078" w:rsidRPr="003B3977" w:rsidRDefault="00B150CF" w:rsidP="007C1078">
      <w:pPr>
        <w:spacing w:line="0" w:lineRule="atLeast"/>
        <w:rPr>
          <w:sz w:val="20"/>
          <w:szCs w:val="20"/>
        </w:rPr>
      </w:pPr>
      <w:r>
        <w:rPr>
          <w:b/>
          <w:sz w:val="20"/>
          <w:szCs w:val="20"/>
        </w:rPr>
        <w:pict>
          <v:rect id="_x0000_i1073" style="width:144.3pt;height:1pt" o:hrpct="300" o:hralign="center" o:hrstd="t" o:hrnoshade="t" o:hr="t" fillcolor="black [3213]" stroked="f"/>
        </w:pict>
      </w:r>
    </w:p>
    <w:p w:rsidR="007C1078" w:rsidRPr="00A84883" w:rsidRDefault="007C1078" w:rsidP="007C1078">
      <w:pPr>
        <w:spacing w:line="0" w:lineRule="atLeast"/>
        <w:rPr>
          <w:rFonts w:cs="Times New Roman"/>
          <w:sz w:val="20"/>
          <w:szCs w:val="20"/>
        </w:rPr>
      </w:pPr>
    </w:p>
    <w:p w:rsidR="007C1078" w:rsidRPr="006C5F7A" w:rsidRDefault="007C1078"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95"/>
          <w:headerReference w:type="default" r:id="rId96"/>
          <w:footerReference w:type="even" r:id="rId97"/>
          <w:footerReference w:type="default" r:id="rId98"/>
          <w:headerReference w:type="first" r:id="rId99"/>
          <w:footerReference w:type="first" r:id="rId100"/>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782AE4" w:rsidRPr="00B35739" w:rsidTr="0085476B">
        <w:tc>
          <w:tcPr>
            <w:tcW w:w="4200" w:type="dxa"/>
            <w:tcMar>
              <w:left w:w="0" w:type="dxa"/>
              <w:right w:w="0" w:type="dxa"/>
            </w:tcMar>
          </w:tcPr>
          <w:p w:rsidR="00782AE4" w:rsidRPr="00B35739" w:rsidRDefault="00782AE4" w:rsidP="00782AE4">
            <w:pPr>
              <w:keepNext/>
              <w:keepLines/>
              <w:jc w:val="both"/>
              <w:rPr>
                <w:b/>
                <w:szCs w:val="24"/>
              </w:rPr>
            </w:pPr>
            <w:r w:rsidRPr="00B35739">
              <w:rPr>
                <w:b/>
                <w:szCs w:val="24"/>
              </w:rPr>
              <w:t>HEADNOTES OF RECENT</w:t>
            </w:r>
          </w:p>
          <w:p w:rsidR="00782AE4" w:rsidRPr="00B35739" w:rsidRDefault="00782AE4" w:rsidP="00782AE4">
            <w:pPr>
              <w:keepNext/>
              <w:keepLines/>
              <w:jc w:val="both"/>
              <w:rPr>
                <w:b/>
                <w:szCs w:val="24"/>
              </w:rPr>
            </w:pPr>
            <w:r w:rsidRPr="00B35739">
              <w:rPr>
                <w:b/>
                <w:szCs w:val="24"/>
              </w:rPr>
              <w:t>JUDGMENTS</w:t>
            </w:r>
          </w:p>
        </w:tc>
        <w:tc>
          <w:tcPr>
            <w:tcW w:w="1200" w:type="dxa"/>
            <w:tcMar>
              <w:left w:w="0" w:type="dxa"/>
              <w:right w:w="0" w:type="dxa"/>
            </w:tcMar>
          </w:tcPr>
          <w:p w:rsidR="00782AE4" w:rsidRPr="00B35739" w:rsidRDefault="00782AE4" w:rsidP="00102926">
            <w:pPr>
              <w:keepNext/>
              <w:keepLines/>
              <w:jc w:val="center"/>
              <w:rPr>
                <w:b/>
                <w:szCs w:val="24"/>
              </w:rPr>
            </w:pPr>
          </w:p>
          <w:p w:rsidR="00782AE4" w:rsidRPr="00B35739" w:rsidRDefault="00782AE4" w:rsidP="00102926">
            <w:pPr>
              <w:keepNext/>
              <w:keepLines/>
              <w:jc w:val="center"/>
              <w:rPr>
                <w:b/>
                <w:szCs w:val="24"/>
              </w:rPr>
            </w:pPr>
          </w:p>
          <w:p w:rsidR="00782AE4" w:rsidRPr="00B35739" w:rsidRDefault="00782AE4" w:rsidP="00102926">
            <w:pPr>
              <w:keepNext/>
              <w:keepLines/>
              <w:jc w:val="center"/>
              <w:rPr>
                <w:b/>
                <w:szCs w:val="24"/>
              </w:rPr>
            </w:pPr>
          </w:p>
        </w:tc>
        <w:tc>
          <w:tcPr>
            <w:tcW w:w="4080" w:type="dxa"/>
            <w:tcMar>
              <w:left w:w="0" w:type="dxa"/>
              <w:right w:w="0" w:type="dxa"/>
            </w:tcMar>
          </w:tcPr>
          <w:p w:rsidR="00782AE4" w:rsidRPr="00B35739" w:rsidRDefault="00782AE4" w:rsidP="00782AE4">
            <w:pPr>
              <w:keepNext/>
              <w:keepLines/>
              <w:rPr>
                <w:b/>
                <w:szCs w:val="24"/>
              </w:rPr>
            </w:pPr>
            <w:r w:rsidRPr="00B35739">
              <w:rPr>
                <w:b/>
                <w:szCs w:val="24"/>
              </w:rPr>
              <w:t>SOMMAIRES DE JUGEMENTS RÉCENTS</w:t>
            </w:r>
          </w:p>
        </w:tc>
      </w:tr>
    </w:tbl>
    <w:p w:rsidR="003B3977" w:rsidRPr="00B35739" w:rsidRDefault="003B3977" w:rsidP="005C6840">
      <w:pPr>
        <w:rPr>
          <w:rFonts w:cs="Times New Roman"/>
          <w:i/>
          <w:sz w:val="20"/>
          <w:szCs w:val="20"/>
        </w:rPr>
      </w:pPr>
    </w:p>
    <w:p w:rsidR="0052229C" w:rsidRPr="00B35739" w:rsidRDefault="00CB1024" w:rsidP="0052229C">
      <w:pPr>
        <w:ind w:left="720" w:hanging="720"/>
        <w:rPr>
          <w:rFonts w:eastAsia="Calibri"/>
          <w:b/>
          <w:sz w:val="20"/>
          <w:szCs w:val="20"/>
        </w:rPr>
      </w:pPr>
      <w:r w:rsidRPr="00B35739">
        <w:rPr>
          <w:i/>
          <w:sz w:val="20"/>
          <w:szCs w:val="20"/>
        </w:rPr>
        <w:t>Canadian Imperial Bank of Commerce et al.</w:t>
      </w:r>
      <w:r w:rsidR="0052229C" w:rsidRPr="00B35739">
        <w:rPr>
          <w:i/>
          <w:sz w:val="20"/>
          <w:szCs w:val="20"/>
        </w:rPr>
        <w:t xml:space="preserve"> v. H</w:t>
      </w:r>
      <w:r w:rsidRPr="00B35739">
        <w:rPr>
          <w:i/>
          <w:sz w:val="20"/>
          <w:szCs w:val="20"/>
        </w:rPr>
        <w:t>oward Green</w:t>
      </w:r>
      <w:r w:rsidR="00621A9F" w:rsidRPr="00B35739">
        <w:rPr>
          <w:i/>
          <w:sz w:val="20"/>
          <w:szCs w:val="20"/>
        </w:rPr>
        <w:t xml:space="preserve"> et al.</w:t>
      </w:r>
      <w:r w:rsidR="0052229C" w:rsidRPr="00B35739">
        <w:rPr>
          <w:sz w:val="20"/>
          <w:szCs w:val="20"/>
        </w:rPr>
        <w:t xml:space="preserve"> (</w:t>
      </w:r>
      <w:r w:rsidRPr="00B35739">
        <w:rPr>
          <w:sz w:val="20"/>
          <w:szCs w:val="20"/>
        </w:rPr>
        <w:t>Ont</w:t>
      </w:r>
      <w:r w:rsidR="0052229C" w:rsidRPr="00B35739">
        <w:rPr>
          <w:sz w:val="20"/>
          <w:szCs w:val="20"/>
        </w:rPr>
        <w:t>.) (</w:t>
      </w:r>
      <w:hyperlink r:id="rId101" w:history="1">
        <w:r w:rsidR="0052229C" w:rsidRPr="00B35739">
          <w:rPr>
            <w:rStyle w:val="Hyperlink"/>
            <w:sz w:val="20"/>
            <w:szCs w:val="20"/>
          </w:rPr>
          <w:t>3</w:t>
        </w:r>
        <w:r w:rsidR="001F3B51" w:rsidRPr="00B35739">
          <w:rPr>
            <w:rStyle w:val="Hyperlink"/>
            <w:sz w:val="20"/>
            <w:szCs w:val="20"/>
          </w:rPr>
          <w:t>5807</w:t>
        </w:r>
      </w:hyperlink>
      <w:r w:rsidR="001F3B51" w:rsidRPr="00B35739">
        <w:rPr>
          <w:sz w:val="20"/>
          <w:szCs w:val="20"/>
        </w:rPr>
        <w:t>,</w:t>
      </w:r>
      <w:r w:rsidR="001F3B51" w:rsidRPr="00B35739">
        <w:t xml:space="preserve"> </w:t>
      </w:r>
      <w:hyperlink r:id="rId102" w:history="1">
        <w:r w:rsidR="001F3B51" w:rsidRPr="00B35739">
          <w:rPr>
            <w:rStyle w:val="Hyperlink"/>
            <w:sz w:val="20"/>
            <w:szCs w:val="20"/>
          </w:rPr>
          <w:t>35811</w:t>
        </w:r>
      </w:hyperlink>
      <w:r w:rsidR="001F3B51" w:rsidRPr="00B35739">
        <w:rPr>
          <w:sz w:val="20"/>
          <w:szCs w:val="20"/>
        </w:rPr>
        <w:t xml:space="preserve">, </w:t>
      </w:r>
      <w:hyperlink r:id="rId103" w:history="1">
        <w:r w:rsidR="001F3B51" w:rsidRPr="00B35739">
          <w:rPr>
            <w:rStyle w:val="Hyperlink"/>
            <w:sz w:val="20"/>
            <w:szCs w:val="20"/>
          </w:rPr>
          <w:t>35813</w:t>
        </w:r>
      </w:hyperlink>
      <w:r w:rsidR="001F3B51" w:rsidRPr="00B35739">
        <w:rPr>
          <w:sz w:val="20"/>
          <w:szCs w:val="20"/>
        </w:rPr>
        <w:t>)</w:t>
      </w:r>
    </w:p>
    <w:p w:rsidR="0052229C" w:rsidRPr="00B35739" w:rsidRDefault="0052229C" w:rsidP="0052229C">
      <w:pPr>
        <w:jc w:val="both"/>
        <w:rPr>
          <w:b/>
          <w:sz w:val="20"/>
          <w:szCs w:val="20"/>
        </w:rPr>
      </w:pPr>
      <w:r w:rsidRPr="00B35739">
        <w:rPr>
          <w:b/>
          <w:sz w:val="20"/>
          <w:szCs w:val="20"/>
        </w:rPr>
        <w:t xml:space="preserve">Indexed as:  </w:t>
      </w:r>
      <w:r w:rsidR="00621A9F" w:rsidRPr="00B35739">
        <w:rPr>
          <w:rFonts w:eastAsia="Times New Roman" w:cs="Times New Roman"/>
          <w:b/>
          <w:sz w:val="20"/>
          <w:szCs w:val="20"/>
          <w:lang w:eastAsia="en-CA"/>
        </w:rPr>
        <w:t xml:space="preserve">Canadian Imperial Bank of Commerce </w:t>
      </w:r>
      <w:r w:rsidR="00621A9F" w:rsidRPr="00B35739">
        <w:rPr>
          <w:rFonts w:eastAsia="Times New Roman" w:cs="Times New Roman"/>
          <w:b/>
          <w:i/>
          <w:sz w:val="20"/>
          <w:szCs w:val="20"/>
          <w:lang w:eastAsia="en-CA"/>
        </w:rPr>
        <w:t>v.</w:t>
      </w:r>
      <w:r w:rsidR="00621A9F" w:rsidRPr="00B35739">
        <w:rPr>
          <w:rFonts w:eastAsia="Times New Roman" w:cs="Times New Roman"/>
          <w:b/>
          <w:sz w:val="20"/>
          <w:szCs w:val="20"/>
          <w:lang w:eastAsia="en-CA"/>
        </w:rPr>
        <w:t xml:space="preserve"> Green</w:t>
      </w:r>
      <w:r w:rsidR="00621A9F" w:rsidRPr="00B35739">
        <w:rPr>
          <w:rStyle w:val="SCCAppellantForIndexChar"/>
          <w:rFonts w:eastAsiaTheme="minorHAnsi"/>
          <w:sz w:val="20"/>
          <w:lang w:val="en-CA"/>
        </w:rPr>
        <w:t xml:space="preserve"> </w:t>
      </w:r>
      <w:r w:rsidRPr="00B35739">
        <w:rPr>
          <w:rStyle w:val="SCCAppellantForIndexChar"/>
          <w:rFonts w:eastAsiaTheme="minorHAnsi"/>
          <w:sz w:val="20"/>
          <w:lang w:val="en-CA"/>
        </w:rPr>
        <w:t xml:space="preserve">/ </w:t>
      </w:r>
      <w:proofErr w:type="spellStart"/>
      <w:proofErr w:type="gramStart"/>
      <w:r w:rsidRPr="00B35739">
        <w:rPr>
          <w:b/>
          <w:sz w:val="20"/>
          <w:szCs w:val="20"/>
        </w:rPr>
        <w:t>Répertorié</w:t>
      </w:r>
      <w:proofErr w:type="spellEnd"/>
      <w:r w:rsidRPr="00B35739">
        <w:rPr>
          <w:b/>
          <w:sz w:val="20"/>
          <w:szCs w:val="20"/>
        </w:rPr>
        <w:t> :</w:t>
      </w:r>
      <w:proofErr w:type="gramEnd"/>
      <w:r w:rsidRPr="00B35739">
        <w:rPr>
          <w:b/>
          <w:sz w:val="20"/>
          <w:szCs w:val="20"/>
        </w:rPr>
        <w:t> </w:t>
      </w:r>
      <w:r w:rsidR="008D7A85" w:rsidRPr="00B35739">
        <w:rPr>
          <w:rFonts w:eastAsia="Times New Roman" w:cs="Times New Roman"/>
          <w:b/>
          <w:sz w:val="20"/>
          <w:szCs w:val="20"/>
          <w:lang w:val="fr-CA" w:eastAsia="en-CA"/>
        </w:rPr>
        <w:t xml:space="preserve">Banque Canadienne Impériale de Commerce </w:t>
      </w:r>
      <w:r w:rsidR="008D7A85" w:rsidRPr="00B35739">
        <w:rPr>
          <w:rFonts w:eastAsia="Times New Roman" w:cs="Times New Roman"/>
          <w:b/>
          <w:i/>
          <w:sz w:val="20"/>
          <w:szCs w:val="20"/>
          <w:lang w:val="fr-CA" w:eastAsia="en-CA"/>
        </w:rPr>
        <w:t>c.</w:t>
      </w:r>
      <w:r w:rsidR="008D7A85" w:rsidRPr="00B35739">
        <w:rPr>
          <w:rFonts w:eastAsia="Times New Roman" w:cs="Times New Roman"/>
          <w:b/>
          <w:sz w:val="20"/>
          <w:szCs w:val="20"/>
          <w:lang w:val="fr-CA" w:eastAsia="en-CA"/>
        </w:rPr>
        <w:t xml:space="preserve"> Green</w:t>
      </w:r>
    </w:p>
    <w:p w:rsidR="0052229C" w:rsidRPr="00B35739" w:rsidRDefault="0052229C" w:rsidP="0052229C">
      <w:pPr>
        <w:pStyle w:val="SCCSystemYear"/>
        <w:jc w:val="both"/>
        <w:rPr>
          <w:sz w:val="20"/>
        </w:rPr>
      </w:pPr>
      <w:proofErr w:type="spellStart"/>
      <w:r w:rsidRPr="00B35739">
        <w:rPr>
          <w:sz w:val="20"/>
        </w:rPr>
        <w:t>Neutral</w:t>
      </w:r>
      <w:proofErr w:type="spellEnd"/>
      <w:r w:rsidRPr="00B35739">
        <w:rPr>
          <w:sz w:val="20"/>
        </w:rPr>
        <w:t xml:space="preserve"> citation</w:t>
      </w:r>
      <w:proofErr w:type="gramStart"/>
      <w:r w:rsidRPr="00B35739">
        <w:rPr>
          <w:sz w:val="20"/>
        </w:rPr>
        <w:t>:  201</w:t>
      </w:r>
      <w:r w:rsidR="00020DC3" w:rsidRPr="00B35739">
        <w:rPr>
          <w:sz w:val="20"/>
        </w:rPr>
        <w:t>5</w:t>
      </w:r>
      <w:proofErr w:type="gramEnd"/>
      <w:r w:rsidRPr="00B35739">
        <w:rPr>
          <w:sz w:val="20"/>
        </w:rPr>
        <w:t xml:space="preserve"> SCC </w:t>
      </w:r>
      <w:r w:rsidR="0094794D" w:rsidRPr="00B35739">
        <w:rPr>
          <w:sz w:val="20"/>
        </w:rPr>
        <w:t>60</w:t>
      </w:r>
      <w:r w:rsidRPr="00B35739">
        <w:rPr>
          <w:sz w:val="20"/>
        </w:rPr>
        <w:t xml:space="preserve"> / Référence neutre : 201</w:t>
      </w:r>
      <w:r w:rsidR="00020DC3" w:rsidRPr="00B35739">
        <w:rPr>
          <w:sz w:val="20"/>
        </w:rPr>
        <w:t>5</w:t>
      </w:r>
      <w:r w:rsidRPr="00B35739">
        <w:rPr>
          <w:sz w:val="20"/>
        </w:rPr>
        <w:t xml:space="preserve"> CSC </w:t>
      </w:r>
      <w:r w:rsidR="0094794D" w:rsidRPr="00B35739">
        <w:rPr>
          <w:sz w:val="20"/>
        </w:rPr>
        <w:t>60</w:t>
      </w:r>
    </w:p>
    <w:p w:rsidR="0052229C" w:rsidRPr="0094794D" w:rsidRDefault="0052229C" w:rsidP="0052229C">
      <w:pPr>
        <w:rPr>
          <w:sz w:val="20"/>
          <w:szCs w:val="20"/>
          <w:lang w:val="fr-CA"/>
        </w:rPr>
      </w:pPr>
      <w:proofErr w:type="spellStart"/>
      <w:r w:rsidRPr="00B35739">
        <w:rPr>
          <w:sz w:val="20"/>
          <w:szCs w:val="20"/>
          <w:lang w:val="fr-CA"/>
        </w:rPr>
        <w:t>Hearing</w:t>
      </w:r>
      <w:proofErr w:type="spellEnd"/>
      <w:proofErr w:type="gramStart"/>
      <w:r w:rsidRPr="00B35739">
        <w:rPr>
          <w:sz w:val="20"/>
          <w:szCs w:val="20"/>
          <w:lang w:val="fr-CA"/>
        </w:rPr>
        <w:t>:</w:t>
      </w:r>
      <w:r w:rsidRPr="0094794D">
        <w:rPr>
          <w:sz w:val="20"/>
          <w:szCs w:val="20"/>
          <w:lang w:val="fr-CA"/>
        </w:rPr>
        <w:t xml:space="preserve">  </w:t>
      </w:r>
      <w:proofErr w:type="spellStart"/>
      <w:r w:rsidR="009A4992" w:rsidRPr="0094794D">
        <w:rPr>
          <w:sz w:val="20"/>
          <w:szCs w:val="20"/>
          <w:lang w:val="fr-CA"/>
        </w:rPr>
        <w:t>February</w:t>
      </w:r>
      <w:proofErr w:type="spellEnd"/>
      <w:proofErr w:type="gramEnd"/>
      <w:r w:rsidRPr="0094794D">
        <w:rPr>
          <w:sz w:val="20"/>
          <w:szCs w:val="20"/>
          <w:lang w:val="fr-CA"/>
        </w:rPr>
        <w:t xml:space="preserve"> </w:t>
      </w:r>
      <w:r w:rsidR="009A4992" w:rsidRPr="0094794D">
        <w:rPr>
          <w:sz w:val="20"/>
          <w:szCs w:val="20"/>
          <w:lang w:val="fr-CA"/>
        </w:rPr>
        <w:t>9</w:t>
      </w:r>
      <w:r w:rsidRPr="0094794D">
        <w:rPr>
          <w:sz w:val="20"/>
          <w:szCs w:val="20"/>
          <w:lang w:val="fr-CA"/>
        </w:rPr>
        <w:t>, 201</w:t>
      </w:r>
      <w:r w:rsidR="009A4992" w:rsidRPr="0094794D">
        <w:rPr>
          <w:sz w:val="20"/>
          <w:szCs w:val="20"/>
          <w:lang w:val="fr-CA"/>
        </w:rPr>
        <w:t>5</w:t>
      </w:r>
      <w:r w:rsidRPr="0094794D">
        <w:rPr>
          <w:sz w:val="20"/>
          <w:szCs w:val="20"/>
          <w:lang w:val="fr-CA"/>
        </w:rPr>
        <w:t xml:space="preserve"> / </w:t>
      </w:r>
      <w:proofErr w:type="spellStart"/>
      <w:r w:rsidRPr="0094794D">
        <w:rPr>
          <w:sz w:val="20"/>
          <w:szCs w:val="20"/>
          <w:lang w:val="fr-CA"/>
        </w:rPr>
        <w:t>Judgment</w:t>
      </w:r>
      <w:proofErr w:type="spellEnd"/>
      <w:r w:rsidRPr="0094794D">
        <w:rPr>
          <w:sz w:val="20"/>
          <w:szCs w:val="20"/>
          <w:lang w:val="fr-CA"/>
        </w:rPr>
        <w:t xml:space="preserve">:  </w:t>
      </w:r>
      <w:proofErr w:type="spellStart"/>
      <w:r w:rsidR="009A4992" w:rsidRPr="0094794D">
        <w:rPr>
          <w:sz w:val="20"/>
          <w:szCs w:val="20"/>
          <w:lang w:val="fr-CA"/>
        </w:rPr>
        <w:t>December</w:t>
      </w:r>
      <w:proofErr w:type="spellEnd"/>
      <w:r w:rsidRPr="0094794D">
        <w:rPr>
          <w:sz w:val="20"/>
          <w:szCs w:val="20"/>
          <w:lang w:val="fr-CA"/>
        </w:rPr>
        <w:t xml:space="preserve"> </w:t>
      </w:r>
      <w:r w:rsidR="009A4992" w:rsidRPr="0094794D">
        <w:rPr>
          <w:sz w:val="20"/>
          <w:szCs w:val="20"/>
          <w:lang w:val="fr-CA"/>
        </w:rPr>
        <w:t>4</w:t>
      </w:r>
      <w:r w:rsidRPr="0094794D">
        <w:rPr>
          <w:sz w:val="20"/>
          <w:szCs w:val="20"/>
          <w:lang w:val="fr-CA"/>
        </w:rPr>
        <w:t>, 201</w:t>
      </w:r>
      <w:r w:rsidR="00020DC3" w:rsidRPr="0094794D">
        <w:rPr>
          <w:sz w:val="20"/>
          <w:szCs w:val="20"/>
          <w:lang w:val="fr-CA"/>
        </w:rPr>
        <w:t>5</w:t>
      </w:r>
    </w:p>
    <w:p w:rsidR="0052229C" w:rsidRPr="003B3977" w:rsidRDefault="0052229C" w:rsidP="0052229C">
      <w:pPr>
        <w:rPr>
          <w:sz w:val="20"/>
          <w:szCs w:val="20"/>
          <w:lang w:val="fr-CA"/>
        </w:rPr>
      </w:pPr>
      <w:r w:rsidRPr="0094794D">
        <w:rPr>
          <w:sz w:val="20"/>
          <w:szCs w:val="20"/>
          <w:lang w:val="fr-CA"/>
        </w:rPr>
        <w:t xml:space="preserve">Audition : Le </w:t>
      </w:r>
      <w:r w:rsidR="009A4992" w:rsidRPr="0094794D">
        <w:rPr>
          <w:sz w:val="20"/>
          <w:szCs w:val="20"/>
          <w:lang w:val="fr-CA"/>
        </w:rPr>
        <w:t>9</w:t>
      </w:r>
      <w:r w:rsidRPr="0094794D">
        <w:rPr>
          <w:sz w:val="20"/>
          <w:szCs w:val="20"/>
          <w:lang w:val="fr-CA"/>
        </w:rPr>
        <w:t xml:space="preserve"> </w:t>
      </w:r>
      <w:r w:rsidR="009A4992" w:rsidRPr="0094794D">
        <w:rPr>
          <w:sz w:val="20"/>
          <w:szCs w:val="20"/>
          <w:lang w:val="fr-CA"/>
        </w:rPr>
        <w:t>février</w:t>
      </w:r>
      <w:r w:rsidRPr="0094794D">
        <w:rPr>
          <w:sz w:val="20"/>
          <w:szCs w:val="20"/>
          <w:lang w:val="fr-CA"/>
        </w:rPr>
        <w:t xml:space="preserve"> 201</w:t>
      </w:r>
      <w:r w:rsidR="009A4992" w:rsidRPr="0094794D">
        <w:rPr>
          <w:sz w:val="20"/>
          <w:szCs w:val="20"/>
          <w:lang w:val="fr-CA"/>
        </w:rPr>
        <w:t>5</w:t>
      </w:r>
      <w:r w:rsidRPr="0094794D">
        <w:rPr>
          <w:sz w:val="20"/>
          <w:szCs w:val="20"/>
          <w:lang w:val="fr-CA"/>
        </w:rPr>
        <w:t xml:space="preserve"> / Jugement :</w:t>
      </w:r>
      <w:r w:rsidRPr="003B3977">
        <w:rPr>
          <w:sz w:val="20"/>
          <w:szCs w:val="20"/>
          <w:lang w:val="fr-CA"/>
        </w:rPr>
        <w:t xml:space="preserve"> Le </w:t>
      </w:r>
      <w:r w:rsidR="009A4992">
        <w:rPr>
          <w:sz w:val="20"/>
          <w:szCs w:val="20"/>
          <w:lang w:val="fr-CA"/>
        </w:rPr>
        <w:t>4</w:t>
      </w:r>
      <w:r>
        <w:rPr>
          <w:sz w:val="20"/>
          <w:szCs w:val="20"/>
          <w:lang w:val="fr-CA"/>
        </w:rPr>
        <w:t xml:space="preserve"> </w:t>
      </w:r>
      <w:r w:rsidR="009A4992">
        <w:rPr>
          <w:sz w:val="20"/>
          <w:szCs w:val="20"/>
          <w:lang w:val="fr-CA"/>
        </w:rPr>
        <w:t>décembre</w:t>
      </w:r>
      <w:r w:rsidRPr="003B3977">
        <w:rPr>
          <w:sz w:val="20"/>
          <w:szCs w:val="20"/>
          <w:lang w:val="fr-CA"/>
        </w:rPr>
        <w:t xml:space="preserve"> 201</w:t>
      </w:r>
      <w:r w:rsidR="00020DC3">
        <w:rPr>
          <w:sz w:val="20"/>
          <w:szCs w:val="20"/>
          <w:lang w:val="fr-CA"/>
        </w:rPr>
        <w:t>5</w:t>
      </w:r>
    </w:p>
    <w:p w:rsidR="005C6840" w:rsidRPr="003B3977" w:rsidRDefault="00B150CF" w:rsidP="005C6840">
      <w:pPr>
        <w:rPr>
          <w:sz w:val="20"/>
          <w:szCs w:val="20"/>
          <w:lang w:val="fr-CA"/>
        </w:rPr>
      </w:pPr>
      <w:r>
        <w:rPr>
          <w:i/>
          <w:sz w:val="20"/>
          <w:szCs w:val="20"/>
        </w:rPr>
        <w:pict>
          <v:rect id="_x0000_i1076" style="width:480.95pt;height:1pt" o:hralign="center" o:hrstd="t" o:hrnoshade="t" o:hr="t" fillcolor="black [3213]" stroked="f"/>
        </w:pict>
      </w:r>
    </w:p>
    <w:p w:rsidR="005C6840" w:rsidRPr="003B3977" w:rsidRDefault="005C6840" w:rsidP="005C6840">
      <w:pPr>
        <w:spacing w:line="0" w:lineRule="atLeast"/>
        <w:rPr>
          <w:sz w:val="20"/>
          <w:szCs w:val="20"/>
          <w:lang w:val="fr-CA"/>
        </w:rPr>
      </w:pPr>
    </w:p>
    <w:p w:rsidR="0052229C" w:rsidRPr="00FF34C3" w:rsidRDefault="0052229C" w:rsidP="0052229C">
      <w:pPr>
        <w:jc w:val="both"/>
        <w:rPr>
          <w:sz w:val="20"/>
          <w:szCs w:val="20"/>
        </w:rPr>
      </w:pPr>
      <w:r w:rsidRPr="00FF34C3">
        <w:rPr>
          <w:sz w:val="20"/>
          <w:szCs w:val="20"/>
        </w:rPr>
        <w:t xml:space="preserve">Present:  </w:t>
      </w:r>
      <w:proofErr w:type="spellStart"/>
      <w:r w:rsidRPr="00FF34C3">
        <w:rPr>
          <w:sz w:val="20"/>
          <w:szCs w:val="20"/>
        </w:rPr>
        <w:t>McLachlin</w:t>
      </w:r>
      <w:proofErr w:type="spellEnd"/>
      <w:r w:rsidRPr="00FF34C3">
        <w:rPr>
          <w:sz w:val="20"/>
          <w:szCs w:val="20"/>
        </w:rPr>
        <w:t xml:space="preserve"> C.J. and </w:t>
      </w:r>
      <w:r w:rsidR="001F67BC">
        <w:rPr>
          <w:sz w:val="20"/>
          <w:szCs w:val="20"/>
        </w:rPr>
        <w:t>Rothstein</w:t>
      </w:r>
      <w:r w:rsidRPr="00FF34C3">
        <w:rPr>
          <w:sz w:val="20"/>
          <w:szCs w:val="20"/>
        </w:rPr>
        <w:t xml:space="preserve">, </w:t>
      </w:r>
      <w:r w:rsidR="001F67BC">
        <w:rPr>
          <w:sz w:val="20"/>
          <w:szCs w:val="20"/>
        </w:rPr>
        <w:t>Cromwell</w:t>
      </w:r>
      <w:r w:rsidRPr="00FF34C3">
        <w:rPr>
          <w:sz w:val="20"/>
          <w:szCs w:val="20"/>
        </w:rPr>
        <w:t xml:space="preserve">, </w:t>
      </w:r>
      <w:proofErr w:type="spellStart"/>
      <w:r w:rsidR="001F67BC">
        <w:rPr>
          <w:sz w:val="20"/>
          <w:szCs w:val="20"/>
        </w:rPr>
        <w:t>Moldaver</w:t>
      </w:r>
      <w:proofErr w:type="spellEnd"/>
      <w:r w:rsidRPr="00FF34C3">
        <w:rPr>
          <w:sz w:val="20"/>
          <w:szCs w:val="20"/>
        </w:rPr>
        <w:t xml:space="preserve">, </w:t>
      </w:r>
      <w:proofErr w:type="spellStart"/>
      <w:r w:rsidR="001F67BC">
        <w:rPr>
          <w:sz w:val="20"/>
          <w:szCs w:val="20"/>
        </w:rPr>
        <w:t>Karakatsanis</w:t>
      </w:r>
      <w:proofErr w:type="spellEnd"/>
      <w:r w:rsidRPr="00FF34C3">
        <w:rPr>
          <w:sz w:val="20"/>
          <w:szCs w:val="20"/>
        </w:rPr>
        <w:t xml:space="preserve">, </w:t>
      </w:r>
      <w:proofErr w:type="spellStart"/>
      <w:r w:rsidR="001F67BC">
        <w:rPr>
          <w:sz w:val="20"/>
          <w:szCs w:val="20"/>
        </w:rPr>
        <w:t>Gascon</w:t>
      </w:r>
      <w:proofErr w:type="spellEnd"/>
      <w:r w:rsidRPr="00FF34C3">
        <w:rPr>
          <w:sz w:val="20"/>
          <w:szCs w:val="20"/>
        </w:rPr>
        <w:t xml:space="preserve"> and </w:t>
      </w:r>
      <w:proofErr w:type="spellStart"/>
      <w:r w:rsidR="001F67BC">
        <w:rPr>
          <w:sz w:val="20"/>
          <w:szCs w:val="20"/>
        </w:rPr>
        <w:t>Côté</w:t>
      </w:r>
      <w:proofErr w:type="spellEnd"/>
      <w:r w:rsidRPr="00FF34C3">
        <w:rPr>
          <w:sz w:val="20"/>
          <w:szCs w:val="20"/>
        </w:rPr>
        <w:t> JJ.</w:t>
      </w:r>
    </w:p>
    <w:p w:rsidR="0052229C" w:rsidRDefault="0052229C" w:rsidP="0052229C">
      <w:pPr>
        <w:pStyle w:val="SCCNormalDoubleSpacing"/>
        <w:spacing w:line="240" w:lineRule="auto"/>
        <w:rPr>
          <w:sz w:val="20"/>
        </w:rPr>
      </w:pPr>
    </w:p>
    <w:p w:rsidR="003D4504" w:rsidRPr="003D4504" w:rsidRDefault="003D4504" w:rsidP="003D4504">
      <w:pPr>
        <w:tabs>
          <w:tab w:val="left" w:pos="1168"/>
        </w:tabs>
        <w:jc w:val="both"/>
        <w:rPr>
          <w:rFonts w:eastAsia="Times New Roman" w:cs="Times New Roman"/>
          <w:i/>
          <w:sz w:val="20"/>
          <w:szCs w:val="20"/>
          <w:lang w:eastAsia="en-CA"/>
        </w:rPr>
      </w:pPr>
      <w:r w:rsidRPr="003D4504">
        <w:rPr>
          <w:rFonts w:eastAsia="Times New Roman" w:cs="Times New Roman"/>
          <w:sz w:val="20"/>
          <w:szCs w:val="20"/>
          <w:lang w:eastAsia="en-CA"/>
        </w:rPr>
        <w:tab/>
      </w:r>
      <w:r w:rsidRPr="003D4504">
        <w:rPr>
          <w:rFonts w:eastAsia="Times New Roman" w:cs="Times New Roman"/>
          <w:i/>
          <w:sz w:val="20"/>
          <w:szCs w:val="20"/>
          <w:lang w:eastAsia="en-CA"/>
        </w:rPr>
        <w:t>Securities — Class actions — Limitation of actions — Statutory action for secondary market misrepresentation — Suspension of limitation period — Plaintiffs in three class proceedings claiming damages under common law tort of negligent misrepresentation and under statutory cause of action for secondary market misrepresentation in s. 138.3 of Securities Act — Leave required to commence statutory action under s. 138.8 of Securities Act — Limitation period for statutory action expiring prior to leave being granted — Whether s. 28 of Class P</w:t>
      </w:r>
      <w:bookmarkStart w:id="2" w:name="_GoBack"/>
      <w:bookmarkEnd w:id="2"/>
      <w:r w:rsidRPr="003D4504">
        <w:rPr>
          <w:rFonts w:eastAsia="Times New Roman" w:cs="Times New Roman"/>
          <w:i/>
          <w:sz w:val="20"/>
          <w:szCs w:val="20"/>
          <w:lang w:eastAsia="en-CA"/>
        </w:rPr>
        <w:t>roceedings Act, 1992, operates to suspend limitation period applicable to statutory action before leave to commence statutory action is granted — Whether statutory action time</w:t>
      </w:r>
      <w:r w:rsidRPr="003D4504">
        <w:rPr>
          <w:rFonts w:eastAsia="Times New Roman" w:cs="Times New Roman"/>
          <w:i/>
          <w:sz w:val="20"/>
          <w:szCs w:val="20"/>
          <w:lang w:eastAsia="en-CA"/>
        </w:rPr>
        <w:noBreakHyphen/>
        <w:t xml:space="preserve">barred — If yes, whether statutory action can be saved by order granting leave </w:t>
      </w:r>
      <w:proofErr w:type="spellStart"/>
      <w:r w:rsidRPr="003D4504">
        <w:rPr>
          <w:rFonts w:eastAsia="Times New Roman" w:cs="Times New Roman"/>
          <w:i/>
          <w:sz w:val="20"/>
          <w:szCs w:val="20"/>
          <w:lang w:eastAsia="en-CA"/>
        </w:rPr>
        <w:t>nunc</w:t>
      </w:r>
      <w:proofErr w:type="spellEnd"/>
      <w:r w:rsidRPr="003D4504">
        <w:rPr>
          <w:rFonts w:eastAsia="Times New Roman" w:cs="Times New Roman"/>
          <w:i/>
          <w:sz w:val="20"/>
          <w:szCs w:val="20"/>
          <w:lang w:eastAsia="en-CA"/>
        </w:rPr>
        <w:t xml:space="preserve"> pro </w:t>
      </w:r>
      <w:proofErr w:type="spellStart"/>
      <w:r w:rsidRPr="003D4504">
        <w:rPr>
          <w:rFonts w:eastAsia="Times New Roman" w:cs="Times New Roman"/>
          <w:i/>
          <w:sz w:val="20"/>
          <w:szCs w:val="20"/>
          <w:lang w:eastAsia="en-CA"/>
        </w:rPr>
        <w:t>tunc</w:t>
      </w:r>
      <w:proofErr w:type="spellEnd"/>
      <w:r w:rsidRPr="003D4504">
        <w:rPr>
          <w:rFonts w:eastAsia="Times New Roman" w:cs="Times New Roman"/>
          <w:i/>
          <w:sz w:val="20"/>
          <w:szCs w:val="20"/>
          <w:lang w:eastAsia="en-CA"/>
        </w:rPr>
        <w:t xml:space="preserve"> or doctrine of special circumstances — Whether threshold of reasonable possibility of success applies for leave to commence statutory action under s. 138.3 of Securities Act — Class Proceedings Act, 1992, S.O. 1992, c. 6, s. 28 — Securities Act, R.S.O. 1990, c. S.5, ss. 138.3, 138.8, 138.14.</w:t>
      </w:r>
    </w:p>
    <w:p w:rsidR="003D4504" w:rsidRDefault="003D4504" w:rsidP="003D4504">
      <w:pPr>
        <w:tabs>
          <w:tab w:val="left" w:pos="1168"/>
        </w:tabs>
        <w:jc w:val="both"/>
        <w:rPr>
          <w:rFonts w:eastAsia="Times New Roman" w:cs="Times New Roman"/>
          <w:i/>
          <w:sz w:val="20"/>
          <w:szCs w:val="20"/>
          <w:lang w:eastAsia="en-CA"/>
        </w:rPr>
      </w:pPr>
    </w:p>
    <w:p w:rsidR="003D4504" w:rsidRPr="003D4504" w:rsidRDefault="003D4504" w:rsidP="003D4504">
      <w:pPr>
        <w:tabs>
          <w:tab w:val="left" w:pos="1168"/>
        </w:tabs>
        <w:jc w:val="both"/>
        <w:rPr>
          <w:rFonts w:eastAsia="Times New Roman" w:cs="Times New Roman"/>
          <w:i/>
          <w:sz w:val="20"/>
          <w:szCs w:val="20"/>
          <w:lang w:eastAsia="en-CA"/>
        </w:rPr>
      </w:pPr>
      <w:r w:rsidRPr="003D4504">
        <w:rPr>
          <w:rFonts w:eastAsia="Times New Roman" w:cs="Times New Roman"/>
          <w:i/>
          <w:sz w:val="20"/>
          <w:szCs w:val="20"/>
          <w:lang w:eastAsia="en-CA"/>
        </w:rPr>
        <w:tab/>
        <w:t>Civil procedure — Class actions — Preferable procedure — Plaintiffs in three class proceedings claiming damages under common law tort of negligent misrepresentation and under statutory cause of action for secondary market misrepresentation — Whether Court of Appeal erred in holding that five of seven common issues relating to common law misrepresentation claim should be certified.</w:t>
      </w:r>
    </w:p>
    <w:p w:rsidR="0052229C" w:rsidRDefault="0052229C" w:rsidP="0052229C">
      <w:pPr>
        <w:pStyle w:val="SCCNormalDoubleSpacing"/>
        <w:spacing w:line="240" w:lineRule="auto"/>
        <w:rPr>
          <w:sz w:val="20"/>
        </w:rPr>
      </w:pPr>
    </w:p>
    <w:p w:rsidR="00890AC2" w:rsidRPr="00890AC2" w:rsidRDefault="00890AC2" w:rsidP="00890AC2">
      <w:pPr>
        <w:tabs>
          <w:tab w:val="left" w:pos="1168"/>
        </w:tabs>
        <w:jc w:val="both"/>
        <w:rPr>
          <w:rFonts w:eastAsia="Times New Roman" w:cs="Times New Roman"/>
          <w:sz w:val="20"/>
          <w:szCs w:val="20"/>
          <w:lang w:val="en-US" w:eastAsia="en-CA"/>
        </w:rPr>
      </w:pPr>
      <w:r w:rsidRPr="00890AC2">
        <w:rPr>
          <w:rFonts w:eastAsia="Times New Roman" w:cs="Times New Roman"/>
          <w:sz w:val="20"/>
          <w:szCs w:val="20"/>
          <w:lang w:eastAsia="en-CA"/>
        </w:rPr>
        <w:tab/>
        <w:t>The appeals in these three cases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w:t>
      </w:r>
      <w:r w:rsidRPr="00890AC2">
        <w:rPr>
          <w:rFonts w:eastAsia="Times New Roman" w:cs="Times New Roman"/>
          <w:i/>
          <w:sz w:val="20"/>
          <w:szCs w:val="20"/>
          <w:lang w:eastAsia="en-CA"/>
        </w:rPr>
        <w:t>IMAX</w:t>
      </w:r>
      <w:r w:rsidRPr="00890AC2">
        <w:rPr>
          <w:rFonts w:eastAsia="Times New Roman" w:cs="Times New Roman"/>
          <w:sz w:val="20"/>
          <w:szCs w:val="20"/>
          <w:lang w:eastAsia="en-CA"/>
        </w:rPr>
        <w:t xml:space="preserve"> and </w:t>
      </w:r>
      <w:r w:rsidRPr="00890AC2">
        <w:rPr>
          <w:rFonts w:eastAsia="Times New Roman" w:cs="Times New Roman"/>
          <w:i/>
          <w:sz w:val="20"/>
          <w:szCs w:val="20"/>
          <w:lang w:eastAsia="en-CA"/>
        </w:rPr>
        <w:t>Celestica</w:t>
      </w:r>
      <w:r w:rsidRPr="00890AC2">
        <w:rPr>
          <w:rFonts w:eastAsia="Times New Roman" w:cs="Times New Roman"/>
          <w:sz w:val="20"/>
          <w:szCs w:val="20"/>
          <w:lang w:eastAsia="en-CA"/>
        </w:rPr>
        <w:t xml:space="preserve">) stem from motions in class proceedings brought before different judges of the Ontario Superior Court of Justice. In each case, the respondent plaintiffs claimed damages under the common law tort of negligent misrepresentation and </w:t>
      </w:r>
      <w:r w:rsidRPr="00890AC2">
        <w:rPr>
          <w:rFonts w:eastAsia="Times New Roman" w:cs="Times New Roman"/>
          <w:sz w:val="20"/>
          <w:szCs w:val="20"/>
          <w:lang w:val="en-US" w:eastAsia="en-CA"/>
        </w:rPr>
        <w:t xml:space="preserve">pleaded an intention to claim damages </w:t>
      </w:r>
      <w:r w:rsidRPr="00890AC2">
        <w:rPr>
          <w:rFonts w:eastAsia="Times New Roman" w:cs="Times New Roman"/>
          <w:sz w:val="20"/>
          <w:szCs w:val="20"/>
          <w:lang w:eastAsia="en-CA"/>
        </w:rPr>
        <w:t xml:space="preserve">under the statutory cause of action in s. 138.3 of Part XXIII.1 of the Ontario </w:t>
      </w:r>
      <w:r w:rsidRPr="00890AC2">
        <w:rPr>
          <w:rFonts w:eastAsia="Times New Roman" w:cs="Times New Roman"/>
          <w:i/>
          <w:sz w:val="20"/>
          <w:szCs w:val="20"/>
          <w:lang w:eastAsia="en-CA"/>
        </w:rPr>
        <w:t>Securities Act</w:t>
      </w:r>
      <w:r w:rsidRPr="00890AC2">
        <w:rPr>
          <w:rFonts w:eastAsia="Times New Roman" w:cs="Times New Roman"/>
          <w:sz w:val="20"/>
          <w:szCs w:val="20"/>
          <w:lang w:eastAsia="en-CA"/>
        </w:rPr>
        <w:t xml:space="preserve">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for alleged misrepresentations in respect of shares trading in the secondary market. None of the plaintiffs obtained leave to commence the statutory action, required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before commencing the class proceeding based on the common law cause of action. In all of the cases, the limitation period for the statutory action, if not suspended, would have run out prior to leave being obtained. </w:t>
      </w:r>
      <w:r w:rsidRPr="00890AC2">
        <w:rPr>
          <w:rFonts w:eastAsia="Times New Roman" w:cs="Times New Roman"/>
          <w:sz w:val="20"/>
          <w:szCs w:val="20"/>
          <w:lang w:val="en-US" w:eastAsia="en-CA"/>
        </w:rPr>
        <w:t xml:space="preserve">In </w:t>
      </w:r>
      <w:r w:rsidRPr="00890AC2">
        <w:rPr>
          <w:rFonts w:eastAsia="Times New Roman" w:cs="Times New Roman"/>
          <w:i/>
          <w:sz w:val="20"/>
          <w:szCs w:val="20"/>
          <w:lang w:val="en-US" w:eastAsia="en-CA"/>
        </w:rPr>
        <w:t>CIBC</w:t>
      </w:r>
      <w:r w:rsidRPr="00890AC2">
        <w:rPr>
          <w:rFonts w:eastAsia="Times New Roman" w:cs="Times New Roman"/>
          <w:sz w:val="20"/>
          <w:szCs w:val="20"/>
          <w:lang w:val="en-US" w:eastAsia="en-CA"/>
        </w:rPr>
        <w:t xml:space="preserve">, the motion for leave was filed before the expiry of the limitation period, in </w:t>
      </w:r>
      <w:r w:rsidRPr="00890AC2">
        <w:rPr>
          <w:rFonts w:eastAsia="Times New Roman" w:cs="Times New Roman"/>
          <w:i/>
          <w:sz w:val="20"/>
          <w:szCs w:val="20"/>
          <w:lang w:val="en-US" w:eastAsia="en-CA"/>
        </w:rPr>
        <w:t>IMAX</w:t>
      </w:r>
      <w:r w:rsidRPr="00890AC2">
        <w:rPr>
          <w:rFonts w:eastAsia="Times New Roman" w:cs="Times New Roman"/>
          <w:sz w:val="20"/>
          <w:szCs w:val="20"/>
          <w:lang w:val="en-US" w:eastAsia="en-CA"/>
        </w:rPr>
        <w:t xml:space="preserve">, the motion for leave was filed and argued before the expiry of the limitation period, and in </w:t>
      </w:r>
      <w:r w:rsidRPr="00890AC2">
        <w:rPr>
          <w:rFonts w:eastAsia="Times New Roman" w:cs="Times New Roman"/>
          <w:i/>
          <w:sz w:val="20"/>
          <w:szCs w:val="20"/>
          <w:lang w:val="en-US" w:eastAsia="en-CA"/>
        </w:rPr>
        <w:t>Celestica</w:t>
      </w:r>
      <w:r w:rsidRPr="00890AC2">
        <w:rPr>
          <w:rFonts w:eastAsia="Times New Roman" w:cs="Times New Roman"/>
          <w:sz w:val="20"/>
          <w:szCs w:val="20"/>
          <w:lang w:val="en-US" w:eastAsia="en-CA"/>
        </w:rPr>
        <w:t>, the motion for leave was filed after the expiry of the limitation period.</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r>
      <w:r w:rsidRPr="00890AC2">
        <w:rPr>
          <w:rFonts w:eastAsia="Times New Roman" w:cs="Times New Roman"/>
          <w:sz w:val="20"/>
          <w:szCs w:val="20"/>
          <w:lang w:val="en-US" w:eastAsia="en-CA"/>
        </w:rPr>
        <w:t xml:space="preserve">Section 28 </w:t>
      </w:r>
      <w:r w:rsidRPr="00890AC2">
        <w:rPr>
          <w:rFonts w:eastAsia="Times New Roman" w:cs="Times New Roman"/>
          <w:sz w:val="20"/>
          <w:szCs w:val="20"/>
          <w:lang w:eastAsia="en-CA"/>
        </w:rPr>
        <w:t xml:space="preserve">of the </w:t>
      </w:r>
      <w:r w:rsidRPr="00890AC2">
        <w:rPr>
          <w:rFonts w:eastAsia="Times New Roman" w:cs="Times New Roman"/>
          <w:i/>
          <w:sz w:val="20"/>
          <w:szCs w:val="20"/>
          <w:lang w:eastAsia="en-CA"/>
        </w:rPr>
        <w:t>Class Proceedings Act, 1992</w:t>
      </w:r>
      <w:r w:rsidRPr="00890AC2">
        <w:rPr>
          <w:rFonts w:eastAsia="Times New Roman" w:cs="Times New Roman"/>
          <w:sz w:val="20"/>
          <w:szCs w:val="20"/>
          <w:lang w:eastAsia="en-CA"/>
        </w:rPr>
        <w:t xml:space="preserv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w:t>
      </w:r>
      <w:r w:rsidRPr="00890AC2">
        <w:rPr>
          <w:rFonts w:eastAsia="Times New Roman" w:cs="Times New Roman"/>
          <w:sz w:val="20"/>
          <w:szCs w:val="20"/>
          <w:lang w:val="en-US" w:eastAsia="en-CA"/>
        </w:rPr>
        <w:t xml:space="preserve">operates to suspend the limitation period for a cause of action asserted in a class proceeding in </w:t>
      </w:r>
      <w:proofErr w:type="spellStart"/>
      <w:r w:rsidRPr="00890AC2">
        <w:rPr>
          <w:rFonts w:eastAsia="Times New Roman" w:cs="Times New Roman"/>
          <w:sz w:val="20"/>
          <w:szCs w:val="20"/>
          <w:lang w:val="en-US" w:eastAsia="en-CA"/>
        </w:rPr>
        <w:t>favour</w:t>
      </w:r>
      <w:proofErr w:type="spellEnd"/>
      <w:r w:rsidRPr="00890AC2">
        <w:rPr>
          <w:rFonts w:eastAsia="Times New Roman" w:cs="Times New Roman"/>
          <w:sz w:val="20"/>
          <w:szCs w:val="20"/>
          <w:lang w:val="en-US" w:eastAsia="en-CA"/>
        </w:rPr>
        <w:t xml:space="preserve"> of the members of a class on the commencement of the class proceeding. </w:t>
      </w:r>
      <w:r w:rsidRPr="00890AC2">
        <w:rPr>
          <w:rFonts w:eastAsia="Times New Roman" w:cs="Times New Roman"/>
          <w:sz w:val="20"/>
          <w:szCs w:val="20"/>
          <w:lang w:eastAsia="en-CA"/>
        </w:rPr>
        <w:t xml:space="preserve">During the course of the class proceedings at issue in these appeals, the Ontario Court of Appeal released its decision in another matter, </w:t>
      </w:r>
      <w:r w:rsidRPr="00890AC2">
        <w:rPr>
          <w:rFonts w:eastAsia="Times New Roman" w:cs="Times New Roman"/>
          <w:i/>
          <w:sz w:val="20"/>
          <w:szCs w:val="20"/>
          <w:lang w:eastAsia="en-CA"/>
        </w:rPr>
        <w:t xml:space="preserve">Sharma v. </w:t>
      </w:r>
      <w:proofErr w:type="spellStart"/>
      <w:r w:rsidRPr="00890AC2">
        <w:rPr>
          <w:rFonts w:eastAsia="Times New Roman" w:cs="Times New Roman"/>
          <w:i/>
          <w:sz w:val="20"/>
          <w:szCs w:val="20"/>
          <w:lang w:eastAsia="en-CA"/>
        </w:rPr>
        <w:t>Timminco</w:t>
      </w:r>
      <w:proofErr w:type="spellEnd"/>
      <w:r w:rsidRPr="00890AC2">
        <w:rPr>
          <w:rFonts w:eastAsia="Times New Roman" w:cs="Times New Roman"/>
          <w:i/>
          <w:sz w:val="20"/>
          <w:szCs w:val="20"/>
          <w:lang w:eastAsia="en-CA"/>
        </w:rPr>
        <w:t xml:space="preserve"> Ltd.</w:t>
      </w:r>
      <w:r w:rsidRPr="00890AC2">
        <w:rPr>
          <w:rFonts w:eastAsia="Times New Roman" w:cs="Times New Roman"/>
          <w:sz w:val="20"/>
          <w:szCs w:val="20"/>
          <w:lang w:eastAsia="en-CA"/>
        </w:rPr>
        <w:t>, 2012 ONCA 107, 109 O.R. (3d) 569 (“</w:t>
      </w:r>
      <w:proofErr w:type="spellStart"/>
      <w:r w:rsidRPr="00890AC2">
        <w:rPr>
          <w:rFonts w:eastAsia="Times New Roman" w:cs="Times New Roman"/>
          <w:i/>
          <w:sz w:val="20"/>
          <w:szCs w:val="20"/>
          <w:lang w:eastAsia="en-CA"/>
        </w:rPr>
        <w:t>Timminco</w:t>
      </w:r>
      <w:proofErr w:type="spellEnd"/>
      <w:r w:rsidRPr="00890AC2">
        <w:rPr>
          <w:rFonts w:eastAsia="Times New Roman" w:cs="Times New Roman"/>
          <w:sz w:val="20"/>
          <w:szCs w:val="20"/>
          <w:lang w:eastAsia="en-CA"/>
        </w:rPr>
        <w:t xml:space="preserve">”), in which it interpreted the application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to the limitation period in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for the first time. The panel held that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did not operate to suspend the limitation period in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until leave was obtained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The motion judges considering the issue of leave to commence the statutory action in the present cases found that they were bound by </w:t>
      </w:r>
      <w:proofErr w:type="spellStart"/>
      <w:r w:rsidRPr="00890AC2">
        <w:rPr>
          <w:rFonts w:eastAsia="Times New Roman" w:cs="Times New Roman"/>
          <w:i/>
          <w:sz w:val="20"/>
          <w:szCs w:val="20"/>
          <w:lang w:eastAsia="en-CA"/>
        </w:rPr>
        <w:t>Timminco</w:t>
      </w:r>
      <w:proofErr w:type="spellEnd"/>
      <w:r w:rsidRPr="00890AC2">
        <w:rPr>
          <w:rFonts w:eastAsia="Times New Roman" w:cs="Times New Roman"/>
          <w:sz w:val="20"/>
          <w:szCs w:val="20"/>
          <w:lang w:eastAsia="en-CA"/>
        </w:rPr>
        <w:t xml:space="preserve">. The motion judges in </w:t>
      </w:r>
      <w:r w:rsidRPr="00890AC2">
        <w:rPr>
          <w:rFonts w:eastAsia="Times New Roman" w:cs="Times New Roman"/>
          <w:i/>
          <w:sz w:val="20"/>
          <w:szCs w:val="20"/>
          <w:lang w:eastAsia="en-CA"/>
        </w:rPr>
        <w:t>IMAX</w:t>
      </w:r>
      <w:r w:rsidRPr="00890AC2">
        <w:rPr>
          <w:rFonts w:eastAsia="Times New Roman" w:cs="Times New Roman"/>
          <w:sz w:val="20"/>
          <w:szCs w:val="20"/>
          <w:lang w:eastAsia="en-CA"/>
        </w:rPr>
        <w:t xml:space="preserve"> and </w:t>
      </w:r>
      <w:r w:rsidRPr="00890AC2">
        <w:rPr>
          <w:rFonts w:eastAsia="Times New Roman" w:cs="Times New Roman"/>
          <w:i/>
          <w:sz w:val="20"/>
          <w:szCs w:val="20"/>
          <w:lang w:eastAsia="en-CA"/>
        </w:rPr>
        <w:t>Celestica</w:t>
      </w:r>
      <w:r w:rsidRPr="00890AC2">
        <w:rPr>
          <w:rFonts w:eastAsia="Times New Roman" w:cs="Times New Roman"/>
          <w:sz w:val="20"/>
          <w:szCs w:val="20"/>
          <w:lang w:eastAsia="en-CA"/>
        </w:rPr>
        <w:t xml:space="preserve"> applied the common law doctrines of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and special circumstances to save the statutory claims in those proceedings from being statute</w:t>
      </w:r>
      <w:r w:rsidRPr="00890AC2">
        <w:rPr>
          <w:rFonts w:eastAsia="Times New Roman" w:cs="Times New Roman"/>
          <w:sz w:val="20"/>
          <w:szCs w:val="20"/>
          <w:lang w:eastAsia="en-CA"/>
        </w:rPr>
        <w:noBreakHyphen/>
        <w:t xml:space="preserve">barred. The motion judge in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found that those doctrines were inapplicable, and that the statutory claim could not be saved.</w:t>
      </w:r>
    </w:p>
    <w:p w:rsidR="00890AC2" w:rsidRDefault="00890AC2" w:rsidP="00890AC2">
      <w:pPr>
        <w:tabs>
          <w:tab w:val="left" w:pos="1168"/>
        </w:tabs>
        <w:jc w:val="both"/>
        <w:rPr>
          <w:rFonts w:eastAsia="Times New Roman" w:cs="Times New Roman"/>
          <w:sz w:val="20"/>
          <w:szCs w:val="20"/>
          <w:lang w:val="en-US" w:eastAsia="en-CA"/>
        </w:rPr>
      </w:pPr>
    </w:p>
    <w:p w:rsidR="00890AC2" w:rsidRPr="00890AC2" w:rsidRDefault="00890AC2" w:rsidP="00890AC2">
      <w:pPr>
        <w:tabs>
          <w:tab w:val="left" w:pos="1168"/>
        </w:tabs>
        <w:jc w:val="both"/>
        <w:rPr>
          <w:rFonts w:eastAsia="Times New Roman" w:cs="Times New Roman"/>
          <w:sz w:val="20"/>
          <w:szCs w:val="20"/>
          <w:lang w:val="en-US" w:eastAsia="en-CA"/>
        </w:rPr>
      </w:pPr>
      <w:r w:rsidRPr="00890AC2">
        <w:rPr>
          <w:rFonts w:eastAsia="Times New Roman" w:cs="Times New Roman"/>
          <w:sz w:val="20"/>
          <w:szCs w:val="20"/>
          <w:lang w:val="en-US" w:eastAsia="en-CA"/>
        </w:rPr>
        <w:tab/>
        <w:t xml:space="preserve">In </w:t>
      </w:r>
      <w:r w:rsidRPr="00890AC2">
        <w:rPr>
          <w:rFonts w:eastAsia="Times New Roman" w:cs="Times New Roman"/>
          <w:i/>
          <w:sz w:val="20"/>
          <w:szCs w:val="20"/>
          <w:lang w:val="en-US" w:eastAsia="en-CA"/>
        </w:rPr>
        <w:t>CIBC</w:t>
      </w:r>
      <w:r w:rsidRPr="00890AC2">
        <w:rPr>
          <w:rFonts w:eastAsia="Times New Roman" w:cs="Times New Roman"/>
          <w:sz w:val="20"/>
          <w:szCs w:val="20"/>
          <w:lang w:val="en-US" w:eastAsia="en-CA"/>
        </w:rPr>
        <w:t xml:space="preserve">, in addition to the limitation period issue, the defendants challenged the threshold that must be met by a plaintiff applying for leave under s. 138.8 </w:t>
      </w:r>
      <w:r w:rsidRPr="00890AC2">
        <w:rPr>
          <w:rFonts w:eastAsia="Times New Roman" w:cs="Times New Roman"/>
          <w:i/>
          <w:sz w:val="20"/>
          <w:szCs w:val="20"/>
          <w:lang w:val="en-US" w:eastAsia="en-CA"/>
        </w:rPr>
        <w:t>OSA</w:t>
      </w:r>
      <w:r w:rsidRPr="00890AC2">
        <w:rPr>
          <w:rFonts w:eastAsia="Times New Roman" w:cs="Times New Roman"/>
          <w:sz w:val="20"/>
          <w:szCs w:val="20"/>
          <w:lang w:val="en-US" w:eastAsia="en-CA"/>
        </w:rPr>
        <w:t xml:space="preserve"> and the plaintiffs sought certification for seven common issues relating to the common law misrepresentation claim. Despite his finding that the statutory action was statute</w:t>
      </w:r>
      <w:r w:rsidRPr="00890AC2">
        <w:rPr>
          <w:rFonts w:eastAsia="Times New Roman" w:cs="Times New Roman"/>
          <w:sz w:val="20"/>
          <w:szCs w:val="20"/>
          <w:lang w:val="en-US" w:eastAsia="en-CA"/>
        </w:rPr>
        <w:noBreakHyphen/>
        <w:t xml:space="preserve">barred, the motion judge interpreted s. 138.8 </w:t>
      </w:r>
      <w:r w:rsidRPr="00890AC2">
        <w:rPr>
          <w:rFonts w:eastAsia="Times New Roman" w:cs="Times New Roman"/>
          <w:i/>
          <w:sz w:val="20"/>
          <w:szCs w:val="20"/>
          <w:lang w:val="en-US" w:eastAsia="en-CA"/>
        </w:rPr>
        <w:t>OSA</w:t>
      </w:r>
      <w:r w:rsidRPr="00890AC2">
        <w:rPr>
          <w:rFonts w:eastAsia="Times New Roman" w:cs="Times New Roman"/>
          <w:sz w:val="20"/>
          <w:szCs w:val="20"/>
          <w:lang w:val="en-US" w:eastAsia="en-CA"/>
        </w:rPr>
        <w:t xml:space="preserve"> as establishing a relatively low threshold. With respect to certification of the issues, the motion judge held that reliance, a necessary element of a common law misrepresentation claim, was not an issue that was capable of resolution on a common basis, and that a class proceeding would not be the preferable procedure for resolving a reliance</w:t>
      </w:r>
      <w:r w:rsidRPr="00890AC2">
        <w:rPr>
          <w:rFonts w:eastAsia="Times New Roman" w:cs="Times New Roman"/>
          <w:sz w:val="20"/>
          <w:szCs w:val="20"/>
          <w:lang w:val="en-US" w:eastAsia="en-CA"/>
        </w:rPr>
        <w:noBreakHyphen/>
        <w:t>based claim. He refused to certify all seven issues relating to the common law misrepresentation claim.</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val="en-US" w:eastAsia="en-CA"/>
        </w:rPr>
      </w:pPr>
      <w:r w:rsidRPr="00890AC2">
        <w:rPr>
          <w:rFonts w:eastAsia="Times New Roman" w:cs="Times New Roman"/>
          <w:sz w:val="20"/>
          <w:szCs w:val="20"/>
          <w:lang w:eastAsia="en-CA"/>
        </w:rPr>
        <w:tab/>
        <w:t>On appeal, the three cases were heard together by a five</w:t>
      </w:r>
      <w:r w:rsidRPr="00890AC2">
        <w:rPr>
          <w:rFonts w:eastAsia="Times New Roman" w:cs="Times New Roman"/>
          <w:sz w:val="20"/>
          <w:szCs w:val="20"/>
          <w:lang w:eastAsia="en-CA"/>
        </w:rPr>
        <w:noBreakHyphen/>
        <w:t xml:space="preserve">member panel of the Ontario Court of Appeal. The panel </w:t>
      </w:r>
      <w:r w:rsidRPr="00890AC2">
        <w:rPr>
          <w:rFonts w:eastAsia="Times New Roman" w:cs="Times New Roman"/>
          <w:sz w:val="20"/>
          <w:szCs w:val="20"/>
          <w:lang w:val="en-US" w:eastAsia="en-CA"/>
        </w:rPr>
        <w:t>unanimously overruled</w:t>
      </w:r>
      <w:r w:rsidRPr="00890AC2">
        <w:rPr>
          <w:rFonts w:eastAsia="Times New Roman" w:cs="Times New Roman"/>
          <w:sz w:val="20"/>
          <w:szCs w:val="20"/>
          <w:lang w:eastAsia="en-CA"/>
        </w:rPr>
        <w:t xml:space="preserve"> the interpretation of </w:t>
      </w:r>
      <w:proofErr w:type="spellStart"/>
      <w:r w:rsidRPr="00890AC2">
        <w:rPr>
          <w:rFonts w:eastAsia="Times New Roman" w:cs="Times New Roman"/>
          <w:i/>
          <w:sz w:val="20"/>
          <w:szCs w:val="20"/>
          <w:lang w:eastAsia="en-CA"/>
        </w:rPr>
        <w:t>Timminco</w:t>
      </w:r>
      <w:proofErr w:type="spellEnd"/>
      <w:r w:rsidRPr="00890AC2">
        <w:rPr>
          <w:rFonts w:eastAsia="Times New Roman" w:cs="Times New Roman"/>
          <w:sz w:val="20"/>
          <w:szCs w:val="20"/>
          <w:lang w:eastAsia="en-CA"/>
        </w:rPr>
        <w:t xml:space="preserve">, holding that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operates to suspend the limitation period for all class members once the statutory cause of action is asserted in a class proceeding by a representative plaintiff, even if leave has not yet been granted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as long as the facts that found the action and the intent to seek leave to commence the action have been pleaded. </w:t>
      </w:r>
      <w:r w:rsidRPr="00890AC2">
        <w:rPr>
          <w:rFonts w:eastAsia="Times New Roman" w:cs="Times New Roman"/>
          <w:sz w:val="20"/>
          <w:szCs w:val="20"/>
          <w:lang w:val="en-US" w:eastAsia="en-CA"/>
        </w:rPr>
        <w:t>As a result, the court concluded that in all three cases, the plaintiffs’ statutory claims for secondary market misrepresentation were not statute</w:t>
      </w:r>
      <w:r w:rsidRPr="00890AC2">
        <w:rPr>
          <w:rFonts w:eastAsia="Times New Roman" w:cs="Times New Roman"/>
          <w:sz w:val="20"/>
          <w:szCs w:val="20"/>
          <w:lang w:val="en-US" w:eastAsia="en-CA"/>
        </w:rPr>
        <w:noBreakHyphen/>
        <w:t xml:space="preserve">barred. With respect to the threshold to be met for leave to be granted under s. 138.8 </w:t>
      </w:r>
      <w:r w:rsidRPr="00890AC2">
        <w:rPr>
          <w:rFonts w:eastAsia="Times New Roman" w:cs="Times New Roman"/>
          <w:i/>
          <w:sz w:val="20"/>
          <w:szCs w:val="20"/>
          <w:lang w:val="en-US" w:eastAsia="en-CA"/>
        </w:rPr>
        <w:t>OSA</w:t>
      </w:r>
      <w:r w:rsidRPr="00890AC2">
        <w:rPr>
          <w:rFonts w:eastAsia="Times New Roman" w:cs="Times New Roman"/>
          <w:sz w:val="20"/>
          <w:szCs w:val="20"/>
          <w:lang w:val="en-US" w:eastAsia="en-CA"/>
        </w:rPr>
        <w:t xml:space="preserve">, the Court of Appeal upheld the interpretation of the motion judge in </w:t>
      </w:r>
      <w:r w:rsidRPr="00890AC2">
        <w:rPr>
          <w:rFonts w:eastAsia="Times New Roman" w:cs="Times New Roman"/>
          <w:i/>
          <w:sz w:val="20"/>
          <w:szCs w:val="20"/>
          <w:lang w:val="en-US" w:eastAsia="en-CA"/>
        </w:rPr>
        <w:t>CIBC</w:t>
      </w:r>
      <w:r w:rsidRPr="00890AC2">
        <w:rPr>
          <w:rFonts w:eastAsia="Times New Roman" w:cs="Times New Roman"/>
          <w:sz w:val="20"/>
          <w:szCs w:val="20"/>
          <w:lang w:val="en-US" w:eastAsia="en-CA"/>
        </w:rPr>
        <w:t xml:space="preserve">. Finally, the Court of Appeal upheld the motion judge’s decision in </w:t>
      </w:r>
      <w:r w:rsidRPr="00890AC2">
        <w:rPr>
          <w:rFonts w:eastAsia="Times New Roman" w:cs="Times New Roman"/>
          <w:i/>
          <w:sz w:val="20"/>
          <w:szCs w:val="20"/>
          <w:lang w:val="en-US" w:eastAsia="en-CA"/>
        </w:rPr>
        <w:t>CIBC</w:t>
      </w:r>
      <w:r w:rsidRPr="00890AC2">
        <w:rPr>
          <w:rFonts w:eastAsia="Times New Roman" w:cs="Times New Roman"/>
          <w:sz w:val="20"/>
          <w:szCs w:val="20"/>
          <w:lang w:val="en-US" w:eastAsia="en-CA"/>
        </w:rPr>
        <w:t xml:space="preserve"> not to certify the issues relating to reliance and damages, but it held that five out of the seven issues proposed by the plaintiffs related to the intent and conduct of the defendant CIBC and should be certified as against that defendant in order to advance the litigation against it.</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val="en-US"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 xml:space="preserve">Held </w:t>
      </w:r>
      <w:r w:rsidRPr="00890AC2">
        <w:rPr>
          <w:rFonts w:eastAsia="Times New Roman" w:cs="Times New Roman"/>
          <w:sz w:val="20"/>
          <w:szCs w:val="20"/>
          <w:lang w:eastAsia="en-CA"/>
        </w:rPr>
        <w:t>(</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C.J. and Rothstein and C</w:t>
      </w:r>
      <w:proofErr w:type="spellStart"/>
      <w:r w:rsidRPr="00890AC2">
        <w:rPr>
          <w:rFonts w:eastAsia="Times New Roman" w:cs="Times New Roman"/>
          <w:sz w:val="20"/>
          <w:szCs w:val="20"/>
          <w:lang w:val="en-US" w:eastAsia="en-CA"/>
        </w:rPr>
        <w:t>ôté</w:t>
      </w:r>
      <w:proofErr w:type="spellEnd"/>
      <w:r w:rsidRPr="00890AC2">
        <w:rPr>
          <w:rFonts w:eastAsia="Times New Roman" w:cs="Times New Roman"/>
          <w:sz w:val="20"/>
          <w:szCs w:val="20"/>
          <w:lang w:val="en-US" w:eastAsia="en-CA"/>
        </w:rPr>
        <w:t> JJ. dissenting in part</w:t>
      </w:r>
      <w:r w:rsidRPr="00890AC2">
        <w:rPr>
          <w:rFonts w:eastAsia="Times New Roman" w:cs="Times New Roman"/>
          <w:sz w:val="20"/>
          <w:szCs w:val="20"/>
          <w:lang w:eastAsia="en-CA"/>
        </w:rPr>
        <w:t>):</w:t>
      </w:r>
      <w:r w:rsidRPr="00890AC2">
        <w:rPr>
          <w:rFonts w:eastAsia="Times New Roman" w:cs="Times New Roman"/>
          <w:i/>
          <w:sz w:val="20"/>
          <w:szCs w:val="20"/>
          <w:lang w:eastAsia="en-CA"/>
        </w:rPr>
        <w:t xml:space="preserve"> </w:t>
      </w:r>
      <w:r w:rsidRPr="00890AC2">
        <w:rPr>
          <w:rFonts w:eastAsia="Times New Roman" w:cs="Times New Roman"/>
          <w:sz w:val="20"/>
          <w:szCs w:val="20"/>
          <w:lang w:eastAsia="en-CA"/>
        </w:rPr>
        <w:t xml:space="preserve">The appeals in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should be dismissed.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C.J. and Rothstein, Cromwell and C</w:t>
      </w:r>
      <w:proofErr w:type="spellStart"/>
      <w:r w:rsidRPr="00890AC2">
        <w:rPr>
          <w:rFonts w:eastAsia="Times New Roman" w:cs="Times New Roman"/>
          <w:sz w:val="20"/>
          <w:szCs w:val="20"/>
          <w:lang w:val="en-US" w:eastAsia="en-CA"/>
        </w:rPr>
        <w:t>ôté</w:t>
      </w:r>
      <w:proofErr w:type="spellEnd"/>
      <w:r w:rsidRPr="00890AC2">
        <w:rPr>
          <w:rFonts w:eastAsia="Times New Roman" w:cs="Times New Roman"/>
          <w:sz w:val="20"/>
          <w:szCs w:val="20"/>
          <w:lang w:val="en-US" w:eastAsia="en-CA"/>
        </w:rPr>
        <w:t xml:space="preserve"> JJ. </w:t>
      </w:r>
      <w:proofErr w:type="gramStart"/>
      <w:r w:rsidRPr="00890AC2">
        <w:rPr>
          <w:rFonts w:eastAsia="Times New Roman" w:cs="Times New Roman"/>
          <w:sz w:val="20"/>
          <w:szCs w:val="20"/>
          <w:lang w:val="en-US" w:eastAsia="en-CA"/>
        </w:rPr>
        <w:t>find</w:t>
      </w:r>
      <w:proofErr w:type="gramEnd"/>
      <w:r w:rsidRPr="00890AC2">
        <w:rPr>
          <w:rFonts w:eastAsia="Times New Roman" w:cs="Times New Roman"/>
          <w:sz w:val="20"/>
          <w:szCs w:val="20"/>
          <w:lang w:val="en-US" w:eastAsia="en-CA"/>
        </w:rPr>
        <w:t xml:space="preserve"> that the statutory action is time</w:t>
      </w:r>
      <w:r w:rsidRPr="00890AC2">
        <w:rPr>
          <w:rFonts w:eastAsia="Times New Roman" w:cs="Times New Roman"/>
          <w:sz w:val="20"/>
          <w:szCs w:val="20"/>
          <w:lang w:val="en-US" w:eastAsia="en-CA"/>
        </w:rPr>
        <w:noBreakHyphen/>
        <w:t xml:space="preserve">barred. </w:t>
      </w:r>
      <w:proofErr w:type="spellStart"/>
      <w:r w:rsidRPr="00890AC2">
        <w:rPr>
          <w:rFonts w:eastAsia="Times New Roman" w:cs="Times New Roman"/>
          <w:sz w:val="20"/>
          <w:szCs w:val="20"/>
          <w:lang w:val="en-US" w:eastAsia="en-CA"/>
        </w:rPr>
        <w:t>McLachlin</w:t>
      </w:r>
      <w:proofErr w:type="spellEnd"/>
      <w:r w:rsidRPr="00890AC2">
        <w:rPr>
          <w:rFonts w:eastAsia="Times New Roman" w:cs="Times New Roman"/>
          <w:sz w:val="20"/>
          <w:szCs w:val="20"/>
          <w:lang w:val="en-US" w:eastAsia="en-CA"/>
        </w:rPr>
        <w:t xml:space="preserve"> C.J. and Rothstein and </w:t>
      </w:r>
      <w:proofErr w:type="spellStart"/>
      <w:r w:rsidRPr="00890AC2">
        <w:rPr>
          <w:rFonts w:eastAsia="Times New Roman" w:cs="Times New Roman"/>
          <w:sz w:val="20"/>
          <w:szCs w:val="20"/>
          <w:lang w:val="en-US" w:eastAsia="en-CA"/>
        </w:rPr>
        <w:t>Côté</w:t>
      </w:r>
      <w:proofErr w:type="spellEnd"/>
      <w:r w:rsidRPr="00890AC2">
        <w:rPr>
          <w:rFonts w:eastAsia="Times New Roman" w:cs="Times New Roman"/>
          <w:sz w:val="20"/>
          <w:szCs w:val="20"/>
          <w:lang w:val="en-US" w:eastAsia="en-CA"/>
        </w:rPr>
        <w:t xml:space="preserve"> JJ. </w:t>
      </w:r>
      <w:proofErr w:type="gramStart"/>
      <w:r w:rsidRPr="00890AC2">
        <w:rPr>
          <w:rFonts w:eastAsia="Times New Roman" w:cs="Times New Roman"/>
          <w:sz w:val="20"/>
          <w:szCs w:val="20"/>
          <w:lang w:val="en-US" w:eastAsia="en-CA"/>
        </w:rPr>
        <w:t>would</w:t>
      </w:r>
      <w:proofErr w:type="gramEnd"/>
      <w:r w:rsidRPr="00890AC2">
        <w:rPr>
          <w:rFonts w:eastAsia="Times New Roman" w:cs="Times New Roman"/>
          <w:sz w:val="20"/>
          <w:szCs w:val="20"/>
          <w:lang w:val="en-US" w:eastAsia="en-CA"/>
        </w:rPr>
        <w:t xml:space="preserve"> allow the appeals on this issue. Cromwell J. would grant leave </w:t>
      </w:r>
      <w:proofErr w:type="spellStart"/>
      <w:r w:rsidRPr="00890AC2">
        <w:rPr>
          <w:rFonts w:eastAsia="Times New Roman" w:cs="Times New Roman"/>
          <w:i/>
          <w:sz w:val="20"/>
          <w:szCs w:val="20"/>
          <w:lang w:val="en-US" w:eastAsia="en-CA"/>
        </w:rPr>
        <w:t>nunc</w:t>
      </w:r>
      <w:proofErr w:type="spellEnd"/>
      <w:r w:rsidRPr="00890AC2">
        <w:rPr>
          <w:rFonts w:eastAsia="Times New Roman" w:cs="Times New Roman"/>
          <w:i/>
          <w:sz w:val="20"/>
          <w:szCs w:val="20"/>
          <w:lang w:val="en-US" w:eastAsia="en-CA"/>
        </w:rPr>
        <w:t xml:space="preserve"> pro </w:t>
      </w:r>
      <w:proofErr w:type="spellStart"/>
      <w:r w:rsidRPr="00890AC2">
        <w:rPr>
          <w:rFonts w:eastAsia="Times New Roman" w:cs="Times New Roman"/>
          <w:i/>
          <w:sz w:val="20"/>
          <w:szCs w:val="20"/>
          <w:lang w:val="en-US" w:eastAsia="en-CA"/>
        </w:rPr>
        <w:t>tunc</w:t>
      </w:r>
      <w:proofErr w:type="spellEnd"/>
      <w:r w:rsidRPr="00890AC2">
        <w:rPr>
          <w:rFonts w:eastAsia="Times New Roman" w:cs="Times New Roman"/>
          <w:sz w:val="20"/>
          <w:szCs w:val="20"/>
          <w:lang w:val="en-US" w:eastAsia="en-CA"/>
        </w:rPr>
        <w:t xml:space="preserve"> and dismiss the appeals. </w:t>
      </w:r>
      <w:proofErr w:type="spellStart"/>
      <w:r w:rsidRPr="00890AC2">
        <w:rPr>
          <w:rFonts w:eastAsia="Times New Roman" w:cs="Times New Roman"/>
          <w:sz w:val="20"/>
          <w:szCs w:val="20"/>
          <w:lang w:eastAsia="en-CA"/>
        </w:rPr>
        <w:t>Moldaver</w:t>
      </w:r>
      <w:proofErr w:type="spellEnd"/>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Karakatsanis</w:t>
      </w:r>
      <w:proofErr w:type="spellEnd"/>
      <w:r w:rsidRPr="00890AC2">
        <w:rPr>
          <w:rFonts w:eastAsia="Times New Roman" w:cs="Times New Roman"/>
          <w:sz w:val="20"/>
          <w:szCs w:val="20"/>
          <w:lang w:eastAsia="en-CA"/>
        </w:rPr>
        <w:t xml:space="preserve"> and </w:t>
      </w:r>
      <w:proofErr w:type="spellStart"/>
      <w:r w:rsidRPr="00890AC2">
        <w:rPr>
          <w:rFonts w:eastAsia="Times New Roman" w:cs="Times New Roman"/>
          <w:sz w:val="20"/>
          <w:szCs w:val="20"/>
          <w:lang w:eastAsia="en-CA"/>
        </w:rPr>
        <w:t>Gascon</w:t>
      </w:r>
      <w:proofErr w:type="spellEnd"/>
      <w:r w:rsidRPr="00890AC2">
        <w:rPr>
          <w:rFonts w:eastAsia="Times New Roman" w:cs="Times New Roman"/>
          <w:sz w:val="20"/>
          <w:szCs w:val="20"/>
          <w:lang w:eastAsia="en-CA"/>
        </w:rPr>
        <w:t xml:space="preserve"> JJ. </w:t>
      </w:r>
      <w:proofErr w:type="gramStart"/>
      <w:r w:rsidRPr="00890AC2">
        <w:rPr>
          <w:rFonts w:eastAsia="Times New Roman" w:cs="Times New Roman"/>
          <w:sz w:val="20"/>
          <w:szCs w:val="20"/>
          <w:lang w:eastAsia="en-CA"/>
        </w:rPr>
        <w:t>find</w:t>
      </w:r>
      <w:proofErr w:type="gramEnd"/>
      <w:r w:rsidRPr="00890AC2">
        <w:rPr>
          <w:rFonts w:eastAsia="Times New Roman" w:cs="Times New Roman"/>
          <w:sz w:val="20"/>
          <w:szCs w:val="20"/>
          <w:lang w:eastAsia="en-CA"/>
        </w:rPr>
        <w:t xml:space="preserve"> that the statutory action is not time</w:t>
      </w:r>
      <w:r w:rsidRPr="00890AC2">
        <w:rPr>
          <w:rFonts w:eastAsia="Times New Roman" w:cs="Times New Roman"/>
          <w:sz w:val="20"/>
          <w:szCs w:val="20"/>
          <w:lang w:eastAsia="en-CA"/>
        </w:rPr>
        <w:noBreakHyphen/>
        <w:t xml:space="preserve">barred and would dismiss the appeals. </w:t>
      </w:r>
      <w:r w:rsidRPr="00890AC2">
        <w:rPr>
          <w:rFonts w:eastAsia="Times New Roman" w:cs="Times New Roman"/>
          <w:sz w:val="20"/>
          <w:szCs w:val="20"/>
          <w:lang w:val="en-US" w:eastAsia="en-CA"/>
        </w:rPr>
        <w:t>On the issues of the threshold for leave and the certification of common issues, a unanimous court would dismiss the appeals.</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Held</w:t>
      </w:r>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C.J. and Rothstein and C</w:t>
      </w:r>
      <w:proofErr w:type="spellStart"/>
      <w:r w:rsidRPr="00890AC2">
        <w:rPr>
          <w:rFonts w:eastAsia="Times New Roman" w:cs="Times New Roman"/>
          <w:sz w:val="20"/>
          <w:szCs w:val="20"/>
          <w:lang w:val="en-US" w:eastAsia="en-CA"/>
        </w:rPr>
        <w:t>ôté</w:t>
      </w:r>
      <w:proofErr w:type="spellEnd"/>
      <w:r w:rsidRPr="00890AC2">
        <w:rPr>
          <w:rFonts w:eastAsia="Times New Roman" w:cs="Times New Roman"/>
          <w:sz w:val="20"/>
          <w:szCs w:val="20"/>
          <w:lang w:val="en-US" w:eastAsia="en-CA"/>
        </w:rPr>
        <w:t> JJ. dissenting in part</w:t>
      </w:r>
      <w:r w:rsidRPr="00890AC2">
        <w:rPr>
          <w:rFonts w:eastAsia="Times New Roman" w:cs="Times New Roman"/>
          <w:sz w:val="20"/>
          <w:szCs w:val="20"/>
          <w:lang w:eastAsia="en-CA"/>
        </w:rPr>
        <w:t>):</w:t>
      </w:r>
      <w:r w:rsidRPr="00890AC2">
        <w:rPr>
          <w:rFonts w:eastAsia="Times New Roman" w:cs="Times New Roman"/>
          <w:i/>
          <w:sz w:val="20"/>
          <w:szCs w:val="20"/>
          <w:lang w:eastAsia="en-CA"/>
        </w:rPr>
        <w:t xml:space="preserve"> </w:t>
      </w:r>
      <w:r w:rsidRPr="00890AC2">
        <w:rPr>
          <w:rFonts w:eastAsia="Times New Roman" w:cs="Times New Roman"/>
          <w:sz w:val="20"/>
          <w:szCs w:val="20"/>
          <w:lang w:eastAsia="en-CA"/>
        </w:rPr>
        <w:t xml:space="preserve">The appeal in </w:t>
      </w:r>
      <w:r w:rsidRPr="00890AC2">
        <w:rPr>
          <w:rFonts w:eastAsia="Times New Roman" w:cs="Times New Roman"/>
          <w:i/>
          <w:sz w:val="20"/>
          <w:szCs w:val="20"/>
          <w:lang w:eastAsia="en-CA"/>
        </w:rPr>
        <w:t>IMAX</w:t>
      </w:r>
      <w:r w:rsidRPr="00890AC2">
        <w:rPr>
          <w:rFonts w:eastAsia="Times New Roman" w:cs="Times New Roman"/>
          <w:sz w:val="20"/>
          <w:szCs w:val="20"/>
          <w:lang w:eastAsia="en-CA"/>
        </w:rPr>
        <w:t xml:space="preserve"> should be dismissed.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C.J. and Rothstein, Cromwell and C</w:t>
      </w:r>
      <w:proofErr w:type="spellStart"/>
      <w:r w:rsidRPr="00890AC2">
        <w:rPr>
          <w:rFonts w:eastAsia="Times New Roman" w:cs="Times New Roman"/>
          <w:sz w:val="20"/>
          <w:szCs w:val="20"/>
          <w:lang w:val="en-US" w:eastAsia="en-CA"/>
        </w:rPr>
        <w:t>ôté</w:t>
      </w:r>
      <w:proofErr w:type="spellEnd"/>
      <w:r w:rsidRPr="00890AC2">
        <w:rPr>
          <w:rFonts w:eastAsia="Times New Roman" w:cs="Times New Roman"/>
          <w:sz w:val="20"/>
          <w:szCs w:val="20"/>
          <w:lang w:val="en-US" w:eastAsia="en-CA"/>
        </w:rPr>
        <w:t xml:space="preserve"> JJ. </w:t>
      </w:r>
      <w:proofErr w:type="gramStart"/>
      <w:r w:rsidRPr="00890AC2">
        <w:rPr>
          <w:rFonts w:eastAsia="Times New Roman" w:cs="Times New Roman"/>
          <w:sz w:val="20"/>
          <w:szCs w:val="20"/>
          <w:lang w:val="en-US" w:eastAsia="en-CA"/>
        </w:rPr>
        <w:t>find</w:t>
      </w:r>
      <w:proofErr w:type="gramEnd"/>
      <w:r w:rsidRPr="00890AC2">
        <w:rPr>
          <w:rFonts w:eastAsia="Times New Roman" w:cs="Times New Roman"/>
          <w:sz w:val="20"/>
          <w:szCs w:val="20"/>
          <w:lang w:val="en-US" w:eastAsia="en-CA"/>
        </w:rPr>
        <w:t xml:space="preserve"> that the statutory action is time</w:t>
      </w:r>
      <w:r w:rsidRPr="00890AC2">
        <w:rPr>
          <w:rFonts w:eastAsia="Times New Roman" w:cs="Times New Roman"/>
          <w:sz w:val="20"/>
          <w:szCs w:val="20"/>
          <w:lang w:val="en-US" w:eastAsia="en-CA"/>
        </w:rPr>
        <w:noBreakHyphen/>
        <w:t xml:space="preserve">barred. </w:t>
      </w:r>
      <w:proofErr w:type="spellStart"/>
      <w:r w:rsidRPr="00890AC2">
        <w:rPr>
          <w:rFonts w:eastAsia="Times New Roman" w:cs="Times New Roman"/>
          <w:sz w:val="20"/>
          <w:szCs w:val="20"/>
          <w:lang w:val="en-US" w:eastAsia="en-CA"/>
        </w:rPr>
        <w:t>McLachlin</w:t>
      </w:r>
      <w:proofErr w:type="spellEnd"/>
      <w:r w:rsidRPr="00890AC2">
        <w:rPr>
          <w:rFonts w:eastAsia="Times New Roman" w:cs="Times New Roman"/>
          <w:sz w:val="20"/>
          <w:szCs w:val="20"/>
          <w:lang w:val="en-US" w:eastAsia="en-CA"/>
        </w:rPr>
        <w:t xml:space="preserve"> C.J. and Rothstein and </w:t>
      </w:r>
      <w:proofErr w:type="spellStart"/>
      <w:r w:rsidRPr="00890AC2">
        <w:rPr>
          <w:rFonts w:eastAsia="Times New Roman" w:cs="Times New Roman"/>
          <w:sz w:val="20"/>
          <w:szCs w:val="20"/>
          <w:lang w:val="en-US" w:eastAsia="en-CA"/>
        </w:rPr>
        <w:t>Côté</w:t>
      </w:r>
      <w:proofErr w:type="spellEnd"/>
      <w:r w:rsidRPr="00890AC2">
        <w:rPr>
          <w:rFonts w:eastAsia="Times New Roman" w:cs="Times New Roman"/>
          <w:sz w:val="20"/>
          <w:szCs w:val="20"/>
          <w:lang w:val="en-US" w:eastAsia="en-CA"/>
        </w:rPr>
        <w:t xml:space="preserve"> JJ. </w:t>
      </w:r>
      <w:proofErr w:type="gramStart"/>
      <w:r w:rsidRPr="00890AC2">
        <w:rPr>
          <w:rFonts w:eastAsia="Times New Roman" w:cs="Times New Roman"/>
          <w:sz w:val="20"/>
          <w:szCs w:val="20"/>
          <w:lang w:val="en-US" w:eastAsia="en-CA"/>
        </w:rPr>
        <w:t>would</w:t>
      </w:r>
      <w:proofErr w:type="gramEnd"/>
      <w:r w:rsidRPr="00890AC2">
        <w:rPr>
          <w:rFonts w:eastAsia="Times New Roman" w:cs="Times New Roman"/>
          <w:sz w:val="20"/>
          <w:szCs w:val="20"/>
          <w:lang w:val="en-US" w:eastAsia="en-CA"/>
        </w:rPr>
        <w:t xml:space="preserve"> allow the appeal with respect to </w:t>
      </w:r>
      <w:r w:rsidRPr="00890AC2">
        <w:rPr>
          <w:rFonts w:eastAsia="Times New Roman" w:cs="Times New Roman"/>
          <w:sz w:val="20"/>
          <w:szCs w:val="20"/>
          <w:lang w:eastAsia="en-CA"/>
        </w:rPr>
        <w:t xml:space="preserve">the defendants who were not parties to the original statement of claim but would grant leave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and dismiss the appeal with respect to the defendants who were parties to the original statement of claim</w:t>
      </w:r>
      <w:r w:rsidRPr="00890AC2">
        <w:rPr>
          <w:rFonts w:eastAsia="Times New Roman" w:cs="Times New Roman"/>
          <w:sz w:val="20"/>
          <w:szCs w:val="20"/>
          <w:lang w:val="en-US" w:eastAsia="en-CA"/>
        </w:rPr>
        <w:t xml:space="preserve">. Cromwell J. would grant leave </w:t>
      </w:r>
      <w:proofErr w:type="spellStart"/>
      <w:r w:rsidRPr="00890AC2">
        <w:rPr>
          <w:rFonts w:eastAsia="Times New Roman" w:cs="Times New Roman"/>
          <w:i/>
          <w:sz w:val="20"/>
          <w:szCs w:val="20"/>
          <w:lang w:val="en-US" w:eastAsia="en-CA"/>
        </w:rPr>
        <w:t>nunc</w:t>
      </w:r>
      <w:proofErr w:type="spellEnd"/>
      <w:r w:rsidRPr="00890AC2">
        <w:rPr>
          <w:rFonts w:eastAsia="Times New Roman" w:cs="Times New Roman"/>
          <w:i/>
          <w:sz w:val="20"/>
          <w:szCs w:val="20"/>
          <w:lang w:val="en-US" w:eastAsia="en-CA"/>
        </w:rPr>
        <w:t xml:space="preserve"> pro </w:t>
      </w:r>
      <w:proofErr w:type="spellStart"/>
      <w:r w:rsidRPr="00890AC2">
        <w:rPr>
          <w:rFonts w:eastAsia="Times New Roman" w:cs="Times New Roman"/>
          <w:i/>
          <w:sz w:val="20"/>
          <w:szCs w:val="20"/>
          <w:lang w:val="en-US" w:eastAsia="en-CA"/>
        </w:rPr>
        <w:t>tunc</w:t>
      </w:r>
      <w:proofErr w:type="spellEnd"/>
      <w:r w:rsidRPr="00890AC2">
        <w:rPr>
          <w:rFonts w:eastAsia="Times New Roman" w:cs="Times New Roman"/>
          <w:sz w:val="20"/>
          <w:szCs w:val="20"/>
          <w:lang w:val="en-US" w:eastAsia="en-CA"/>
        </w:rPr>
        <w:t xml:space="preserve"> and dismiss the appeal with respect to all defendants. </w:t>
      </w:r>
      <w:proofErr w:type="spellStart"/>
      <w:r w:rsidRPr="00890AC2">
        <w:rPr>
          <w:rFonts w:eastAsia="Times New Roman" w:cs="Times New Roman"/>
          <w:sz w:val="20"/>
          <w:szCs w:val="20"/>
          <w:lang w:eastAsia="en-CA"/>
        </w:rPr>
        <w:t>Moldaver</w:t>
      </w:r>
      <w:proofErr w:type="spellEnd"/>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Karakatsanis</w:t>
      </w:r>
      <w:proofErr w:type="spellEnd"/>
      <w:r w:rsidRPr="00890AC2">
        <w:rPr>
          <w:rFonts w:eastAsia="Times New Roman" w:cs="Times New Roman"/>
          <w:sz w:val="20"/>
          <w:szCs w:val="20"/>
          <w:lang w:eastAsia="en-CA"/>
        </w:rPr>
        <w:t xml:space="preserve"> and </w:t>
      </w:r>
      <w:proofErr w:type="spellStart"/>
      <w:r w:rsidRPr="00890AC2">
        <w:rPr>
          <w:rFonts w:eastAsia="Times New Roman" w:cs="Times New Roman"/>
          <w:sz w:val="20"/>
          <w:szCs w:val="20"/>
          <w:lang w:eastAsia="en-CA"/>
        </w:rPr>
        <w:t>Gascon</w:t>
      </w:r>
      <w:proofErr w:type="spellEnd"/>
      <w:r w:rsidRPr="00890AC2">
        <w:rPr>
          <w:rFonts w:eastAsia="Times New Roman" w:cs="Times New Roman"/>
          <w:sz w:val="20"/>
          <w:szCs w:val="20"/>
          <w:lang w:eastAsia="en-CA"/>
        </w:rPr>
        <w:t xml:space="preserve"> JJ. </w:t>
      </w:r>
      <w:proofErr w:type="gramStart"/>
      <w:r w:rsidRPr="00890AC2">
        <w:rPr>
          <w:rFonts w:eastAsia="Times New Roman" w:cs="Times New Roman"/>
          <w:sz w:val="20"/>
          <w:szCs w:val="20"/>
          <w:lang w:eastAsia="en-CA"/>
        </w:rPr>
        <w:t>find</w:t>
      </w:r>
      <w:proofErr w:type="gramEnd"/>
      <w:r w:rsidRPr="00890AC2">
        <w:rPr>
          <w:rFonts w:eastAsia="Times New Roman" w:cs="Times New Roman"/>
          <w:sz w:val="20"/>
          <w:szCs w:val="20"/>
          <w:lang w:eastAsia="en-CA"/>
        </w:rPr>
        <w:t xml:space="preserve"> that the statutory action is not time</w:t>
      </w:r>
      <w:r w:rsidRPr="00890AC2">
        <w:rPr>
          <w:rFonts w:eastAsia="Times New Roman" w:cs="Times New Roman"/>
          <w:sz w:val="20"/>
          <w:szCs w:val="20"/>
          <w:lang w:eastAsia="en-CA"/>
        </w:rPr>
        <w:noBreakHyphen/>
        <w:t>barred and would dismiss the appeal.</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 xml:space="preserve">Held </w:t>
      </w:r>
      <w:r w:rsidRPr="00890AC2">
        <w:rPr>
          <w:rFonts w:eastAsia="Times New Roman" w:cs="Times New Roman"/>
          <w:sz w:val="20"/>
          <w:szCs w:val="20"/>
          <w:lang w:eastAsia="en-CA"/>
        </w:rPr>
        <w:t>(</w:t>
      </w:r>
      <w:proofErr w:type="spellStart"/>
      <w:r w:rsidRPr="00890AC2">
        <w:rPr>
          <w:rFonts w:eastAsia="Times New Roman" w:cs="Times New Roman"/>
          <w:sz w:val="20"/>
          <w:szCs w:val="20"/>
          <w:lang w:eastAsia="en-CA"/>
        </w:rPr>
        <w:t>Moldaver</w:t>
      </w:r>
      <w:proofErr w:type="spellEnd"/>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Karakatsanis</w:t>
      </w:r>
      <w:proofErr w:type="spellEnd"/>
      <w:r w:rsidRPr="00890AC2">
        <w:rPr>
          <w:rFonts w:eastAsia="Times New Roman" w:cs="Times New Roman"/>
          <w:sz w:val="20"/>
          <w:szCs w:val="20"/>
          <w:lang w:eastAsia="en-CA"/>
        </w:rPr>
        <w:t xml:space="preserve"> and </w:t>
      </w:r>
      <w:proofErr w:type="spellStart"/>
      <w:r w:rsidRPr="00890AC2">
        <w:rPr>
          <w:rFonts w:eastAsia="Times New Roman" w:cs="Times New Roman"/>
          <w:sz w:val="20"/>
          <w:szCs w:val="20"/>
          <w:lang w:eastAsia="en-CA"/>
        </w:rPr>
        <w:t>Gascon</w:t>
      </w:r>
      <w:proofErr w:type="spellEnd"/>
      <w:r w:rsidRPr="00890AC2">
        <w:rPr>
          <w:rFonts w:eastAsia="Times New Roman" w:cs="Times New Roman"/>
          <w:sz w:val="20"/>
          <w:szCs w:val="20"/>
          <w:lang w:eastAsia="en-CA"/>
        </w:rPr>
        <w:t xml:space="preserve"> JJ. dissenting): The appeal in </w:t>
      </w:r>
      <w:r w:rsidRPr="00890AC2">
        <w:rPr>
          <w:rFonts w:eastAsia="Times New Roman" w:cs="Times New Roman"/>
          <w:i/>
          <w:sz w:val="20"/>
          <w:szCs w:val="20"/>
          <w:lang w:eastAsia="en-CA"/>
        </w:rPr>
        <w:t>Celestica</w:t>
      </w:r>
      <w:r w:rsidRPr="00890AC2">
        <w:rPr>
          <w:rFonts w:eastAsia="Times New Roman" w:cs="Times New Roman"/>
          <w:sz w:val="20"/>
          <w:szCs w:val="20"/>
          <w:lang w:eastAsia="en-CA"/>
        </w:rPr>
        <w:t xml:space="preserve"> should be allowed.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C.J. and Rothstein, Cromwell and C</w:t>
      </w:r>
      <w:proofErr w:type="spellStart"/>
      <w:r w:rsidRPr="00890AC2">
        <w:rPr>
          <w:rFonts w:eastAsia="Times New Roman" w:cs="Times New Roman"/>
          <w:sz w:val="20"/>
          <w:szCs w:val="20"/>
          <w:lang w:val="en-US" w:eastAsia="en-CA"/>
        </w:rPr>
        <w:t>ôté</w:t>
      </w:r>
      <w:proofErr w:type="spellEnd"/>
      <w:r w:rsidRPr="00890AC2">
        <w:rPr>
          <w:rFonts w:eastAsia="Times New Roman" w:cs="Times New Roman"/>
          <w:sz w:val="20"/>
          <w:szCs w:val="20"/>
          <w:lang w:val="en-US" w:eastAsia="en-CA"/>
        </w:rPr>
        <w:t xml:space="preserve"> JJ. </w:t>
      </w:r>
      <w:proofErr w:type="gramStart"/>
      <w:r w:rsidRPr="00890AC2">
        <w:rPr>
          <w:rFonts w:eastAsia="Times New Roman" w:cs="Times New Roman"/>
          <w:sz w:val="20"/>
          <w:szCs w:val="20"/>
          <w:lang w:val="en-US" w:eastAsia="en-CA"/>
        </w:rPr>
        <w:t>find</w:t>
      </w:r>
      <w:proofErr w:type="gramEnd"/>
      <w:r w:rsidRPr="00890AC2">
        <w:rPr>
          <w:rFonts w:eastAsia="Times New Roman" w:cs="Times New Roman"/>
          <w:sz w:val="20"/>
          <w:szCs w:val="20"/>
          <w:lang w:val="en-US" w:eastAsia="en-CA"/>
        </w:rPr>
        <w:t xml:space="preserve"> that the statutory action is time</w:t>
      </w:r>
      <w:r w:rsidRPr="00890AC2">
        <w:rPr>
          <w:rFonts w:eastAsia="Times New Roman" w:cs="Times New Roman"/>
          <w:sz w:val="20"/>
          <w:szCs w:val="20"/>
          <w:lang w:val="en-US" w:eastAsia="en-CA"/>
        </w:rPr>
        <w:noBreakHyphen/>
        <w:t xml:space="preserve">barred and would allow the appeal. </w:t>
      </w:r>
      <w:proofErr w:type="spellStart"/>
      <w:r w:rsidRPr="00890AC2">
        <w:rPr>
          <w:rFonts w:eastAsia="Times New Roman" w:cs="Times New Roman"/>
          <w:sz w:val="20"/>
          <w:szCs w:val="20"/>
          <w:lang w:eastAsia="en-CA"/>
        </w:rPr>
        <w:t>Moldaver</w:t>
      </w:r>
      <w:proofErr w:type="spellEnd"/>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Karakatsanis</w:t>
      </w:r>
      <w:proofErr w:type="spellEnd"/>
      <w:r w:rsidRPr="00890AC2">
        <w:rPr>
          <w:rFonts w:eastAsia="Times New Roman" w:cs="Times New Roman"/>
          <w:sz w:val="20"/>
          <w:szCs w:val="20"/>
          <w:lang w:eastAsia="en-CA"/>
        </w:rPr>
        <w:t xml:space="preserve"> and </w:t>
      </w:r>
      <w:proofErr w:type="spellStart"/>
      <w:r w:rsidRPr="00890AC2">
        <w:rPr>
          <w:rFonts w:eastAsia="Times New Roman" w:cs="Times New Roman"/>
          <w:sz w:val="20"/>
          <w:szCs w:val="20"/>
          <w:lang w:eastAsia="en-CA"/>
        </w:rPr>
        <w:t>Gascon</w:t>
      </w:r>
      <w:proofErr w:type="spellEnd"/>
      <w:r w:rsidRPr="00890AC2">
        <w:rPr>
          <w:rFonts w:eastAsia="Times New Roman" w:cs="Times New Roman"/>
          <w:sz w:val="20"/>
          <w:szCs w:val="20"/>
          <w:lang w:eastAsia="en-CA"/>
        </w:rPr>
        <w:t xml:space="preserve"> JJ. </w:t>
      </w:r>
      <w:proofErr w:type="gramStart"/>
      <w:r w:rsidRPr="00890AC2">
        <w:rPr>
          <w:rFonts w:eastAsia="Times New Roman" w:cs="Times New Roman"/>
          <w:sz w:val="20"/>
          <w:szCs w:val="20"/>
          <w:lang w:eastAsia="en-CA"/>
        </w:rPr>
        <w:t>find</w:t>
      </w:r>
      <w:proofErr w:type="gramEnd"/>
      <w:r w:rsidRPr="00890AC2">
        <w:rPr>
          <w:rFonts w:eastAsia="Times New Roman" w:cs="Times New Roman"/>
          <w:sz w:val="20"/>
          <w:szCs w:val="20"/>
          <w:lang w:eastAsia="en-CA"/>
        </w:rPr>
        <w:t xml:space="preserve"> that the statutory action is not time</w:t>
      </w:r>
      <w:r w:rsidRPr="00890AC2">
        <w:rPr>
          <w:rFonts w:eastAsia="Times New Roman" w:cs="Times New Roman"/>
          <w:sz w:val="20"/>
          <w:szCs w:val="20"/>
          <w:lang w:eastAsia="en-CA"/>
        </w:rPr>
        <w:noBreakHyphen/>
        <w:t>barred and would dismiss the appeal.</w:t>
      </w:r>
    </w:p>
    <w:p w:rsidR="00890AC2" w:rsidRDefault="00890AC2" w:rsidP="00890AC2">
      <w:pPr>
        <w:tabs>
          <w:tab w:val="left" w:pos="1168"/>
        </w:tabs>
        <w:jc w:val="both"/>
        <w:rPr>
          <w:rFonts w:eastAsia="Times New Roman" w:cs="Times New Roman"/>
          <w:sz w:val="20"/>
          <w:szCs w:val="20"/>
          <w:lang w:eastAsia="en-CA"/>
        </w:rPr>
      </w:pPr>
    </w:p>
    <w:p w:rsid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The issues are decided as follows:</w:t>
      </w:r>
    </w:p>
    <w:p w:rsidR="00890AC2" w:rsidRPr="00890AC2" w:rsidRDefault="00890AC2" w:rsidP="00890AC2">
      <w:pPr>
        <w:tabs>
          <w:tab w:val="left" w:pos="1168"/>
        </w:tabs>
        <w:jc w:val="both"/>
        <w:rPr>
          <w:rFonts w:eastAsia="Times New Roman" w:cs="Times New Roman"/>
          <w:sz w:val="20"/>
          <w:szCs w:val="20"/>
          <w:lang w:eastAsia="en-CA"/>
        </w:rPr>
      </w:pPr>
    </w:p>
    <w:p w:rsidR="00890AC2" w:rsidRDefault="00890AC2" w:rsidP="00890AC2">
      <w:pPr>
        <w:numPr>
          <w:ilvl w:val="0"/>
          <w:numId w:val="10"/>
        </w:numPr>
        <w:tabs>
          <w:tab w:val="left" w:pos="1168"/>
        </w:tabs>
        <w:ind w:left="0" w:firstLine="1170"/>
        <w:jc w:val="both"/>
        <w:rPr>
          <w:rFonts w:eastAsia="Times New Roman" w:cs="Times New Roman"/>
          <w:sz w:val="20"/>
          <w:szCs w:val="20"/>
          <w:lang w:eastAsia="en-CA"/>
        </w:rPr>
      </w:pPr>
      <w:r w:rsidRPr="00890AC2">
        <w:rPr>
          <w:rFonts w:eastAsia="Times New Roman" w:cs="Times New Roman"/>
          <w:sz w:val="20"/>
          <w:szCs w:val="20"/>
          <w:lang w:eastAsia="en-CA"/>
        </w:rPr>
        <w:t>On a majority reasoning by C</w:t>
      </w:r>
      <w:proofErr w:type="spellStart"/>
      <w:r w:rsidRPr="00890AC2">
        <w:rPr>
          <w:rFonts w:eastAsia="Times New Roman" w:cs="Times New Roman"/>
          <w:sz w:val="20"/>
          <w:szCs w:val="20"/>
          <w:lang w:val="en-US" w:eastAsia="en-CA"/>
        </w:rPr>
        <w:t>ôté</w:t>
      </w:r>
      <w:proofErr w:type="spellEnd"/>
      <w:r w:rsidRPr="00890AC2">
        <w:rPr>
          <w:rFonts w:eastAsia="Times New Roman" w:cs="Times New Roman"/>
          <w:sz w:val="20"/>
          <w:szCs w:val="20"/>
          <w:lang w:val="en-US" w:eastAsia="en-CA"/>
        </w:rPr>
        <w:t> J. (and</w:t>
      </w:r>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xml:space="preserve"> C.J. and Rothstein and Cromwell JJ.),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operates to suspend the limitation period in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applicable to a statutory cause of action under s. 138.3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at the time when the action is commenced, that is, when leave is granted under s. 138.8 </w:t>
      </w:r>
      <w:r w:rsidRPr="00890AC2">
        <w:rPr>
          <w:rFonts w:eastAsia="Times New Roman" w:cs="Times New Roman"/>
          <w:i/>
          <w:sz w:val="20"/>
          <w:szCs w:val="20"/>
          <w:lang w:eastAsia="en-CA"/>
        </w:rPr>
        <w:t xml:space="preserve">OSA </w:t>
      </w:r>
      <w:r w:rsidRPr="00890AC2">
        <w:rPr>
          <w:rFonts w:eastAsia="Times New Roman" w:cs="Times New Roman"/>
          <w:sz w:val="20"/>
          <w:szCs w:val="20"/>
          <w:lang w:eastAsia="en-CA"/>
        </w:rPr>
        <w:t xml:space="preserve">in a class proceeding. </w:t>
      </w:r>
      <w:proofErr w:type="spellStart"/>
      <w:r w:rsidRPr="00890AC2">
        <w:rPr>
          <w:rFonts w:eastAsia="Times New Roman" w:cs="Times New Roman"/>
          <w:sz w:val="20"/>
          <w:szCs w:val="20"/>
          <w:lang w:eastAsia="en-CA"/>
        </w:rPr>
        <w:t>Moldaver</w:t>
      </w:r>
      <w:proofErr w:type="spellEnd"/>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Karakatsanis</w:t>
      </w:r>
      <w:proofErr w:type="spellEnd"/>
      <w:r w:rsidRPr="00890AC2">
        <w:rPr>
          <w:rFonts w:eastAsia="Times New Roman" w:cs="Times New Roman"/>
          <w:sz w:val="20"/>
          <w:szCs w:val="20"/>
          <w:lang w:eastAsia="en-CA"/>
        </w:rPr>
        <w:t xml:space="preserve"> and </w:t>
      </w:r>
      <w:proofErr w:type="spellStart"/>
      <w:r w:rsidRPr="00890AC2">
        <w:rPr>
          <w:rFonts w:eastAsia="Times New Roman" w:cs="Times New Roman"/>
          <w:sz w:val="20"/>
          <w:szCs w:val="20"/>
          <w:lang w:eastAsia="en-CA"/>
        </w:rPr>
        <w:t>Gascon</w:t>
      </w:r>
      <w:proofErr w:type="spellEnd"/>
      <w:r w:rsidRPr="00890AC2">
        <w:rPr>
          <w:rFonts w:eastAsia="Times New Roman" w:cs="Times New Roman"/>
          <w:sz w:val="20"/>
          <w:szCs w:val="20"/>
          <w:lang w:eastAsia="en-CA"/>
        </w:rPr>
        <w:t xml:space="preserve"> JJ. (dissenting on this issue) would find that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operates to suspend the limitation period in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once the representative plaintiff properly commences a class proceeding for a common law cause of action and pleads the statutory cause of action and its constituent elements in the statement of claim.</w:t>
      </w:r>
    </w:p>
    <w:p w:rsidR="00890AC2" w:rsidRPr="00890AC2" w:rsidRDefault="00890AC2" w:rsidP="00890AC2">
      <w:pPr>
        <w:tabs>
          <w:tab w:val="left" w:pos="1168"/>
        </w:tabs>
        <w:ind w:left="1170"/>
        <w:jc w:val="both"/>
        <w:rPr>
          <w:rFonts w:eastAsia="Times New Roman" w:cs="Times New Roman"/>
          <w:sz w:val="20"/>
          <w:szCs w:val="20"/>
          <w:lang w:eastAsia="en-CA"/>
        </w:rPr>
      </w:pPr>
    </w:p>
    <w:p w:rsidR="00890AC2" w:rsidRPr="00890AC2" w:rsidRDefault="00890AC2" w:rsidP="00890AC2">
      <w:pPr>
        <w:numPr>
          <w:ilvl w:val="0"/>
          <w:numId w:val="10"/>
        </w:numPr>
        <w:tabs>
          <w:tab w:val="left" w:pos="1168"/>
        </w:tabs>
        <w:ind w:left="0" w:firstLine="1170"/>
        <w:jc w:val="both"/>
        <w:rPr>
          <w:rFonts w:eastAsia="Times New Roman" w:cs="Times New Roman"/>
          <w:sz w:val="20"/>
          <w:szCs w:val="20"/>
          <w:lang w:eastAsia="en-CA"/>
        </w:rPr>
      </w:pPr>
      <w:proofErr w:type="spellStart"/>
      <w:r w:rsidRPr="00890AC2">
        <w:rPr>
          <w:rFonts w:eastAsia="Times New Roman" w:cs="Times New Roman"/>
          <w:sz w:val="20"/>
          <w:szCs w:val="20"/>
          <w:lang w:val="en-US" w:eastAsia="en-CA"/>
        </w:rPr>
        <w:t>McLachlin</w:t>
      </w:r>
      <w:proofErr w:type="spellEnd"/>
      <w:r w:rsidRPr="00890AC2">
        <w:rPr>
          <w:rFonts w:eastAsia="Times New Roman" w:cs="Times New Roman"/>
          <w:sz w:val="20"/>
          <w:szCs w:val="20"/>
          <w:lang w:val="en-US" w:eastAsia="en-CA"/>
        </w:rPr>
        <w:t xml:space="preserve"> C.J. </w:t>
      </w:r>
      <w:r w:rsidRPr="00890AC2">
        <w:rPr>
          <w:rFonts w:eastAsia="Times New Roman" w:cs="Times New Roman"/>
          <w:sz w:val="20"/>
          <w:szCs w:val="20"/>
          <w:lang w:eastAsia="en-CA"/>
        </w:rPr>
        <w:t>and</w:t>
      </w:r>
      <w:r w:rsidRPr="00890AC2">
        <w:rPr>
          <w:rFonts w:eastAsia="Times New Roman" w:cs="Times New Roman"/>
          <w:sz w:val="20"/>
          <w:szCs w:val="20"/>
          <w:lang w:val="en-US" w:eastAsia="en-CA"/>
        </w:rPr>
        <w:t xml:space="preserve"> Rothstein, Cromwell and </w:t>
      </w:r>
      <w:proofErr w:type="spellStart"/>
      <w:r w:rsidRPr="00890AC2">
        <w:rPr>
          <w:rFonts w:eastAsia="Times New Roman" w:cs="Times New Roman"/>
          <w:sz w:val="20"/>
          <w:szCs w:val="20"/>
          <w:lang w:val="en-US" w:eastAsia="en-CA"/>
        </w:rPr>
        <w:t>Côté</w:t>
      </w:r>
      <w:proofErr w:type="spellEnd"/>
      <w:r w:rsidRPr="00890AC2">
        <w:rPr>
          <w:rFonts w:eastAsia="Times New Roman" w:cs="Times New Roman"/>
          <w:sz w:val="20"/>
          <w:szCs w:val="20"/>
          <w:lang w:val="en-US" w:eastAsia="en-CA"/>
        </w:rPr>
        <w:t> JJ.</w:t>
      </w:r>
      <w:r w:rsidRPr="00890AC2">
        <w:rPr>
          <w:rFonts w:eastAsia="Times New Roman" w:cs="Times New Roman"/>
          <w:sz w:val="20"/>
          <w:szCs w:val="20"/>
          <w:lang w:eastAsia="en-CA"/>
        </w:rPr>
        <w:t xml:space="preserve"> </w:t>
      </w:r>
      <w:proofErr w:type="gramStart"/>
      <w:r w:rsidRPr="00890AC2">
        <w:rPr>
          <w:rFonts w:eastAsia="Times New Roman" w:cs="Times New Roman"/>
          <w:sz w:val="20"/>
          <w:szCs w:val="20"/>
          <w:lang w:eastAsia="en-CA"/>
        </w:rPr>
        <w:t>hold</w:t>
      </w:r>
      <w:proofErr w:type="gramEnd"/>
      <w:r w:rsidRPr="00890AC2">
        <w:rPr>
          <w:rFonts w:eastAsia="Times New Roman" w:cs="Times New Roman"/>
          <w:sz w:val="20"/>
          <w:szCs w:val="20"/>
          <w:lang w:eastAsia="en-CA"/>
        </w:rPr>
        <w:t xml:space="preserve"> that courts have the inherent jurisdiction to issue orders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for leave to proceed with an action where leave is sought prior to the expiry of the limitation period. In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xml:space="preserve"> C.J. and Rothstein and </w:t>
      </w:r>
      <w:proofErr w:type="spellStart"/>
      <w:r w:rsidRPr="00890AC2">
        <w:rPr>
          <w:rFonts w:eastAsia="Times New Roman" w:cs="Times New Roman"/>
          <w:sz w:val="20"/>
          <w:szCs w:val="20"/>
          <w:lang w:eastAsia="en-CA"/>
        </w:rPr>
        <w:t>Côté</w:t>
      </w:r>
      <w:proofErr w:type="spellEnd"/>
      <w:r w:rsidRPr="00890AC2">
        <w:rPr>
          <w:rFonts w:eastAsia="Times New Roman" w:cs="Times New Roman"/>
          <w:sz w:val="20"/>
          <w:szCs w:val="20"/>
          <w:lang w:eastAsia="en-CA"/>
        </w:rPr>
        <w:t xml:space="preserve"> JJ. </w:t>
      </w:r>
      <w:proofErr w:type="gramStart"/>
      <w:r w:rsidRPr="00890AC2">
        <w:rPr>
          <w:rFonts w:eastAsia="Times New Roman" w:cs="Times New Roman"/>
          <w:sz w:val="20"/>
          <w:szCs w:val="20"/>
          <w:lang w:eastAsia="en-CA"/>
        </w:rPr>
        <w:t>would</w:t>
      </w:r>
      <w:proofErr w:type="gramEnd"/>
      <w:r w:rsidRPr="00890AC2">
        <w:rPr>
          <w:rFonts w:eastAsia="Times New Roman" w:cs="Times New Roman"/>
          <w:sz w:val="20"/>
          <w:szCs w:val="20"/>
          <w:lang w:eastAsia="en-CA"/>
        </w:rPr>
        <w:t xml:space="preserve"> not exercise their discretion to grant such an order, but Cromwell J. would. In </w:t>
      </w:r>
      <w:r w:rsidRPr="00890AC2">
        <w:rPr>
          <w:rFonts w:eastAsia="Times New Roman" w:cs="Times New Roman"/>
          <w:i/>
          <w:sz w:val="20"/>
          <w:szCs w:val="20"/>
          <w:lang w:eastAsia="en-CA"/>
        </w:rPr>
        <w:t>IMAX</w:t>
      </w:r>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xml:space="preserve"> C.J. and Rothstein and </w:t>
      </w:r>
      <w:proofErr w:type="spellStart"/>
      <w:r w:rsidRPr="00890AC2">
        <w:rPr>
          <w:rFonts w:eastAsia="Times New Roman" w:cs="Times New Roman"/>
          <w:sz w:val="20"/>
          <w:szCs w:val="20"/>
          <w:lang w:eastAsia="en-CA"/>
        </w:rPr>
        <w:t>Côté</w:t>
      </w:r>
      <w:proofErr w:type="spellEnd"/>
      <w:r w:rsidRPr="00890AC2">
        <w:rPr>
          <w:rFonts w:eastAsia="Times New Roman" w:cs="Times New Roman"/>
          <w:sz w:val="20"/>
          <w:szCs w:val="20"/>
          <w:lang w:eastAsia="en-CA"/>
        </w:rPr>
        <w:t xml:space="preserve"> JJ. </w:t>
      </w:r>
      <w:proofErr w:type="gramStart"/>
      <w:r w:rsidRPr="00890AC2">
        <w:rPr>
          <w:rFonts w:eastAsia="Times New Roman" w:cs="Times New Roman"/>
          <w:sz w:val="20"/>
          <w:szCs w:val="20"/>
          <w:lang w:eastAsia="en-CA"/>
        </w:rPr>
        <w:t>are</w:t>
      </w:r>
      <w:proofErr w:type="gramEnd"/>
      <w:r w:rsidRPr="00890AC2">
        <w:rPr>
          <w:rFonts w:eastAsia="Times New Roman" w:cs="Times New Roman"/>
          <w:sz w:val="20"/>
          <w:szCs w:val="20"/>
          <w:lang w:eastAsia="en-CA"/>
        </w:rPr>
        <w:t xml:space="preserve"> of the view that the motion judge exercised her discretion to grant such an order correctly with respect to the defendants who were parties to the original statement of claim, </w:t>
      </w:r>
      <w:r w:rsidRPr="00890AC2">
        <w:rPr>
          <w:rFonts w:eastAsia="Times New Roman" w:cs="Times New Roman"/>
          <w:sz w:val="20"/>
          <w:szCs w:val="20"/>
          <w:lang w:val="en-US" w:eastAsia="en-CA"/>
        </w:rPr>
        <w:t xml:space="preserve">but not in respect of the defendants </w:t>
      </w:r>
      <w:r w:rsidRPr="00890AC2">
        <w:rPr>
          <w:rFonts w:eastAsia="Times New Roman" w:cs="Times New Roman"/>
          <w:sz w:val="20"/>
          <w:szCs w:val="20"/>
          <w:lang w:eastAsia="en-CA"/>
        </w:rPr>
        <w:t xml:space="preserve">who were not parties to any statement of claim at the time when argument on the leave application was concluded. Cromwell J. is of the view that the motion judge was correct to exercise her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discretion in respect of all of the defendants. </w:t>
      </w:r>
      <w:r w:rsidRPr="00890AC2">
        <w:rPr>
          <w:rFonts w:eastAsia="Times New Roman" w:cs="Times New Roman"/>
          <w:sz w:val="20"/>
          <w:szCs w:val="20"/>
          <w:lang w:val="en-US" w:eastAsia="en-CA"/>
        </w:rPr>
        <w:t xml:space="preserve">In </w:t>
      </w:r>
      <w:r w:rsidRPr="00890AC2">
        <w:rPr>
          <w:rFonts w:eastAsia="Times New Roman" w:cs="Times New Roman"/>
          <w:i/>
          <w:sz w:val="20"/>
          <w:szCs w:val="20"/>
          <w:lang w:val="en-US" w:eastAsia="en-CA"/>
        </w:rPr>
        <w:t>Celestica</w:t>
      </w:r>
      <w:r w:rsidRPr="00890AC2">
        <w:rPr>
          <w:rFonts w:eastAsia="Times New Roman" w:cs="Times New Roman"/>
          <w:sz w:val="20"/>
          <w:szCs w:val="20"/>
          <w:lang w:val="en-US" w:eastAsia="en-CA"/>
        </w:rPr>
        <w:t xml:space="preserve">, </w:t>
      </w:r>
      <w:proofErr w:type="spellStart"/>
      <w:r w:rsidRPr="00890AC2">
        <w:rPr>
          <w:rFonts w:eastAsia="Times New Roman" w:cs="Times New Roman"/>
          <w:sz w:val="20"/>
          <w:szCs w:val="20"/>
          <w:lang w:val="en-US" w:eastAsia="en-CA"/>
        </w:rPr>
        <w:t>McLachlin</w:t>
      </w:r>
      <w:proofErr w:type="spellEnd"/>
      <w:r w:rsidRPr="00890AC2">
        <w:rPr>
          <w:rFonts w:eastAsia="Times New Roman" w:cs="Times New Roman"/>
          <w:sz w:val="20"/>
          <w:szCs w:val="20"/>
          <w:lang w:val="en-US" w:eastAsia="en-CA"/>
        </w:rPr>
        <w:t xml:space="preserve"> C.J. and Rothstein, Cromwell and </w:t>
      </w:r>
      <w:proofErr w:type="spellStart"/>
      <w:r w:rsidRPr="00890AC2">
        <w:rPr>
          <w:rFonts w:eastAsia="Times New Roman" w:cs="Times New Roman"/>
          <w:sz w:val="20"/>
          <w:szCs w:val="20"/>
          <w:lang w:val="en-US" w:eastAsia="en-CA"/>
        </w:rPr>
        <w:t>Côté</w:t>
      </w:r>
      <w:proofErr w:type="spellEnd"/>
      <w:r w:rsidRPr="00890AC2">
        <w:rPr>
          <w:rFonts w:eastAsia="Times New Roman" w:cs="Times New Roman"/>
          <w:sz w:val="20"/>
          <w:szCs w:val="20"/>
          <w:lang w:val="en-US" w:eastAsia="en-CA"/>
        </w:rPr>
        <w:t> JJ.</w:t>
      </w:r>
      <w:r w:rsidRPr="00890AC2">
        <w:rPr>
          <w:rFonts w:eastAsia="Times New Roman" w:cs="Times New Roman"/>
          <w:sz w:val="20"/>
          <w:szCs w:val="20"/>
          <w:lang w:eastAsia="en-CA"/>
        </w:rPr>
        <w:t xml:space="preserve"> </w:t>
      </w:r>
      <w:proofErr w:type="gramStart"/>
      <w:r w:rsidRPr="00890AC2">
        <w:rPr>
          <w:rFonts w:eastAsia="Times New Roman" w:cs="Times New Roman"/>
          <w:sz w:val="20"/>
          <w:szCs w:val="20"/>
          <w:lang w:eastAsia="en-CA"/>
        </w:rPr>
        <w:t>would</w:t>
      </w:r>
      <w:proofErr w:type="gramEnd"/>
      <w:r w:rsidRPr="00890AC2">
        <w:rPr>
          <w:rFonts w:eastAsia="Times New Roman" w:cs="Times New Roman"/>
          <w:sz w:val="20"/>
          <w:szCs w:val="20"/>
          <w:lang w:eastAsia="en-CA"/>
        </w:rPr>
        <w:t xml:space="preserve"> deny </w:t>
      </w:r>
      <w:r w:rsidRPr="00890AC2">
        <w:rPr>
          <w:rFonts w:eastAsia="Times New Roman" w:cs="Times New Roman"/>
          <w:sz w:val="20"/>
          <w:szCs w:val="20"/>
          <w:lang w:val="en-US" w:eastAsia="en-CA"/>
        </w:rPr>
        <w:t xml:space="preserve">the </w:t>
      </w:r>
      <w:proofErr w:type="spellStart"/>
      <w:r w:rsidRPr="00890AC2">
        <w:rPr>
          <w:rFonts w:eastAsia="Times New Roman" w:cs="Times New Roman"/>
          <w:i/>
          <w:sz w:val="20"/>
          <w:szCs w:val="20"/>
          <w:lang w:val="en-US" w:eastAsia="en-CA"/>
        </w:rPr>
        <w:t>nunc</w:t>
      </w:r>
      <w:proofErr w:type="spellEnd"/>
      <w:r w:rsidRPr="00890AC2">
        <w:rPr>
          <w:rFonts w:eastAsia="Times New Roman" w:cs="Times New Roman"/>
          <w:i/>
          <w:sz w:val="20"/>
          <w:szCs w:val="20"/>
          <w:lang w:val="en-US" w:eastAsia="en-CA"/>
        </w:rPr>
        <w:t xml:space="preserve"> pro </w:t>
      </w:r>
      <w:proofErr w:type="spellStart"/>
      <w:r w:rsidRPr="00890AC2">
        <w:rPr>
          <w:rFonts w:eastAsia="Times New Roman" w:cs="Times New Roman"/>
          <w:i/>
          <w:sz w:val="20"/>
          <w:szCs w:val="20"/>
          <w:lang w:val="en-US" w:eastAsia="en-CA"/>
        </w:rPr>
        <w:t>tunc</w:t>
      </w:r>
      <w:proofErr w:type="spellEnd"/>
      <w:r w:rsidRPr="00890AC2">
        <w:rPr>
          <w:rFonts w:eastAsia="Times New Roman" w:cs="Times New Roman"/>
          <w:sz w:val="20"/>
          <w:szCs w:val="20"/>
          <w:lang w:val="en-US" w:eastAsia="en-CA"/>
        </w:rPr>
        <w:t xml:space="preserve"> order.</w:t>
      </w:r>
    </w:p>
    <w:p w:rsidR="00890AC2" w:rsidRPr="00890AC2" w:rsidRDefault="00890AC2" w:rsidP="00890AC2">
      <w:pPr>
        <w:numPr>
          <w:ilvl w:val="0"/>
          <w:numId w:val="10"/>
        </w:numPr>
        <w:tabs>
          <w:tab w:val="left" w:pos="1168"/>
        </w:tabs>
        <w:ind w:left="0" w:firstLine="1170"/>
        <w:jc w:val="both"/>
        <w:rPr>
          <w:rFonts w:eastAsia="Times New Roman" w:cs="Times New Roman"/>
          <w:sz w:val="20"/>
          <w:szCs w:val="20"/>
          <w:lang w:eastAsia="en-CA"/>
        </w:rPr>
      </w:pPr>
      <w:proofErr w:type="spellStart"/>
      <w:r w:rsidRPr="00890AC2">
        <w:rPr>
          <w:rFonts w:eastAsia="Times New Roman" w:cs="Times New Roman"/>
          <w:sz w:val="20"/>
          <w:szCs w:val="20"/>
          <w:lang w:val="en-US" w:eastAsia="en-CA"/>
        </w:rPr>
        <w:t>McLachlin</w:t>
      </w:r>
      <w:proofErr w:type="spellEnd"/>
      <w:r w:rsidRPr="00890AC2">
        <w:rPr>
          <w:rFonts w:eastAsia="Times New Roman" w:cs="Times New Roman"/>
          <w:sz w:val="20"/>
          <w:szCs w:val="20"/>
          <w:lang w:val="en-US" w:eastAsia="en-CA"/>
        </w:rPr>
        <w:t xml:space="preserve"> C.J. and Rothstein, Cromwell and </w:t>
      </w:r>
      <w:proofErr w:type="spellStart"/>
      <w:r w:rsidRPr="00890AC2">
        <w:rPr>
          <w:rFonts w:eastAsia="Times New Roman" w:cs="Times New Roman"/>
          <w:sz w:val="20"/>
          <w:szCs w:val="20"/>
          <w:lang w:val="en-US" w:eastAsia="en-CA"/>
        </w:rPr>
        <w:t>Côté</w:t>
      </w:r>
      <w:proofErr w:type="spellEnd"/>
      <w:r w:rsidRPr="00890AC2">
        <w:rPr>
          <w:rFonts w:eastAsia="Times New Roman" w:cs="Times New Roman"/>
          <w:sz w:val="20"/>
          <w:szCs w:val="20"/>
          <w:lang w:val="en-US" w:eastAsia="en-CA"/>
        </w:rPr>
        <w:t xml:space="preserve"> JJ. </w:t>
      </w:r>
      <w:proofErr w:type="gramStart"/>
      <w:r w:rsidRPr="00890AC2">
        <w:rPr>
          <w:rFonts w:eastAsia="Times New Roman" w:cs="Times New Roman"/>
          <w:sz w:val="20"/>
          <w:szCs w:val="20"/>
          <w:lang w:val="en-US" w:eastAsia="en-CA"/>
        </w:rPr>
        <w:t>hold</w:t>
      </w:r>
      <w:proofErr w:type="gramEnd"/>
      <w:r w:rsidRPr="00890AC2">
        <w:rPr>
          <w:rFonts w:eastAsia="Times New Roman" w:cs="Times New Roman"/>
          <w:sz w:val="20"/>
          <w:szCs w:val="20"/>
          <w:lang w:val="en-US" w:eastAsia="en-CA"/>
        </w:rPr>
        <w:t xml:space="preserve"> that the doctrine of special circumstances is of no avail to any of the plaintiffs in the three cases since neither the limitation period in s. 138.14 </w:t>
      </w:r>
      <w:r w:rsidRPr="00890AC2">
        <w:rPr>
          <w:rFonts w:eastAsia="Times New Roman" w:cs="Times New Roman"/>
          <w:i/>
          <w:sz w:val="20"/>
          <w:szCs w:val="20"/>
          <w:lang w:val="en-US" w:eastAsia="en-CA"/>
        </w:rPr>
        <w:t>OSA</w:t>
      </w:r>
      <w:r w:rsidRPr="00890AC2">
        <w:rPr>
          <w:rFonts w:eastAsia="Times New Roman" w:cs="Times New Roman"/>
          <w:sz w:val="20"/>
          <w:szCs w:val="20"/>
          <w:lang w:val="en-US" w:eastAsia="en-CA"/>
        </w:rPr>
        <w:t xml:space="preserve"> nor the leave requirement in s. 138.8 </w:t>
      </w:r>
      <w:r w:rsidRPr="00890AC2">
        <w:rPr>
          <w:rFonts w:eastAsia="Times New Roman" w:cs="Times New Roman"/>
          <w:i/>
          <w:sz w:val="20"/>
          <w:szCs w:val="20"/>
          <w:lang w:val="en-US" w:eastAsia="en-CA"/>
        </w:rPr>
        <w:t>OSA</w:t>
      </w:r>
      <w:r w:rsidRPr="00890AC2">
        <w:rPr>
          <w:rFonts w:eastAsia="Times New Roman" w:cs="Times New Roman"/>
          <w:sz w:val="20"/>
          <w:szCs w:val="20"/>
          <w:lang w:val="en-US" w:eastAsia="en-CA"/>
        </w:rPr>
        <w:t xml:space="preserve"> can be defeated by amending the pleadings to include a statutory claim under s. 138.3 </w:t>
      </w:r>
      <w:r w:rsidRPr="00890AC2">
        <w:rPr>
          <w:rFonts w:eastAsia="Times New Roman" w:cs="Times New Roman"/>
          <w:i/>
          <w:sz w:val="20"/>
          <w:szCs w:val="20"/>
          <w:lang w:val="en-US" w:eastAsia="en-CA"/>
        </w:rPr>
        <w:t>OSA</w:t>
      </w:r>
      <w:r w:rsidRPr="00890AC2">
        <w:rPr>
          <w:rFonts w:eastAsia="Times New Roman" w:cs="Times New Roman"/>
          <w:sz w:val="20"/>
          <w:szCs w:val="20"/>
          <w:lang w:val="en-US" w:eastAsia="en-CA"/>
        </w:rPr>
        <w:t>.</w:t>
      </w:r>
    </w:p>
    <w:p w:rsidR="00890AC2" w:rsidRPr="00890AC2" w:rsidRDefault="00890AC2" w:rsidP="00890AC2">
      <w:pPr>
        <w:tabs>
          <w:tab w:val="left" w:pos="1168"/>
        </w:tabs>
        <w:ind w:left="1170"/>
        <w:jc w:val="both"/>
        <w:rPr>
          <w:rFonts w:eastAsia="Times New Roman" w:cs="Times New Roman"/>
          <w:sz w:val="20"/>
          <w:szCs w:val="20"/>
          <w:lang w:eastAsia="en-CA"/>
        </w:rPr>
      </w:pPr>
    </w:p>
    <w:p w:rsidR="00890AC2" w:rsidRDefault="00890AC2" w:rsidP="00890AC2">
      <w:pPr>
        <w:numPr>
          <w:ilvl w:val="0"/>
          <w:numId w:val="10"/>
        </w:numPr>
        <w:tabs>
          <w:tab w:val="left" w:pos="1168"/>
        </w:tabs>
        <w:ind w:left="0" w:firstLine="1170"/>
        <w:jc w:val="both"/>
        <w:rPr>
          <w:rFonts w:eastAsia="Times New Roman" w:cs="Times New Roman"/>
          <w:sz w:val="20"/>
          <w:szCs w:val="20"/>
          <w:lang w:eastAsia="en-CA"/>
        </w:rPr>
      </w:pPr>
      <w:r w:rsidRPr="00890AC2">
        <w:rPr>
          <w:rFonts w:eastAsia="Times New Roman" w:cs="Times New Roman"/>
          <w:sz w:val="20"/>
          <w:szCs w:val="20"/>
          <w:lang w:eastAsia="en-CA"/>
        </w:rPr>
        <w:t xml:space="preserve">Unanimous: the threshold that must be met by a plaintiff applying for leave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is that there must be a reasonable or realistic chance that the action will succeed. </w:t>
      </w:r>
      <w:proofErr w:type="spellStart"/>
      <w:r w:rsidRPr="00890AC2">
        <w:rPr>
          <w:rFonts w:eastAsia="Times New Roman" w:cs="Times New Roman"/>
          <w:sz w:val="20"/>
          <w:szCs w:val="20"/>
          <w:lang w:eastAsia="en-CA"/>
        </w:rPr>
        <w:t>Moldaver</w:t>
      </w:r>
      <w:proofErr w:type="spellEnd"/>
      <w:r w:rsidRPr="00890AC2">
        <w:rPr>
          <w:rFonts w:eastAsia="Times New Roman" w:cs="Times New Roman"/>
          <w:sz w:val="20"/>
          <w:szCs w:val="20"/>
          <w:lang w:eastAsia="en-CA"/>
        </w:rPr>
        <w:t xml:space="preserve">, Cromwell, </w:t>
      </w:r>
      <w:proofErr w:type="spellStart"/>
      <w:r w:rsidRPr="00890AC2">
        <w:rPr>
          <w:rFonts w:eastAsia="Times New Roman" w:cs="Times New Roman"/>
          <w:sz w:val="20"/>
          <w:szCs w:val="20"/>
          <w:lang w:eastAsia="en-CA"/>
        </w:rPr>
        <w:t>Karakatsanis</w:t>
      </w:r>
      <w:proofErr w:type="spellEnd"/>
      <w:r w:rsidRPr="00890AC2">
        <w:rPr>
          <w:rFonts w:eastAsia="Times New Roman" w:cs="Times New Roman"/>
          <w:sz w:val="20"/>
          <w:szCs w:val="20"/>
          <w:lang w:eastAsia="en-CA"/>
        </w:rPr>
        <w:t xml:space="preserve"> and </w:t>
      </w:r>
      <w:proofErr w:type="spellStart"/>
      <w:r w:rsidRPr="00890AC2">
        <w:rPr>
          <w:rFonts w:eastAsia="Times New Roman" w:cs="Times New Roman"/>
          <w:sz w:val="20"/>
          <w:szCs w:val="20"/>
          <w:lang w:eastAsia="en-CA"/>
        </w:rPr>
        <w:t>Gascon</w:t>
      </w:r>
      <w:proofErr w:type="spellEnd"/>
      <w:r w:rsidRPr="00890AC2">
        <w:rPr>
          <w:rFonts w:eastAsia="Times New Roman" w:cs="Times New Roman"/>
          <w:sz w:val="20"/>
          <w:szCs w:val="20"/>
          <w:lang w:eastAsia="en-CA"/>
        </w:rPr>
        <w:t xml:space="preserve"> JJ. </w:t>
      </w:r>
      <w:proofErr w:type="gramStart"/>
      <w:r w:rsidRPr="00890AC2">
        <w:rPr>
          <w:rFonts w:eastAsia="Times New Roman" w:cs="Times New Roman"/>
          <w:sz w:val="20"/>
          <w:szCs w:val="20"/>
          <w:lang w:eastAsia="en-CA"/>
        </w:rPr>
        <w:t>find</w:t>
      </w:r>
      <w:proofErr w:type="gramEnd"/>
      <w:r w:rsidRPr="00890AC2">
        <w:rPr>
          <w:rFonts w:eastAsia="Times New Roman" w:cs="Times New Roman"/>
          <w:sz w:val="20"/>
          <w:szCs w:val="20"/>
          <w:lang w:eastAsia="en-CA"/>
        </w:rPr>
        <w:t xml:space="preserve"> that the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plaintiffs have met the required threshold.</w:t>
      </w:r>
    </w:p>
    <w:p w:rsidR="00890AC2" w:rsidRPr="00890AC2" w:rsidRDefault="00890AC2" w:rsidP="00890AC2">
      <w:pPr>
        <w:tabs>
          <w:tab w:val="left" w:pos="1168"/>
        </w:tabs>
        <w:ind w:left="1170"/>
        <w:jc w:val="both"/>
        <w:rPr>
          <w:rFonts w:eastAsia="Times New Roman" w:cs="Times New Roman"/>
          <w:sz w:val="20"/>
          <w:szCs w:val="20"/>
          <w:lang w:eastAsia="en-CA"/>
        </w:rPr>
      </w:pPr>
    </w:p>
    <w:p w:rsidR="00890AC2" w:rsidRDefault="00890AC2" w:rsidP="00890AC2">
      <w:pPr>
        <w:numPr>
          <w:ilvl w:val="0"/>
          <w:numId w:val="10"/>
        </w:numPr>
        <w:tabs>
          <w:tab w:val="left" w:pos="1168"/>
        </w:tabs>
        <w:ind w:left="0" w:firstLine="1170"/>
        <w:jc w:val="both"/>
        <w:rPr>
          <w:rFonts w:eastAsia="Times New Roman" w:cs="Times New Roman"/>
          <w:sz w:val="20"/>
          <w:szCs w:val="20"/>
          <w:lang w:eastAsia="en-CA"/>
        </w:rPr>
      </w:pPr>
      <w:r w:rsidRPr="00890AC2">
        <w:rPr>
          <w:rFonts w:eastAsia="Times New Roman" w:cs="Times New Roman"/>
          <w:sz w:val="20"/>
          <w:szCs w:val="20"/>
          <w:lang w:eastAsia="en-CA"/>
        </w:rPr>
        <w:t xml:space="preserve">Unanimous: in </w:t>
      </w:r>
      <w:r w:rsidRPr="00890AC2">
        <w:rPr>
          <w:rFonts w:eastAsia="Times New Roman" w:cs="Times New Roman"/>
          <w:i/>
          <w:sz w:val="20"/>
          <w:szCs w:val="20"/>
          <w:lang w:eastAsia="en-CA"/>
        </w:rPr>
        <w:t>CIBC</w:t>
      </w:r>
      <w:r w:rsidRPr="00890AC2">
        <w:rPr>
          <w:rFonts w:eastAsia="Times New Roman" w:cs="Times New Roman"/>
          <w:sz w:val="20"/>
          <w:szCs w:val="20"/>
          <w:lang w:eastAsia="en-CA"/>
        </w:rPr>
        <w:t>, the Court of Appeal did not err in holding that five of the seven common issues proposed by the plaintiffs relating to the common law misrepresentation claim should be certified.</w:t>
      </w:r>
    </w:p>
    <w:p w:rsidR="00E574EB" w:rsidRDefault="00E574EB" w:rsidP="00E574EB">
      <w:pPr>
        <w:pStyle w:val="ListParagrap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u w:val="single"/>
          <w:lang w:eastAsia="en-CA"/>
        </w:rPr>
      </w:pPr>
      <w:r w:rsidRPr="00890AC2">
        <w:rPr>
          <w:rFonts w:eastAsia="Times New Roman" w:cs="Times New Roman"/>
          <w:sz w:val="20"/>
          <w:szCs w:val="20"/>
          <w:u w:val="single"/>
          <w:lang w:eastAsia="en-CA"/>
        </w:rPr>
        <w:t xml:space="preserve">Interaction </w:t>
      </w:r>
      <w:proofErr w:type="gramStart"/>
      <w:r w:rsidRPr="00890AC2">
        <w:rPr>
          <w:rFonts w:eastAsia="Times New Roman" w:cs="Times New Roman"/>
          <w:sz w:val="20"/>
          <w:szCs w:val="20"/>
          <w:u w:val="single"/>
          <w:lang w:eastAsia="en-CA"/>
        </w:rPr>
        <w:t>Between</w:t>
      </w:r>
      <w:proofErr w:type="gramEnd"/>
      <w:r w:rsidRPr="00890AC2">
        <w:rPr>
          <w:rFonts w:eastAsia="Times New Roman" w:cs="Times New Roman"/>
          <w:sz w:val="20"/>
          <w:szCs w:val="20"/>
          <w:u w:val="single"/>
          <w:lang w:eastAsia="en-CA"/>
        </w:rPr>
        <w:t xml:space="preserve"> s. 28 </w:t>
      </w:r>
      <w:r w:rsidRPr="00890AC2">
        <w:rPr>
          <w:rFonts w:eastAsia="Times New Roman" w:cs="Times New Roman"/>
          <w:i/>
          <w:sz w:val="20"/>
          <w:szCs w:val="20"/>
          <w:u w:val="single"/>
          <w:lang w:eastAsia="en-CA"/>
        </w:rPr>
        <w:t>CPA</w:t>
      </w:r>
      <w:r w:rsidRPr="00890AC2">
        <w:rPr>
          <w:rFonts w:eastAsia="Times New Roman" w:cs="Times New Roman"/>
          <w:sz w:val="20"/>
          <w:szCs w:val="20"/>
          <w:u w:val="single"/>
          <w:lang w:eastAsia="en-CA"/>
        </w:rPr>
        <w:t xml:space="preserve"> and s. 138.14 </w:t>
      </w:r>
      <w:r w:rsidRPr="00890AC2">
        <w:rPr>
          <w:rFonts w:eastAsia="Times New Roman" w:cs="Times New Roman"/>
          <w:i/>
          <w:sz w:val="20"/>
          <w:szCs w:val="20"/>
          <w:u w:val="single"/>
          <w:lang w:eastAsia="en-CA"/>
        </w:rPr>
        <w:t>OSA</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Per</w:t>
      </w:r>
      <w:r w:rsidRPr="00890AC2">
        <w:rPr>
          <w:rFonts w:eastAsia="Times New Roman" w:cs="Times New Roman"/>
          <w:sz w:val="20"/>
          <w:szCs w:val="20"/>
          <w:lang w:eastAsia="en-CA"/>
        </w:rPr>
        <w:t xml:space="preserve">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xml:space="preserve"> C.J. and Rothstein and </w:t>
      </w:r>
      <w:proofErr w:type="spellStart"/>
      <w:r w:rsidRPr="00890AC2">
        <w:rPr>
          <w:rFonts w:eastAsia="Times New Roman" w:cs="Times New Roman"/>
          <w:b/>
          <w:sz w:val="20"/>
          <w:szCs w:val="20"/>
          <w:lang w:eastAsia="en-CA"/>
        </w:rPr>
        <w:t>Côté</w:t>
      </w:r>
      <w:proofErr w:type="spellEnd"/>
      <w:r w:rsidRPr="00890AC2">
        <w:rPr>
          <w:rFonts w:eastAsia="Times New Roman" w:cs="Times New Roman"/>
          <w:sz w:val="20"/>
          <w:szCs w:val="20"/>
          <w:lang w:eastAsia="en-CA"/>
        </w:rPr>
        <w:t xml:space="preserve"> JJ. (majority opinion): Pleading an intention to seek leave in respect of a s. 138.3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claim in a class proceeding together with a common law cause of action amounts to neither the assertion of the statutory cause of action nor the commencement of a class proceeding for that statutory cause of action under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Accordingly, the limitation period at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cannot be suspended in favour of the class members under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before leave is granted under s. 138.8 </w:t>
      </w:r>
      <w:r w:rsidRPr="00890AC2">
        <w:rPr>
          <w:rFonts w:eastAsia="Times New Roman" w:cs="Times New Roman"/>
          <w:i/>
          <w:sz w:val="20"/>
          <w:szCs w:val="20"/>
          <w:lang w:eastAsia="en-CA"/>
        </w:rPr>
        <w:t xml:space="preserve">OSA </w:t>
      </w:r>
      <w:r w:rsidRPr="00890AC2">
        <w:rPr>
          <w:rFonts w:eastAsia="Times New Roman" w:cs="Times New Roman"/>
          <w:sz w:val="20"/>
          <w:szCs w:val="20"/>
          <w:lang w:eastAsia="en-CA"/>
        </w:rPr>
        <w:t>to commence the statutory action.</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There is no ambiguity in the interaction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with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Section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requires “a cause of action asserted” in order for the limitation period to be suspended in favour of the class members on the commencement of the class proceeding. The interpretation of the meaning of the word “assert” in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proposed by the Court of Appeal in </w:t>
      </w:r>
      <w:proofErr w:type="spellStart"/>
      <w:r w:rsidRPr="00890AC2">
        <w:rPr>
          <w:rFonts w:eastAsia="Times New Roman" w:cs="Times New Roman"/>
          <w:i/>
          <w:sz w:val="20"/>
          <w:szCs w:val="20"/>
          <w:lang w:eastAsia="en-CA"/>
        </w:rPr>
        <w:t>Timminco</w:t>
      </w:r>
      <w:proofErr w:type="spellEnd"/>
      <w:r w:rsidRPr="00890AC2">
        <w:rPr>
          <w:rFonts w:eastAsia="Times New Roman" w:cs="Times New Roman"/>
          <w:sz w:val="20"/>
          <w:szCs w:val="20"/>
          <w:lang w:eastAsia="en-CA"/>
        </w:rPr>
        <w:t xml:space="preserve"> is correct. The assertion of a cause of action must be premised on the existence of a “right of action”. Given the clear wording of s. 138.3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pleading a factual matrix and an intention to seek leave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cannot amount to the assertion of the statutory cause of action. </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Section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does not operate to suspend the limitation period applicable to a cause of action until the commencement of a class proceeding in which the cause of action is asserted. This commencement cannot occur under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until leave is granted. Section 138.8(1)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is clear that no action may be commenced under s. 138.3 without leave of the court. </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Even if there was an ambiguity in the wording of the relevant provisions — which there is not — the legislative purpose and structure of those provisions would nonetheless support this conclusion. To hold that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operates to suspend a limitation period for a statutory claim under s. 138.3 </w:t>
      </w:r>
      <w:r w:rsidRPr="00890AC2">
        <w:rPr>
          <w:rFonts w:eastAsia="Times New Roman" w:cs="Times New Roman"/>
          <w:i/>
          <w:sz w:val="20"/>
          <w:szCs w:val="20"/>
          <w:lang w:eastAsia="en-CA"/>
        </w:rPr>
        <w:t xml:space="preserve">OSA </w:t>
      </w:r>
      <w:r w:rsidRPr="00890AC2">
        <w:rPr>
          <w:rFonts w:eastAsia="Times New Roman" w:cs="Times New Roman"/>
          <w:sz w:val="20"/>
          <w:szCs w:val="20"/>
          <w:lang w:eastAsia="en-CA"/>
        </w:rPr>
        <w:t xml:space="preserve">before leave is obtained would be to circumvent the carefully calibrated purposive balance struck by the limits to the statutory action provided for in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and render s. 138.8 </w:t>
      </w:r>
      <w:r w:rsidRPr="00890AC2">
        <w:rPr>
          <w:rFonts w:eastAsia="Times New Roman" w:cs="Times New Roman"/>
          <w:i/>
          <w:sz w:val="20"/>
          <w:szCs w:val="20"/>
          <w:lang w:eastAsia="en-CA"/>
        </w:rPr>
        <w:t xml:space="preserve">OSA </w:t>
      </w:r>
      <w:r w:rsidRPr="00890AC2">
        <w:rPr>
          <w:rFonts w:eastAsia="Times New Roman" w:cs="Times New Roman"/>
          <w:sz w:val="20"/>
          <w:szCs w:val="20"/>
          <w:lang w:eastAsia="en-CA"/>
        </w:rPr>
        <w:t>ineffective.</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A careful consideration of the context of limitation periods,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and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reveals that the Court of Appeal’s decision in the instant cases broadly undermines the legislative structures and the purposes at stake in these appeals. On the one hand,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strikes a delicate balance between various market participants: the interests of potential plaintiffs and defendants and of affected long</w:t>
      </w:r>
      <w:r w:rsidRPr="00890AC2">
        <w:rPr>
          <w:rFonts w:eastAsia="Times New Roman" w:cs="Times New Roman"/>
          <w:sz w:val="20"/>
          <w:szCs w:val="20"/>
          <w:lang w:eastAsia="en-CA"/>
        </w:rPr>
        <w:noBreakHyphen/>
        <w:t xml:space="preserve">term shareholders have been weighed considerably and deliberately in light of a desired precise balance between deterrence and compensation. On the other hand, class actions are procedural mechanisms which can only extend the substantive rights of the representative plaintiff to the other class members: before there is a right of action or a suspension of the limitation period flowing from the operation of the statutory scheme itself,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cannot be interpreted in such a way as to create either one.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the more recent legislation, creates a scheme that is intended to be comprehensive, and was crafted with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in mind. The purposes associated with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 judicial economy, access to the courts and behaviour modification — were each explicitly considered in developing the structure of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Policy concerns, as compelling as they are, do not override the plain meaning of the text and the intent of the Ontario legislature. This is not altered by the fact that both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and Part XXIII.1 of the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are remedial in nature, and should thus be interpreted broadly and purposively. The end result of the legislature’s consideration was that the scheme includes a leave requirement that serves as a precondition to the commencement of an action, a limitation period and no requirement to prove reliance on the misrepresentation. The combined effect of these features is to promote efficiency and fairness for both parties.</w:t>
      </w:r>
    </w:p>
    <w:p w:rsidR="00890AC2" w:rsidRDefault="00890AC2" w:rsidP="00890AC2">
      <w:pPr>
        <w:tabs>
          <w:tab w:val="left" w:pos="1168"/>
        </w:tabs>
        <w:jc w:val="both"/>
        <w:rPr>
          <w:rFonts w:eastAsia="Times New Roman" w:cs="Times New Roman"/>
          <w:sz w:val="20"/>
          <w:szCs w:val="20"/>
          <w:lang w:eastAsia="en-CA"/>
        </w:rPr>
      </w:pPr>
    </w:p>
    <w:p w:rsidR="00A42B44" w:rsidRDefault="00A42B44"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The interpretation proposed by the Court of Appeal in these cases also significantly affects the protection provided against strike suits, which aims to screen out strike suits as early as possible in the litigation process. The preliminary leave requirement in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was added because the usual measures under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did not provide appropriate safeguards. Requiring merely that a statutory cause of action be mentioned in an existing class proceeding for the limitation period to be suspended can hardly be said to achieve the intended protection.</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val="en-US"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 xml:space="preserve">Per </w:t>
      </w:r>
      <w:r w:rsidRPr="00890AC2">
        <w:rPr>
          <w:rFonts w:eastAsia="Times New Roman" w:cs="Times New Roman"/>
          <w:b/>
          <w:sz w:val="20"/>
          <w:szCs w:val="20"/>
          <w:lang w:eastAsia="en-CA"/>
        </w:rPr>
        <w:t>Cromwell</w:t>
      </w:r>
      <w:r w:rsidRPr="00890AC2">
        <w:rPr>
          <w:rFonts w:eastAsia="Times New Roman" w:cs="Times New Roman"/>
          <w:sz w:val="20"/>
          <w:szCs w:val="20"/>
          <w:lang w:eastAsia="en-CA"/>
        </w:rPr>
        <w:t> J.: The conclusions of C</w:t>
      </w:r>
      <w:proofErr w:type="spellStart"/>
      <w:r w:rsidRPr="00890AC2">
        <w:rPr>
          <w:rFonts w:eastAsia="Times New Roman" w:cs="Times New Roman"/>
          <w:sz w:val="20"/>
          <w:szCs w:val="20"/>
          <w:lang w:val="en-US" w:eastAsia="en-CA"/>
        </w:rPr>
        <w:t>ôté</w:t>
      </w:r>
      <w:proofErr w:type="spellEnd"/>
      <w:r w:rsidRPr="00890AC2">
        <w:rPr>
          <w:rFonts w:eastAsia="Times New Roman" w:cs="Times New Roman"/>
          <w:sz w:val="20"/>
          <w:szCs w:val="20"/>
          <w:lang w:val="en-US" w:eastAsia="en-CA"/>
        </w:rPr>
        <w:t> J. on the interpretation of the limitation and leave provisions are agreed with.</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 xml:space="preserve">Per </w:t>
      </w:r>
      <w:proofErr w:type="spellStart"/>
      <w:r w:rsidRPr="00890AC2">
        <w:rPr>
          <w:rFonts w:eastAsia="Times New Roman" w:cs="Times New Roman"/>
          <w:sz w:val="20"/>
          <w:szCs w:val="20"/>
          <w:lang w:eastAsia="en-CA"/>
        </w:rPr>
        <w:t>Moldaver</w:t>
      </w:r>
      <w:proofErr w:type="spellEnd"/>
      <w:r w:rsidRPr="00890AC2">
        <w:rPr>
          <w:rFonts w:eastAsia="Times New Roman" w:cs="Times New Roman"/>
          <w:sz w:val="20"/>
          <w:szCs w:val="20"/>
          <w:lang w:eastAsia="en-CA"/>
        </w:rPr>
        <w:t xml:space="preserve">, </w:t>
      </w:r>
      <w:proofErr w:type="spellStart"/>
      <w:r w:rsidRPr="00890AC2">
        <w:rPr>
          <w:rFonts w:eastAsia="Times New Roman" w:cs="Times New Roman"/>
          <w:b/>
          <w:sz w:val="20"/>
          <w:szCs w:val="20"/>
          <w:lang w:eastAsia="en-CA"/>
        </w:rPr>
        <w:t>Karakatsanis</w:t>
      </w:r>
      <w:proofErr w:type="spellEnd"/>
      <w:r w:rsidRPr="00890AC2">
        <w:rPr>
          <w:rFonts w:eastAsia="Times New Roman" w:cs="Times New Roman"/>
          <w:sz w:val="20"/>
          <w:szCs w:val="20"/>
          <w:lang w:eastAsia="en-CA"/>
        </w:rPr>
        <w:t xml:space="preserve"> and </w:t>
      </w:r>
      <w:proofErr w:type="spellStart"/>
      <w:r w:rsidRPr="00890AC2">
        <w:rPr>
          <w:rFonts w:eastAsia="Times New Roman" w:cs="Times New Roman"/>
          <w:sz w:val="20"/>
          <w:szCs w:val="20"/>
          <w:lang w:eastAsia="en-CA"/>
        </w:rPr>
        <w:t>Gascon</w:t>
      </w:r>
      <w:proofErr w:type="spellEnd"/>
      <w:r w:rsidRPr="00890AC2">
        <w:rPr>
          <w:rFonts w:eastAsia="Times New Roman" w:cs="Times New Roman"/>
          <w:sz w:val="20"/>
          <w:szCs w:val="20"/>
          <w:lang w:eastAsia="en-CA"/>
        </w:rPr>
        <w:t> JJ. (</w:t>
      </w:r>
      <w:proofErr w:type="gramStart"/>
      <w:r w:rsidRPr="00890AC2">
        <w:rPr>
          <w:rFonts w:eastAsia="Times New Roman" w:cs="Times New Roman"/>
          <w:sz w:val="20"/>
          <w:szCs w:val="20"/>
          <w:lang w:eastAsia="en-CA"/>
        </w:rPr>
        <w:t>minority</w:t>
      </w:r>
      <w:proofErr w:type="gramEnd"/>
      <w:r w:rsidRPr="00890AC2">
        <w:rPr>
          <w:rFonts w:eastAsia="Times New Roman" w:cs="Times New Roman"/>
          <w:sz w:val="20"/>
          <w:szCs w:val="20"/>
          <w:lang w:eastAsia="en-CA"/>
        </w:rPr>
        <w:t xml:space="preserve"> opinion): The five</w:t>
      </w:r>
      <w:r w:rsidRPr="00890AC2">
        <w:rPr>
          <w:rFonts w:eastAsia="Times New Roman" w:cs="Times New Roman"/>
          <w:sz w:val="20"/>
          <w:szCs w:val="20"/>
          <w:lang w:eastAsia="en-CA"/>
        </w:rPr>
        <w:noBreakHyphen/>
        <w:t xml:space="preserve">member panel of the Court of Appeal was correct to overturn that court’s earlier interpretation of the application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to the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limitation period. As long as the statutory cause of action in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is asserted in a properly commenced class proceeding,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will suspend the limitation periods applicable to all causes of action asserted — including the limitation period governing the statutory claim — regardless of whether leave has been obtained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This understanding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best accords with the words, scheme and purpose of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as well as the language, purpose and operation of Part XXIII.1 of the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 harmonious interpretation that respects the ordinary meaning of the text of both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and the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and the context and the purpose of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recognizing its intended application in the securities context, must be sought. As both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and Part XXIII.1 of the </w:t>
      </w:r>
      <w:r w:rsidRPr="00890AC2">
        <w:rPr>
          <w:rFonts w:eastAsia="Times New Roman" w:cs="Times New Roman"/>
          <w:i/>
          <w:sz w:val="20"/>
          <w:szCs w:val="20"/>
          <w:lang w:eastAsia="en-CA"/>
        </w:rPr>
        <w:t xml:space="preserve">OSA </w:t>
      </w:r>
      <w:r w:rsidRPr="00890AC2">
        <w:rPr>
          <w:rFonts w:eastAsia="Times New Roman" w:cs="Times New Roman"/>
          <w:sz w:val="20"/>
          <w:szCs w:val="20"/>
          <w:lang w:eastAsia="en-CA"/>
        </w:rPr>
        <w:t xml:space="preserve">are remedial in nature, the provisions from those statutes must be interpreted broadly and purposively. Moreover, in analysing the interaction between the laws of one legislature, it must be presumed that the laws are meant to work together, both logically and </w:t>
      </w:r>
      <w:proofErr w:type="spellStart"/>
      <w:r w:rsidRPr="00890AC2">
        <w:rPr>
          <w:rFonts w:eastAsia="Times New Roman" w:cs="Times New Roman"/>
          <w:sz w:val="20"/>
          <w:szCs w:val="20"/>
          <w:lang w:eastAsia="en-CA"/>
        </w:rPr>
        <w:t>teleologically</w:t>
      </w:r>
      <w:proofErr w:type="spellEnd"/>
      <w:r w:rsidRPr="00890AC2">
        <w:rPr>
          <w:rFonts w:eastAsia="Times New Roman" w:cs="Times New Roman"/>
          <w:sz w:val="20"/>
          <w:szCs w:val="20"/>
          <w:lang w:eastAsia="en-CA"/>
        </w:rPr>
        <w:t xml:space="preserve">, as parts of a functioning whole. The relevant provisions in the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were enacted after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and it is clear that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was intended to operate in the context of class proceedings legislation. </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Section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is engaged upon the commencement of a class proceeding with respect to “a cause of action asserted” in the class proceeding. “Assert” has multiple dictionary meanings, and “to assert” is defined variously as “to invoke or enforce a legal right” or “make or enforce a claim to”. The Court of Appeal’s conclusion that “asserting” a cause of action in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refers to “invoking the legal right” or “making the claim” is more consistent with the English and the French text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and with the context of that provision.</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In order to “make the claim” or “invoke the legal right”, the representative plaintiff must plead the essential factual elements required to constitute the cause of action. Section 138.3 provides injured shareholders with four causes of action tied to misrepresentations or the failure to make timely disclosure of a material change. Leave is not one of the factual elements set out in that provision. Therefore, the leave requirement in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is not a constituent element of the statutory cause of action set out in 138.3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Rather, obtaining leave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is a procedural requirement. It is necessary for the right arising from s. 138.3 to be ultimately exercised, adjudicated at trial and enforced; however, “asserting” the statutory cause of action for the purposes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does not require the representative plaintiff to first obtain leave. The statutory cause of action can therefore be asserted in a class proceeding statement of claim before leave is obtained.</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Section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suspends the running of the limitation periods upon the “commencement of the class proceeding”. “Commencement” for the purpose of this provision refers to the commencement of an intended class proceeding under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prior to certification. To commence a class proceeding, the representative plaintiff must file a statement of claim. The text of s. 28 recognizes that multiple causes of action could be asserted in a single statement of claim. Section 28 does not condition the commencement of the class proceeding on the prior fulfillment of all procedural requirements in respect of every cause of action asserted in the proceeding. On a plain reading of s. 28, the limitation periods applicable to all causes of action asserted in the proceeding are suspended upon the commencement of the proceeding, regardless of whether some would require leave to proceed individually. Thus,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will suspend the limitation period in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once the representative plaintiff properly commences a class proceeding for a common law cause of action and pleads the statutory cause of action and its constituent elements in the statement of claim.</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Excluding the statutory cause of action in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from the protection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until leave has been granted removes compliance with the limitation period from the plaintiff’s control. It would also necessarily oblige potential class members to file a multitude of individual motions for leave to commence the statutory claim, thus unnecessarily adding procedural steps and increasing costs and delays for all parties involved. Such an obligation is not required by the text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nor by the context or purposes of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Such a result serves neither judicial economy nor access to justice. Rather, it undermines the harmonious operation of class proceedings in the securities context. An interpretation that suspends the limitation period where leave has not yet been granted under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promotes the purposes of the </w:t>
      </w:r>
      <w:r w:rsidRPr="00890AC2">
        <w:rPr>
          <w:rFonts w:eastAsia="Times New Roman" w:cs="Times New Roman"/>
          <w:i/>
          <w:sz w:val="20"/>
          <w:szCs w:val="20"/>
          <w:lang w:eastAsia="en-CA"/>
        </w:rPr>
        <w:t>CPA</w:t>
      </w:r>
      <w:r w:rsidRPr="00890AC2">
        <w:rPr>
          <w:rFonts w:eastAsia="Times New Roman" w:cs="Times New Roman"/>
          <w:sz w:val="20"/>
          <w:szCs w:val="20"/>
          <w:lang w:eastAsia="en-CA"/>
        </w:rPr>
        <w:t xml:space="preserve">, is harmonious with the language, purpose and operation of Part XXIII.1 of the </w:t>
      </w:r>
      <w:r w:rsidRPr="00890AC2">
        <w:rPr>
          <w:rFonts w:eastAsia="Times New Roman" w:cs="Times New Roman"/>
          <w:i/>
          <w:sz w:val="20"/>
          <w:szCs w:val="20"/>
          <w:lang w:eastAsia="en-CA"/>
        </w:rPr>
        <w:t>OSA</w:t>
      </w:r>
      <w:r w:rsidRPr="00890AC2">
        <w:rPr>
          <w:rFonts w:eastAsia="Times New Roman" w:cs="Times New Roman"/>
          <w:sz w:val="20"/>
          <w:szCs w:val="20"/>
          <w:lang w:eastAsia="en-CA"/>
        </w:rPr>
        <w:t>, and allows the class proceeding to remain an effective vehicle for the pursuit of Part XXIII.1 statutory claims while respecting the policy underpinnings of limitation periods.</w:t>
      </w:r>
    </w:p>
    <w:p w:rsidR="00890AC2" w:rsidRDefault="00890AC2" w:rsidP="00890AC2">
      <w:pPr>
        <w:tabs>
          <w:tab w:val="left" w:pos="1168"/>
        </w:tabs>
        <w:jc w:val="both"/>
        <w:rPr>
          <w:rFonts w:eastAsia="Times New Roman" w:cs="Times New Roman"/>
          <w:sz w:val="20"/>
          <w:szCs w:val="20"/>
          <w:lang w:eastAsia="en-CA"/>
        </w:rPr>
      </w:pPr>
    </w:p>
    <w:p w:rsid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In each of the three cases under appeal, the plaintiffs commenced class proceedings and pleaded the constituent facts of the tort of negligent misrepresentation and of the statutory cause of action in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in their statements of claim. This pleading constitutes an assertion of the statutory cause of action for the purposes of s. 28 </w:t>
      </w:r>
      <w:r w:rsidRPr="00890AC2">
        <w:rPr>
          <w:rFonts w:eastAsia="Times New Roman" w:cs="Times New Roman"/>
          <w:i/>
          <w:sz w:val="20"/>
          <w:szCs w:val="20"/>
          <w:lang w:eastAsia="en-CA"/>
        </w:rPr>
        <w:t>CPA</w:t>
      </w:r>
      <w:r w:rsidRPr="00890AC2">
        <w:rPr>
          <w:rFonts w:eastAsia="Times New Roman" w:cs="Times New Roman"/>
          <w:sz w:val="20"/>
          <w:szCs w:val="20"/>
          <w:lang w:eastAsia="en-CA"/>
        </w:rPr>
        <w:t>. Thus, the limitation periods for the statutory claims at issue in these appeals are suspended as of the date of filing of their statements of claim and none of the claims are statute</w:t>
      </w:r>
      <w:r w:rsidRPr="00890AC2">
        <w:rPr>
          <w:rFonts w:eastAsia="Times New Roman" w:cs="Times New Roman"/>
          <w:sz w:val="20"/>
          <w:szCs w:val="20"/>
          <w:lang w:eastAsia="en-CA"/>
        </w:rPr>
        <w:noBreakHyphen/>
        <w:t>barred.</w:t>
      </w:r>
    </w:p>
    <w:p w:rsidR="00890AC2" w:rsidRP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u w:val="single"/>
          <w:lang w:eastAsia="en-CA"/>
        </w:rPr>
        <w:t>Remedies</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 xml:space="preserve">Per </w:t>
      </w:r>
      <w:proofErr w:type="spellStart"/>
      <w:r w:rsidRPr="00890AC2">
        <w:rPr>
          <w:rFonts w:eastAsia="Times New Roman" w:cs="Times New Roman"/>
          <w:sz w:val="20"/>
          <w:szCs w:val="20"/>
          <w:lang w:eastAsia="en-CA"/>
        </w:rPr>
        <w:t>McLachlin</w:t>
      </w:r>
      <w:proofErr w:type="spellEnd"/>
      <w:r w:rsidRPr="00890AC2">
        <w:rPr>
          <w:rFonts w:eastAsia="Times New Roman" w:cs="Times New Roman"/>
          <w:sz w:val="20"/>
          <w:szCs w:val="20"/>
          <w:lang w:eastAsia="en-CA"/>
        </w:rPr>
        <w:t xml:space="preserve"> C.J. and Rothstein and </w:t>
      </w:r>
      <w:proofErr w:type="spellStart"/>
      <w:r w:rsidRPr="00890AC2">
        <w:rPr>
          <w:rFonts w:eastAsia="Times New Roman" w:cs="Times New Roman"/>
          <w:b/>
          <w:sz w:val="20"/>
          <w:szCs w:val="20"/>
          <w:lang w:eastAsia="en-CA"/>
        </w:rPr>
        <w:t>Côté</w:t>
      </w:r>
      <w:proofErr w:type="spellEnd"/>
      <w:r w:rsidRPr="00890AC2">
        <w:rPr>
          <w:rFonts w:eastAsia="Times New Roman" w:cs="Times New Roman"/>
          <w:sz w:val="20"/>
          <w:szCs w:val="20"/>
          <w:lang w:eastAsia="en-CA"/>
        </w:rPr>
        <w:t xml:space="preserve"> JJ.: </w:t>
      </w:r>
      <w:r w:rsidRPr="00890AC2">
        <w:rPr>
          <w:rFonts w:eastAsia="Times New Roman" w:cs="Times New Roman"/>
          <w:i/>
          <w:sz w:val="20"/>
          <w:szCs w:val="20"/>
          <w:lang w:eastAsia="en-CA"/>
        </w:rPr>
        <w:t xml:space="preserve">Nunc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and special circumstances are two separate doctrines, which need to be addressed separately. The courts have inherent jurisdiction to issue orders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that is, to backdate their orders. This power is implied by rule 59.01 of the Ontario </w:t>
      </w:r>
      <w:r w:rsidRPr="00890AC2">
        <w:rPr>
          <w:rFonts w:eastAsia="Times New Roman" w:cs="Times New Roman"/>
          <w:i/>
          <w:sz w:val="20"/>
          <w:szCs w:val="20"/>
          <w:lang w:eastAsia="en-CA"/>
        </w:rPr>
        <w:t>Rules of Civil Procedure</w:t>
      </w:r>
      <w:r w:rsidRPr="00890AC2">
        <w:rPr>
          <w:rFonts w:eastAsia="Times New Roman" w:cs="Times New Roman"/>
          <w:sz w:val="20"/>
          <w:szCs w:val="20"/>
          <w:lang w:eastAsia="en-CA"/>
        </w:rPr>
        <w:t>. The following non</w:t>
      </w:r>
      <w:r w:rsidRPr="00890AC2">
        <w:rPr>
          <w:rFonts w:eastAsia="Times New Roman" w:cs="Times New Roman"/>
          <w:sz w:val="20"/>
          <w:szCs w:val="20"/>
          <w:lang w:eastAsia="en-CA"/>
        </w:rPr>
        <w:noBreakHyphen/>
        <w:t>exhaustive factors guide the courts in determining whether to exercise their inherent jurisdiction to grant such an order: (1) the opposing party will not be prejudiced by the order; (2) the order would have been granted had it been sought at the appropriate time, such that the timing of the order is merely an irregularity; (3) the irregularity is not intentional; (4) the order will effectively achieve the relief sought or cure the irregularity; (5) the delay has been caused by an act of the court; and (6) the order would facilitate access to justice. None of these factors is determinative.</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An order granting leave to proceed with an action can theoretically be made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where leave is sought prior to the expiry of the limitation period. However, a court should not exercise its inherent jurisdiction where this would undermine the purpose of the limitation period or the legislation at issue. This is because, as with all common law doctrines and rules, the inherent jurisdiction to grant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orders is circumscribed by legislative intent. </w:t>
      </w:r>
      <w:r w:rsidRPr="00890AC2">
        <w:rPr>
          <w:rFonts w:eastAsia="Times New Roman" w:cs="Times New Roman"/>
          <w:i/>
          <w:sz w:val="20"/>
          <w:szCs w:val="20"/>
          <w:lang w:eastAsia="en-CA"/>
        </w:rPr>
        <w:t xml:space="preserve">Nunc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orders will not be available if they are precluded by either the language or the purpose of a statute. Accordingly, the courts’ inherent jurisdiction to issue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orders in relation to leave to commence claims under s. 138.3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is not unlimited and should be exercised bearing in mind that the leave requirement, and its interaction with the limitation period, are central to the delicate balance struck in Part XXIII.1 </w:t>
      </w:r>
      <w:r w:rsidRPr="00890AC2">
        <w:rPr>
          <w:rFonts w:eastAsia="Times New Roman" w:cs="Times New Roman"/>
          <w:i/>
          <w:sz w:val="20"/>
          <w:szCs w:val="20"/>
          <w:lang w:eastAsia="en-CA"/>
        </w:rPr>
        <w:t>OSA</w:t>
      </w:r>
      <w:r w:rsidRPr="00890AC2">
        <w:rPr>
          <w:rFonts w:eastAsia="Times New Roman" w:cs="Times New Roman"/>
          <w:sz w:val="20"/>
          <w:szCs w:val="20"/>
          <w:lang w:eastAsia="en-CA"/>
        </w:rPr>
        <w:t>.</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The standard of review that ordinarily applies to a judge’s discretionary decision on whether to grant an order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is that of deference: if the judge has given sufficient weight to all the relevant considerations, an appellate court must defer to his or her exercise of discretion. However, if the judge’s discretion is exercised on the basis of an erroneous principle, an appellate court is entitled to intervene. In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the motion judge found that he did not have jurisdiction to make the order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It follows that he did not actually exercise any discretion, and there is therefore no decision to defer to. But, even if he had done so, his reasoning on whether the order should be granted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was based on an erroneous principle. In </w:t>
      </w:r>
      <w:r w:rsidRPr="00890AC2">
        <w:rPr>
          <w:rFonts w:eastAsia="Times New Roman" w:cs="Times New Roman"/>
          <w:i/>
          <w:sz w:val="20"/>
          <w:szCs w:val="20"/>
          <w:lang w:eastAsia="en-CA"/>
        </w:rPr>
        <w:t>IMAX</w:t>
      </w:r>
      <w:r w:rsidRPr="00890AC2">
        <w:rPr>
          <w:rFonts w:eastAsia="Times New Roman" w:cs="Times New Roman"/>
          <w:sz w:val="20"/>
          <w:szCs w:val="20"/>
          <w:lang w:eastAsia="en-CA"/>
        </w:rPr>
        <w:t>, in exercising her discretion, the motion judge failed to address or distinguish the situation of the defendants who were not parties to the original statement of claim. Therefore, no deference applies.</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In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the plaintiffs were aware of the requirement of obtaining leave but made the choice not to expedite the leave motion, proceeding on the assumption that the court had the jurisdiction to extend the limitation period and that the discretion would be exercised in their favour by granting leave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In this case, to grant a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order even though the plaintiffs did absolutely nothing to prevent the expiry of the limitation period would have the effect of overriding the legislature’s intent.</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In </w:t>
      </w:r>
      <w:r w:rsidRPr="00890AC2">
        <w:rPr>
          <w:rFonts w:eastAsia="Times New Roman" w:cs="Times New Roman"/>
          <w:i/>
          <w:sz w:val="20"/>
          <w:szCs w:val="20"/>
          <w:lang w:eastAsia="en-CA"/>
        </w:rPr>
        <w:t>IMAX</w:t>
      </w:r>
      <w:r w:rsidRPr="00890AC2">
        <w:rPr>
          <w:rFonts w:eastAsia="Times New Roman" w:cs="Times New Roman"/>
          <w:sz w:val="20"/>
          <w:szCs w:val="20"/>
          <w:lang w:eastAsia="en-CA"/>
        </w:rPr>
        <w:t xml:space="preserve">, the motion judge exercised her discretion correctly in making a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i/>
          <w:sz w:val="20"/>
          <w:szCs w:val="20"/>
          <w:lang w:eastAsia="en-CA"/>
        </w:rPr>
        <w:t xml:space="preserve"> </w:t>
      </w:r>
      <w:r w:rsidRPr="00890AC2">
        <w:rPr>
          <w:rFonts w:eastAsia="Times New Roman" w:cs="Times New Roman"/>
          <w:sz w:val="20"/>
          <w:szCs w:val="20"/>
          <w:lang w:eastAsia="en-CA"/>
        </w:rPr>
        <w:t xml:space="preserve">order in relation to the defendants who were parties to the original statement of claim. However, as regards the other defendants, who were not defendants in any proceeding at the time when argument on the leave application was concluded, the plaintiffs, who waited more than two years after leave was granted before issuing a first statement of claim against them as defendants and provided no valid explanation for this delay, certainly cannot be said to have acted diligently. Granting relief to the plaintiffs against those defendants would undermine the strict limitation period set out in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and the balance struck in the legislation.</w:t>
      </w:r>
    </w:p>
    <w:p w:rsidR="003C54EB" w:rsidRDefault="003C54EB"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In </w:t>
      </w:r>
      <w:r w:rsidRPr="00890AC2">
        <w:rPr>
          <w:rFonts w:eastAsia="Times New Roman" w:cs="Times New Roman"/>
          <w:i/>
          <w:sz w:val="20"/>
          <w:szCs w:val="20"/>
          <w:lang w:eastAsia="en-CA"/>
        </w:rPr>
        <w:t>Celestica</w:t>
      </w:r>
      <w:r w:rsidRPr="00890AC2">
        <w:rPr>
          <w:rFonts w:eastAsia="Times New Roman" w:cs="Times New Roman"/>
          <w:sz w:val="20"/>
          <w:szCs w:val="20"/>
          <w:lang w:eastAsia="en-CA"/>
        </w:rPr>
        <w:t xml:space="preserve">, no motion for leave was filed before the expiry of the limitation period. Accordingly, a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order could not remedy that expiry. This is sufficient to deny such an order. </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The doctrine of special circumstances allows a court to temper the potentially harsh and unfair effects of limitation periods by allowing a plaintiff to add a cause of action or a party to the statement of claim after the expiry of the relevant limitation period. The circumstances warranting such an amendment will not often occur. In the case of statutory actions under s. 138.3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the legislature specifically barred a plaintiff from commencing such an action without first obtaining leave of the court. Accordingly, the doctrine of special circumstances is of no avail to any of the plaintiffs in the three instant cases. Neither the limitation period in s. 138.14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nor the leave requirement in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can be defeated by amending the pleadings to include a statutory claim under s. 138.3 </w:t>
      </w:r>
      <w:r w:rsidRPr="00890AC2">
        <w:rPr>
          <w:rFonts w:eastAsia="Times New Roman" w:cs="Times New Roman"/>
          <w:i/>
          <w:sz w:val="20"/>
          <w:szCs w:val="20"/>
          <w:lang w:eastAsia="en-CA"/>
        </w:rPr>
        <w:t>OSA</w:t>
      </w:r>
      <w:r w:rsidRPr="00890AC2">
        <w:rPr>
          <w:rFonts w:eastAsia="Times New Roman" w:cs="Times New Roman"/>
          <w:sz w:val="20"/>
          <w:szCs w:val="20"/>
          <w:lang w:eastAsia="en-CA"/>
        </w:rPr>
        <w:t xml:space="preserve">. The doctrine, therefore, does not provide the plaintiffs with an effective remedy, since it cannot on its own overcome the leave requirement of s. 138.8 </w:t>
      </w:r>
      <w:r w:rsidRPr="00890AC2">
        <w:rPr>
          <w:rFonts w:eastAsia="Times New Roman" w:cs="Times New Roman"/>
          <w:i/>
          <w:sz w:val="20"/>
          <w:szCs w:val="20"/>
          <w:lang w:eastAsia="en-CA"/>
        </w:rPr>
        <w:t>OSA</w:t>
      </w:r>
      <w:r w:rsidRPr="00890AC2">
        <w:rPr>
          <w:rFonts w:eastAsia="Times New Roman" w:cs="Times New Roman"/>
          <w:sz w:val="20"/>
          <w:szCs w:val="20"/>
          <w:lang w:eastAsia="en-CA"/>
        </w:rPr>
        <w:t>.</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val="en-US" w:eastAsia="en-CA"/>
        </w:rPr>
      </w:pPr>
      <w:r w:rsidRPr="00890AC2">
        <w:rPr>
          <w:rFonts w:eastAsia="Times New Roman" w:cs="Times New Roman"/>
          <w:sz w:val="20"/>
          <w:szCs w:val="20"/>
          <w:lang w:eastAsia="en-CA"/>
        </w:rPr>
        <w:tab/>
      </w:r>
      <w:r w:rsidRPr="00890AC2">
        <w:rPr>
          <w:rFonts w:eastAsia="Times New Roman" w:cs="Times New Roman"/>
          <w:i/>
          <w:sz w:val="20"/>
          <w:szCs w:val="20"/>
          <w:lang w:eastAsia="en-CA"/>
        </w:rPr>
        <w:t xml:space="preserve">Per </w:t>
      </w:r>
      <w:r w:rsidRPr="00890AC2">
        <w:rPr>
          <w:rFonts w:eastAsia="Times New Roman" w:cs="Times New Roman"/>
          <w:b/>
          <w:sz w:val="20"/>
          <w:szCs w:val="20"/>
          <w:lang w:eastAsia="en-CA"/>
        </w:rPr>
        <w:t>Cromwell</w:t>
      </w:r>
      <w:r w:rsidRPr="00890AC2">
        <w:rPr>
          <w:rFonts w:eastAsia="Times New Roman" w:cs="Times New Roman"/>
          <w:sz w:val="20"/>
          <w:szCs w:val="20"/>
          <w:lang w:eastAsia="en-CA"/>
        </w:rPr>
        <w:t xml:space="preserve"> J.: </w:t>
      </w:r>
      <w:r w:rsidRPr="00890AC2">
        <w:rPr>
          <w:rFonts w:eastAsia="Times New Roman" w:cs="Times New Roman"/>
          <w:sz w:val="20"/>
          <w:szCs w:val="20"/>
          <w:lang w:val="en-US" w:eastAsia="en-CA"/>
        </w:rPr>
        <w:t xml:space="preserve">Agreement is expressed for the reasons of </w:t>
      </w:r>
      <w:proofErr w:type="spellStart"/>
      <w:r w:rsidRPr="00890AC2">
        <w:rPr>
          <w:rFonts w:eastAsia="Times New Roman" w:cs="Times New Roman"/>
          <w:sz w:val="20"/>
          <w:szCs w:val="20"/>
          <w:lang w:val="en-US" w:eastAsia="en-CA"/>
        </w:rPr>
        <w:t>Côté</w:t>
      </w:r>
      <w:proofErr w:type="spellEnd"/>
      <w:r w:rsidRPr="00890AC2">
        <w:rPr>
          <w:rFonts w:eastAsia="Times New Roman" w:cs="Times New Roman"/>
          <w:sz w:val="20"/>
          <w:szCs w:val="20"/>
          <w:lang w:val="en-US" w:eastAsia="en-CA"/>
        </w:rPr>
        <w:t xml:space="preserve"> J. in respect of the discretionary power of the courts to grant leave </w:t>
      </w:r>
      <w:proofErr w:type="spellStart"/>
      <w:r w:rsidRPr="00890AC2">
        <w:rPr>
          <w:rFonts w:eastAsia="Times New Roman" w:cs="Times New Roman"/>
          <w:i/>
          <w:sz w:val="20"/>
          <w:szCs w:val="20"/>
          <w:lang w:val="en-US" w:eastAsia="en-CA"/>
        </w:rPr>
        <w:t>nunc</w:t>
      </w:r>
      <w:proofErr w:type="spellEnd"/>
      <w:r w:rsidRPr="00890AC2">
        <w:rPr>
          <w:rFonts w:eastAsia="Times New Roman" w:cs="Times New Roman"/>
          <w:i/>
          <w:sz w:val="20"/>
          <w:szCs w:val="20"/>
          <w:lang w:val="en-US" w:eastAsia="en-CA"/>
        </w:rPr>
        <w:t xml:space="preserve"> pro </w:t>
      </w:r>
      <w:proofErr w:type="spellStart"/>
      <w:r w:rsidRPr="00890AC2">
        <w:rPr>
          <w:rFonts w:eastAsia="Times New Roman" w:cs="Times New Roman"/>
          <w:i/>
          <w:sz w:val="20"/>
          <w:szCs w:val="20"/>
          <w:lang w:val="en-US" w:eastAsia="en-CA"/>
        </w:rPr>
        <w:t>tunc</w:t>
      </w:r>
      <w:proofErr w:type="spellEnd"/>
      <w:r w:rsidRPr="00890AC2">
        <w:rPr>
          <w:rFonts w:eastAsia="Times New Roman" w:cs="Times New Roman"/>
          <w:sz w:val="20"/>
          <w:szCs w:val="20"/>
          <w:lang w:val="en-US" w:eastAsia="en-CA"/>
        </w:rPr>
        <w:t xml:space="preserve"> after the expiry of the limitation period to commence a statutory claim for secondary market misrepresentation.</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In </w:t>
      </w:r>
      <w:r w:rsidRPr="00890AC2">
        <w:rPr>
          <w:rFonts w:eastAsia="Times New Roman" w:cs="Times New Roman"/>
          <w:i/>
          <w:sz w:val="20"/>
          <w:szCs w:val="20"/>
          <w:lang w:eastAsia="en-CA"/>
        </w:rPr>
        <w:t>CIBC</w:t>
      </w:r>
      <w:r w:rsidRPr="00890AC2">
        <w:rPr>
          <w:rFonts w:eastAsia="Times New Roman" w:cs="Times New Roman"/>
          <w:sz w:val="20"/>
          <w:szCs w:val="20"/>
          <w:lang w:eastAsia="en-CA"/>
        </w:rPr>
        <w:t xml:space="preserve">, the motion judge was ideally placed to assess and weigh all of the many considerations that are relevant to the question of whether the court’s discretion should be exercised in the plaintiffs’ favour. His assessment of those considerations and the weight to be given to them should be treated with deference on appeal. There is no error in the principles that the motion judge applied, in the factors that he considered relevant or in his assessment of the evidence. Accordingly, there is no basis to interfere with his conclusion that the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discretion should be exercised in the plaintiffs’ favour. </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eastAsia="en-CA"/>
        </w:rPr>
      </w:pPr>
      <w:r w:rsidRPr="00890AC2">
        <w:rPr>
          <w:rFonts w:eastAsia="Times New Roman" w:cs="Times New Roman"/>
          <w:sz w:val="20"/>
          <w:szCs w:val="20"/>
          <w:lang w:eastAsia="en-CA"/>
        </w:rPr>
        <w:tab/>
        <w:t xml:space="preserve">The motion judge in </w:t>
      </w:r>
      <w:r w:rsidRPr="00890AC2">
        <w:rPr>
          <w:rFonts w:eastAsia="Times New Roman" w:cs="Times New Roman"/>
          <w:i/>
          <w:sz w:val="20"/>
          <w:szCs w:val="20"/>
          <w:lang w:eastAsia="en-CA"/>
        </w:rPr>
        <w:t>IMAX</w:t>
      </w:r>
      <w:r w:rsidRPr="00890AC2">
        <w:rPr>
          <w:rFonts w:eastAsia="Times New Roman" w:cs="Times New Roman"/>
          <w:sz w:val="20"/>
          <w:szCs w:val="20"/>
          <w:lang w:eastAsia="en-CA"/>
        </w:rPr>
        <w:t xml:space="preserve"> was also correct to exercise her </w:t>
      </w:r>
      <w:proofErr w:type="spellStart"/>
      <w:r w:rsidRPr="00890AC2">
        <w:rPr>
          <w:rFonts w:eastAsia="Times New Roman" w:cs="Times New Roman"/>
          <w:i/>
          <w:sz w:val="20"/>
          <w:szCs w:val="20"/>
          <w:lang w:eastAsia="en-CA"/>
        </w:rPr>
        <w:t>nunc</w:t>
      </w:r>
      <w:proofErr w:type="spellEnd"/>
      <w:r w:rsidRPr="00890AC2">
        <w:rPr>
          <w:rFonts w:eastAsia="Times New Roman" w:cs="Times New Roman"/>
          <w:i/>
          <w:sz w:val="20"/>
          <w:szCs w:val="20"/>
          <w:lang w:eastAsia="en-CA"/>
        </w:rPr>
        <w:t xml:space="preserve"> pro </w:t>
      </w:r>
      <w:proofErr w:type="spellStart"/>
      <w:r w:rsidRPr="00890AC2">
        <w:rPr>
          <w:rFonts w:eastAsia="Times New Roman" w:cs="Times New Roman"/>
          <w:i/>
          <w:sz w:val="20"/>
          <w:szCs w:val="20"/>
          <w:lang w:eastAsia="en-CA"/>
        </w:rPr>
        <w:t>tunc</w:t>
      </w:r>
      <w:proofErr w:type="spellEnd"/>
      <w:r w:rsidRPr="00890AC2">
        <w:rPr>
          <w:rFonts w:eastAsia="Times New Roman" w:cs="Times New Roman"/>
          <w:sz w:val="20"/>
          <w:szCs w:val="20"/>
          <w:lang w:eastAsia="en-CA"/>
        </w:rPr>
        <w:t xml:space="preserve"> discretion. The motion judge was intimately familiar with the progress of this file with which she had been dealing over several years. There is no basis on which to interfere with her assessment of the equities of the situation or of the plaintiffs’ diligence. </w:t>
      </w:r>
    </w:p>
    <w:p w:rsidR="00890AC2" w:rsidRDefault="00890AC2" w:rsidP="00890AC2">
      <w:pPr>
        <w:tabs>
          <w:tab w:val="left" w:pos="1168"/>
        </w:tabs>
        <w:jc w:val="both"/>
        <w:rPr>
          <w:rFonts w:eastAsia="Times New Roman" w:cs="Times New Roman"/>
          <w:sz w:val="20"/>
          <w:szCs w:val="20"/>
          <w:lang w:eastAsia="en-CA"/>
        </w:rPr>
      </w:pPr>
    </w:p>
    <w:p w:rsidR="00890AC2" w:rsidRPr="00890AC2" w:rsidRDefault="00890AC2" w:rsidP="00890AC2">
      <w:pPr>
        <w:tabs>
          <w:tab w:val="left" w:pos="1168"/>
        </w:tabs>
        <w:jc w:val="both"/>
        <w:rPr>
          <w:rFonts w:eastAsia="Times New Roman" w:cs="Times New Roman"/>
          <w:sz w:val="20"/>
          <w:szCs w:val="20"/>
          <w:lang w:val="en-US" w:eastAsia="en-CA"/>
        </w:rPr>
      </w:pPr>
      <w:r w:rsidRPr="00890AC2">
        <w:rPr>
          <w:rFonts w:eastAsia="Times New Roman" w:cs="Times New Roman"/>
          <w:sz w:val="20"/>
          <w:szCs w:val="20"/>
          <w:lang w:eastAsia="en-CA"/>
        </w:rPr>
        <w:tab/>
        <w:t xml:space="preserve">The conclusions of </w:t>
      </w:r>
      <w:proofErr w:type="spellStart"/>
      <w:r w:rsidRPr="00890AC2">
        <w:rPr>
          <w:rFonts w:eastAsia="Times New Roman" w:cs="Times New Roman"/>
          <w:sz w:val="20"/>
          <w:szCs w:val="20"/>
          <w:lang w:val="en-US" w:eastAsia="en-CA"/>
        </w:rPr>
        <w:t>Côté</w:t>
      </w:r>
      <w:proofErr w:type="spellEnd"/>
      <w:r w:rsidRPr="00890AC2">
        <w:rPr>
          <w:rFonts w:eastAsia="Times New Roman" w:cs="Times New Roman"/>
          <w:sz w:val="20"/>
          <w:szCs w:val="20"/>
          <w:lang w:val="en-US" w:eastAsia="en-CA"/>
        </w:rPr>
        <w:t xml:space="preserve"> J. in </w:t>
      </w:r>
      <w:r w:rsidRPr="00890AC2">
        <w:rPr>
          <w:rFonts w:eastAsia="Times New Roman" w:cs="Times New Roman"/>
          <w:i/>
          <w:sz w:val="20"/>
          <w:szCs w:val="20"/>
          <w:lang w:val="en-US" w:eastAsia="en-CA"/>
        </w:rPr>
        <w:t>Celestica</w:t>
      </w:r>
      <w:r w:rsidRPr="00890AC2">
        <w:rPr>
          <w:rFonts w:eastAsia="Times New Roman" w:cs="Times New Roman"/>
          <w:sz w:val="20"/>
          <w:szCs w:val="20"/>
          <w:lang w:val="en-US" w:eastAsia="en-CA"/>
        </w:rPr>
        <w:t xml:space="preserve"> are agreed with.</w:t>
      </w:r>
    </w:p>
    <w:p w:rsidR="0052229C" w:rsidRPr="00FB0A1F" w:rsidRDefault="0052229C" w:rsidP="00FB0A1F">
      <w:pPr>
        <w:pStyle w:val="SCCNormalDoubleSpacing"/>
        <w:spacing w:line="240" w:lineRule="auto"/>
        <w:rPr>
          <w:sz w:val="20"/>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sz w:val="20"/>
          <w:szCs w:val="20"/>
          <w:lang w:eastAsia="en-CA"/>
        </w:rPr>
        <w:tab/>
        <w:t xml:space="preserve">APPEALS from a judgment of the Ontario Court of Appeal (Doherty, Feldman, Cronk, Blair and </w:t>
      </w:r>
      <w:proofErr w:type="spellStart"/>
      <w:r w:rsidRPr="00FB0A1F">
        <w:rPr>
          <w:rFonts w:eastAsia="Times New Roman" w:cs="Times New Roman"/>
          <w:sz w:val="20"/>
          <w:szCs w:val="20"/>
          <w:lang w:eastAsia="en-CA"/>
        </w:rPr>
        <w:t>Juriansz</w:t>
      </w:r>
      <w:proofErr w:type="spellEnd"/>
      <w:r w:rsidRPr="00FB0A1F">
        <w:rPr>
          <w:rFonts w:eastAsia="Times New Roman" w:cs="Times New Roman"/>
          <w:sz w:val="20"/>
          <w:szCs w:val="20"/>
          <w:lang w:eastAsia="en-CA"/>
        </w:rPr>
        <w:t xml:space="preserve"> JJ.A.), 2014 ONCA 90, 370 D.L.R. (4th) 402, 118 O.R. (3d) 641, 314 O.A.C. 315, 50 C.P.C. (7th) 113, [2014] O.J. No. 419 (QL), 2014 </w:t>
      </w:r>
      <w:proofErr w:type="spellStart"/>
      <w:r w:rsidRPr="00FB0A1F">
        <w:rPr>
          <w:rFonts w:eastAsia="Times New Roman" w:cs="Times New Roman"/>
          <w:sz w:val="20"/>
          <w:szCs w:val="20"/>
          <w:lang w:eastAsia="en-CA"/>
        </w:rPr>
        <w:t>CarswellOnt</w:t>
      </w:r>
      <w:proofErr w:type="spellEnd"/>
      <w:r w:rsidRPr="00FB0A1F">
        <w:rPr>
          <w:rFonts w:eastAsia="Times New Roman" w:cs="Times New Roman"/>
          <w:sz w:val="20"/>
          <w:szCs w:val="20"/>
          <w:lang w:eastAsia="en-CA"/>
        </w:rPr>
        <w:t xml:space="preserve"> 1143 (WL Can.); setting aside a decision of Strathy J., 2012 ONSC 3637, 29 C.P.C. (7th) 225, [2012] O.J. No. 3072 (QL), 2012 </w:t>
      </w:r>
      <w:proofErr w:type="spellStart"/>
      <w:r w:rsidRPr="00FB0A1F">
        <w:rPr>
          <w:rFonts w:eastAsia="Times New Roman" w:cs="Times New Roman"/>
          <w:sz w:val="20"/>
          <w:szCs w:val="20"/>
          <w:lang w:eastAsia="en-CA"/>
        </w:rPr>
        <w:t>CarswellOnt</w:t>
      </w:r>
      <w:proofErr w:type="spellEnd"/>
      <w:r w:rsidRPr="00FB0A1F">
        <w:rPr>
          <w:rFonts w:eastAsia="Times New Roman" w:cs="Times New Roman"/>
          <w:sz w:val="20"/>
          <w:szCs w:val="20"/>
          <w:lang w:eastAsia="en-CA"/>
        </w:rPr>
        <w:t xml:space="preserve"> 8382 (WL Can.); affirming a decision of van </w:t>
      </w:r>
      <w:proofErr w:type="spellStart"/>
      <w:r w:rsidRPr="00FB0A1F">
        <w:rPr>
          <w:rFonts w:eastAsia="Times New Roman" w:cs="Times New Roman"/>
          <w:sz w:val="20"/>
          <w:szCs w:val="20"/>
          <w:lang w:eastAsia="en-CA"/>
        </w:rPr>
        <w:t>Rensburg</w:t>
      </w:r>
      <w:proofErr w:type="spellEnd"/>
      <w:r w:rsidRPr="00FB0A1F">
        <w:rPr>
          <w:rFonts w:eastAsia="Times New Roman" w:cs="Times New Roman"/>
          <w:sz w:val="20"/>
          <w:szCs w:val="20"/>
          <w:lang w:eastAsia="en-CA"/>
        </w:rPr>
        <w:t xml:space="preserve"> J., 2012 ONSC 4881, [2012] O.J. No. 4002 (QL), 2012 </w:t>
      </w:r>
      <w:proofErr w:type="spellStart"/>
      <w:r w:rsidRPr="00FB0A1F">
        <w:rPr>
          <w:rFonts w:eastAsia="Times New Roman" w:cs="Times New Roman"/>
          <w:sz w:val="20"/>
          <w:szCs w:val="20"/>
          <w:lang w:eastAsia="en-CA"/>
        </w:rPr>
        <w:t>CarswellOnt</w:t>
      </w:r>
      <w:proofErr w:type="spellEnd"/>
      <w:r w:rsidRPr="00FB0A1F">
        <w:rPr>
          <w:rFonts w:eastAsia="Times New Roman" w:cs="Times New Roman"/>
          <w:sz w:val="20"/>
          <w:szCs w:val="20"/>
          <w:lang w:eastAsia="en-CA"/>
        </w:rPr>
        <w:t xml:space="preserve"> 10391 (WL Can.); and affirming a decision of </w:t>
      </w:r>
      <w:proofErr w:type="spellStart"/>
      <w:r w:rsidRPr="00FB0A1F">
        <w:rPr>
          <w:rFonts w:eastAsia="Times New Roman" w:cs="Times New Roman"/>
          <w:sz w:val="20"/>
          <w:szCs w:val="20"/>
          <w:lang w:eastAsia="en-CA"/>
        </w:rPr>
        <w:t>Perell</w:t>
      </w:r>
      <w:proofErr w:type="spellEnd"/>
      <w:r w:rsidRPr="00FB0A1F">
        <w:rPr>
          <w:rFonts w:eastAsia="Times New Roman" w:cs="Times New Roman"/>
          <w:sz w:val="20"/>
          <w:szCs w:val="20"/>
          <w:lang w:eastAsia="en-CA"/>
        </w:rPr>
        <w:t xml:space="preserve"> J., 2012 ONSC 6083, 113 O.R. (3d) 264, [2012] O.J. No. 5083 (QL), 2012 </w:t>
      </w:r>
      <w:proofErr w:type="spellStart"/>
      <w:r w:rsidRPr="00FB0A1F">
        <w:rPr>
          <w:rFonts w:eastAsia="Times New Roman" w:cs="Times New Roman"/>
          <w:sz w:val="20"/>
          <w:szCs w:val="20"/>
          <w:lang w:eastAsia="en-CA"/>
        </w:rPr>
        <w:t>CarswellOnt</w:t>
      </w:r>
      <w:proofErr w:type="spellEnd"/>
      <w:r w:rsidRPr="00FB0A1F">
        <w:rPr>
          <w:rFonts w:eastAsia="Times New Roman" w:cs="Times New Roman"/>
          <w:sz w:val="20"/>
          <w:szCs w:val="20"/>
          <w:lang w:eastAsia="en-CA"/>
        </w:rPr>
        <w:t xml:space="preserve"> 13292 (WL Can.). The appeals in </w:t>
      </w:r>
      <w:r w:rsidRPr="00FB0A1F">
        <w:rPr>
          <w:rFonts w:eastAsia="Times New Roman" w:cs="Times New Roman"/>
          <w:i/>
          <w:sz w:val="20"/>
          <w:szCs w:val="20"/>
          <w:lang w:eastAsia="en-CA"/>
        </w:rPr>
        <w:t>CIBC</w:t>
      </w:r>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 xml:space="preserve">IMAX </w:t>
      </w:r>
      <w:r w:rsidRPr="00FB0A1F">
        <w:rPr>
          <w:rFonts w:eastAsia="Times New Roman" w:cs="Times New Roman"/>
          <w:sz w:val="20"/>
          <w:szCs w:val="20"/>
          <w:lang w:eastAsia="en-CA"/>
        </w:rPr>
        <w:t xml:space="preserve">are dismissed, </w:t>
      </w:r>
      <w:proofErr w:type="spellStart"/>
      <w:r w:rsidRPr="00FB0A1F">
        <w:rPr>
          <w:rFonts w:eastAsia="Times New Roman" w:cs="Times New Roman"/>
          <w:sz w:val="20"/>
          <w:szCs w:val="20"/>
          <w:lang w:eastAsia="en-CA"/>
        </w:rPr>
        <w:t>McLachlin</w:t>
      </w:r>
      <w:proofErr w:type="spellEnd"/>
      <w:r w:rsidRPr="00FB0A1F">
        <w:rPr>
          <w:rFonts w:eastAsia="Times New Roman" w:cs="Times New Roman"/>
          <w:sz w:val="20"/>
          <w:szCs w:val="20"/>
          <w:lang w:eastAsia="en-CA"/>
        </w:rPr>
        <w:t> C.J. and Rothstein and C</w:t>
      </w:r>
      <w:proofErr w:type="spellStart"/>
      <w:r w:rsidRPr="00FB0A1F">
        <w:rPr>
          <w:rFonts w:eastAsia="Times New Roman" w:cs="Times New Roman"/>
          <w:sz w:val="20"/>
          <w:szCs w:val="20"/>
          <w:lang w:val="en-US" w:eastAsia="en-CA"/>
        </w:rPr>
        <w:t>ôté</w:t>
      </w:r>
      <w:proofErr w:type="spellEnd"/>
      <w:r w:rsidRPr="00FB0A1F">
        <w:rPr>
          <w:rFonts w:eastAsia="Times New Roman" w:cs="Times New Roman"/>
          <w:sz w:val="20"/>
          <w:szCs w:val="20"/>
          <w:lang w:val="en-US" w:eastAsia="en-CA"/>
        </w:rPr>
        <w:t xml:space="preserve"> JJ. </w:t>
      </w:r>
      <w:proofErr w:type="gramStart"/>
      <w:r w:rsidRPr="00FB0A1F">
        <w:rPr>
          <w:rFonts w:eastAsia="Times New Roman" w:cs="Times New Roman"/>
          <w:sz w:val="20"/>
          <w:szCs w:val="20"/>
          <w:lang w:val="en-US" w:eastAsia="en-CA"/>
        </w:rPr>
        <w:t>dissenting</w:t>
      </w:r>
      <w:proofErr w:type="gramEnd"/>
      <w:r w:rsidRPr="00FB0A1F">
        <w:rPr>
          <w:rFonts w:eastAsia="Times New Roman" w:cs="Times New Roman"/>
          <w:sz w:val="20"/>
          <w:szCs w:val="20"/>
          <w:lang w:val="en-US" w:eastAsia="en-CA"/>
        </w:rPr>
        <w:t xml:space="preserve"> in part</w:t>
      </w:r>
      <w:r w:rsidRPr="00FB0A1F">
        <w:rPr>
          <w:rFonts w:eastAsia="Times New Roman" w:cs="Times New Roman"/>
          <w:sz w:val="20"/>
          <w:szCs w:val="20"/>
          <w:lang w:eastAsia="en-CA"/>
        </w:rPr>
        <w:t xml:space="preserve">; </w:t>
      </w:r>
      <w:r w:rsidRPr="00FB0A1F">
        <w:rPr>
          <w:rFonts w:eastAsia="Times New Roman" w:cs="Times New Roman"/>
          <w:sz w:val="20"/>
          <w:szCs w:val="20"/>
          <w:lang w:val="en-US" w:eastAsia="en-CA"/>
        </w:rPr>
        <w:t xml:space="preserve">the appeal in </w:t>
      </w:r>
      <w:r w:rsidRPr="00FB0A1F">
        <w:rPr>
          <w:rFonts w:eastAsia="Times New Roman" w:cs="Times New Roman"/>
          <w:i/>
          <w:sz w:val="20"/>
          <w:szCs w:val="20"/>
          <w:lang w:val="en-US" w:eastAsia="en-CA"/>
        </w:rPr>
        <w:t>Celestica</w:t>
      </w:r>
      <w:r w:rsidRPr="00FB0A1F">
        <w:rPr>
          <w:rFonts w:eastAsia="Times New Roman" w:cs="Times New Roman"/>
          <w:sz w:val="20"/>
          <w:szCs w:val="20"/>
          <w:lang w:val="en-US" w:eastAsia="en-CA"/>
        </w:rPr>
        <w:t xml:space="preserve"> is allowed, </w:t>
      </w:r>
      <w:proofErr w:type="spellStart"/>
      <w:r w:rsidRPr="00FB0A1F">
        <w:rPr>
          <w:rFonts w:eastAsia="Times New Roman" w:cs="Times New Roman"/>
          <w:sz w:val="20"/>
          <w:szCs w:val="20"/>
          <w:lang w:eastAsia="en-CA"/>
        </w:rPr>
        <w:t>Moldaver</w:t>
      </w:r>
      <w:proofErr w:type="spellEnd"/>
      <w:r w:rsidRPr="00FB0A1F">
        <w:rPr>
          <w:rFonts w:eastAsia="Times New Roman" w:cs="Times New Roman"/>
          <w:sz w:val="20"/>
          <w:szCs w:val="20"/>
          <w:lang w:eastAsia="en-CA"/>
        </w:rPr>
        <w:t xml:space="preserve">, </w:t>
      </w:r>
      <w:proofErr w:type="spellStart"/>
      <w:r w:rsidRPr="00FB0A1F">
        <w:rPr>
          <w:rFonts w:eastAsia="Times New Roman" w:cs="Times New Roman"/>
          <w:sz w:val="20"/>
          <w:szCs w:val="20"/>
          <w:lang w:eastAsia="en-CA"/>
        </w:rPr>
        <w:t>Karakatsanis</w:t>
      </w:r>
      <w:proofErr w:type="spellEnd"/>
      <w:r w:rsidRPr="00FB0A1F">
        <w:rPr>
          <w:rFonts w:eastAsia="Times New Roman" w:cs="Times New Roman"/>
          <w:sz w:val="20"/>
          <w:szCs w:val="20"/>
          <w:lang w:eastAsia="en-CA"/>
        </w:rPr>
        <w:t xml:space="preserve"> and </w:t>
      </w:r>
      <w:proofErr w:type="spellStart"/>
      <w:r w:rsidRPr="00FB0A1F">
        <w:rPr>
          <w:rFonts w:eastAsia="Times New Roman" w:cs="Times New Roman"/>
          <w:sz w:val="20"/>
          <w:szCs w:val="20"/>
          <w:lang w:eastAsia="en-CA"/>
        </w:rPr>
        <w:t>Gascon</w:t>
      </w:r>
      <w:proofErr w:type="spellEnd"/>
      <w:r w:rsidRPr="00FB0A1F">
        <w:rPr>
          <w:rFonts w:eastAsia="Times New Roman" w:cs="Times New Roman"/>
          <w:sz w:val="20"/>
          <w:szCs w:val="20"/>
          <w:lang w:eastAsia="en-CA"/>
        </w:rPr>
        <w:t xml:space="preserve"> JJ. </w:t>
      </w:r>
      <w:proofErr w:type="gramStart"/>
      <w:r w:rsidRPr="00FB0A1F">
        <w:rPr>
          <w:rFonts w:eastAsia="Times New Roman" w:cs="Times New Roman"/>
          <w:sz w:val="20"/>
          <w:szCs w:val="20"/>
          <w:lang w:eastAsia="en-CA"/>
        </w:rPr>
        <w:t>dissenting</w:t>
      </w:r>
      <w:proofErr w:type="gramEnd"/>
      <w:r w:rsidRPr="00FB0A1F">
        <w:rPr>
          <w:rFonts w:eastAsia="Times New Roman" w:cs="Times New Roman"/>
          <w:sz w:val="20"/>
          <w:szCs w:val="20"/>
          <w:lang w:eastAsia="en-CA"/>
        </w:rPr>
        <w:t>.</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Sheila R. Block</w:t>
      </w:r>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James C. Tory</w:t>
      </w:r>
      <w:r w:rsidRPr="00FB0A1F">
        <w:rPr>
          <w:rFonts w:eastAsia="Times New Roman" w:cs="Times New Roman"/>
          <w:sz w:val="20"/>
          <w:szCs w:val="20"/>
          <w:lang w:eastAsia="en-CA"/>
        </w:rPr>
        <w:t>, for the appellant the Canadian Imperial Bank of Commerce.</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 xml:space="preserve">Benjamin </w:t>
      </w:r>
      <w:proofErr w:type="spellStart"/>
      <w:r w:rsidRPr="00FB0A1F">
        <w:rPr>
          <w:rFonts w:eastAsia="Times New Roman" w:cs="Times New Roman"/>
          <w:i/>
          <w:sz w:val="20"/>
          <w:szCs w:val="20"/>
          <w:lang w:eastAsia="en-CA"/>
        </w:rPr>
        <w:t>Zarnett</w:t>
      </w:r>
      <w:proofErr w:type="spellEnd"/>
      <w:r w:rsidRPr="00FB0A1F">
        <w:rPr>
          <w:rFonts w:eastAsia="Times New Roman" w:cs="Times New Roman"/>
          <w:sz w:val="20"/>
          <w:szCs w:val="20"/>
          <w:lang w:eastAsia="en-CA"/>
        </w:rPr>
        <w:t xml:space="preserve">, </w:t>
      </w:r>
      <w:r w:rsidRPr="00FB0A1F">
        <w:rPr>
          <w:rFonts w:eastAsia="Times New Roman" w:cs="Times New Roman"/>
          <w:i/>
          <w:sz w:val="20"/>
          <w:szCs w:val="20"/>
          <w:lang w:eastAsia="en-CA"/>
        </w:rPr>
        <w:t>David D. Conklin</w:t>
      </w:r>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Jonathan Edge</w:t>
      </w:r>
      <w:r w:rsidRPr="00FB0A1F">
        <w:rPr>
          <w:rFonts w:eastAsia="Times New Roman" w:cs="Times New Roman"/>
          <w:sz w:val="20"/>
          <w:szCs w:val="20"/>
          <w:lang w:eastAsia="en-CA"/>
        </w:rPr>
        <w:t>, for the appellants Gerald McCaughey et al.</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R. Paul Steep</w:t>
      </w:r>
      <w:r w:rsidRPr="00FB0A1F">
        <w:rPr>
          <w:rFonts w:eastAsia="Times New Roman" w:cs="Times New Roman"/>
          <w:sz w:val="20"/>
          <w:szCs w:val="20"/>
          <w:lang w:eastAsia="en-CA"/>
        </w:rPr>
        <w:t xml:space="preserve">, </w:t>
      </w:r>
      <w:r w:rsidRPr="00FB0A1F">
        <w:rPr>
          <w:rFonts w:eastAsia="Times New Roman" w:cs="Times New Roman"/>
          <w:i/>
          <w:sz w:val="20"/>
          <w:szCs w:val="20"/>
          <w:lang w:eastAsia="en-CA"/>
        </w:rPr>
        <w:t>Dana M. Peebles</w:t>
      </w:r>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 xml:space="preserve">Brandon </w:t>
      </w:r>
      <w:proofErr w:type="spellStart"/>
      <w:r w:rsidRPr="00FB0A1F">
        <w:rPr>
          <w:rFonts w:eastAsia="Times New Roman" w:cs="Times New Roman"/>
          <w:i/>
          <w:sz w:val="20"/>
          <w:szCs w:val="20"/>
          <w:lang w:eastAsia="en-CA"/>
        </w:rPr>
        <w:t>Kain</w:t>
      </w:r>
      <w:proofErr w:type="spellEnd"/>
      <w:r w:rsidRPr="00FB0A1F">
        <w:rPr>
          <w:rFonts w:eastAsia="Times New Roman" w:cs="Times New Roman"/>
          <w:sz w:val="20"/>
          <w:szCs w:val="20"/>
          <w:lang w:eastAsia="en-CA"/>
        </w:rPr>
        <w:t>, for the appellants IMAX Corporation et al.</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Nigel Campbell</w:t>
      </w:r>
      <w:r w:rsidRPr="00FB0A1F">
        <w:rPr>
          <w:rFonts w:eastAsia="Times New Roman" w:cs="Times New Roman"/>
          <w:sz w:val="20"/>
          <w:szCs w:val="20"/>
          <w:lang w:eastAsia="en-CA"/>
        </w:rPr>
        <w:t xml:space="preserve">, </w:t>
      </w:r>
      <w:r w:rsidRPr="00FB0A1F">
        <w:rPr>
          <w:rFonts w:eastAsia="Times New Roman" w:cs="Times New Roman"/>
          <w:i/>
          <w:sz w:val="20"/>
          <w:szCs w:val="20"/>
          <w:lang w:eastAsia="en-CA"/>
        </w:rPr>
        <w:t>Andrea Laing</w:t>
      </w:r>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Ryan A. Morris</w:t>
      </w:r>
      <w:r w:rsidRPr="00FB0A1F">
        <w:rPr>
          <w:rFonts w:eastAsia="Times New Roman" w:cs="Times New Roman"/>
          <w:sz w:val="20"/>
          <w:szCs w:val="20"/>
          <w:lang w:eastAsia="en-CA"/>
        </w:rPr>
        <w:t xml:space="preserve">, for the appellants Celestica Inc., Stephen W. Delaney and Anthony P. </w:t>
      </w:r>
      <w:proofErr w:type="spellStart"/>
      <w:r w:rsidRPr="00FB0A1F">
        <w:rPr>
          <w:rFonts w:eastAsia="Times New Roman" w:cs="Times New Roman"/>
          <w:sz w:val="20"/>
          <w:szCs w:val="20"/>
          <w:lang w:eastAsia="en-CA"/>
        </w:rPr>
        <w:t>Puppi</w:t>
      </w:r>
      <w:proofErr w:type="spellEnd"/>
      <w:r w:rsidRPr="00FB0A1F">
        <w:rPr>
          <w:rFonts w:eastAsia="Times New Roman" w:cs="Times New Roman"/>
          <w:sz w:val="20"/>
          <w:szCs w:val="20"/>
          <w:lang w:eastAsia="en-CA"/>
        </w:rPr>
        <w:t>.</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 xml:space="preserve">Peter R. Jervis, Joel P. </w:t>
      </w:r>
      <w:proofErr w:type="spellStart"/>
      <w:r w:rsidRPr="00FB0A1F">
        <w:rPr>
          <w:rFonts w:eastAsia="Times New Roman" w:cs="Times New Roman"/>
          <w:i/>
          <w:sz w:val="20"/>
          <w:szCs w:val="20"/>
          <w:lang w:eastAsia="en-CA"/>
        </w:rPr>
        <w:t>Rochon</w:t>
      </w:r>
      <w:proofErr w:type="spellEnd"/>
      <w:r w:rsidRPr="00FB0A1F">
        <w:rPr>
          <w:rFonts w:eastAsia="Times New Roman" w:cs="Times New Roman"/>
          <w:sz w:val="20"/>
          <w:szCs w:val="20"/>
          <w:lang w:eastAsia="en-CA"/>
        </w:rPr>
        <w:t xml:space="preserve">, </w:t>
      </w:r>
      <w:proofErr w:type="spellStart"/>
      <w:r w:rsidRPr="00FB0A1F">
        <w:rPr>
          <w:rFonts w:eastAsia="Times New Roman" w:cs="Times New Roman"/>
          <w:i/>
          <w:sz w:val="20"/>
          <w:szCs w:val="20"/>
          <w:lang w:eastAsia="en-CA"/>
        </w:rPr>
        <w:t>Sakie</w:t>
      </w:r>
      <w:proofErr w:type="spellEnd"/>
      <w:r w:rsidRPr="00FB0A1F">
        <w:rPr>
          <w:rFonts w:eastAsia="Times New Roman" w:cs="Times New Roman"/>
          <w:i/>
          <w:sz w:val="20"/>
          <w:szCs w:val="20"/>
          <w:lang w:eastAsia="en-CA"/>
        </w:rPr>
        <w:t xml:space="preserve"> </w:t>
      </w:r>
      <w:proofErr w:type="spellStart"/>
      <w:r w:rsidRPr="00FB0A1F">
        <w:rPr>
          <w:rFonts w:eastAsia="Times New Roman" w:cs="Times New Roman"/>
          <w:i/>
          <w:sz w:val="20"/>
          <w:szCs w:val="20"/>
          <w:lang w:eastAsia="en-CA"/>
        </w:rPr>
        <w:t>Tambakos</w:t>
      </w:r>
      <w:proofErr w:type="spellEnd"/>
      <w:r w:rsidRPr="00FB0A1F">
        <w:rPr>
          <w:rFonts w:eastAsia="Times New Roman" w:cs="Times New Roman"/>
          <w:i/>
          <w:sz w:val="20"/>
          <w:szCs w:val="20"/>
          <w:lang w:eastAsia="en-CA"/>
        </w:rPr>
        <w:t xml:space="preserve"> </w:t>
      </w:r>
      <w:r w:rsidRPr="00FB0A1F">
        <w:rPr>
          <w:rFonts w:eastAsia="Times New Roman" w:cs="Times New Roman"/>
          <w:sz w:val="20"/>
          <w:szCs w:val="20"/>
          <w:lang w:eastAsia="en-CA"/>
        </w:rPr>
        <w:t>and</w:t>
      </w:r>
      <w:r w:rsidRPr="00FB0A1F">
        <w:rPr>
          <w:rFonts w:eastAsia="Times New Roman" w:cs="Times New Roman"/>
          <w:i/>
          <w:sz w:val="20"/>
          <w:szCs w:val="20"/>
          <w:lang w:eastAsia="en-CA"/>
        </w:rPr>
        <w:t xml:space="preserve"> </w:t>
      </w:r>
      <w:proofErr w:type="spellStart"/>
      <w:r w:rsidRPr="00FB0A1F">
        <w:rPr>
          <w:rFonts w:eastAsia="Times New Roman" w:cs="Times New Roman"/>
          <w:i/>
          <w:sz w:val="20"/>
          <w:szCs w:val="20"/>
          <w:lang w:eastAsia="en-CA"/>
        </w:rPr>
        <w:t>Remissa</w:t>
      </w:r>
      <w:proofErr w:type="spellEnd"/>
      <w:r w:rsidRPr="00FB0A1F">
        <w:rPr>
          <w:rFonts w:eastAsia="Times New Roman" w:cs="Times New Roman"/>
          <w:i/>
          <w:sz w:val="20"/>
          <w:szCs w:val="20"/>
          <w:lang w:eastAsia="en-CA"/>
        </w:rPr>
        <w:t xml:space="preserve"> </w:t>
      </w:r>
      <w:proofErr w:type="spellStart"/>
      <w:r w:rsidRPr="00FB0A1F">
        <w:rPr>
          <w:rFonts w:eastAsia="Times New Roman" w:cs="Times New Roman"/>
          <w:i/>
          <w:sz w:val="20"/>
          <w:szCs w:val="20"/>
          <w:lang w:eastAsia="en-CA"/>
        </w:rPr>
        <w:t>Hirji</w:t>
      </w:r>
      <w:proofErr w:type="spellEnd"/>
      <w:r w:rsidRPr="00FB0A1F">
        <w:rPr>
          <w:rFonts w:eastAsia="Times New Roman" w:cs="Times New Roman"/>
          <w:sz w:val="20"/>
          <w:szCs w:val="20"/>
          <w:lang w:eastAsia="en-CA"/>
        </w:rPr>
        <w:t>, for the respondents Howard Green and Anne Bell.</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 xml:space="preserve">A. Dimitri </w:t>
      </w:r>
      <w:proofErr w:type="spellStart"/>
      <w:r w:rsidRPr="00FB0A1F">
        <w:rPr>
          <w:rFonts w:eastAsia="Times New Roman" w:cs="Times New Roman"/>
          <w:i/>
          <w:sz w:val="20"/>
          <w:szCs w:val="20"/>
          <w:lang w:eastAsia="en-CA"/>
        </w:rPr>
        <w:t>Lascaris</w:t>
      </w:r>
      <w:proofErr w:type="spellEnd"/>
      <w:r w:rsidRPr="00FB0A1F">
        <w:rPr>
          <w:rFonts w:eastAsia="Times New Roman" w:cs="Times New Roman"/>
          <w:i/>
          <w:sz w:val="20"/>
          <w:szCs w:val="20"/>
          <w:lang w:eastAsia="en-CA"/>
        </w:rPr>
        <w:t xml:space="preserve">, William V. </w:t>
      </w:r>
      <w:proofErr w:type="spellStart"/>
      <w:r w:rsidRPr="00FB0A1F">
        <w:rPr>
          <w:rFonts w:eastAsia="Times New Roman" w:cs="Times New Roman"/>
          <w:i/>
          <w:sz w:val="20"/>
          <w:szCs w:val="20"/>
          <w:lang w:eastAsia="en-CA"/>
        </w:rPr>
        <w:t>Sasso</w:t>
      </w:r>
      <w:proofErr w:type="spellEnd"/>
      <w:r w:rsidRPr="00FB0A1F">
        <w:rPr>
          <w:rFonts w:eastAsia="Times New Roman" w:cs="Times New Roman"/>
          <w:i/>
          <w:sz w:val="20"/>
          <w:szCs w:val="20"/>
          <w:lang w:eastAsia="en-CA"/>
        </w:rPr>
        <w:t>, Michael Robb</w:t>
      </w:r>
      <w:r w:rsidRPr="00FB0A1F">
        <w:rPr>
          <w:rFonts w:eastAsia="Times New Roman" w:cs="Times New Roman"/>
          <w:sz w:val="20"/>
          <w:szCs w:val="20"/>
          <w:lang w:eastAsia="en-CA"/>
        </w:rPr>
        <w:t xml:space="preserve">, </w:t>
      </w:r>
      <w:r w:rsidRPr="00FB0A1F">
        <w:rPr>
          <w:rFonts w:eastAsia="Times New Roman" w:cs="Times New Roman"/>
          <w:i/>
          <w:sz w:val="20"/>
          <w:szCs w:val="20"/>
          <w:lang w:eastAsia="en-CA"/>
        </w:rPr>
        <w:t xml:space="preserve">Daniel E. H. Bach </w:t>
      </w:r>
      <w:r w:rsidRPr="00FB0A1F">
        <w:rPr>
          <w:rFonts w:eastAsia="Times New Roman" w:cs="Times New Roman"/>
          <w:sz w:val="20"/>
          <w:szCs w:val="20"/>
          <w:lang w:eastAsia="en-CA"/>
        </w:rPr>
        <w:t>and</w:t>
      </w:r>
      <w:r w:rsidRPr="00FB0A1F">
        <w:rPr>
          <w:rFonts w:eastAsia="Times New Roman" w:cs="Times New Roman"/>
          <w:i/>
          <w:sz w:val="20"/>
          <w:szCs w:val="20"/>
          <w:lang w:eastAsia="en-CA"/>
        </w:rPr>
        <w:t xml:space="preserve"> Serge </w:t>
      </w:r>
      <w:proofErr w:type="spellStart"/>
      <w:r w:rsidRPr="00FB0A1F">
        <w:rPr>
          <w:rFonts w:eastAsia="Times New Roman" w:cs="Times New Roman"/>
          <w:i/>
          <w:sz w:val="20"/>
          <w:szCs w:val="20"/>
          <w:lang w:eastAsia="en-CA"/>
        </w:rPr>
        <w:t>Kalloghlian</w:t>
      </w:r>
      <w:proofErr w:type="spellEnd"/>
      <w:r w:rsidRPr="00FB0A1F">
        <w:rPr>
          <w:rFonts w:eastAsia="Times New Roman" w:cs="Times New Roman"/>
          <w:sz w:val="20"/>
          <w:szCs w:val="20"/>
          <w:lang w:eastAsia="en-CA"/>
        </w:rPr>
        <w:t>, for the respondents Marvin Neil Silver and Cliff Cohen.</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 xml:space="preserve">Kirk M. </w:t>
      </w:r>
      <w:proofErr w:type="spellStart"/>
      <w:r w:rsidRPr="00FB0A1F">
        <w:rPr>
          <w:rFonts w:eastAsia="Times New Roman" w:cs="Times New Roman"/>
          <w:i/>
          <w:sz w:val="20"/>
          <w:szCs w:val="20"/>
          <w:lang w:eastAsia="en-CA"/>
        </w:rPr>
        <w:t>Baert</w:t>
      </w:r>
      <w:proofErr w:type="spellEnd"/>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 xml:space="preserve">Celeste B. </w:t>
      </w:r>
      <w:proofErr w:type="spellStart"/>
      <w:r w:rsidRPr="00FB0A1F">
        <w:rPr>
          <w:rFonts w:eastAsia="Times New Roman" w:cs="Times New Roman"/>
          <w:i/>
          <w:sz w:val="20"/>
          <w:szCs w:val="20"/>
          <w:lang w:eastAsia="en-CA"/>
        </w:rPr>
        <w:t>Poltak</w:t>
      </w:r>
      <w:proofErr w:type="spellEnd"/>
      <w:r w:rsidRPr="00FB0A1F">
        <w:rPr>
          <w:rFonts w:eastAsia="Times New Roman" w:cs="Times New Roman"/>
          <w:sz w:val="20"/>
          <w:szCs w:val="20"/>
          <w:lang w:eastAsia="en-CA"/>
        </w:rPr>
        <w:t xml:space="preserve">, for the respondents Trustees of the Millwright Regional Council of Ontario Pension Trust Fund, Nabil </w:t>
      </w:r>
      <w:proofErr w:type="spellStart"/>
      <w:r w:rsidRPr="00FB0A1F">
        <w:rPr>
          <w:rFonts w:eastAsia="Times New Roman" w:cs="Times New Roman"/>
          <w:sz w:val="20"/>
          <w:szCs w:val="20"/>
          <w:lang w:eastAsia="en-CA"/>
        </w:rPr>
        <w:t>Berzi</w:t>
      </w:r>
      <w:proofErr w:type="spellEnd"/>
      <w:r w:rsidRPr="00FB0A1F">
        <w:rPr>
          <w:rFonts w:eastAsia="Times New Roman" w:cs="Times New Roman"/>
          <w:sz w:val="20"/>
          <w:szCs w:val="20"/>
          <w:lang w:eastAsia="en-CA"/>
        </w:rPr>
        <w:t xml:space="preserve"> and </w:t>
      </w:r>
      <w:proofErr w:type="spellStart"/>
      <w:r w:rsidRPr="00FB0A1F">
        <w:rPr>
          <w:rFonts w:eastAsia="Times New Roman" w:cs="Times New Roman"/>
          <w:sz w:val="20"/>
          <w:szCs w:val="20"/>
          <w:lang w:eastAsia="en-CA"/>
        </w:rPr>
        <w:t>Huacheng</w:t>
      </w:r>
      <w:proofErr w:type="spellEnd"/>
      <w:r w:rsidRPr="00FB0A1F">
        <w:rPr>
          <w:rFonts w:eastAsia="Times New Roman" w:cs="Times New Roman"/>
          <w:sz w:val="20"/>
          <w:szCs w:val="20"/>
          <w:lang w:eastAsia="en-CA"/>
        </w:rPr>
        <w:t xml:space="preserve"> Xing.</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Written submissions only by Margaret L. Waddell</w:t>
      </w:r>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Denise Cooney</w:t>
      </w:r>
      <w:r w:rsidRPr="00FB0A1F">
        <w:rPr>
          <w:rFonts w:eastAsia="Times New Roman" w:cs="Times New Roman"/>
          <w:sz w:val="20"/>
          <w:szCs w:val="20"/>
          <w:lang w:eastAsia="en-CA"/>
        </w:rPr>
        <w:t>, for the intervener the Canadian Foundation for Advancement of Investor Rights.</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Bonnie Roberts Jones</w:t>
      </w:r>
      <w:r w:rsidRPr="00FB0A1F">
        <w:rPr>
          <w:rFonts w:eastAsia="Times New Roman" w:cs="Times New Roman"/>
          <w:sz w:val="20"/>
          <w:szCs w:val="20"/>
          <w:lang w:eastAsia="en-CA"/>
        </w:rPr>
        <w:t>, for the intervener the Shareholder Association for Research and Education.</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 xml:space="preserve">Anna </w:t>
      </w:r>
      <w:proofErr w:type="spellStart"/>
      <w:r w:rsidRPr="00FB0A1F">
        <w:rPr>
          <w:rFonts w:eastAsia="Times New Roman" w:cs="Times New Roman"/>
          <w:i/>
          <w:sz w:val="20"/>
          <w:szCs w:val="20"/>
          <w:lang w:eastAsia="en-CA"/>
        </w:rPr>
        <w:t>Perschy</w:t>
      </w:r>
      <w:proofErr w:type="spellEnd"/>
      <w:r w:rsidRPr="00FB0A1F">
        <w:rPr>
          <w:rFonts w:eastAsia="Times New Roman" w:cs="Times New Roman"/>
          <w:sz w:val="20"/>
          <w:szCs w:val="20"/>
          <w:lang w:eastAsia="en-CA"/>
        </w:rPr>
        <w:t xml:space="preserve"> and </w:t>
      </w:r>
      <w:r w:rsidRPr="00FB0A1F">
        <w:rPr>
          <w:rFonts w:eastAsia="Times New Roman" w:cs="Times New Roman"/>
          <w:i/>
          <w:sz w:val="20"/>
          <w:szCs w:val="20"/>
          <w:lang w:eastAsia="en-CA"/>
        </w:rPr>
        <w:t xml:space="preserve">Amanda </w:t>
      </w:r>
      <w:proofErr w:type="spellStart"/>
      <w:r w:rsidRPr="00FB0A1F">
        <w:rPr>
          <w:rFonts w:eastAsia="Times New Roman" w:cs="Times New Roman"/>
          <w:i/>
          <w:sz w:val="20"/>
          <w:szCs w:val="20"/>
          <w:lang w:eastAsia="en-CA"/>
        </w:rPr>
        <w:t>Heydon</w:t>
      </w:r>
      <w:proofErr w:type="spellEnd"/>
      <w:r w:rsidRPr="00FB0A1F">
        <w:rPr>
          <w:rFonts w:eastAsia="Times New Roman" w:cs="Times New Roman"/>
          <w:sz w:val="20"/>
          <w:szCs w:val="20"/>
          <w:lang w:eastAsia="en-CA"/>
        </w:rPr>
        <w:t>, for the intervener the Ontario Securities Commission.</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sz w:val="20"/>
          <w:szCs w:val="20"/>
          <w:lang w:eastAsia="en-CA"/>
        </w:rPr>
      </w:pPr>
      <w:r w:rsidRPr="00FB0A1F">
        <w:rPr>
          <w:rFonts w:eastAsia="Times New Roman" w:cs="Times New Roman"/>
          <w:i/>
          <w:sz w:val="20"/>
          <w:szCs w:val="20"/>
          <w:lang w:eastAsia="en-CA"/>
        </w:rPr>
        <w:tab/>
        <w:t xml:space="preserve">Alan L. W. </w:t>
      </w:r>
      <w:proofErr w:type="spellStart"/>
      <w:r w:rsidRPr="00FB0A1F">
        <w:rPr>
          <w:rFonts w:eastAsia="Times New Roman" w:cs="Times New Roman"/>
          <w:i/>
          <w:sz w:val="20"/>
          <w:szCs w:val="20"/>
          <w:lang w:eastAsia="en-CA"/>
        </w:rPr>
        <w:t>D’Silva</w:t>
      </w:r>
      <w:proofErr w:type="spellEnd"/>
      <w:r w:rsidRPr="00FB0A1F">
        <w:rPr>
          <w:rFonts w:eastAsia="Times New Roman" w:cs="Times New Roman"/>
          <w:sz w:val="20"/>
          <w:szCs w:val="20"/>
          <w:lang w:eastAsia="en-CA"/>
        </w:rPr>
        <w:t xml:space="preserve">, </w:t>
      </w:r>
      <w:r w:rsidRPr="00FB0A1F">
        <w:rPr>
          <w:rFonts w:eastAsia="Times New Roman" w:cs="Times New Roman"/>
          <w:i/>
          <w:sz w:val="20"/>
          <w:szCs w:val="20"/>
          <w:lang w:eastAsia="en-CA"/>
        </w:rPr>
        <w:t xml:space="preserve">Daniel S. Murdoch </w:t>
      </w:r>
      <w:r w:rsidRPr="00FB0A1F">
        <w:rPr>
          <w:rFonts w:eastAsia="Times New Roman" w:cs="Times New Roman"/>
          <w:sz w:val="20"/>
          <w:szCs w:val="20"/>
          <w:lang w:eastAsia="en-CA"/>
        </w:rPr>
        <w:t>and</w:t>
      </w:r>
      <w:r w:rsidRPr="00FB0A1F">
        <w:rPr>
          <w:rFonts w:eastAsia="Times New Roman" w:cs="Times New Roman"/>
          <w:i/>
          <w:sz w:val="20"/>
          <w:szCs w:val="20"/>
          <w:lang w:eastAsia="en-CA"/>
        </w:rPr>
        <w:t xml:space="preserve"> </w:t>
      </w:r>
      <w:proofErr w:type="spellStart"/>
      <w:r w:rsidRPr="00FB0A1F">
        <w:rPr>
          <w:rFonts w:eastAsia="Times New Roman" w:cs="Times New Roman"/>
          <w:i/>
          <w:sz w:val="20"/>
          <w:szCs w:val="20"/>
          <w:lang w:eastAsia="en-CA"/>
        </w:rPr>
        <w:t>Sinziana</w:t>
      </w:r>
      <w:proofErr w:type="spellEnd"/>
      <w:r w:rsidRPr="00FB0A1F">
        <w:rPr>
          <w:rFonts w:eastAsia="Times New Roman" w:cs="Times New Roman"/>
          <w:i/>
          <w:sz w:val="20"/>
          <w:szCs w:val="20"/>
          <w:lang w:eastAsia="en-CA"/>
        </w:rPr>
        <w:t xml:space="preserve"> R. </w:t>
      </w:r>
      <w:proofErr w:type="spellStart"/>
      <w:r w:rsidRPr="00FB0A1F">
        <w:rPr>
          <w:rFonts w:eastAsia="Times New Roman" w:cs="Times New Roman"/>
          <w:i/>
          <w:sz w:val="20"/>
          <w:szCs w:val="20"/>
          <w:lang w:eastAsia="en-CA"/>
        </w:rPr>
        <w:t>Hennig</w:t>
      </w:r>
      <w:proofErr w:type="spellEnd"/>
      <w:r w:rsidRPr="00FB0A1F">
        <w:rPr>
          <w:rFonts w:eastAsia="Times New Roman" w:cs="Times New Roman"/>
          <w:sz w:val="20"/>
          <w:szCs w:val="20"/>
          <w:lang w:eastAsia="en-CA"/>
        </w:rPr>
        <w:t>, for the intervener the Insurance Bureau of Canada.</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Solicitors for the appellant the Canadian Imperial Bank of Commerce: </w:t>
      </w:r>
      <w:proofErr w:type="spellStart"/>
      <w:r w:rsidRPr="00FB0A1F">
        <w:rPr>
          <w:rFonts w:eastAsia="Times New Roman" w:cs="Times New Roman"/>
          <w:i/>
          <w:sz w:val="20"/>
          <w:szCs w:val="20"/>
          <w:lang w:eastAsia="en-CA"/>
        </w:rPr>
        <w:t>Torys</w:t>
      </w:r>
      <w:proofErr w:type="spellEnd"/>
      <w:r w:rsidRPr="00FB0A1F">
        <w:rPr>
          <w:rFonts w:eastAsia="Times New Roman" w:cs="Times New Roman"/>
          <w:i/>
          <w:sz w:val="20"/>
          <w:szCs w:val="20"/>
          <w:lang w:eastAsia="en-CA"/>
        </w:rPr>
        <w:t>,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Solicitors for the appellants Gerald McCaughey et al.: </w:t>
      </w:r>
      <w:proofErr w:type="spellStart"/>
      <w:r w:rsidRPr="00FB0A1F">
        <w:rPr>
          <w:rFonts w:eastAsia="Times New Roman" w:cs="Times New Roman"/>
          <w:i/>
          <w:sz w:val="20"/>
          <w:szCs w:val="20"/>
          <w:lang w:eastAsia="en-CA"/>
        </w:rPr>
        <w:t>Goodmans</w:t>
      </w:r>
      <w:proofErr w:type="spellEnd"/>
      <w:r w:rsidRPr="00FB0A1F">
        <w:rPr>
          <w:rFonts w:eastAsia="Times New Roman" w:cs="Times New Roman"/>
          <w:i/>
          <w:sz w:val="20"/>
          <w:szCs w:val="20"/>
          <w:lang w:eastAsia="en-CA"/>
        </w:rPr>
        <w:t>,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 xml:space="preserve">Solicitors for the appellants IMAX Corporation et al.: McCarthy </w:t>
      </w:r>
      <w:proofErr w:type="spellStart"/>
      <w:r w:rsidRPr="00FB0A1F">
        <w:rPr>
          <w:rFonts w:eastAsia="Times New Roman" w:cs="Times New Roman"/>
          <w:i/>
          <w:sz w:val="20"/>
          <w:szCs w:val="20"/>
          <w:lang w:eastAsia="en-CA"/>
        </w:rPr>
        <w:t>Tétrault</w:t>
      </w:r>
      <w:proofErr w:type="spellEnd"/>
      <w:r w:rsidRPr="00FB0A1F">
        <w:rPr>
          <w:rFonts w:eastAsia="Times New Roman" w:cs="Times New Roman"/>
          <w:i/>
          <w:sz w:val="20"/>
          <w:szCs w:val="20"/>
          <w:lang w:eastAsia="en-CA"/>
        </w:rPr>
        <w:t>,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 xml:space="preserve">Solicitors for the appellants Celestica Inc., Stephen W. Delaney and Anthony P. </w:t>
      </w:r>
      <w:proofErr w:type="spellStart"/>
      <w:r w:rsidRPr="00FB0A1F">
        <w:rPr>
          <w:rFonts w:eastAsia="Times New Roman" w:cs="Times New Roman"/>
          <w:i/>
          <w:sz w:val="20"/>
          <w:szCs w:val="20"/>
          <w:lang w:eastAsia="en-CA"/>
        </w:rPr>
        <w:t>Puppi</w:t>
      </w:r>
      <w:proofErr w:type="spellEnd"/>
      <w:r w:rsidRPr="00FB0A1F">
        <w:rPr>
          <w:rFonts w:eastAsia="Times New Roman" w:cs="Times New Roman"/>
          <w:i/>
          <w:sz w:val="20"/>
          <w:szCs w:val="20"/>
          <w:lang w:eastAsia="en-CA"/>
        </w:rPr>
        <w:t xml:space="preserve">: Blake, Cassels &amp; </w:t>
      </w:r>
      <w:proofErr w:type="spellStart"/>
      <w:r w:rsidRPr="00FB0A1F">
        <w:rPr>
          <w:rFonts w:eastAsia="Times New Roman" w:cs="Times New Roman"/>
          <w:i/>
          <w:sz w:val="20"/>
          <w:szCs w:val="20"/>
          <w:lang w:eastAsia="en-CA"/>
        </w:rPr>
        <w:t>Graydon</w:t>
      </w:r>
      <w:proofErr w:type="spellEnd"/>
      <w:r w:rsidRPr="00FB0A1F">
        <w:rPr>
          <w:rFonts w:eastAsia="Times New Roman" w:cs="Times New Roman"/>
          <w:i/>
          <w:sz w:val="20"/>
          <w:szCs w:val="20"/>
          <w:lang w:eastAsia="en-CA"/>
        </w:rPr>
        <w:t>,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Solicitors for the respondents Howard Green and Anne Bell: </w:t>
      </w:r>
      <w:proofErr w:type="spellStart"/>
      <w:r w:rsidRPr="00FB0A1F">
        <w:rPr>
          <w:rFonts w:eastAsia="Times New Roman" w:cs="Times New Roman"/>
          <w:i/>
          <w:sz w:val="20"/>
          <w:szCs w:val="20"/>
          <w:lang w:eastAsia="en-CA"/>
        </w:rPr>
        <w:t>Rochon</w:t>
      </w:r>
      <w:proofErr w:type="spellEnd"/>
      <w:r w:rsidRPr="00FB0A1F">
        <w:rPr>
          <w:rFonts w:eastAsia="Times New Roman" w:cs="Times New Roman"/>
          <w:i/>
          <w:sz w:val="20"/>
          <w:szCs w:val="20"/>
          <w:lang w:eastAsia="en-CA"/>
        </w:rPr>
        <w:t xml:space="preserve"> Genova,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Solicitors for the respondents Marvin Neil Silver and Cliff Cohen: </w:t>
      </w:r>
      <w:proofErr w:type="spellStart"/>
      <w:r w:rsidRPr="00FB0A1F">
        <w:rPr>
          <w:rFonts w:eastAsia="Times New Roman" w:cs="Times New Roman"/>
          <w:i/>
          <w:sz w:val="20"/>
          <w:szCs w:val="20"/>
          <w:lang w:eastAsia="en-CA"/>
        </w:rPr>
        <w:t>Siskinds</w:t>
      </w:r>
      <w:proofErr w:type="spellEnd"/>
      <w:r w:rsidRPr="00FB0A1F">
        <w:rPr>
          <w:rFonts w:eastAsia="Times New Roman" w:cs="Times New Roman"/>
          <w:i/>
          <w:sz w:val="20"/>
          <w:szCs w:val="20"/>
          <w:lang w:eastAsia="en-CA"/>
        </w:rPr>
        <w:t xml:space="preserve">, London; </w:t>
      </w:r>
      <w:proofErr w:type="spellStart"/>
      <w:r w:rsidRPr="00FB0A1F">
        <w:rPr>
          <w:rFonts w:eastAsia="Times New Roman" w:cs="Times New Roman"/>
          <w:i/>
          <w:sz w:val="20"/>
          <w:szCs w:val="20"/>
          <w:lang w:eastAsia="en-CA"/>
        </w:rPr>
        <w:t>Sutts</w:t>
      </w:r>
      <w:proofErr w:type="spellEnd"/>
      <w:r w:rsidRPr="00FB0A1F">
        <w:rPr>
          <w:rFonts w:eastAsia="Times New Roman" w:cs="Times New Roman"/>
          <w:i/>
          <w:sz w:val="20"/>
          <w:szCs w:val="20"/>
          <w:lang w:eastAsia="en-CA"/>
        </w:rPr>
        <w:t xml:space="preserve"> </w:t>
      </w:r>
      <w:proofErr w:type="spellStart"/>
      <w:r w:rsidRPr="00FB0A1F">
        <w:rPr>
          <w:rFonts w:eastAsia="Times New Roman" w:cs="Times New Roman"/>
          <w:i/>
          <w:sz w:val="20"/>
          <w:szCs w:val="20"/>
          <w:lang w:eastAsia="en-CA"/>
        </w:rPr>
        <w:t>Strosberg</w:t>
      </w:r>
      <w:proofErr w:type="spellEnd"/>
      <w:r w:rsidRPr="00FB0A1F">
        <w:rPr>
          <w:rFonts w:eastAsia="Times New Roman" w:cs="Times New Roman"/>
          <w:i/>
          <w:sz w:val="20"/>
          <w:szCs w:val="20"/>
          <w:lang w:eastAsia="en-CA"/>
        </w:rPr>
        <w:t>, Windsor.</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 xml:space="preserve">Solicitors for the respondents Trustees of the Millwright Regional Council of Ontario Pension Trust Fund, Nabil </w:t>
      </w:r>
      <w:proofErr w:type="spellStart"/>
      <w:r w:rsidRPr="00FB0A1F">
        <w:rPr>
          <w:rFonts w:eastAsia="Times New Roman" w:cs="Times New Roman"/>
          <w:i/>
          <w:sz w:val="20"/>
          <w:szCs w:val="20"/>
          <w:lang w:eastAsia="en-CA"/>
        </w:rPr>
        <w:t>Berzi</w:t>
      </w:r>
      <w:proofErr w:type="spellEnd"/>
      <w:r w:rsidRPr="00FB0A1F">
        <w:rPr>
          <w:rFonts w:eastAsia="Times New Roman" w:cs="Times New Roman"/>
          <w:i/>
          <w:sz w:val="20"/>
          <w:szCs w:val="20"/>
          <w:lang w:eastAsia="en-CA"/>
        </w:rPr>
        <w:t xml:space="preserve"> and </w:t>
      </w:r>
      <w:proofErr w:type="spellStart"/>
      <w:r w:rsidRPr="00FB0A1F">
        <w:rPr>
          <w:rFonts w:eastAsia="Times New Roman" w:cs="Times New Roman"/>
          <w:i/>
          <w:sz w:val="20"/>
          <w:szCs w:val="20"/>
          <w:lang w:eastAsia="en-CA"/>
        </w:rPr>
        <w:t>Huacheng</w:t>
      </w:r>
      <w:proofErr w:type="spellEnd"/>
      <w:r w:rsidRPr="00FB0A1F">
        <w:rPr>
          <w:rFonts w:eastAsia="Times New Roman" w:cs="Times New Roman"/>
          <w:i/>
          <w:sz w:val="20"/>
          <w:szCs w:val="20"/>
          <w:lang w:eastAsia="en-CA"/>
        </w:rPr>
        <w:t xml:space="preserve"> Xing: </w:t>
      </w:r>
      <w:proofErr w:type="spellStart"/>
      <w:r w:rsidRPr="00FB0A1F">
        <w:rPr>
          <w:rFonts w:eastAsia="Times New Roman" w:cs="Times New Roman"/>
          <w:i/>
          <w:sz w:val="20"/>
          <w:szCs w:val="20"/>
          <w:lang w:eastAsia="en-CA"/>
        </w:rPr>
        <w:t>Koskie</w:t>
      </w:r>
      <w:proofErr w:type="spellEnd"/>
      <w:r w:rsidRPr="00FB0A1F">
        <w:rPr>
          <w:rFonts w:eastAsia="Times New Roman" w:cs="Times New Roman"/>
          <w:i/>
          <w:sz w:val="20"/>
          <w:szCs w:val="20"/>
          <w:lang w:eastAsia="en-CA"/>
        </w:rPr>
        <w:t xml:space="preserve"> Minsky,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Solicitors for the intervener the Canadian Foundation for Advancement of Investor Rights: </w:t>
      </w:r>
      <w:proofErr w:type="spellStart"/>
      <w:r w:rsidRPr="00FB0A1F">
        <w:rPr>
          <w:rFonts w:eastAsia="Times New Roman" w:cs="Times New Roman"/>
          <w:i/>
          <w:sz w:val="20"/>
          <w:szCs w:val="20"/>
          <w:lang w:eastAsia="en-CA"/>
        </w:rPr>
        <w:t>Paliare</w:t>
      </w:r>
      <w:proofErr w:type="spellEnd"/>
      <w:r w:rsidRPr="00FB0A1F">
        <w:rPr>
          <w:rFonts w:eastAsia="Times New Roman" w:cs="Times New Roman"/>
          <w:i/>
          <w:sz w:val="20"/>
          <w:szCs w:val="20"/>
          <w:lang w:eastAsia="en-CA"/>
        </w:rPr>
        <w:t xml:space="preserve"> Roland Rosenberg Rothstein,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Solicitors for the intervener the Shareholder Association for Research and Education: </w:t>
      </w:r>
      <w:proofErr w:type="spellStart"/>
      <w:r w:rsidRPr="00FB0A1F">
        <w:rPr>
          <w:rFonts w:eastAsia="Times New Roman" w:cs="Times New Roman"/>
          <w:i/>
          <w:sz w:val="20"/>
          <w:szCs w:val="20"/>
          <w:lang w:eastAsia="en-CA"/>
        </w:rPr>
        <w:t>Groia</w:t>
      </w:r>
      <w:proofErr w:type="spellEnd"/>
      <w:r w:rsidRPr="00FB0A1F">
        <w:rPr>
          <w:rFonts w:eastAsia="Times New Roman" w:cs="Times New Roman"/>
          <w:i/>
          <w:sz w:val="20"/>
          <w:szCs w:val="20"/>
          <w:lang w:eastAsia="en-CA"/>
        </w:rPr>
        <w:t xml:space="preserve"> &amp; Company,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 for the intervener the Ontario Securities Commission: Ontario Securities Commission, Toronto.</w:t>
      </w:r>
    </w:p>
    <w:p w:rsidR="00FB0A1F" w:rsidRDefault="00FB0A1F" w:rsidP="00FB0A1F">
      <w:pPr>
        <w:tabs>
          <w:tab w:val="left" w:pos="1168"/>
        </w:tabs>
        <w:jc w:val="both"/>
        <w:rPr>
          <w:rFonts w:eastAsia="Times New Roman" w:cs="Times New Roman"/>
          <w:i/>
          <w:sz w:val="20"/>
          <w:szCs w:val="20"/>
          <w:lang w:eastAsia="en-CA"/>
        </w:rPr>
      </w:pPr>
    </w:p>
    <w:p w:rsidR="00FB0A1F" w:rsidRPr="00FB0A1F" w:rsidRDefault="00FB0A1F" w:rsidP="00FB0A1F">
      <w:pPr>
        <w:tabs>
          <w:tab w:val="left" w:pos="1168"/>
        </w:tabs>
        <w:jc w:val="both"/>
        <w:rPr>
          <w:rFonts w:eastAsia="Times New Roman" w:cs="Times New Roman"/>
          <w:i/>
          <w:sz w:val="20"/>
          <w:szCs w:val="20"/>
          <w:lang w:eastAsia="en-CA"/>
        </w:rPr>
      </w:pPr>
      <w:r w:rsidRPr="00FB0A1F">
        <w:rPr>
          <w:rFonts w:eastAsia="Times New Roman" w:cs="Times New Roman"/>
          <w:i/>
          <w:sz w:val="20"/>
          <w:szCs w:val="20"/>
          <w:lang w:eastAsia="en-CA"/>
        </w:rPr>
        <w:tab/>
        <w:t>Solicitors for the intervener the Insurance Bureau of Canada: </w:t>
      </w:r>
      <w:proofErr w:type="spellStart"/>
      <w:r w:rsidRPr="00FB0A1F">
        <w:rPr>
          <w:rFonts w:eastAsia="Times New Roman" w:cs="Times New Roman"/>
          <w:i/>
          <w:sz w:val="20"/>
          <w:szCs w:val="20"/>
          <w:lang w:eastAsia="en-CA"/>
        </w:rPr>
        <w:t>Stikeman</w:t>
      </w:r>
      <w:proofErr w:type="spellEnd"/>
      <w:r w:rsidRPr="00FB0A1F">
        <w:rPr>
          <w:rFonts w:eastAsia="Times New Roman" w:cs="Times New Roman"/>
          <w:i/>
          <w:sz w:val="20"/>
          <w:szCs w:val="20"/>
          <w:lang w:eastAsia="en-CA"/>
        </w:rPr>
        <w:t xml:space="preserve"> Elliott, Toronto.</w:t>
      </w:r>
    </w:p>
    <w:p w:rsidR="0052229C" w:rsidRPr="00C42C54" w:rsidRDefault="0052229C" w:rsidP="0052229C">
      <w:pPr>
        <w:rPr>
          <w:sz w:val="20"/>
          <w:szCs w:val="20"/>
          <w:lang w:val="fr-CA"/>
        </w:rPr>
      </w:pPr>
      <w:r w:rsidRPr="00C42C54">
        <w:rPr>
          <w:sz w:val="20"/>
          <w:szCs w:val="20"/>
          <w:lang w:val="fr-CA"/>
        </w:rPr>
        <w:t>________________________</w:t>
      </w:r>
    </w:p>
    <w:p w:rsidR="0052229C" w:rsidRPr="00C42C54" w:rsidRDefault="0052229C" w:rsidP="0052229C">
      <w:pPr>
        <w:rPr>
          <w:sz w:val="20"/>
          <w:szCs w:val="20"/>
          <w:lang w:val="fr-CA"/>
        </w:rPr>
      </w:pPr>
    </w:p>
    <w:p w:rsidR="0052229C" w:rsidRDefault="0052229C" w:rsidP="0052229C">
      <w:pPr>
        <w:jc w:val="both"/>
        <w:rPr>
          <w:sz w:val="20"/>
          <w:szCs w:val="20"/>
          <w:lang w:val="fr-CA"/>
        </w:rPr>
      </w:pPr>
      <w:r w:rsidRPr="003F1C41">
        <w:rPr>
          <w:sz w:val="20"/>
          <w:szCs w:val="20"/>
          <w:lang w:val="fr-CA"/>
        </w:rPr>
        <w:t xml:space="preserve">Présents : La juge en chef </w:t>
      </w:r>
      <w:proofErr w:type="spellStart"/>
      <w:r w:rsidRPr="003F1C41">
        <w:rPr>
          <w:sz w:val="20"/>
          <w:szCs w:val="20"/>
          <w:lang w:val="fr-CA"/>
        </w:rPr>
        <w:t>McLachlin</w:t>
      </w:r>
      <w:proofErr w:type="spellEnd"/>
      <w:r w:rsidRPr="003F1C41">
        <w:rPr>
          <w:sz w:val="20"/>
          <w:szCs w:val="20"/>
          <w:lang w:val="fr-CA"/>
        </w:rPr>
        <w:t xml:space="preserve"> et les juges</w:t>
      </w:r>
      <w:r w:rsidR="00E90233">
        <w:rPr>
          <w:sz w:val="20"/>
          <w:szCs w:val="20"/>
          <w:lang w:val="fr-CA"/>
        </w:rPr>
        <w:t xml:space="preserve"> </w:t>
      </w:r>
      <w:proofErr w:type="spellStart"/>
      <w:r w:rsidR="00E90233">
        <w:rPr>
          <w:sz w:val="20"/>
          <w:szCs w:val="20"/>
          <w:lang w:val="fr-CA"/>
        </w:rPr>
        <w:t>Rothstein</w:t>
      </w:r>
      <w:proofErr w:type="spellEnd"/>
      <w:r w:rsidRPr="003F1C41">
        <w:rPr>
          <w:sz w:val="20"/>
          <w:szCs w:val="20"/>
          <w:lang w:val="fr-CA"/>
        </w:rPr>
        <w:t xml:space="preserve">, </w:t>
      </w:r>
      <w:r w:rsidR="00E90233">
        <w:rPr>
          <w:sz w:val="20"/>
          <w:szCs w:val="20"/>
          <w:lang w:val="fr-CA"/>
        </w:rPr>
        <w:t>Cromwell</w:t>
      </w:r>
      <w:r w:rsidRPr="003F1C41">
        <w:rPr>
          <w:sz w:val="20"/>
          <w:szCs w:val="20"/>
          <w:lang w:val="fr-CA"/>
        </w:rPr>
        <w:t xml:space="preserve">, </w:t>
      </w:r>
      <w:proofErr w:type="spellStart"/>
      <w:r w:rsidR="00E90233">
        <w:rPr>
          <w:sz w:val="20"/>
          <w:szCs w:val="20"/>
          <w:lang w:val="fr-CA"/>
        </w:rPr>
        <w:t>Moldaver</w:t>
      </w:r>
      <w:proofErr w:type="spellEnd"/>
      <w:r w:rsidRPr="003F1C41">
        <w:rPr>
          <w:sz w:val="20"/>
          <w:szCs w:val="20"/>
          <w:lang w:val="fr-CA"/>
        </w:rPr>
        <w:t xml:space="preserve">, </w:t>
      </w:r>
      <w:proofErr w:type="spellStart"/>
      <w:r w:rsidR="00E90233">
        <w:rPr>
          <w:sz w:val="20"/>
          <w:szCs w:val="20"/>
          <w:lang w:val="fr-CA"/>
        </w:rPr>
        <w:t>Karakatsanis</w:t>
      </w:r>
      <w:proofErr w:type="spellEnd"/>
      <w:r w:rsidRPr="003F1C41">
        <w:rPr>
          <w:sz w:val="20"/>
          <w:szCs w:val="20"/>
          <w:lang w:val="fr-CA"/>
        </w:rPr>
        <w:t xml:space="preserve">, </w:t>
      </w:r>
      <w:r w:rsidR="00E90233">
        <w:rPr>
          <w:sz w:val="20"/>
          <w:szCs w:val="20"/>
          <w:lang w:val="fr-CA"/>
        </w:rPr>
        <w:t xml:space="preserve">Gascon </w:t>
      </w:r>
      <w:r w:rsidRPr="003F1C41">
        <w:rPr>
          <w:sz w:val="20"/>
          <w:szCs w:val="20"/>
          <w:lang w:val="fr-CA"/>
        </w:rPr>
        <w:t xml:space="preserve">et </w:t>
      </w:r>
      <w:r w:rsidR="00E90233">
        <w:rPr>
          <w:sz w:val="20"/>
          <w:szCs w:val="20"/>
          <w:lang w:val="fr-CA"/>
        </w:rPr>
        <w:t>Côté.</w:t>
      </w:r>
    </w:p>
    <w:p w:rsidR="00E90233" w:rsidRDefault="00E90233" w:rsidP="0052229C">
      <w:pPr>
        <w:jc w:val="both"/>
        <w:rPr>
          <w:sz w:val="20"/>
          <w:szCs w:val="20"/>
          <w:lang w:val="fr-CA"/>
        </w:rPr>
      </w:pPr>
    </w:p>
    <w:p w:rsidR="00D433EE" w:rsidRPr="00D433EE" w:rsidRDefault="00D433EE" w:rsidP="00D433EE">
      <w:pPr>
        <w:tabs>
          <w:tab w:val="left" w:pos="1168"/>
        </w:tabs>
        <w:jc w:val="both"/>
        <w:rPr>
          <w:rFonts w:eastAsia="Times New Roman" w:cs="Times New Roman"/>
          <w:i/>
          <w:sz w:val="20"/>
          <w:szCs w:val="20"/>
          <w:lang w:val="fr-CA" w:eastAsia="en-CA"/>
        </w:rPr>
      </w:pPr>
      <w:r w:rsidRPr="00D433EE">
        <w:rPr>
          <w:rFonts w:eastAsia="Times New Roman" w:cs="Times New Roman"/>
          <w:sz w:val="20"/>
          <w:szCs w:val="20"/>
          <w:lang w:val="fr-CA" w:eastAsia="en-CA"/>
        </w:rPr>
        <w:tab/>
      </w:r>
      <w:r w:rsidRPr="00D433EE">
        <w:rPr>
          <w:rFonts w:eastAsia="Times New Roman" w:cs="Times New Roman"/>
          <w:i/>
          <w:sz w:val="20"/>
          <w:szCs w:val="20"/>
          <w:lang w:val="fr-CA" w:eastAsia="en-CA"/>
        </w:rPr>
        <w:t>Valeurs mobilières — Recours collectifs — Prescription — Recours statutaire pour présentation inexacte de faits sur le marché secondaire — Suspension du délai de prescription — Dommages</w:t>
      </w:r>
      <w:r w:rsidRPr="00D433EE">
        <w:rPr>
          <w:rFonts w:eastAsia="Times New Roman" w:cs="Times New Roman"/>
          <w:i/>
          <w:sz w:val="20"/>
          <w:szCs w:val="20"/>
          <w:lang w:val="fr-CA" w:eastAsia="en-CA"/>
        </w:rPr>
        <w:noBreakHyphen/>
        <w:t xml:space="preserve">intérêts réclamés par les demandeurs dans trois recours collectifs pour délit de déclaration inexacte faite par négligence en </w:t>
      </w:r>
      <w:proofErr w:type="spellStart"/>
      <w:r w:rsidRPr="00D433EE">
        <w:rPr>
          <w:rFonts w:eastAsia="Times New Roman" w:cs="Times New Roman"/>
          <w:i/>
          <w:sz w:val="20"/>
          <w:szCs w:val="20"/>
          <w:lang w:val="fr-CA" w:eastAsia="en-CA"/>
        </w:rPr>
        <w:t>common</w:t>
      </w:r>
      <w:proofErr w:type="spellEnd"/>
      <w:r w:rsidRPr="00D433EE">
        <w:rPr>
          <w:rFonts w:eastAsia="Times New Roman" w:cs="Times New Roman"/>
          <w:i/>
          <w:sz w:val="20"/>
          <w:szCs w:val="20"/>
          <w:lang w:val="fr-CA" w:eastAsia="en-CA"/>
        </w:rPr>
        <w:t xml:space="preserve"> </w:t>
      </w:r>
      <w:proofErr w:type="spellStart"/>
      <w:r w:rsidRPr="00D433EE">
        <w:rPr>
          <w:rFonts w:eastAsia="Times New Roman" w:cs="Times New Roman"/>
          <w:i/>
          <w:sz w:val="20"/>
          <w:szCs w:val="20"/>
          <w:lang w:val="fr-CA" w:eastAsia="en-CA"/>
        </w:rPr>
        <w:t>law</w:t>
      </w:r>
      <w:proofErr w:type="spellEnd"/>
      <w:r w:rsidRPr="00D433EE">
        <w:rPr>
          <w:rFonts w:eastAsia="Times New Roman" w:cs="Times New Roman"/>
          <w:i/>
          <w:sz w:val="20"/>
          <w:szCs w:val="20"/>
          <w:lang w:val="fr-CA" w:eastAsia="en-CA"/>
        </w:rPr>
        <w:t xml:space="preserve"> et sur le fondement de la cause d’action pour présentation inexacte de faits sur le marché secondaire en vertu de l’art. 138.3 </w:t>
      </w:r>
      <w:proofErr w:type="gramStart"/>
      <w:r w:rsidRPr="00D433EE">
        <w:rPr>
          <w:rFonts w:eastAsia="Times New Roman" w:cs="Times New Roman"/>
          <w:i/>
          <w:sz w:val="20"/>
          <w:szCs w:val="20"/>
          <w:lang w:val="fr-CA" w:eastAsia="en-CA"/>
        </w:rPr>
        <w:t>de</w:t>
      </w:r>
      <w:proofErr w:type="gramEnd"/>
      <w:r w:rsidRPr="00D433EE">
        <w:rPr>
          <w:rFonts w:eastAsia="Times New Roman" w:cs="Times New Roman"/>
          <w:i/>
          <w:sz w:val="20"/>
          <w:szCs w:val="20"/>
          <w:lang w:val="fr-CA" w:eastAsia="en-CA"/>
        </w:rPr>
        <w:t xml:space="preserve"> la Loi sur les valeurs mobilières — Autorisation requise par l’art. 138.8 de la Loi sur les valeurs mobilières pour intenter un recours statutaire — Délai de prescription pour intenter le recours statutaire échu avant que l’autorisation ne soit accordée — L’article 28 de la Loi de 1992 sur les recours collectifs </w:t>
      </w:r>
      <w:proofErr w:type="spellStart"/>
      <w:r w:rsidRPr="00D433EE">
        <w:rPr>
          <w:rFonts w:eastAsia="Times New Roman" w:cs="Times New Roman"/>
          <w:i/>
          <w:sz w:val="20"/>
          <w:szCs w:val="20"/>
          <w:lang w:val="fr-CA" w:eastAsia="en-CA"/>
        </w:rPr>
        <w:t>a</w:t>
      </w:r>
      <w:r w:rsidRPr="00D433EE">
        <w:rPr>
          <w:rFonts w:eastAsia="Times New Roman" w:cs="Times New Roman"/>
          <w:i/>
          <w:sz w:val="20"/>
          <w:szCs w:val="20"/>
          <w:lang w:val="fr-CA" w:eastAsia="en-CA"/>
        </w:rPr>
        <w:noBreakHyphen/>
        <w:t>t</w:t>
      </w:r>
      <w:r w:rsidRPr="00D433EE">
        <w:rPr>
          <w:rFonts w:eastAsia="Times New Roman" w:cs="Times New Roman"/>
          <w:i/>
          <w:sz w:val="20"/>
          <w:szCs w:val="20"/>
          <w:lang w:val="fr-CA" w:eastAsia="en-CA"/>
        </w:rPr>
        <w:noBreakHyphen/>
        <w:t>il</w:t>
      </w:r>
      <w:proofErr w:type="spellEnd"/>
      <w:r w:rsidRPr="00D433EE">
        <w:rPr>
          <w:rFonts w:eastAsia="Times New Roman" w:cs="Times New Roman"/>
          <w:i/>
          <w:sz w:val="20"/>
          <w:szCs w:val="20"/>
          <w:lang w:val="fr-CA" w:eastAsia="en-CA"/>
        </w:rPr>
        <w:t xml:space="preserve"> pour effet de suspendre le délai de prescription applicable à un recours statutaire avant que l’autorisation pour que celui</w:t>
      </w:r>
      <w:r w:rsidRPr="00D433EE">
        <w:rPr>
          <w:rFonts w:eastAsia="Times New Roman" w:cs="Times New Roman"/>
          <w:i/>
          <w:sz w:val="20"/>
          <w:szCs w:val="20"/>
          <w:lang w:val="fr-CA" w:eastAsia="en-CA"/>
        </w:rPr>
        <w:noBreakHyphen/>
        <w:t>ci soit intenté ne soit accordée? — Le recours statutaire est</w:t>
      </w:r>
      <w:r w:rsidRPr="00D433EE">
        <w:rPr>
          <w:rFonts w:eastAsia="Times New Roman" w:cs="Times New Roman"/>
          <w:i/>
          <w:sz w:val="20"/>
          <w:szCs w:val="20"/>
          <w:lang w:val="fr-CA" w:eastAsia="en-CA"/>
        </w:rPr>
        <w:noBreakHyphen/>
        <w:t>il prescrit? — Si oui, le recours statutaire peut</w:t>
      </w:r>
      <w:r w:rsidRPr="00D433EE">
        <w:rPr>
          <w:rFonts w:eastAsia="Times New Roman" w:cs="Times New Roman"/>
          <w:i/>
          <w:sz w:val="20"/>
          <w:szCs w:val="20"/>
          <w:lang w:val="fr-CA" w:eastAsia="en-CA"/>
        </w:rPr>
        <w:noBreakHyphen/>
        <w:t xml:space="preserve">il être sauvegardé par une ordonnance accordant l’autorisation nunc pro </w:t>
      </w:r>
      <w:proofErr w:type="spellStart"/>
      <w:r w:rsidRPr="00D433EE">
        <w:rPr>
          <w:rFonts w:eastAsia="Times New Roman" w:cs="Times New Roman"/>
          <w:i/>
          <w:sz w:val="20"/>
          <w:szCs w:val="20"/>
          <w:lang w:val="fr-CA" w:eastAsia="en-CA"/>
        </w:rPr>
        <w:t>tunc</w:t>
      </w:r>
      <w:proofErr w:type="spellEnd"/>
      <w:r w:rsidRPr="00D433EE">
        <w:rPr>
          <w:rFonts w:eastAsia="Times New Roman" w:cs="Times New Roman"/>
          <w:i/>
          <w:sz w:val="20"/>
          <w:szCs w:val="20"/>
          <w:lang w:val="fr-CA" w:eastAsia="en-CA"/>
        </w:rPr>
        <w:t xml:space="preserve"> ou par la doctrine des circonstances particulières? — Le critère préliminaire de la possibilité raisonnable d’avoir gain de cause s’applique</w:t>
      </w:r>
      <w:r w:rsidRPr="00D433EE">
        <w:rPr>
          <w:rFonts w:eastAsia="Times New Roman" w:cs="Times New Roman"/>
          <w:i/>
          <w:sz w:val="20"/>
          <w:szCs w:val="20"/>
          <w:lang w:val="fr-CA" w:eastAsia="en-CA"/>
        </w:rPr>
        <w:noBreakHyphen/>
        <w:t>t</w:t>
      </w:r>
      <w:r w:rsidRPr="00D433EE">
        <w:rPr>
          <w:rFonts w:eastAsia="Times New Roman" w:cs="Times New Roman"/>
          <w:i/>
          <w:sz w:val="20"/>
          <w:szCs w:val="20"/>
          <w:lang w:val="fr-CA" w:eastAsia="en-CA"/>
        </w:rPr>
        <w:noBreakHyphen/>
        <w:t xml:space="preserve">il à la demande d’autorisation d’intenter un recours en vertu de l’art. 138.3 </w:t>
      </w:r>
      <w:proofErr w:type="gramStart"/>
      <w:r w:rsidRPr="00D433EE">
        <w:rPr>
          <w:rFonts w:eastAsia="Times New Roman" w:cs="Times New Roman"/>
          <w:i/>
          <w:sz w:val="20"/>
          <w:szCs w:val="20"/>
          <w:lang w:val="fr-CA" w:eastAsia="en-CA"/>
        </w:rPr>
        <w:t>de</w:t>
      </w:r>
      <w:proofErr w:type="gramEnd"/>
      <w:r w:rsidRPr="00D433EE">
        <w:rPr>
          <w:rFonts w:eastAsia="Times New Roman" w:cs="Times New Roman"/>
          <w:i/>
          <w:sz w:val="20"/>
          <w:szCs w:val="20"/>
          <w:lang w:val="fr-CA" w:eastAsia="en-CA"/>
        </w:rPr>
        <w:t xml:space="preserve"> la Loi sur les valeurs mobilières? — Loi de 1992 sur les recours collectifs, L.O. 1992, c. 6, art. 28 — Loi sur les valeurs mobilières, L.R.O. 1990, c. S. 5, art. 138.3, 138.8, 138.14.</w:t>
      </w:r>
    </w:p>
    <w:p w:rsidR="00D433EE" w:rsidRDefault="00D433EE" w:rsidP="00D433EE">
      <w:pPr>
        <w:tabs>
          <w:tab w:val="left" w:pos="1168"/>
        </w:tabs>
        <w:jc w:val="both"/>
        <w:rPr>
          <w:rFonts w:eastAsia="Times New Roman" w:cs="Times New Roman"/>
          <w:i/>
          <w:sz w:val="20"/>
          <w:szCs w:val="20"/>
          <w:lang w:val="fr-CA" w:eastAsia="en-CA"/>
        </w:rPr>
      </w:pPr>
    </w:p>
    <w:p w:rsidR="00D433EE" w:rsidRPr="00D433EE" w:rsidRDefault="00D433EE" w:rsidP="00D433EE">
      <w:pPr>
        <w:tabs>
          <w:tab w:val="left" w:pos="1168"/>
        </w:tabs>
        <w:jc w:val="both"/>
        <w:rPr>
          <w:rFonts w:eastAsia="Times New Roman" w:cs="Times New Roman"/>
          <w:i/>
          <w:sz w:val="20"/>
          <w:szCs w:val="20"/>
          <w:lang w:val="fr-CA" w:eastAsia="en-CA"/>
        </w:rPr>
      </w:pPr>
      <w:r w:rsidRPr="00D433EE">
        <w:rPr>
          <w:rFonts w:eastAsia="Times New Roman" w:cs="Times New Roman"/>
          <w:i/>
          <w:sz w:val="20"/>
          <w:szCs w:val="20"/>
          <w:lang w:val="fr-CA" w:eastAsia="en-CA"/>
        </w:rPr>
        <w:tab/>
        <w:t>Procédure civile — Recours collectifs — Procédure constituant le meilleur moyen — Dommages</w:t>
      </w:r>
      <w:r w:rsidRPr="00D433EE">
        <w:rPr>
          <w:rFonts w:eastAsia="Times New Roman" w:cs="Times New Roman"/>
          <w:i/>
          <w:sz w:val="20"/>
          <w:szCs w:val="20"/>
          <w:lang w:val="fr-CA" w:eastAsia="en-CA"/>
        </w:rPr>
        <w:noBreakHyphen/>
        <w:t xml:space="preserve">intérêts réclamés par les demandeurs dans trois recours collectifs pour délit de déclaration inexacte faite par négligence en </w:t>
      </w:r>
      <w:proofErr w:type="spellStart"/>
      <w:r w:rsidRPr="00D433EE">
        <w:rPr>
          <w:rFonts w:eastAsia="Times New Roman" w:cs="Times New Roman"/>
          <w:i/>
          <w:sz w:val="20"/>
          <w:szCs w:val="20"/>
          <w:lang w:val="fr-CA" w:eastAsia="en-CA"/>
        </w:rPr>
        <w:t>common</w:t>
      </w:r>
      <w:proofErr w:type="spellEnd"/>
      <w:r w:rsidRPr="00D433EE">
        <w:rPr>
          <w:rFonts w:eastAsia="Times New Roman" w:cs="Times New Roman"/>
          <w:i/>
          <w:sz w:val="20"/>
          <w:szCs w:val="20"/>
          <w:lang w:val="fr-CA" w:eastAsia="en-CA"/>
        </w:rPr>
        <w:t xml:space="preserve"> </w:t>
      </w:r>
      <w:proofErr w:type="spellStart"/>
      <w:r w:rsidRPr="00D433EE">
        <w:rPr>
          <w:rFonts w:eastAsia="Times New Roman" w:cs="Times New Roman"/>
          <w:i/>
          <w:sz w:val="20"/>
          <w:szCs w:val="20"/>
          <w:lang w:val="fr-CA" w:eastAsia="en-CA"/>
        </w:rPr>
        <w:t>law</w:t>
      </w:r>
      <w:proofErr w:type="spellEnd"/>
      <w:r w:rsidRPr="00D433EE">
        <w:rPr>
          <w:rFonts w:eastAsia="Times New Roman" w:cs="Times New Roman"/>
          <w:i/>
          <w:sz w:val="20"/>
          <w:szCs w:val="20"/>
          <w:lang w:val="fr-CA" w:eastAsia="en-CA"/>
        </w:rPr>
        <w:t xml:space="preserve"> et sur le fondement de la cause d’action pour présentation inexacte de faits sur le marché secondaire — La Cour d’appel a</w:t>
      </w:r>
      <w:r w:rsidRPr="00D433EE">
        <w:rPr>
          <w:rFonts w:eastAsia="Times New Roman" w:cs="Times New Roman"/>
          <w:i/>
          <w:sz w:val="20"/>
          <w:szCs w:val="20"/>
          <w:lang w:val="fr-CA" w:eastAsia="en-CA"/>
        </w:rPr>
        <w:noBreakHyphen/>
        <w:t>t</w:t>
      </w:r>
      <w:r w:rsidRPr="00D433EE">
        <w:rPr>
          <w:rFonts w:eastAsia="Times New Roman" w:cs="Times New Roman"/>
          <w:i/>
          <w:sz w:val="20"/>
          <w:szCs w:val="20"/>
          <w:lang w:val="fr-CA" w:eastAsia="en-CA"/>
        </w:rPr>
        <w:noBreakHyphen/>
        <w:t xml:space="preserve">elle commis une erreur en concluant que cinq des sept questions communes relatives à une réclamation pour déclaration inexacte en </w:t>
      </w:r>
      <w:proofErr w:type="spellStart"/>
      <w:r w:rsidRPr="00D433EE">
        <w:rPr>
          <w:rFonts w:eastAsia="Times New Roman" w:cs="Times New Roman"/>
          <w:i/>
          <w:sz w:val="20"/>
          <w:szCs w:val="20"/>
          <w:lang w:val="fr-CA" w:eastAsia="en-CA"/>
        </w:rPr>
        <w:t>common</w:t>
      </w:r>
      <w:proofErr w:type="spellEnd"/>
      <w:r w:rsidRPr="00D433EE">
        <w:rPr>
          <w:rFonts w:eastAsia="Times New Roman" w:cs="Times New Roman"/>
          <w:i/>
          <w:sz w:val="20"/>
          <w:szCs w:val="20"/>
          <w:lang w:val="fr-CA" w:eastAsia="en-CA"/>
        </w:rPr>
        <w:t xml:space="preserve"> </w:t>
      </w:r>
      <w:proofErr w:type="spellStart"/>
      <w:r w:rsidRPr="00D433EE">
        <w:rPr>
          <w:rFonts w:eastAsia="Times New Roman" w:cs="Times New Roman"/>
          <w:i/>
          <w:sz w:val="20"/>
          <w:szCs w:val="20"/>
          <w:lang w:val="fr-CA" w:eastAsia="en-CA"/>
        </w:rPr>
        <w:t>law</w:t>
      </w:r>
      <w:proofErr w:type="spellEnd"/>
      <w:r w:rsidRPr="00D433EE">
        <w:rPr>
          <w:rFonts w:eastAsia="Times New Roman" w:cs="Times New Roman"/>
          <w:i/>
          <w:sz w:val="20"/>
          <w:szCs w:val="20"/>
          <w:lang w:val="fr-CA" w:eastAsia="en-CA"/>
        </w:rPr>
        <w:t xml:space="preserve"> devaient être autorisées?</w:t>
      </w:r>
    </w:p>
    <w:p w:rsidR="0052229C" w:rsidRDefault="0052229C" w:rsidP="0052229C">
      <w:pPr>
        <w:pStyle w:val="SCCNormalDoubleSpacing"/>
        <w:spacing w:line="240" w:lineRule="auto"/>
        <w:rPr>
          <w:sz w:val="20"/>
          <w:lang w:val="fr-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Les pourvois dans ces trois causes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w:t>
      </w:r>
      <w:r w:rsidRPr="00334822">
        <w:rPr>
          <w:rFonts w:eastAsia="Times New Roman" w:cs="Times New Roman"/>
          <w:i/>
          <w:sz w:val="20"/>
          <w:szCs w:val="20"/>
          <w:lang w:val="fr-CA" w:eastAsia="en-CA"/>
        </w:rPr>
        <w:t>IMAX</w:t>
      </w:r>
      <w:r w:rsidRPr="00334822">
        <w:rPr>
          <w:rFonts w:eastAsia="Times New Roman" w:cs="Times New Roman"/>
          <w:sz w:val="20"/>
          <w:szCs w:val="20"/>
          <w:lang w:val="fr-CA" w:eastAsia="en-CA"/>
        </w:rPr>
        <w:t xml:space="preserve"> et </w:t>
      </w:r>
      <w:proofErr w:type="spellStart"/>
      <w:r w:rsidRPr="00334822">
        <w:rPr>
          <w:rFonts w:eastAsia="Times New Roman" w:cs="Times New Roman"/>
          <w:i/>
          <w:sz w:val="20"/>
          <w:szCs w:val="20"/>
          <w:lang w:val="fr-CA" w:eastAsia="en-CA"/>
        </w:rPr>
        <w:t>Celestica</w:t>
      </w:r>
      <w:proofErr w:type="spellEnd"/>
      <w:r w:rsidRPr="00334822">
        <w:rPr>
          <w:rFonts w:eastAsia="Times New Roman" w:cs="Times New Roman"/>
          <w:sz w:val="20"/>
          <w:szCs w:val="20"/>
          <w:lang w:val="fr-CA" w:eastAsia="en-CA"/>
        </w:rPr>
        <w:t>) découlent de motions présentées devant des juges différents de la Cour supérieure de justice de l’Ontario. Dans chacune des causes, les demandeurs intimés réclamaient des dommages</w:t>
      </w:r>
      <w:r w:rsidRPr="00334822">
        <w:rPr>
          <w:rFonts w:eastAsia="Times New Roman" w:cs="Times New Roman"/>
          <w:sz w:val="20"/>
          <w:szCs w:val="20"/>
          <w:lang w:val="fr-CA" w:eastAsia="en-CA"/>
        </w:rPr>
        <w:noBreakHyphen/>
        <w:t xml:space="preserve">intérêts fondés sur le délit de déclaration inexacte faite par négligence en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et ont plaidé qu’ils avaient l’intention de réclamer des dommages</w:t>
      </w:r>
      <w:r w:rsidRPr="00334822">
        <w:rPr>
          <w:rFonts w:eastAsia="Times New Roman" w:cs="Times New Roman"/>
          <w:sz w:val="20"/>
          <w:szCs w:val="20"/>
          <w:lang w:val="fr-CA" w:eastAsia="en-CA"/>
        </w:rPr>
        <w:noBreakHyphen/>
        <w:t xml:space="preserve">intérêts se fondant sur la cause d’action prévue à l’art. 138.3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partie XXIII.1 de la </w:t>
      </w:r>
      <w:r w:rsidRPr="00334822">
        <w:rPr>
          <w:rFonts w:eastAsia="Times New Roman" w:cs="Times New Roman"/>
          <w:i/>
          <w:sz w:val="20"/>
          <w:szCs w:val="20"/>
          <w:lang w:val="fr-CA" w:eastAsia="en-CA"/>
        </w:rPr>
        <w:t xml:space="preserve">Loi sur les valeurs mobilières </w:t>
      </w:r>
      <w:r w:rsidRPr="00334822">
        <w:rPr>
          <w:rFonts w:eastAsia="Times New Roman" w:cs="Times New Roman"/>
          <w:sz w:val="20"/>
          <w:szCs w:val="20"/>
          <w:lang w:val="fr-CA" w:eastAsia="en-CA"/>
        </w:rPr>
        <w:t>(«</w:t>
      </w:r>
      <w:r w:rsidRPr="00334822">
        <w:rPr>
          <w:rFonts w:eastAsia="Times New Roman" w:cs="Times New Roman"/>
          <w:i/>
          <w:sz w:val="20"/>
          <w:szCs w:val="20"/>
          <w:lang w:val="fr-CA" w:eastAsia="en-CA"/>
        </w:rPr>
        <w:t> LVM </w:t>
      </w:r>
      <w:r w:rsidRPr="00334822">
        <w:rPr>
          <w:rFonts w:eastAsia="Times New Roman" w:cs="Times New Roman"/>
          <w:sz w:val="20"/>
          <w:szCs w:val="20"/>
          <w:lang w:val="fr-CA" w:eastAsia="en-CA"/>
        </w:rPr>
        <w:t>»)</w:t>
      </w:r>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de l’Ontario</w:t>
      </w:r>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 xml:space="preserve">pour la présentation </w:t>
      </w:r>
      <w:proofErr w:type="spellStart"/>
      <w:r w:rsidRPr="00334822">
        <w:rPr>
          <w:rFonts w:eastAsia="Times New Roman" w:cs="Times New Roman"/>
          <w:sz w:val="20"/>
          <w:szCs w:val="20"/>
          <w:lang w:val="fr-CA" w:eastAsia="en-CA"/>
        </w:rPr>
        <w:t>présumément</w:t>
      </w:r>
      <w:proofErr w:type="spellEnd"/>
      <w:r w:rsidRPr="00334822">
        <w:rPr>
          <w:rFonts w:eastAsia="Times New Roman" w:cs="Times New Roman"/>
          <w:sz w:val="20"/>
          <w:szCs w:val="20"/>
          <w:lang w:val="fr-CA" w:eastAsia="en-CA"/>
        </w:rPr>
        <w:t xml:space="preserve"> inexacte de faits à l’égard du commerce d’actions sur le marché secondaire. Aucun des demandeurs n’a obtenu l’autorisation d’intenter l’action prévue par la loi, autorisation exigée aux termes de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avant d’introduire le recours collectif fondé sur la cause d’action en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Dans tous les dossiers, le délai de prescription pour intenter l’action prévue par la loi, s’il n’était pas suspendu, aurait expiré avant l’obtention de l’autorisation. Dans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la requête demandant la permission a été déposée dans le délai fixé par la loi, dans </w:t>
      </w:r>
      <w:r w:rsidRPr="00334822">
        <w:rPr>
          <w:rFonts w:eastAsia="Times New Roman" w:cs="Times New Roman"/>
          <w:i/>
          <w:sz w:val="20"/>
          <w:szCs w:val="20"/>
          <w:lang w:val="fr-CA" w:eastAsia="en-CA"/>
        </w:rPr>
        <w:t>IMAX</w:t>
      </w:r>
      <w:r w:rsidRPr="00334822">
        <w:rPr>
          <w:rFonts w:eastAsia="Times New Roman" w:cs="Times New Roman"/>
          <w:sz w:val="20"/>
          <w:szCs w:val="20"/>
          <w:lang w:val="fr-CA" w:eastAsia="en-CA"/>
        </w:rPr>
        <w:t xml:space="preserve">, la requête demandant la permission a été déposée et plaidée dans le délai fixé par la loi, et dans </w:t>
      </w:r>
      <w:proofErr w:type="spellStart"/>
      <w:r w:rsidRPr="00334822">
        <w:rPr>
          <w:rFonts w:eastAsia="Times New Roman" w:cs="Times New Roman"/>
          <w:i/>
          <w:sz w:val="20"/>
          <w:szCs w:val="20"/>
          <w:lang w:val="fr-CA" w:eastAsia="en-CA"/>
        </w:rPr>
        <w:t>Celestica</w:t>
      </w:r>
      <w:proofErr w:type="spellEnd"/>
      <w:r w:rsidRPr="00334822">
        <w:rPr>
          <w:rFonts w:eastAsia="Times New Roman" w:cs="Times New Roman"/>
          <w:sz w:val="20"/>
          <w:szCs w:val="20"/>
          <w:lang w:val="fr-CA" w:eastAsia="en-CA"/>
        </w:rPr>
        <w:t xml:space="preserve">, la requête demandant la permission a été déposée après l’expiration du délai. </w:t>
      </w:r>
    </w:p>
    <w:p w:rsidR="00334822" w:rsidRDefault="00334822"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sz w:val="20"/>
          <w:szCs w:val="20"/>
          <w:lang w:val="fr-CA"/>
        </w:rPr>
        <w:tab/>
        <w:t xml:space="preserve">L’article 28 de la </w:t>
      </w:r>
      <w:r w:rsidRPr="00334822">
        <w:rPr>
          <w:rFonts w:eastAsiaTheme="minorEastAsia" w:cs="Times New Roman"/>
          <w:i/>
          <w:sz w:val="20"/>
          <w:szCs w:val="20"/>
          <w:lang w:val="fr-CA"/>
        </w:rPr>
        <w:t xml:space="preserve">Loi de 1992 sur les recours collectifs </w:t>
      </w:r>
      <w:r w:rsidRPr="00334822">
        <w:rPr>
          <w:rFonts w:eastAsiaTheme="minorEastAsia" w:cs="Times New Roman"/>
          <w:sz w:val="20"/>
          <w:szCs w:val="20"/>
          <w:lang w:val="fr-CA"/>
        </w:rPr>
        <w:t>(« </w:t>
      </w:r>
      <w:r w:rsidRPr="00334822">
        <w:rPr>
          <w:rFonts w:eastAsiaTheme="minorEastAsia" w:cs="Times New Roman"/>
          <w:i/>
          <w:sz w:val="20"/>
          <w:szCs w:val="20"/>
          <w:lang w:val="fr-CA"/>
        </w:rPr>
        <w:t>LRC </w:t>
      </w:r>
      <w:r w:rsidRPr="00334822">
        <w:rPr>
          <w:rFonts w:eastAsiaTheme="minorEastAsia" w:cs="Times New Roman"/>
          <w:sz w:val="20"/>
          <w:szCs w:val="20"/>
          <w:lang w:val="fr-CA"/>
        </w:rPr>
        <w:t xml:space="preserve">») a pour effet de suspendre le délai de prescription applicable à une cause d’action invoquée dans un recours collectif en faveur des membres du groupe à l’introduction du recours collectif. Pendant que les recours collectifs en cause dans les présents pourvois étaient en instance, la Cour d’appel de l’Ontario a rendu sa décision dans une autre affaire, </w:t>
      </w:r>
      <w:r w:rsidRPr="00334822">
        <w:rPr>
          <w:rFonts w:eastAsiaTheme="minorEastAsia" w:cs="Times New Roman"/>
          <w:i/>
          <w:sz w:val="20"/>
          <w:szCs w:val="20"/>
          <w:lang w:val="fr-CA"/>
        </w:rPr>
        <w:t xml:space="preserve">Sharma c. </w:t>
      </w:r>
      <w:proofErr w:type="spellStart"/>
      <w:r w:rsidRPr="00334822">
        <w:rPr>
          <w:rFonts w:eastAsiaTheme="minorEastAsia" w:cs="Times New Roman"/>
          <w:i/>
          <w:sz w:val="20"/>
          <w:szCs w:val="20"/>
          <w:lang w:val="fr-CA"/>
        </w:rPr>
        <w:t>Timminco</w:t>
      </w:r>
      <w:proofErr w:type="spellEnd"/>
      <w:r w:rsidRPr="00334822">
        <w:rPr>
          <w:rFonts w:eastAsiaTheme="minorEastAsia" w:cs="Times New Roman"/>
          <w:i/>
          <w:sz w:val="20"/>
          <w:szCs w:val="20"/>
          <w:lang w:val="fr-CA"/>
        </w:rPr>
        <w:t xml:space="preserve"> Ltd.</w:t>
      </w:r>
      <w:r w:rsidRPr="00334822">
        <w:rPr>
          <w:rFonts w:eastAsiaTheme="minorEastAsia" w:cs="Times New Roman"/>
          <w:sz w:val="20"/>
          <w:szCs w:val="20"/>
          <w:lang w:val="fr-CA"/>
        </w:rPr>
        <w:t>, 2012 ONCA 107, 109 O.R. (3d) 569 (« </w:t>
      </w:r>
      <w:proofErr w:type="spellStart"/>
      <w:r w:rsidRPr="00334822">
        <w:rPr>
          <w:rFonts w:eastAsiaTheme="minorEastAsia" w:cs="Times New Roman"/>
          <w:i/>
          <w:sz w:val="20"/>
          <w:szCs w:val="20"/>
          <w:lang w:val="fr-CA"/>
        </w:rPr>
        <w:t>Timminco</w:t>
      </w:r>
      <w:proofErr w:type="spellEnd"/>
      <w:r w:rsidRPr="00334822">
        <w:rPr>
          <w:rFonts w:eastAsiaTheme="minorEastAsia" w:cs="Times New Roman"/>
          <w:sz w:val="20"/>
          <w:szCs w:val="20"/>
          <w:lang w:val="fr-CA"/>
        </w:rPr>
        <w:t xml:space="preserve"> »), où elle a interprété pour la première fois l’application de l’art. 28 de la </w:t>
      </w:r>
      <w:r w:rsidRPr="00334822">
        <w:rPr>
          <w:rFonts w:eastAsiaTheme="minorEastAsia" w:cs="Times New Roman"/>
          <w:i/>
          <w:sz w:val="20"/>
          <w:szCs w:val="20"/>
          <w:lang w:val="fr-CA"/>
        </w:rPr>
        <w:t xml:space="preserve">LRC </w:t>
      </w:r>
      <w:r w:rsidRPr="00334822">
        <w:rPr>
          <w:rFonts w:eastAsiaTheme="minorEastAsia" w:cs="Times New Roman"/>
          <w:sz w:val="20"/>
          <w:szCs w:val="20"/>
          <w:lang w:val="fr-CA"/>
        </w:rPr>
        <w:t xml:space="preserve">au délai de prescription prévu à l’art. 138.14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La formation a statué que l’art. 28 de la </w:t>
      </w:r>
      <w:r w:rsidRPr="00334822">
        <w:rPr>
          <w:rFonts w:eastAsiaTheme="minorEastAsia" w:cs="Times New Roman"/>
          <w:i/>
          <w:sz w:val="20"/>
          <w:szCs w:val="20"/>
          <w:lang w:val="fr-CA"/>
        </w:rPr>
        <w:t>LRC</w:t>
      </w:r>
      <w:r w:rsidRPr="00334822">
        <w:rPr>
          <w:rFonts w:eastAsiaTheme="minorEastAsia" w:cs="Times New Roman"/>
          <w:sz w:val="20"/>
          <w:szCs w:val="20"/>
          <w:lang w:val="fr-CA"/>
        </w:rPr>
        <w:t xml:space="preserve"> n’avait pas pour effet de suspendre le délai de prescription prévu à l’art. 138.14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jusqu’à ce que l’autorisation soit obtenue conformément à l’art. 138.8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même loi. Les juges saisis des demandes de permission d’intenter le recours statutaire dans les présents dossiers se sont estimés liés par l’arrêt </w:t>
      </w:r>
      <w:proofErr w:type="spellStart"/>
      <w:r w:rsidRPr="00334822">
        <w:rPr>
          <w:rFonts w:eastAsiaTheme="minorEastAsia" w:cs="Times New Roman"/>
          <w:i/>
          <w:sz w:val="20"/>
          <w:szCs w:val="20"/>
          <w:lang w:val="fr-CA"/>
        </w:rPr>
        <w:t>Timminco</w:t>
      </w:r>
      <w:proofErr w:type="spellEnd"/>
      <w:r w:rsidRPr="00334822">
        <w:rPr>
          <w:rFonts w:eastAsiaTheme="minorEastAsia" w:cs="Times New Roman"/>
          <w:sz w:val="20"/>
          <w:szCs w:val="20"/>
          <w:lang w:val="fr-CA"/>
        </w:rPr>
        <w:t xml:space="preserve">. Les juges saisis des motions dans </w:t>
      </w:r>
      <w:r w:rsidRPr="00334822">
        <w:rPr>
          <w:rFonts w:eastAsiaTheme="minorEastAsia" w:cs="Times New Roman"/>
          <w:i/>
          <w:sz w:val="20"/>
          <w:szCs w:val="20"/>
          <w:lang w:val="fr-CA"/>
        </w:rPr>
        <w:t>IMAX</w:t>
      </w:r>
      <w:r w:rsidRPr="00334822">
        <w:rPr>
          <w:rFonts w:eastAsiaTheme="minorEastAsia" w:cs="Times New Roman"/>
          <w:sz w:val="20"/>
          <w:szCs w:val="20"/>
          <w:lang w:val="fr-CA"/>
        </w:rPr>
        <w:t xml:space="preserve"> et </w:t>
      </w:r>
      <w:proofErr w:type="spellStart"/>
      <w:r w:rsidRPr="00334822">
        <w:rPr>
          <w:rFonts w:eastAsiaTheme="minorEastAsia" w:cs="Times New Roman"/>
          <w:i/>
          <w:sz w:val="20"/>
          <w:szCs w:val="20"/>
          <w:lang w:val="fr-CA"/>
        </w:rPr>
        <w:t>Celestica</w:t>
      </w:r>
      <w:proofErr w:type="spellEnd"/>
      <w:r w:rsidRPr="00334822">
        <w:rPr>
          <w:rFonts w:eastAsiaTheme="minorEastAsia" w:cs="Times New Roman"/>
          <w:sz w:val="20"/>
          <w:szCs w:val="20"/>
          <w:lang w:val="fr-CA"/>
        </w:rPr>
        <w:t xml:space="preserve"> ont appliqué les doctrines de </w:t>
      </w:r>
      <w:r w:rsidRPr="00334822">
        <w:rPr>
          <w:rFonts w:eastAsiaTheme="minorEastAsia" w:cs="Times New Roman"/>
          <w:i/>
          <w:sz w:val="20"/>
          <w:szCs w:val="20"/>
          <w:lang w:val="fr-CA"/>
        </w:rPr>
        <w:t xml:space="preserve">nunc pro </w:t>
      </w:r>
      <w:proofErr w:type="spellStart"/>
      <w:r w:rsidRPr="00334822">
        <w:rPr>
          <w:rFonts w:eastAsiaTheme="minorEastAsia" w:cs="Times New Roman"/>
          <w:i/>
          <w:sz w:val="20"/>
          <w:szCs w:val="20"/>
          <w:lang w:val="fr-CA"/>
        </w:rPr>
        <w:t>tunc</w:t>
      </w:r>
      <w:proofErr w:type="spellEnd"/>
      <w:r w:rsidRPr="00334822">
        <w:rPr>
          <w:rFonts w:eastAsiaTheme="minorEastAsia" w:cs="Times New Roman"/>
          <w:i/>
          <w:sz w:val="20"/>
          <w:szCs w:val="20"/>
          <w:lang w:val="fr-CA"/>
        </w:rPr>
        <w:t xml:space="preserve"> </w:t>
      </w:r>
      <w:r w:rsidRPr="00334822">
        <w:rPr>
          <w:rFonts w:eastAsiaTheme="minorEastAsia" w:cs="Times New Roman"/>
          <w:sz w:val="20"/>
          <w:szCs w:val="20"/>
          <w:lang w:val="fr-CA"/>
        </w:rPr>
        <w:t xml:space="preserve">et des circonstances particulières, reconnues en </w:t>
      </w:r>
      <w:proofErr w:type="spellStart"/>
      <w:r w:rsidRPr="00334822">
        <w:rPr>
          <w:rFonts w:eastAsiaTheme="minorEastAsia" w:cs="Times New Roman"/>
          <w:sz w:val="20"/>
          <w:szCs w:val="20"/>
          <w:lang w:val="fr-CA"/>
        </w:rPr>
        <w:t>common</w:t>
      </w:r>
      <w:proofErr w:type="spellEnd"/>
      <w:r w:rsidRPr="00334822">
        <w:rPr>
          <w:rFonts w:eastAsiaTheme="minorEastAsia" w:cs="Times New Roman"/>
          <w:sz w:val="20"/>
          <w:szCs w:val="20"/>
          <w:lang w:val="fr-CA"/>
        </w:rPr>
        <w:t xml:space="preserve"> </w:t>
      </w:r>
      <w:proofErr w:type="spellStart"/>
      <w:r w:rsidRPr="00334822">
        <w:rPr>
          <w:rFonts w:eastAsiaTheme="minorEastAsia" w:cs="Times New Roman"/>
          <w:sz w:val="20"/>
          <w:szCs w:val="20"/>
          <w:lang w:val="fr-CA"/>
        </w:rPr>
        <w:t>law</w:t>
      </w:r>
      <w:proofErr w:type="spellEnd"/>
      <w:r w:rsidRPr="00334822">
        <w:rPr>
          <w:rFonts w:eastAsiaTheme="minorEastAsia" w:cs="Times New Roman"/>
          <w:sz w:val="20"/>
          <w:szCs w:val="20"/>
          <w:lang w:val="fr-CA"/>
        </w:rPr>
        <w:t xml:space="preserve">, pour empêcher la prescription des demandes dans ces dossiers. Dans </w:t>
      </w:r>
      <w:r w:rsidRPr="00334822">
        <w:rPr>
          <w:rFonts w:eastAsiaTheme="minorEastAsia" w:cs="Times New Roman"/>
          <w:i/>
          <w:sz w:val="20"/>
          <w:szCs w:val="20"/>
          <w:lang w:val="fr-CA"/>
        </w:rPr>
        <w:t>CIBC</w:t>
      </w:r>
      <w:r w:rsidRPr="00334822">
        <w:rPr>
          <w:rFonts w:eastAsiaTheme="minorEastAsia" w:cs="Times New Roman"/>
          <w:sz w:val="20"/>
          <w:szCs w:val="20"/>
          <w:lang w:val="fr-CA"/>
        </w:rPr>
        <w:t>, le juge des motions a conclu que ces doctrines n’étaient pas applicables et que l’action prévue par la loi ne pouvait être sauvegardée.</w:t>
      </w:r>
    </w:p>
    <w:p w:rsidR="00334822" w:rsidRDefault="00334822"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Dans l’affaire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en plus de la question du délai de prescription, les défendeurs ont contesté le critère préliminaire auquel doit satisfaire un demandeur lorsqu’il demande la permission au titre de l’art. 138.8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et les demandeurs ont sollicité une autorisation de recours collectif quant à sept questions communes relatives à la réclamation pour déclaration inexacte en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Même s’il a conclu que le recours statutaire était prescrit, le juge des motions a jugé que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établit un critère relativement peu élevé. Quant à la certification des questions en litige, le juge des motions a conclu que la question de savoir si une personne s’est fiée aux déclarations inexactes, élément nécessaire du recours de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pour déclaration inexacte, n’est pas une question susceptible d’être traitée collectivement et qu’un recours collectif ne serait pas le meilleur moyen de régler une action fondée sur le fait que le demandeur s’est fié aux déclarations. Il a refusé d’autoriser les sept questions relatives à l’action en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pour déclaration inexacte.</w:t>
      </w:r>
    </w:p>
    <w:p w:rsidR="00334822" w:rsidRDefault="00334822"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En appel, les trois affaires ont été instruites ensemble par une formation de cinq juges de la Cour d’appel de l’Ontario. La formation a infirmé à l’unanimité l’arrêt </w:t>
      </w:r>
      <w:proofErr w:type="spellStart"/>
      <w:r w:rsidRPr="00334822">
        <w:rPr>
          <w:rFonts w:eastAsia="Times New Roman" w:cs="Times New Roman"/>
          <w:i/>
          <w:sz w:val="20"/>
          <w:szCs w:val="20"/>
          <w:lang w:val="fr-CA" w:eastAsia="en-CA"/>
        </w:rPr>
        <w:t>Timminco</w:t>
      </w:r>
      <w:proofErr w:type="spellEnd"/>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 xml:space="preserve">jugeant que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a pour effet de suspendre le délai de prescription applicable à tous les membres du groupe dès qu’un représentant des demandeurs invoque la cause d’action légale dans un recours collectif, et ce, même si l’autorisation n’a pas encore été accordée en application de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pourvu que les faits à l’origine de l’action et l’intention de demander l’autorisation d’intenter l’action aient été plaidés. Par conséquent, la Cour d’appel a conclu que dans les trois cas, les recours statutaires intentés par les demandeurs pour déclaration inexacte de faits sur le marché secondaire n’étaient pas prescrits. Quant au critère auquel il faut satisfaire pour que l’autorisation soit accordée en application de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la Cour d’appel a confirmé l’interprétation du juge des motions dans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Enfin, la Cour d’appel a confirmé la décision du juge des motions dans </w:t>
      </w:r>
      <w:r w:rsidRPr="00334822">
        <w:rPr>
          <w:rFonts w:eastAsia="Times New Roman" w:cs="Times New Roman"/>
          <w:i/>
          <w:sz w:val="20"/>
          <w:szCs w:val="20"/>
          <w:lang w:val="fr-CA" w:eastAsia="en-CA"/>
        </w:rPr>
        <w:t xml:space="preserve">CIBC </w:t>
      </w:r>
      <w:r w:rsidRPr="00334822">
        <w:rPr>
          <w:rFonts w:eastAsia="Times New Roman" w:cs="Times New Roman"/>
          <w:sz w:val="20"/>
          <w:szCs w:val="20"/>
          <w:lang w:val="fr-CA" w:eastAsia="en-CA"/>
        </w:rPr>
        <w:t>de ne pas autoriser les questions relatives au fait de se fier aux déclarations et relatives aux dommages</w:t>
      </w:r>
      <w:r w:rsidRPr="00334822">
        <w:rPr>
          <w:rFonts w:eastAsia="Times New Roman" w:cs="Times New Roman"/>
          <w:sz w:val="20"/>
          <w:szCs w:val="20"/>
          <w:lang w:val="fr-CA" w:eastAsia="en-CA"/>
        </w:rPr>
        <w:noBreakHyphen/>
        <w:t>intérêts, mais elle a conclu que cinq des sept questions proposées par les demandeurs se rapportaient à l’intention et à la conduite de la défenderesse CIBC et devaient être autorisées à l’encontre de cette défenderesse pour que la poursuite engagée contre elle aille de l’avant.</w:t>
      </w:r>
    </w:p>
    <w:p w:rsidR="00334822" w:rsidRDefault="00334822"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b/>
          <w:sz w:val="20"/>
          <w:szCs w:val="20"/>
          <w:lang w:val="fr-CA" w:eastAsia="en-CA"/>
        </w:rPr>
      </w:pPr>
      <w:r w:rsidRPr="00334822">
        <w:rPr>
          <w:rFonts w:eastAsia="Times New Roman" w:cs="Times New Roman"/>
          <w:sz w:val="20"/>
          <w:szCs w:val="20"/>
          <w:lang w:val="fr-CA" w:eastAsia="en-CA"/>
        </w:rPr>
        <w:tab/>
      </w:r>
      <w:r w:rsidRPr="00334822">
        <w:rPr>
          <w:rFonts w:eastAsia="Times New Roman" w:cs="Times New Roman"/>
          <w:i/>
          <w:sz w:val="20"/>
          <w:szCs w:val="20"/>
          <w:lang w:val="fr-CA" w:eastAsia="en-CA"/>
        </w:rPr>
        <w:t>Arrêt</w:t>
      </w:r>
      <w:r w:rsidRPr="00334822">
        <w:rPr>
          <w:rFonts w:eastAsia="Times New Roman" w:cs="Times New Roman"/>
          <w:sz w:val="20"/>
          <w:szCs w:val="20"/>
          <w:lang w:val="fr-CA" w:eastAsia="en-CA"/>
        </w:rPr>
        <w:t xml:space="preserve">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et Côté sont dissidents en partie) : Les pourvois dans l’affaire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sont rejetés.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Cromwell et Côté concluent que le recours statutaire est prescrit.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et Côté sont d’avis d’accueillir les pourvois sur cette question. Le juge Cromwell est d’avis d’accorder l’autorisation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et de rejeter les pourvois. Les juges </w:t>
      </w:r>
      <w:proofErr w:type="spellStart"/>
      <w:r w:rsidRPr="00334822">
        <w:rPr>
          <w:rFonts w:eastAsia="Times New Roman" w:cs="Times New Roman"/>
          <w:sz w:val="20"/>
          <w:szCs w:val="20"/>
          <w:lang w:val="fr-CA" w:eastAsia="en-CA"/>
        </w:rPr>
        <w:t>Moldaver</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Karakatsanis</w:t>
      </w:r>
      <w:proofErr w:type="spellEnd"/>
      <w:r w:rsidRPr="00334822">
        <w:rPr>
          <w:rFonts w:eastAsia="Times New Roman" w:cs="Times New Roman"/>
          <w:sz w:val="20"/>
          <w:szCs w:val="20"/>
          <w:lang w:val="fr-CA" w:eastAsia="en-CA"/>
        </w:rPr>
        <w:t xml:space="preserve"> et Gascon concluent que le recours statutaire n’est pas prescrit et sont d’avis de rejeter les pourvois. Quant aux questions du critère préliminaire d’autorisation et de la certification des questions communes, les juges, à l’unanimité, sont d’avis de rejeter les pourvois.</w:t>
      </w:r>
    </w:p>
    <w:p w:rsidR="00334822" w:rsidRDefault="00334822"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b/>
          <w:sz w:val="20"/>
          <w:szCs w:val="20"/>
          <w:lang w:val="fr-CA" w:eastAsia="en-CA"/>
        </w:rPr>
      </w:pPr>
      <w:r w:rsidRPr="00334822">
        <w:rPr>
          <w:rFonts w:eastAsia="Times New Roman" w:cs="Times New Roman"/>
          <w:sz w:val="20"/>
          <w:szCs w:val="20"/>
          <w:lang w:val="fr-CA" w:eastAsia="en-CA"/>
        </w:rPr>
        <w:tab/>
      </w:r>
      <w:r w:rsidRPr="00334822">
        <w:rPr>
          <w:rFonts w:eastAsia="Times New Roman" w:cs="Times New Roman"/>
          <w:i/>
          <w:sz w:val="20"/>
          <w:szCs w:val="20"/>
          <w:lang w:val="fr-CA" w:eastAsia="en-CA"/>
        </w:rPr>
        <w:t>Arrêt</w:t>
      </w:r>
      <w:r w:rsidRPr="00334822">
        <w:rPr>
          <w:rFonts w:eastAsia="Times New Roman" w:cs="Times New Roman"/>
          <w:sz w:val="20"/>
          <w:szCs w:val="20"/>
          <w:lang w:val="fr-CA" w:eastAsia="en-CA"/>
        </w:rPr>
        <w:t xml:space="preserve">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et Côté sont dissidents en partie) : Le pourvoi dans l’affaire </w:t>
      </w:r>
      <w:r w:rsidRPr="00334822">
        <w:rPr>
          <w:rFonts w:eastAsia="Times New Roman" w:cs="Times New Roman"/>
          <w:i/>
          <w:sz w:val="20"/>
          <w:szCs w:val="20"/>
          <w:lang w:val="fr-CA" w:eastAsia="en-CA"/>
        </w:rPr>
        <w:t>IMAX</w:t>
      </w:r>
      <w:r w:rsidRPr="00334822">
        <w:rPr>
          <w:rFonts w:eastAsia="Times New Roman" w:cs="Times New Roman"/>
          <w:sz w:val="20"/>
          <w:szCs w:val="20"/>
          <w:lang w:val="fr-CA" w:eastAsia="en-CA"/>
        </w:rPr>
        <w:t xml:space="preserve"> est rejeté.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Cromwell et Côté concluent que le recours statutaire est prescrit.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et Côté sont d’avis d’accueillir le pourvoi à l’endroit des défendeurs qui n’étaient pas parties à la déclaration initiale, mais d’accorder l’autorisation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et de rejeter le pourvoi à l’endroit des défendeurs qui étaient parties à la déclaration initiale. Le juge Cromwell est d’avis d’accorder l’autorisation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et de rejeter le pourvoi à l’endroit de tous les défendeurs. Les juges </w:t>
      </w:r>
      <w:proofErr w:type="spellStart"/>
      <w:r w:rsidRPr="00334822">
        <w:rPr>
          <w:rFonts w:eastAsia="Times New Roman" w:cs="Times New Roman"/>
          <w:sz w:val="20"/>
          <w:szCs w:val="20"/>
          <w:lang w:val="fr-CA" w:eastAsia="en-CA"/>
        </w:rPr>
        <w:t>Moldaver</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Karakatsanis</w:t>
      </w:r>
      <w:proofErr w:type="spellEnd"/>
      <w:r w:rsidRPr="00334822">
        <w:rPr>
          <w:rFonts w:eastAsia="Times New Roman" w:cs="Times New Roman"/>
          <w:sz w:val="20"/>
          <w:szCs w:val="20"/>
          <w:lang w:val="fr-CA" w:eastAsia="en-CA"/>
        </w:rPr>
        <w:t xml:space="preserve"> et Gascon concluent que le recours statutaire n’est pas prescrit et sont d’avis de rejeter le pourvoi.</w:t>
      </w:r>
    </w:p>
    <w:p w:rsidR="00334822" w:rsidRDefault="00334822"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b/>
          <w:sz w:val="20"/>
          <w:szCs w:val="20"/>
          <w:lang w:val="fr-CA" w:eastAsia="en-CA"/>
        </w:rPr>
      </w:pPr>
      <w:r w:rsidRPr="00334822">
        <w:rPr>
          <w:rFonts w:eastAsia="Times New Roman" w:cs="Times New Roman"/>
          <w:sz w:val="20"/>
          <w:szCs w:val="20"/>
          <w:lang w:val="fr-CA" w:eastAsia="en-CA"/>
        </w:rPr>
        <w:tab/>
      </w:r>
      <w:r w:rsidRPr="00334822">
        <w:rPr>
          <w:rFonts w:eastAsia="Times New Roman" w:cs="Times New Roman"/>
          <w:i/>
          <w:sz w:val="20"/>
          <w:szCs w:val="20"/>
          <w:lang w:val="fr-CA" w:eastAsia="en-CA"/>
        </w:rPr>
        <w:t>Arrêt</w:t>
      </w:r>
      <w:r w:rsidRPr="00334822">
        <w:rPr>
          <w:rFonts w:eastAsia="Times New Roman" w:cs="Times New Roman"/>
          <w:sz w:val="20"/>
          <w:szCs w:val="20"/>
          <w:lang w:val="fr-CA" w:eastAsia="en-CA"/>
        </w:rPr>
        <w:t xml:space="preserve"> (les juges </w:t>
      </w:r>
      <w:proofErr w:type="spellStart"/>
      <w:r w:rsidRPr="00334822">
        <w:rPr>
          <w:rFonts w:eastAsia="Times New Roman" w:cs="Times New Roman"/>
          <w:sz w:val="20"/>
          <w:szCs w:val="20"/>
          <w:lang w:val="fr-CA" w:eastAsia="en-CA"/>
        </w:rPr>
        <w:t>Modaver</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Karakatsanis</w:t>
      </w:r>
      <w:proofErr w:type="spellEnd"/>
      <w:r w:rsidRPr="00334822">
        <w:rPr>
          <w:rFonts w:eastAsia="Times New Roman" w:cs="Times New Roman"/>
          <w:sz w:val="20"/>
          <w:szCs w:val="20"/>
          <w:lang w:val="fr-CA" w:eastAsia="en-CA"/>
        </w:rPr>
        <w:t xml:space="preserve"> et Gascon sont dissidents) : Le pourvoi dans l’affaire </w:t>
      </w:r>
      <w:proofErr w:type="spellStart"/>
      <w:r w:rsidRPr="00334822">
        <w:rPr>
          <w:rFonts w:eastAsia="Times New Roman" w:cs="Times New Roman"/>
          <w:i/>
          <w:sz w:val="20"/>
          <w:szCs w:val="20"/>
          <w:lang w:val="fr-CA" w:eastAsia="en-CA"/>
        </w:rPr>
        <w:t>Celestica</w:t>
      </w:r>
      <w:proofErr w:type="spellEnd"/>
      <w:r w:rsidRPr="00334822">
        <w:rPr>
          <w:rFonts w:eastAsia="Times New Roman" w:cs="Times New Roman"/>
          <w:sz w:val="20"/>
          <w:szCs w:val="20"/>
          <w:lang w:val="fr-CA" w:eastAsia="en-CA"/>
        </w:rPr>
        <w:t xml:space="preserve"> est accueilli.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Cromwell et Côté concluent que le recours statutaire est prescrit et sont d’avis d’accueillir le pourvoi. Les juges </w:t>
      </w:r>
      <w:proofErr w:type="spellStart"/>
      <w:r w:rsidRPr="00334822">
        <w:rPr>
          <w:rFonts w:eastAsia="Times New Roman" w:cs="Times New Roman"/>
          <w:sz w:val="20"/>
          <w:szCs w:val="20"/>
          <w:lang w:val="fr-CA" w:eastAsia="en-CA"/>
        </w:rPr>
        <w:t>Moldaver</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Karakatsanis</w:t>
      </w:r>
      <w:proofErr w:type="spellEnd"/>
      <w:r w:rsidRPr="00334822">
        <w:rPr>
          <w:rFonts w:eastAsia="Times New Roman" w:cs="Times New Roman"/>
          <w:sz w:val="20"/>
          <w:szCs w:val="20"/>
          <w:lang w:val="fr-CA" w:eastAsia="en-CA"/>
        </w:rPr>
        <w:t xml:space="preserve"> et Gascon concluent que le recours statutaire n’est pas prescrit et sont d’avis de rejeter le pourvoi.</w:t>
      </w:r>
    </w:p>
    <w:p w:rsidR="00334822" w:rsidRDefault="00334822"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Les questions en litige sont tranchées comme suit :</w:t>
      </w:r>
    </w:p>
    <w:p w:rsidR="00334822" w:rsidRDefault="00334822" w:rsidP="00334822">
      <w:pPr>
        <w:tabs>
          <w:tab w:val="left" w:pos="1168"/>
          <w:tab w:val="left" w:pos="1530"/>
        </w:tabs>
        <w:jc w:val="both"/>
        <w:rPr>
          <w:rFonts w:eastAsiaTheme="minorEastAsia" w:cs="Times New Roman"/>
          <w:sz w:val="20"/>
          <w:szCs w:val="20"/>
          <w:lang w:val="fr-CA"/>
        </w:rPr>
      </w:pPr>
    </w:p>
    <w:p w:rsidR="00334822" w:rsidRDefault="00334822" w:rsidP="00334822">
      <w:pPr>
        <w:tabs>
          <w:tab w:val="left" w:pos="1168"/>
          <w:tab w:val="left" w:pos="1530"/>
        </w:tabs>
        <w:jc w:val="both"/>
        <w:rPr>
          <w:rFonts w:eastAsiaTheme="minorEastAsia" w:cs="Times New Roman"/>
          <w:sz w:val="20"/>
          <w:szCs w:val="20"/>
          <w:lang w:val="fr-CA"/>
        </w:rPr>
      </w:pPr>
      <w:r w:rsidRPr="00334822">
        <w:rPr>
          <w:rFonts w:eastAsiaTheme="minorEastAsia" w:cs="Times New Roman"/>
          <w:sz w:val="20"/>
          <w:szCs w:val="20"/>
          <w:lang w:val="fr-CA"/>
        </w:rPr>
        <w:tab/>
        <w:t>1.</w:t>
      </w:r>
      <w:r w:rsidRPr="00334822">
        <w:rPr>
          <w:rFonts w:eastAsiaTheme="minorEastAsia" w:cs="Times New Roman"/>
          <w:sz w:val="20"/>
          <w:szCs w:val="20"/>
          <w:lang w:val="fr-CA"/>
        </w:rPr>
        <w:tab/>
        <w:t xml:space="preserve">Selon une </w:t>
      </w:r>
      <w:r w:rsidRPr="00334822">
        <w:rPr>
          <w:rFonts w:eastAsia="Times New Roman" w:cs="Times New Roman"/>
          <w:sz w:val="20"/>
          <w:szCs w:val="20"/>
          <w:lang w:val="fr-CA" w:eastAsia="en-CA"/>
        </w:rPr>
        <w:t>opinion</w:t>
      </w:r>
      <w:r w:rsidRPr="00334822">
        <w:rPr>
          <w:rFonts w:eastAsiaTheme="minorEastAsia" w:cs="Times New Roman"/>
          <w:sz w:val="20"/>
          <w:szCs w:val="20"/>
          <w:lang w:val="fr-CA"/>
        </w:rPr>
        <w:t xml:space="preserve"> majoritaire de la juge Côté (avec l’appui de la juge en chef </w:t>
      </w:r>
      <w:proofErr w:type="spellStart"/>
      <w:r w:rsidRPr="00334822">
        <w:rPr>
          <w:rFonts w:eastAsiaTheme="minorEastAsia" w:cs="Times New Roman"/>
          <w:sz w:val="20"/>
          <w:szCs w:val="20"/>
          <w:lang w:val="fr-CA"/>
        </w:rPr>
        <w:t>McLachlin</w:t>
      </w:r>
      <w:proofErr w:type="spellEnd"/>
      <w:r w:rsidRPr="00334822">
        <w:rPr>
          <w:rFonts w:eastAsiaTheme="minorEastAsia" w:cs="Times New Roman"/>
          <w:sz w:val="20"/>
          <w:szCs w:val="20"/>
          <w:lang w:val="fr-CA"/>
        </w:rPr>
        <w:t xml:space="preserve"> et des juges </w:t>
      </w:r>
      <w:proofErr w:type="spellStart"/>
      <w:r w:rsidRPr="00334822">
        <w:rPr>
          <w:rFonts w:eastAsiaTheme="minorEastAsia" w:cs="Times New Roman"/>
          <w:sz w:val="20"/>
          <w:szCs w:val="20"/>
          <w:lang w:val="fr-CA"/>
        </w:rPr>
        <w:t>Rothstein</w:t>
      </w:r>
      <w:proofErr w:type="spellEnd"/>
      <w:r w:rsidRPr="00334822">
        <w:rPr>
          <w:rFonts w:eastAsiaTheme="minorEastAsia" w:cs="Times New Roman"/>
          <w:sz w:val="20"/>
          <w:szCs w:val="20"/>
          <w:lang w:val="fr-CA"/>
        </w:rPr>
        <w:t xml:space="preserve"> et Cromwell), l’art. 28 de la </w:t>
      </w:r>
      <w:r w:rsidRPr="00334822">
        <w:rPr>
          <w:rFonts w:eastAsiaTheme="minorEastAsia" w:cs="Times New Roman"/>
          <w:i/>
          <w:sz w:val="20"/>
          <w:szCs w:val="20"/>
          <w:lang w:val="fr-CA"/>
        </w:rPr>
        <w:t>LRC</w:t>
      </w:r>
      <w:r w:rsidRPr="00334822">
        <w:rPr>
          <w:rFonts w:eastAsiaTheme="minorEastAsia" w:cs="Times New Roman"/>
          <w:sz w:val="20"/>
          <w:szCs w:val="20"/>
          <w:lang w:val="fr-CA"/>
        </w:rPr>
        <w:t xml:space="preserve"> a pour effet de suspendre le délai de prescription fixée à l’art. 138.14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et applicable au recours prévu par l’art. 138.3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 xml:space="preserve">LVM </w:t>
      </w:r>
      <w:r w:rsidRPr="00334822">
        <w:rPr>
          <w:rFonts w:eastAsiaTheme="minorEastAsia" w:cs="Times New Roman"/>
          <w:sz w:val="20"/>
          <w:szCs w:val="20"/>
          <w:lang w:val="fr-CA"/>
        </w:rPr>
        <w:t>au moment où le recours est intenté, c’est</w:t>
      </w:r>
      <w:r w:rsidRPr="00334822">
        <w:rPr>
          <w:rFonts w:eastAsiaTheme="minorEastAsia" w:cs="Times New Roman"/>
          <w:sz w:val="20"/>
          <w:szCs w:val="20"/>
          <w:lang w:val="fr-CA"/>
        </w:rPr>
        <w:noBreakHyphen/>
        <w:t>à</w:t>
      </w:r>
      <w:r w:rsidRPr="00334822">
        <w:rPr>
          <w:rFonts w:eastAsiaTheme="minorEastAsia" w:cs="Times New Roman"/>
          <w:sz w:val="20"/>
          <w:szCs w:val="20"/>
          <w:lang w:val="fr-CA"/>
        </w:rPr>
        <w:noBreakHyphen/>
        <w:t xml:space="preserve">dire dès lors que l’autorisation exigée par l’art. 138.8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dans le contexte d’un recours collectif a été accordée. Les juges </w:t>
      </w:r>
      <w:proofErr w:type="spellStart"/>
      <w:r w:rsidRPr="00334822">
        <w:rPr>
          <w:rFonts w:eastAsiaTheme="minorEastAsia" w:cs="Times New Roman"/>
          <w:sz w:val="20"/>
          <w:szCs w:val="20"/>
          <w:lang w:val="fr-CA"/>
        </w:rPr>
        <w:t>Moldaver</w:t>
      </w:r>
      <w:proofErr w:type="spellEnd"/>
      <w:r w:rsidRPr="00334822">
        <w:rPr>
          <w:rFonts w:eastAsiaTheme="minorEastAsia" w:cs="Times New Roman"/>
          <w:sz w:val="20"/>
          <w:szCs w:val="20"/>
          <w:lang w:val="fr-CA"/>
        </w:rPr>
        <w:t xml:space="preserve">, </w:t>
      </w:r>
      <w:proofErr w:type="spellStart"/>
      <w:r w:rsidRPr="00334822">
        <w:rPr>
          <w:rFonts w:eastAsiaTheme="minorEastAsia" w:cs="Times New Roman"/>
          <w:sz w:val="20"/>
          <w:szCs w:val="20"/>
          <w:lang w:val="fr-CA"/>
        </w:rPr>
        <w:t>Karakatsanis</w:t>
      </w:r>
      <w:proofErr w:type="spellEnd"/>
      <w:r w:rsidRPr="00334822">
        <w:rPr>
          <w:rFonts w:eastAsiaTheme="minorEastAsia" w:cs="Times New Roman"/>
          <w:sz w:val="20"/>
          <w:szCs w:val="20"/>
          <w:lang w:val="fr-CA"/>
        </w:rPr>
        <w:t xml:space="preserve"> et Gascon (dissidents sur ce point) sont d’avis de conclure que l’art. 28 de la </w:t>
      </w:r>
      <w:r w:rsidRPr="00334822">
        <w:rPr>
          <w:rFonts w:eastAsiaTheme="minorEastAsia" w:cs="Times New Roman"/>
          <w:i/>
          <w:sz w:val="20"/>
          <w:szCs w:val="20"/>
          <w:lang w:val="fr-CA"/>
        </w:rPr>
        <w:t>LRC</w:t>
      </w:r>
      <w:r w:rsidRPr="00334822">
        <w:rPr>
          <w:rFonts w:eastAsiaTheme="minorEastAsia" w:cs="Times New Roman"/>
          <w:sz w:val="20"/>
          <w:szCs w:val="20"/>
          <w:lang w:val="fr-CA"/>
        </w:rPr>
        <w:t xml:space="preserve"> suspend le délai de prescription fixé à l’art. 138.14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dès que le représentant des demandeurs introduit valablement un recours collectif fondé sur une cause d’action en </w:t>
      </w:r>
      <w:proofErr w:type="spellStart"/>
      <w:r w:rsidRPr="00334822">
        <w:rPr>
          <w:rFonts w:eastAsiaTheme="minorEastAsia" w:cs="Times New Roman"/>
          <w:sz w:val="20"/>
          <w:szCs w:val="20"/>
          <w:lang w:val="fr-CA"/>
        </w:rPr>
        <w:t>common</w:t>
      </w:r>
      <w:proofErr w:type="spellEnd"/>
      <w:r w:rsidRPr="00334822">
        <w:rPr>
          <w:rFonts w:eastAsiaTheme="minorEastAsia" w:cs="Times New Roman"/>
          <w:sz w:val="20"/>
          <w:szCs w:val="20"/>
          <w:lang w:val="fr-CA"/>
        </w:rPr>
        <w:t xml:space="preserve"> </w:t>
      </w:r>
      <w:proofErr w:type="spellStart"/>
      <w:r w:rsidRPr="00334822">
        <w:rPr>
          <w:rFonts w:eastAsiaTheme="minorEastAsia" w:cs="Times New Roman"/>
          <w:sz w:val="20"/>
          <w:szCs w:val="20"/>
          <w:lang w:val="fr-CA"/>
        </w:rPr>
        <w:t>law</w:t>
      </w:r>
      <w:proofErr w:type="spellEnd"/>
      <w:r w:rsidRPr="00334822">
        <w:rPr>
          <w:rFonts w:eastAsiaTheme="minorEastAsia" w:cs="Times New Roman"/>
          <w:sz w:val="20"/>
          <w:szCs w:val="20"/>
          <w:lang w:val="fr-CA"/>
        </w:rPr>
        <w:t xml:space="preserve"> et plaide la cause d’action légale et ses éléments constitutifs dans la déclaration. </w:t>
      </w:r>
    </w:p>
    <w:p w:rsidR="00334822" w:rsidRPr="00334822" w:rsidRDefault="00334822" w:rsidP="00334822">
      <w:pPr>
        <w:tabs>
          <w:tab w:val="left" w:pos="1168"/>
          <w:tab w:val="left" w:pos="1530"/>
        </w:tabs>
        <w:jc w:val="both"/>
        <w:rPr>
          <w:rFonts w:eastAsiaTheme="minorEastAsia" w:cs="Times New Roman"/>
          <w:sz w:val="20"/>
          <w:szCs w:val="20"/>
          <w:lang w:val="fr-CA"/>
        </w:rPr>
      </w:pPr>
    </w:p>
    <w:p w:rsidR="00334822" w:rsidRDefault="00334822" w:rsidP="00334822">
      <w:pPr>
        <w:tabs>
          <w:tab w:val="left" w:pos="1168"/>
          <w:tab w:val="left" w:pos="1530"/>
        </w:tabs>
        <w:jc w:val="both"/>
        <w:rPr>
          <w:rFonts w:eastAsia="Times New Roman" w:cs="Times New Roman"/>
          <w:sz w:val="20"/>
          <w:szCs w:val="20"/>
          <w:lang w:val="fr-CA" w:eastAsia="en-CA"/>
        </w:rPr>
      </w:pPr>
      <w:r w:rsidRPr="00334822">
        <w:rPr>
          <w:rFonts w:eastAsiaTheme="minorEastAsia" w:cs="Times New Roman"/>
          <w:sz w:val="20"/>
          <w:szCs w:val="20"/>
          <w:lang w:val="fr-CA"/>
        </w:rPr>
        <w:tab/>
        <w:t>2.</w:t>
      </w:r>
      <w:r w:rsidRPr="00334822">
        <w:rPr>
          <w:rFonts w:eastAsiaTheme="minorEastAsia" w:cs="Times New Roman"/>
          <w:sz w:val="20"/>
          <w:szCs w:val="20"/>
          <w:lang w:val="fr-CA"/>
        </w:rPr>
        <w:tab/>
        <w:t>La</w:t>
      </w:r>
      <w:r w:rsidRPr="00334822">
        <w:rPr>
          <w:rFonts w:eastAsia="Times New Roman" w:cs="Times New Roman"/>
          <w:sz w:val="20"/>
          <w:szCs w:val="20"/>
          <w:lang w:val="fr-CA" w:eastAsia="en-CA"/>
        </w:rPr>
        <w:t xml:space="preserve">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Cromwell et Côté concluent que les tribunaux disposent d’une compétence inhérente pour rendre des ordonnances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relativement à une demande d’autorisation d’intenter un recours lorsque la permission est sollicitée avant l’expiration du délai de prescription. Dans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et Côté sont d’avis de ne pas exercer leur pouvoir discrétionnaire pour rendre une telle ordonnance, mais le juge Cromwell est d’avis de l’exercer. Dans </w:t>
      </w:r>
      <w:r w:rsidRPr="00334822">
        <w:rPr>
          <w:rFonts w:eastAsia="Times New Roman" w:cs="Times New Roman"/>
          <w:i/>
          <w:sz w:val="20"/>
          <w:szCs w:val="20"/>
          <w:lang w:val="fr-CA" w:eastAsia="en-CA"/>
        </w:rPr>
        <w:t>IMAX</w:t>
      </w:r>
      <w:r w:rsidRPr="00334822">
        <w:rPr>
          <w:rFonts w:eastAsia="Times New Roman" w:cs="Times New Roman"/>
          <w:sz w:val="20"/>
          <w:szCs w:val="20"/>
          <w:lang w:val="fr-CA" w:eastAsia="en-CA"/>
        </w:rPr>
        <w:t xml:space="preserve">,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et Côté sont d’avis que la juge des motions a correctement exercé son pouvoir discrétionnaire de prononcer une telle ordonnance à l’endroit des défendeurs parties à la déclaration initiale, mais pas à l’endroit des défendeurs qui n’étaient parties à aucune déclaration lorsque le débat sur la demande de permission s’est terminé. Le juge Cromwell est d’avis que la juge des motions a eu raison d’exercer son pouvoir discrétionnaire de prononcer une ordonnance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à l’endroit de tous les défendeurs. Dans </w:t>
      </w:r>
      <w:proofErr w:type="spellStart"/>
      <w:r w:rsidRPr="00334822">
        <w:rPr>
          <w:rFonts w:eastAsia="Times New Roman" w:cs="Times New Roman"/>
          <w:i/>
          <w:sz w:val="20"/>
          <w:szCs w:val="20"/>
          <w:lang w:val="fr-CA" w:eastAsia="en-CA"/>
        </w:rPr>
        <w:t>Celestica</w:t>
      </w:r>
      <w:proofErr w:type="spellEnd"/>
      <w:r w:rsidRPr="00334822">
        <w:rPr>
          <w:rFonts w:eastAsia="Times New Roman" w:cs="Times New Roman"/>
          <w:sz w:val="20"/>
          <w:szCs w:val="20"/>
          <w:lang w:val="fr-CA" w:eastAsia="en-CA"/>
        </w:rPr>
        <w:t xml:space="preserve">, 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Cromwell et Côté sont d’avis de refuser de rendre une ordonnance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w:t>
      </w:r>
    </w:p>
    <w:p w:rsidR="00334822" w:rsidRPr="00334822" w:rsidRDefault="00334822" w:rsidP="00334822">
      <w:pPr>
        <w:tabs>
          <w:tab w:val="left" w:pos="1168"/>
          <w:tab w:val="left" w:pos="1530"/>
        </w:tabs>
        <w:jc w:val="both"/>
        <w:rPr>
          <w:rFonts w:eastAsia="Times New Roman" w:cs="Times New Roman"/>
          <w:sz w:val="20"/>
          <w:szCs w:val="20"/>
          <w:lang w:val="fr-CA" w:eastAsia="en-CA"/>
        </w:rPr>
      </w:pPr>
    </w:p>
    <w:p w:rsidR="00334822" w:rsidRDefault="00334822" w:rsidP="00334822">
      <w:pPr>
        <w:tabs>
          <w:tab w:val="left" w:pos="1168"/>
          <w:tab w:val="left" w:pos="1530"/>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3.</w:t>
      </w:r>
      <w:r w:rsidRPr="00334822">
        <w:rPr>
          <w:rFonts w:eastAsia="Times New Roman" w:cs="Times New Roman"/>
          <w:sz w:val="20"/>
          <w:szCs w:val="20"/>
          <w:lang w:val="fr-CA" w:eastAsia="en-CA"/>
        </w:rPr>
        <w:tab/>
        <w:t xml:space="preserve">La 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Cromwell et Côté concluent que la doctrine des circonstances spéciales n’est d’aucune utilité pour l’un ou l’autre des demandeurs dans les trois dossiers parce qu’on ne peut faire obstacle ni au délai prescrit à l’art. 138.14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ni à l’exigence d’obtenir la permission exigée à l’art. 138.8 de cette loi en amendant les actes de procédure pour y inclure le recours prévu à l’art. 138.3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w:t>
      </w:r>
    </w:p>
    <w:p w:rsidR="00334822" w:rsidRDefault="00334822" w:rsidP="00334822">
      <w:pPr>
        <w:tabs>
          <w:tab w:val="left" w:pos="1168"/>
          <w:tab w:val="left" w:pos="1530"/>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4.</w:t>
      </w:r>
      <w:r w:rsidRPr="00334822">
        <w:rPr>
          <w:rFonts w:eastAsia="Times New Roman" w:cs="Times New Roman"/>
          <w:sz w:val="20"/>
          <w:szCs w:val="20"/>
          <w:lang w:val="fr-CA" w:eastAsia="en-CA"/>
        </w:rPr>
        <w:tab/>
        <w:t xml:space="preserve">Unanimement : selon le critère préliminaire auquel doit satisfaire un demandeur lorsqu’il demande la permission au titre de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il doit exister une possibilité raisonnable ou réaliste que l’action soit accueillie. Les juges </w:t>
      </w:r>
      <w:proofErr w:type="spellStart"/>
      <w:r w:rsidRPr="00334822">
        <w:rPr>
          <w:rFonts w:eastAsia="Times New Roman" w:cs="Times New Roman"/>
          <w:sz w:val="20"/>
          <w:szCs w:val="20"/>
          <w:lang w:val="fr-CA" w:eastAsia="en-CA"/>
        </w:rPr>
        <w:t>Moldaver</w:t>
      </w:r>
      <w:proofErr w:type="spellEnd"/>
      <w:r w:rsidRPr="00334822">
        <w:rPr>
          <w:rFonts w:eastAsia="Times New Roman" w:cs="Times New Roman"/>
          <w:sz w:val="20"/>
          <w:szCs w:val="20"/>
          <w:lang w:val="fr-CA" w:eastAsia="en-CA"/>
        </w:rPr>
        <w:t xml:space="preserve">, Cromwell, </w:t>
      </w:r>
      <w:proofErr w:type="spellStart"/>
      <w:r w:rsidRPr="00334822">
        <w:rPr>
          <w:rFonts w:eastAsia="Times New Roman" w:cs="Times New Roman"/>
          <w:sz w:val="20"/>
          <w:szCs w:val="20"/>
          <w:lang w:val="fr-CA" w:eastAsia="en-CA"/>
        </w:rPr>
        <w:t>Karakatsanis</w:t>
      </w:r>
      <w:proofErr w:type="spellEnd"/>
      <w:r w:rsidRPr="00334822">
        <w:rPr>
          <w:rFonts w:eastAsia="Times New Roman" w:cs="Times New Roman"/>
          <w:sz w:val="20"/>
          <w:szCs w:val="20"/>
          <w:lang w:val="fr-CA" w:eastAsia="en-CA"/>
        </w:rPr>
        <w:t xml:space="preserve"> et Gascon concluent que les demandeurs dans l’affaire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ont satisfait à ce critère.</w:t>
      </w:r>
    </w:p>
    <w:p w:rsidR="00334822" w:rsidRPr="00334822" w:rsidRDefault="00334822" w:rsidP="00334822">
      <w:pPr>
        <w:tabs>
          <w:tab w:val="left" w:pos="1168"/>
          <w:tab w:val="left" w:pos="1530"/>
        </w:tabs>
        <w:jc w:val="both"/>
        <w:rPr>
          <w:rFonts w:eastAsia="Times New Roman" w:cs="Times New Roman"/>
          <w:sz w:val="20"/>
          <w:szCs w:val="20"/>
          <w:lang w:val="fr-CA" w:eastAsia="en-CA"/>
        </w:rPr>
      </w:pPr>
    </w:p>
    <w:p w:rsidR="00334822" w:rsidRDefault="00334822" w:rsidP="00334822">
      <w:pPr>
        <w:tabs>
          <w:tab w:val="left" w:pos="1168"/>
          <w:tab w:val="left" w:pos="1530"/>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5.</w:t>
      </w:r>
      <w:r w:rsidRPr="00334822">
        <w:rPr>
          <w:rFonts w:eastAsia="Times New Roman" w:cs="Times New Roman"/>
          <w:sz w:val="20"/>
          <w:szCs w:val="20"/>
          <w:lang w:val="fr-CA" w:eastAsia="en-CA"/>
        </w:rPr>
        <w:tab/>
        <w:t xml:space="preserve">Unanimement : dans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la Cour d’appel n’a pas commis d’erreur en concluant que cinq des sept questions proposées par les demandeurs quant à la réclamation de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fondée sur la déclaration inexacte devaient être autorisées.</w:t>
      </w:r>
    </w:p>
    <w:p w:rsidR="00334822" w:rsidRPr="00334822" w:rsidRDefault="00334822" w:rsidP="00334822">
      <w:pPr>
        <w:tabs>
          <w:tab w:val="left" w:pos="1168"/>
          <w:tab w:val="left" w:pos="1530"/>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u w:val="single"/>
          <w:lang w:val="fr-CA" w:eastAsia="en-CA"/>
        </w:rPr>
      </w:pPr>
      <w:r w:rsidRPr="00334822">
        <w:rPr>
          <w:rFonts w:eastAsia="Times New Roman" w:cs="Times New Roman"/>
          <w:sz w:val="20"/>
          <w:szCs w:val="20"/>
          <w:u w:val="single"/>
          <w:lang w:val="fr-CA" w:eastAsia="en-CA"/>
        </w:rPr>
        <w:t xml:space="preserve">Interaction entre l’art. 28 de la </w:t>
      </w:r>
      <w:r w:rsidRPr="00334822">
        <w:rPr>
          <w:rFonts w:eastAsia="Times New Roman" w:cs="Times New Roman"/>
          <w:i/>
          <w:sz w:val="20"/>
          <w:szCs w:val="20"/>
          <w:u w:val="single"/>
          <w:lang w:val="fr-CA" w:eastAsia="en-CA"/>
        </w:rPr>
        <w:t>LRC</w:t>
      </w:r>
      <w:r w:rsidRPr="00334822">
        <w:rPr>
          <w:rFonts w:eastAsia="Times New Roman" w:cs="Times New Roman"/>
          <w:sz w:val="20"/>
          <w:szCs w:val="20"/>
          <w:u w:val="single"/>
          <w:lang w:val="fr-CA" w:eastAsia="en-CA"/>
        </w:rPr>
        <w:t xml:space="preserve"> et l’art. 138.14 </w:t>
      </w:r>
      <w:proofErr w:type="gramStart"/>
      <w:r w:rsidRPr="00334822">
        <w:rPr>
          <w:rFonts w:eastAsia="Times New Roman" w:cs="Times New Roman"/>
          <w:sz w:val="20"/>
          <w:szCs w:val="20"/>
          <w:u w:val="single"/>
          <w:lang w:val="fr-CA" w:eastAsia="en-CA"/>
        </w:rPr>
        <w:t>de</w:t>
      </w:r>
      <w:proofErr w:type="gramEnd"/>
      <w:r w:rsidRPr="00334822">
        <w:rPr>
          <w:rFonts w:eastAsia="Times New Roman" w:cs="Times New Roman"/>
          <w:sz w:val="20"/>
          <w:szCs w:val="20"/>
          <w:u w:val="single"/>
          <w:lang w:val="fr-CA" w:eastAsia="en-CA"/>
        </w:rPr>
        <w:t xml:space="preserve"> la </w:t>
      </w:r>
      <w:r w:rsidRPr="00334822">
        <w:rPr>
          <w:rFonts w:eastAsia="Times New Roman" w:cs="Times New Roman"/>
          <w:i/>
          <w:sz w:val="20"/>
          <w:szCs w:val="20"/>
          <w:u w:val="single"/>
          <w:lang w:val="fr-CA" w:eastAsia="en-CA"/>
        </w:rPr>
        <w:t>LVM</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r>
      <w:r w:rsidRPr="00334822">
        <w:rPr>
          <w:rFonts w:eastAsia="Times New Roman" w:cs="Times New Roman"/>
          <w:i/>
          <w:sz w:val="20"/>
          <w:szCs w:val="20"/>
          <w:lang w:val="fr-CA" w:eastAsia="en-CA"/>
        </w:rPr>
        <w:t xml:space="preserve">La </w:t>
      </w:r>
      <w:r w:rsidRPr="00334822">
        <w:rPr>
          <w:rFonts w:eastAsia="Times New Roman" w:cs="Times New Roman"/>
          <w:sz w:val="20"/>
          <w:szCs w:val="20"/>
          <w:lang w:val="fr-CA" w:eastAsia="en-CA"/>
        </w:rPr>
        <w:t xml:space="preserve">juge en chef </w:t>
      </w:r>
      <w:proofErr w:type="spellStart"/>
      <w:r w:rsidRPr="00334822">
        <w:rPr>
          <w:rFonts w:eastAsia="Times New Roman" w:cs="Times New Roman"/>
          <w:sz w:val="20"/>
          <w:szCs w:val="20"/>
          <w:lang w:val="fr-CA" w:eastAsia="en-CA"/>
        </w:rPr>
        <w:t>McLachlin</w:t>
      </w:r>
      <w:proofErr w:type="spellEnd"/>
      <w:r w:rsidRPr="00334822">
        <w:rPr>
          <w:rFonts w:eastAsia="Times New Roman" w:cs="Times New Roman"/>
          <w:sz w:val="20"/>
          <w:szCs w:val="20"/>
          <w:lang w:val="fr-CA" w:eastAsia="en-CA"/>
        </w:rPr>
        <w:t xml:space="preserve"> et les juges </w:t>
      </w:r>
      <w:proofErr w:type="spellStart"/>
      <w:r w:rsidRPr="00334822">
        <w:rPr>
          <w:rFonts w:eastAsia="Times New Roman" w:cs="Times New Roman"/>
          <w:sz w:val="20"/>
          <w:szCs w:val="20"/>
          <w:lang w:val="fr-CA" w:eastAsia="en-CA"/>
        </w:rPr>
        <w:t>Rothstein</w:t>
      </w:r>
      <w:proofErr w:type="spellEnd"/>
      <w:r w:rsidRPr="00334822">
        <w:rPr>
          <w:rFonts w:eastAsia="Times New Roman" w:cs="Times New Roman"/>
          <w:sz w:val="20"/>
          <w:szCs w:val="20"/>
          <w:lang w:val="fr-CA" w:eastAsia="en-CA"/>
        </w:rPr>
        <w:t xml:space="preserve"> et </w:t>
      </w:r>
      <w:r w:rsidRPr="00334822">
        <w:rPr>
          <w:rFonts w:eastAsia="Times New Roman" w:cs="Times New Roman"/>
          <w:b/>
          <w:sz w:val="20"/>
          <w:szCs w:val="20"/>
          <w:lang w:val="fr-CA" w:eastAsia="en-CA"/>
        </w:rPr>
        <w:t>Côté</w:t>
      </w:r>
      <w:r w:rsidRPr="00334822">
        <w:rPr>
          <w:rFonts w:eastAsia="Times New Roman" w:cs="Times New Roman"/>
          <w:sz w:val="20"/>
          <w:szCs w:val="20"/>
          <w:lang w:val="fr-CA" w:eastAsia="en-CA"/>
        </w:rPr>
        <w:t xml:space="preserve"> (opinion majoritaire) : Indiquer une intention de demander une permission à l’égard d’un recours fondé sur l’art. 138.3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dans un recours collectif en plus de plaider une cause d’action en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ne revient ni à invoquer la cause d’action statutaire ni à introduire un recours collectif pour cette cause d’action au sens de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Le délai de prescription fixé par l’art. 138.14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ne peut donc être suspendu en faveur des membres du groupe en application de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avant que la permission d’intenter le recours collectif visée à l’art. 138.8 ait été accordée.</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Il n’y a aucune ambiguïté entre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et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L’article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exige « une cause d’action invoquée » pour que le délai de prescription soit suspendu en faveur des membres du groupe à l’introduction du recours collectif. L’interprétation que la Cour d’appel propose, dans </w:t>
      </w:r>
      <w:proofErr w:type="spellStart"/>
      <w:r w:rsidRPr="00334822">
        <w:rPr>
          <w:rFonts w:eastAsia="Times New Roman" w:cs="Times New Roman"/>
          <w:i/>
          <w:sz w:val="20"/>
          <w:szCs w:val="20"/>
          <w:lang w:val="fr-CA" w:eastAsia="en-CA"/>
        </w:rPr>
        <w:t>Timminco</w:t>
      </w:r>
      <w:proofErr w:type="spellEnd"/>
      <w:r w:rsidRPr="00334822">
        <w:rPr>
          <w:rFonts w:eastAsia="Times New Roman" w:cs="Times New Roman"/>
          <w:sz w:val="20"/>
          <w:szCs w:val="20"/>
          <w:lang w:val="fr-CA" w:eastAsia="en-CA"/>
        </w:rPr>
        <w:t xml:space="preserve">, de donner au mot « invoquée » figurant à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est correcte. L’assertion d’une cause d’action doit reposer sur l’existence d’un « droit d’action ». Vu le libellé clair de l’art. 138.3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alléguer un fondement factuel et indiquer une intention de demander la permission en vertu de l’art. 138.8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ne peuvent signifier invoquer la cause d’action statutaire. </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L’article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n’a pas pour effet de suspendre le délai de prescription applicable à une cause d’action avant que le recours collectif invoquant la cause d’action ne soit introduit. Ce recours collectif ne peut être introduit en vertu de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jusqu’à ce que la permission soit accordée. Le paragraphe 138.8(1)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est clair : une action ne peut être intentée en vertu de l’art. 138.3 </w:t>
      </w:r>
      <w:proofErr w:type="gramStart"/>
      <w:r w:rsidRPr="00334822">
        <w:rPr>
          <w:rFonts w:eastAsia="Times New Roman" w:cs="Times New Roman"/>
          <w:sz w:val="20"/>
          <w:szCs w:val="20"/>
          <w:lang w:val="fr-CA" w:eastAsia="en-CA"/>
        </w:rPr>
        <w:t>qu’avec</w:t>
      </w:r>
      <w:proofErr w:type="gramEnd"/>
      <w:r w:rsidRPr="00334822">
        <w:rPr>
          <w:rFonts w:eastAsia="Times New Roman" w:cs="Times New Roman"/>
          <w:sz w:val="20"/>
          <w:szCs w:val="20"/>
          <w:lang w:val="fr-CA" w:eastAsia="en-CA"/>
        </w:rPr>
        <w:t xml:space="preserve"> l’autorisation du tribunal.</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Même si le libellé des dispositions pertinentes comportait une ambiguïté — laquelle n’existe pas —, le but et la structure de ces dispositions étayeraient malgré tout cette conclusion. </w:t>
      </w:r>
      <w:proofErr w:type="gramStart"/>
      <w:r w:rsidRPr="00334822">
        <w:rPr>
          <w:rFonts w:eastAsia="Times New Roman" w:cs="Times New Roman"/>
          <w:sz w:val="20"/>
          <w:szCs w:val="20"/>
          <w:lang w:val="fr-CA" w:eastAsia="en-CA"/>
        </w:rPr>
        <w:t>Conclure</w:t>
      </w:r>
      <w:proofErr w:type="gramEnd"/>
      <w:r w:rsidRPr="00334822">
        <w:rPr>
          <w:rFonts w:eastAsia="Times New Roman" w:cs="Times New Roman"/>
          <w:sz w:val="20"/>
          <w:szCs w:val="20"/>
          <w:lang w:val="fr-CA" w:eastAsia="en-CA"/>
        </w:rPr>
        <w:t xml:space="preserve"> que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a pour effet de suspendre un délai de prescription applicable à un recours visé par l’art. 138.3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avant que la permission n’ait été obtenue contournerait l’équilibre téléologique soigneusement atteint par les limites imposées à l’action statutaire par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et rendrait inefficace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w:t>
      </w:r>
    </w:p>
    <w:p w:rsidR="00C639D1" w:rsidRDefault="00C639D1" w:rsidP="00334822">
      <w:pPr>
        <w:tabs>
          <w:tab w:val="left" w:pos="1168"/>
        </w:tabs>
        <w:jc w:val="both"/>
        <w:rPr>
          <w:rFonts w:eastAsia="Times New Roman" w:cs="Times New Roman"/>
          <w:sz w:val="20"/>
          <w:szCs w:val="20"/>
          <w:lang w:val="fr-CA" w:eastAsia="en-CA"/>
        </w:rPr>
      </w:pPr>
    </w:p>
    <w:p w:rsid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Un examen attentif du contexte des délais de prescription,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et de la partie XXIII.1 de la </w:t>
      </w:r>
      <w:r w:rsidRPr="00334822">
        <w:rPr>
          <w:rFonts w:eastAsia="Times New Roman" w:cs="Times New Roman"/>
          <w:i/>
          <w:sz w:val="20"/>
          <w:szCs w:val="20"/>
          <w:lang w:val="fr-CA" w:eastAsia="en-CA"/>
        </w:rPr>
        <w:t xml:space="preserve">LVM </w:t>
      </w:r>
      <w:r w:rsidRPr="00334822">
        <w:rPr>
          <w:rFonts w:eastAsia="Times New Roman" w:cs="Times New Roman"/>
          <w:sz w:val="20"/>
          <w:szCs w:val="20"/>
          <w:lang w:val="fr-CA" w:eastAsia="en-CA"/>
        </w:rPr>
        <w:t>révèle</w:t>
      </w:r>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 xml:space="preserve">que la décision de la Cour d’appel de l’Ontario dans les présents dossiers mine considérablement la structure et les objectifs du régime statutaire en jeu dans les présents pourvois. D’une part,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instaure un équilibre délicat entre les différents acteurs du marché. Les intérêts des demandeurs et des défendeurs éventuels, ainsi que des actionnaires à long terme touchés, ont été soupesés consciencieusement et délibérément dans l’optique d’un équilibre précis et voulu entre la dissuasion et l’indemnisation. D’autre part, les recours collectifs sont des véhicules (ou mécanismes) procéduraux qui peuvent uniquement étendre les droits substantiels du représentant des demandeurs aux autres membres du groupe : avant qu’il n’y ait de droit d’action ou suspension du délai de prescription résultant de l’opération du régime statutaire lui</w:t>
      </w:r>
      <w:r w:rsidRPr="00334822">
        <w:rPr>
          <w:rFonts w:eastAsia="Times New Roman" w:cs="Times New Roman"/>
          <w:sz w:val="20"/>
          <w:szCs w:val="20"/>
          <w:lang w:val="fr-CA" w:eastAsia="en-CA"/>
        </w:rPr>
        <w:noBreakHyphen/>
        <w:t xml:space="preserve">même,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ne peut être interprétée de façon à créer l’un ou l’autre.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le texte législatif le plus récent, a instauré un régime se voulant complet et a été rédigée alors que la </w:t>
      </w:r>
      <w:r w:rsidRPr="00334822">
        <w:rPr>
          <w:rFonts w:eastAsia="Times New Roman" w:cs="Times New Roman"/>
          <w:i/>
          <w:sz w:val="20"/>
          <w:szCs w:val="20"/>
          <w:lang w:val="fr-CA" w:eastAsia="en-CA"/>
        </w:rPr>
        <w:t xml:space="preserve">LRC </w:t>
      </w:r>
      <w:r w:rsidRPr="00334822">
        <w:rPr>
          <w:rFonts w:eastAsia="Times New Roman" w:cs="Times New Roman"/>
          <w:sz w:val="20"/>
          <w:szCs w:val="20"/>
          <w:lang w:val="fr-CA" w:eastAsia="en-CA"/>
        </w:rPr>
        <w:t xml:space="preserve">était déjà en vigueur. Les objectifs associés à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 l’économie des ressources judiciaires, l’accès aux tribunaux et la modification des comportements — ont chacun été explicitement considérés lorsque la structure de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a été élaborée. Les considérations de principe, aussi impératives soient</w:t>
      </w:r>
      <w:r w:rsidRPr="00334822">
        <w:rPr>
          <w:rFonts w:eastAsia="Times New Roman" w:cs="Times New Roman"/>
          <w:sz w:val="20"/>
          <w:szCs w:val="20"/>
          <w:lang w:val="fr-CA" w:eastAsia="en-CA"/>
        </w:rPr>
        <w:noBreakHyphen/>
        <w:t xml:space="preserve">elles, ne peuvent primer le sens clair du texte et l’intention du législateur ontarien. Le fait que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et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soient toutes deux de nature réparatrice et doivent par le fait même recevoir une interprétation large et téléologique n’y change rien. Le résultat final de l’exercice auquel s’est livré le législateur est que le régime statutaire impose l’exigence d’obtenir une permission en guise de condition préalable à l’introduction d’un recours, un délai de prescription et l’absence de nécessité de prouver que le demandeur s’est </w:t>
      </w:r>
      <w:proofErr w:type="spellStart"/>
      <w:r w:rsidRPr="00334822">
        <w:rPr>
          <w:rFonts w:eastAsia="Times New Roman" w:cs="Times New Roman"/>
          <w:sz w:val="20"/>
          <w:szCs w:val="20"/>
          <w:lang w:val="fr-CA" w:eastAsia="en-CA"/>
        </w:rPr>
        <w:t>fié</w:t>
      </w:r>
      <w:proofErr w:type="spellEnd"/>
      <w:r w:rsidRPr="00334822">
        <w:rPr>
          <w:rFonts w:eastAsia="Times New Roman" w:cs="Times New Roman"/>
          <w:sz w:val="20"/>
          <w:szCs w:val="20"/>
          <w:lang w:val="fr-CA" w:eastAsia="en-CA"/>
        </w:rPr>
        <w:t xml:space="preserve"> à la déclaration inexacte. La combinaison de ces aspects contribue à l’efficacité et à l’équité envers les deux parties.</w:t>
      </w: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L’interprétation proposée par la Cour d’appel dans les présents dossiers modifie également de façon significative la protection accordée contre les poursuites opportunistes et dénuées de fondement qui vise à écarter ce type de poursuites aussitôt que possible dans le processus. L’obligation d’obtenir la permission préliminaire prévue à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a été ajoutée parce que les mécanismes prévus par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ne constituaient pas des garanties suffisantes. Accepter que la simple mention d’une cause d’action statutaire dans un recours collectif alors pendant suffit pour faire suspendre le délai de prescription ne permet guère d’atteindre la protection voulue.</w:t>
      </w:r>
    </w:p>
    <w:p w:rsidR="00C639D1" w:rsidRDefault="00C639D1" w:rsidP="00334822">
      <w:pPr>
        <w:tabs>
          <w:tab w:val="left" w:pos="1168"/>
        </w:tabs>
        <w:jc w:val="both"/>
        <w:rPr>
          <w:rFonts w:eastAsia="Times New Roman" w:cs="Times New Roman"/>
          <w:i/>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i/>
          <w:sz w:val="20"/>
          <w:szCs w:val="20"/>
          <w:lang w:val="fr-CA" w:eastAsia="en-CA"/>
        </w:rPr>
        <w:tab/>
        <w:t xml:space="preserve">Le </w:t>
      </w:r>
      <w:r w:rsidRPr="00334822">
        <w:rPr>
          <w:rFonts w:eastAsia="Times New Roman" w:cs="Times New Roman"/>
          <w:sz w:val="20"/>
          <w:szCs w:val="20"/>
          <w:lang w:val="fr-CA" w:eastAsia="en-CA"/>
        </w:rPr>
        <w:t>juge</w:t>
      </w:r>
      <w:r w:rsidRPr="00334822">
        <w:rPr>
          <w:rFonts w:eastAsia="Times New Roman" w:cs="Times New Roman"/>
          <w:i/>
          <w:sz w:val="20"/>
          <w:szCs w:val="20"/>
          <w:lang w:val="fr-CA" w:eastAsia="en-CA"/>
        </w:rPr>
        <w:t xml:space="preserve"> </w:t>
      </w:r>
      <w:r w:rsidRPr="00334822">
        <w:rPr>
          <w:rFonts w:eastAsia="Times New Roman" w:cs="Times New Roman"/>
          <w:b/>
          <w:sz w:val="20"/>
          <w:szCs w:val="20"/>
          <w:lang w:val="fr-CA" w:eastAsia="en-CA"/>
        </w:rPr>
        <w:t>Cromwell :</w:t>
      </w:r>
      <w:r w:rsidRPr="00334822">
        <w:rPr>
          <w:rFonts w:eastAsia="Times New Roman" w:cs="Times New Roman"/>
          <w:sz w:val="20"/>
          <w:szCs w:val="20"/>
          <w:lang w:val="fr-CA" w:eastAsia="en-CA"/>
        </w:rPr>
        <w:t xml:space="preserve"> Il y a accord avec les conclusions de la juge Côté sur l’interprétation des dispositions relatives au délai de prescription et à l’autorisation.</w:t>
      </w:r>
    </w:p>
    <w:p w:rsidR="00C639D1" w:rsidRDefault="00C639D1" w:rsidP="00334822">
      <w:pPr>
        <w:tabs>
          <w:tab w:val="left" w:pos="1168"/>
        </w:tabs>
        <w:jc w:val="both"/>
        <w:rPr>
          <w:rFonts w:eastAsia="Times New Roman" w:cs="Times New Roman"/>
          <w:i/>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i/>
          <w:sz w:val="20"/>
          <w:szCs w:val="20"/>
          <w:lang w:val="fr-CA" w:eastAsia="en-CA"/>
        </w:rPr>
        <w:tab/>
        <w:t xml:space="preserve">Les </w:t>
      </w:r>
      <w:r w:rsidRPr="00334822">
        <w:rPr>
          <w:rFonts w:eastAsia="Times New Roman" w:cs="Times New Roman"/>
          <w:sz w:val="20"/>
          <w:szCs w:val="20"/>
          <w:lang w:val="fr-CA" w:eastAsia="en-CA"/>
        </w:rPr>
        <w:t>juges</w:t>
      </w:r>
      <w:r w:rsidRPr="00334822">
        <w:rPr>
          <w:rFonts w:eastAsia="Times New Roman" w:cs="Times New Roman"/>
          <w:i/>
          <w:sz w:val="20"/>
          <w:szCs w:val="20"/>
          <w:lang w:val="fr-CA" w:eastAsia="en-CA"/>
        </w:rPr>
        <w:t xml:space="preserve"> </w:t>
      </w:r>
      <w:proofErr w:type="spellStart"/>
      <w:r w:rsidRPr="00334822">
        <w:rPr>
          <w:rFonts w:eastAsia="Times New Roman" w:cs="Times New Roman"/>
          <w:sz w:val="20"/>
          <w:szCs w:val="20"/>
          <w:lang w:val="fr-CA" w:eastAsia="en-CA"/>
        </w:rPr>
        <w:t>Moldaver</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b/>
          <w:sz w:val="20"/>
          <w:szCs w:val="20"/>
          <w:lang w:val="fr-CA" w:eastAsia="en-CA"/>
        </w:rPr>
        <w:t>Karakatsanis</w:t>
      </w:r>
      <w:proofErr w:type="spellEnd"/>
      <w:r w:rsidRPr="00334822">
        <w:rPr>
          <w:rFonts w:eastAsia="Times New Roman" w:cs="Times New Roman"/>
          <w:sz w:val="20"/>
          <w:szCs w:val="20"/>
          <w:lang w:val="fr-CA" w:eastAsia="en-CA"/>
        </w:rPr>
        <w:t xml:space="preserve"> et Gascon (opinion minoritaire) : La formation de cinq juges de la Cour d’appel a eu raison d’infirmer l’interprétation que cette cour avait donnée précédemment de l’application de l’art. 28 de la </w:t>
      </w:r>
      <w:r w:rsidRPr="00334822">
        <w:rPr>
          <w:rFonts w:eastAsia="Times New Roman" w:cs="Times New Roman"/>
          <w:i/>
          <w:sz w:val="20"/>
          <w:szCs w:val="20"/>
          <w:lang w:val="fr-CA" w:eastAsia="en-CA"/>
        </w:rPr>
        <w:t xml:space="preserve">LRC </w:t>
      </w:r>
      <w:r w:rsidRPr="00334822">
        <w:rPr>
          <w:rFonts w:eastAsia="Times New Roman" w:cs="Times New Roman"/>
          <w:sz w:val="20"/>
          <w:szCs w:val="20"/>
          <w:lang w:val="fr-CA" w:eastAsia="en-CA"/>
        </w:rPr>
        <w:t xml:space="preserve">au délai de prescription prévu par l’art. 138.14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Tant que la cause d’action prévue à la partie XXII.1 est invoquée dans un recours collectif valablement introduit,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suspend les délais de prescription applicables à toutes les causes d’action invoquées — y compris le délai de prescription régissant l’action prévue par la loi —que l’autorisation exigée par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ait ou non été obtenue.</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Cette interprétation de l’art. 28 est celle qui s’accorde le mieux avec le libellé, l’économie et l’objet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ainsi qu’avec le texte, l’objet et l’application de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Il faut rechercher une interprétation harmonieuse qui respecte le sens ordinaire du texte tant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que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ainsi que le contexte et l’objet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eu égard à la manière dont cette loi est censée s’appliquer dans le domaine des valeurs mobilières. Puisque la </w:t>
      </w:r>
      <w:r w:rsidRPr="00334822">
        <w:rPr>
          <w:rFonts w:eastAsia="Times New Roman" w:cs="Times New Roman"/>
          <w:i/>
          <w:sz w:val="20"/>
          <w:szCs w:val="20"/>
          <w:lang w:val="fr-CA" w:eastAsia="en-CA"/>
        </w:rPr>
        <w:t xml:space="preserve">LRC </w:t>
      </w:r>
      <w:r w:rsidRPr="00334822">
        <w:rPr>
          <w:rFonts w:eastAsia="Times New Roman" w:cs="Times New Roman"/>
          <w:sz w:val="20"/>
          <w:szCs w:val="20"/>
          <w:lang w:val="fr-CA" w:eastAsia="en-CA"/>
        </w:rPr>
        <w:t xml:space="preserve">et la partie XXIII.1 de la </w:t>
      </w:r>
      <w:r w:rsidRPr="00334822">
        <w:rPr>
          <w:rFonts w:eastAsia="Times New Roman" w:cs="Times New Roman"/>
          <w:i/>
          <w:sz w:val="20"/>
          <w:szCs w:val="20"/>
          <w:lang w:val="fr-CA" w:eastAsia="en-CA"/>
        </w:rPr>
        <w:t xml:space="preserve">LVM </w:t>
      </w:r>
      <w:r w:rsidRPr="00334822">
        <w:rPr>
          <w:rFonts w:eastAsia="Times New Roman" w:cs="Times New Roman"/>
          <w:sz w:val="20"/>
          <w:szCs w:val="20"/>
          <w:lang w:val="fr-CA" w:eastAsia="en-CA"/>
        </w:rPr>
        <w:t xml:space="preserve">sont toutes les deux de nature réparatrice, leurs dispositions doivent être interprétées de façon large et fondée sur leur objet. De plus, en analysant la corrélation entre les lois d’un législateur, il faut présumer que ces lois fonctionnent ensemble, tant logiquement que téléologiquement, comme les diverses parties d’un tout. Les dispositions pertinentes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ont été adoptées après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et il est clair que la partie XXIII.1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était censée s’appliquer dans le contexte de la législation sur les recours collectifs.  </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L’article 28 de la </w:t>
      </w:r>
      <w:r w:rsidRPr="00334822">
        <w:rPr>
          <w:rFonts w:eastAsia="Times New Roman" w:cs="Times New Roman"/>
          <w:i/>
          <w:sz w:val="20"/>
          <w:szCs w:val="20"/>
          <w:lang w:val="fr-CA" w:eastAsia="en-CA"/>
        </w:rPr>
        <w:t xml:space="preserve">LRC </w:t>
      </w:r>
      <w:r w:rsidRPr="00334822">
        <w:rPr>
          <w:rFonts w:eastAsia="Times New Roman" w:cs="Times New Roman"/>
          <w:sz w:val="20"/>
          <w:szCs w:val="20"/>
          <w:lang w:val="fr-CA" w:eastAsia="en-CA"/>
        </w:rPr>
        <w:t>entre en jeu dès l’introduction du recours collectif à l’égard d’« une cause d’action invoquée » dans le recours collectif. Les dictionnaires donnent de nombreuses acceptions du mot anglais « </w:t>
      </w:r>
      <w:proofErr w:type="spellStart"/>
      <w:r w:rsidRPr="00334822">
        <w:rPr>
          <w:rFonts w:eastAsia="Times New Roman" w:cs="Times New Roman"/>
          <w:i/>
          <w:sz w:val="20"/>
          <w:szCs w:val="20"/>
          <w:lang w:val="fr-CA" w:eastAsia="en-CA"/>
        </w:rPr>
        <w:t>assert</w:t>
      </w:r>
      <w:proofErr w:type="spellEnd"/>
      <w:r w:rsidRPr="00334822">
        <w:rPr>
          <w:rFonts w:eastAsia="Times New Roman" w:cs="Times New Roman"/>
          <w:sz w:val="20"/>
          <w:szCs w:val="20"/>
          <w:lang w:val="fr-CA" w:eastAsia="en-CA"/>
        </w:rPr>
        <w:t> » qui est défini tantôt comme [</w:t>
      </w:r>
      <w:r w:rsidRPr="00334822">
        <w:rPr>
          <w:rFonts w:eastAsia="Times New Roman" w:cs="Times New Roman"/>
          <w:smallCaps/>
          <w:sz w:val="20"/>
          <w:szCs w:val="20"/>
          <w:lang w:val="fr-CA" w:eastAsia="en-CA"/>
        </w:rPr>
        <w:t>traduction</w:t>
      </w:r>
      <w:r w:rsidRPr="00334822">
        <w:rPr>
          <w:rFonts w:eastAsia="Times New Roman" w:cs="Times New Roman"/>
          <w:sz w:val="20"/>
          <w:szCs w:val="20"/>
          <w:lang w:val="fr-CA" w:eastAsia="en-CA"/>
        </w:rPr>
        <w:t>] « invoquer ou faire valoir un droit », tantôt comme [</w:t>
      </w:r>
      <w:r w:rsidRPr="00334822">
        <w:rPr>
          <w:rFonts w:eastAsia="Times New Roman" w:cs="Times New Roman"/>
          <w:smallCaps/>
          <w:sz w:val="20"/>
          <w:szCs w:val="20"/>
          <w:lang w:val="fr-CA" w:eastAsia="en-CA"/>
        </w:rPr>
        <w:t>traduction</w:t>
      </w:r>
      <w:r w:rsidRPr="00334822">
        <w:rPr>
          <w:rFonts w:eastAsia="Times New Roman" w:cs="Times New Roman"/>
          <w:sz w:val="20"/>
          <w:szCs w:val="20"/>
          <w:lang w:val="fr-CA" w:eastAsia="en-CA"/>
        </w:rPr>
        <w:t>] « faire ou exécuter une réclamation ». La conclusion de la Cour d’appel</w:t>
      </w:r>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selon laquelle le mot « </w:t>
      </w:r>
      <w:proofErr w:type="spellStart"/>
      <w:r w:rsidRPr="00334822">
        <w:rPr>
          <w:rFonts w:eastAsia="Times New Roman" w:cs="Times New Roman"/>
          <w:i/>
          <w:sz w:val="20"/>
          <w:szCs w:val="20"/>
          <w:lang w:val="fr-CA" w:eastAsia="en-CA"/>
        </w:rPr>
        <w:t>asserted</w:t>
      </w:r>
      <w:proofErr w:type="spellEnd"/>
      <w:r w:rsidRPr="00334822">
        <w:rPr>
          <w:rFonts w:eastAsia="Times New Roman" w:cs="Times New Roman"/>
          <w:sz w:val="20"/>
          <w:szCs w:val="20"/>
          <w:lang w:val="fr-CA" w:eastAsia="en-CA"/>
        </w:rPr>
        <w:t xml:space="preserve"> », dans la version anglaise de l’art. 28, parlant d’une cause d’action, a le sens d’« invoquer un droit » ou de « faire valoir une réclamation » concorde mieux avec les textes anglais et français de l’art. 28 et le contexte de cette disposition. </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Pour « faire valoir la réclamation » ou « invoquer le droit », le représentant des demandeurs doit plaider les éléments de fait essentiels nécessaires pour constituer la cause d’action. L’article 138.3 accorde aux actionnaires lésés quatre causes d’action liées à la présentation inexacte de faits ou au non</w:t>
      </w:r>
      <w:r w:rsidRPr="00334822">
        <w:rPr>
          <w:rFonts w:eastAsia="Times New Roman" w:cs="Times New Roman"/>
          <w:sz w:val="20"/>
          <w:szCs w:val="20"/>
          <w:lang w:val="fr-CA" w:eastAsia="en-CA"/>
        </w:rPr>
        <w:noBreakHyphen/>
        <w:t xml:space="preserve">respect des obligations d’information occasionnelle portant sur un changement important. L’autorisation ne fait pas partie des éléments de fait décrits dans cette disposition. Par conséquent, la nécessité d’obtenir l’autorisation prévue à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n’est pas un élément constitutif de la cause d’action prévue à l’art. 138.3. De fait, l’obtention de l’autorisation visée à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est une exigence procédurale. Elle est nécessaire pour que le droit découlant de l’art. 138.3 puisse être exercé, tranché au procès et exécuté par la suite. Cependant, « invoquer » (« </w:t>
      </w:r>
      <w:proofErr w:type="spellStart"/>
      <w:r w:rsidRPr="00334822">
        <w:rPr>
          <w:rFonts w:eastAsia="Times New Roman" w:cs="Times New Roman"/>
          <w:i/>
          <w:sz w:val="20"/>
          <w:szCs w:val="20"/>
          <w:lang w:val="fr-CA" w:eastAsia="en-CA"/>
        </w:rPr>
        <w:t>asserting</w:t>
      </w:r>
      <w:proofErr w:type="spellEnd"/>
      <w:r w:rsidRPr="00334822">
        <w:rPr>
          <w:rFonts w:eastAsia="Times New Roman" w:cs="Times New Roman"/>
          <w:sz w:val="20"/>
          <w:szCs w:val="20"/>
          <w:lang w:val="fr-CA" w:eastAsia="en-CA"/>
        </w:rPr>
        <w:t xml:space="preserve"> ») la cause d’action légale pour l’application de l’art. 28 de la </w:t>
      </w:r>
      <w:r w:rsidRPr="00334822">
        <w:rPr>
          <w:rFonts w:eastAsia="Times New Roman" w:cs="Times New Roman"/>
          <w:i/>
          <w:sz w:val="20"/>
          <w:szCs w:val="20"/>
          <w:lang w:val="fr-CA" w:eastAsia="en-CA"/>
        </w:rPr>
        <w:t>LRC</w:t>
      </w:r>
      <w:r w:rsidRPr="00334822">
        <w:rPr>
          <w:rFonts w:eastAsia="Times New Roman" w:cs="Times New Roman"/>
          <w:sz w:val="20"/>
          <w:szCs w:val="20"/>
          <w:lang w:val="fr-CA" w:eastAsia="en-CA"/>
        </w:rPr>
        <w:t xml:space="preserve"> n’oblige pas le représentant des demandeurs à obtenir d’abord l’autorisation. La cause d’action légale peut donc être invoquée dans la déclaration d’un recours collectif avant que l’autorisation ne soit obtenue.</w:t>
      </w:r>
    </w:p>
    <w:p w:rsidR="00C639D1"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sz w:val="20"/>
          <w:szCs w:val="20"/>
          <w:lang w:val="fr-CA"/>
        </w:rPr>
        <w:tab/>
        <w:t xml:space="preserve">L’article 28 de la </w:t>
      </w:r>
      <w:r w:rsidRPr="00334822">
        <w:rPr>
          <w:rFonts w:eastAsiaTheme="minorEastAsia" w:cs="Times New Roman"/>
          <w:i/>
          <w:sz w:val="20"/>
          <w:szCs w:val="20"/>
          <w:lang w:val="fr-CA"/>
        </w:rPr>
        <w:t>LRC</w:t>
      </w:r>
      <w:r w:rsidRPr="00334822">
        <w:rPr>
          <w:rFonts w:eastAsiaTheme="minorEastAsia" w:cs="Times New Roman"/>
          <w:sz w:val="20"/>
          <w:szCs w:val="20"/>
          <w:lang w:val="fr-CA"/>
        </w:rPr>
        <w:t xml:space="preserve"> </w:t>
      </w:r>
      <w:r w:rsidRPr="00334822">
        <w:rPr>
          <w:rFonts w:eastAsia="Times New Roman" w:cs="Times New Roman"/>
          <w:sz w:val="20"/>
          <w:szCs w:val="20"/>
          <w:lang w:val="fr-CA" w:eastAsia="en-CA"/>
        </w:rPr>
        <w:t>suspend</w:t>
      </w:r>
      <w:r w:rsidRPr="00334822">
        <w:rPr>
          <w:rFonts w:eastAsiaTheme="minorEastAsia" w:cs="Times New Roman"/>
          <w:sz w:val="20"/>
          <w:szCs w:val="20"/>
          <w:lang w:val="fr-CA"/>
        </w:rPr>
        <w:t xml:space="preserve"> les délais de prescription à « l’introduction du recours collectif ». L’« introduction », pour l’application de cette disposition, s’entend de l’introduction d’un recours collectif projeté en vertu de la </w:t>
      </w:r>
      <w:r w:rsidRPr="00334822">
        <w:rPr>
          <w:rFonts w:eastAsiaTheme="minorEastAsia" w:cs="Times New Roman"/>
          <w:i/>
          <w:sz w:val="20"/>
          <w:szCs w:val="20"/>
          <w:lang w:val="fr-CA"/>
        </w:rPr>
        <w:t xml:space="preserve">LRC </w:t>
      </w:r>
      <w:r w:rsidRPr="00334822">
        <w:rPr>
          <w:rFonts w:eastAsiaTheme="minorEastAsia" w:cs="Times New Roman"/>
          <w:sz w:val="20"/>
          <w:szCs w:val="20"/>
          <w:lang w:val="fr-CA"/>
        </w:rPr>
        <w:t xml:space="preserve">avant la certification. Pour introduire un recours collectif, le représentant des demandeurs doit déposer une déclaration. Le texte de l’art. 28 reconnaît la possibilité réelle que de multiples causes d’action soient invoquées dans une seule déclaration. L’article 28 n’a pas pour effet de rendre l’introduction du recours collectif conditionnelle à la réalisation de toutes les exigences procédurales à l’égard de chacune des causes d’action invoquées dans le recours. Selon le sens clair de l’art. 28, les délais de prescription applicables à toutes les causes d’action invoquées dans le recours sont suspendus à l’introduction du recours collectif, que certaines d’entre elles nécessitent ou non une autorisation pour aller de l’avant individuellement. Ainsi, l’art. 28 de la </w:t>
      </w:r>
      <w:r w:rsidRPr="00334822">
        <w:rPr>
          <w:rFonts w:eastAsiaTheme="minorEastAsia" w:cs="Times New Roman"/>
          <w:i/>
          <w:sz w:val="20"/>
          <w:szCs w:val="20"/>
          <w:lang w:val="fr-CA"/>
        </w:rPr>
        <w:t>LRC</w:t>
      </w:r>
      <w:r w:rsidRPr="00334822">
        <w:rPr>
          <w:rFonts w:eastAsiaTheme="minorEastAsia" w:cs="Times New Roman"/>
          <w:sz w:val="20"/>
          <w:szCs w:val="20"/>
          <w:lang w:val="fr-CA"/>
        </w:rPr>
        <w:t xml:space="preserve"> suspend le délai de prescription fixé à l’art. 138.14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dès que le représentant des demandeurs introduit valablement un recours collectif fondé sur une cause d’action en </w:t>
      </w:r>
      <w:proofErr w:type="spellStart"/>
      <w:r w:rsidRPr="00334822">
        <w:rPr>
          <w:rFonts w:eastAsiaTheme="minorEastAsia" w:cs="Times New Roman"/>
          <w:sz w:val="20"/>
          <w:szCs w:val="20"/>
          <w:lang w:val="fr-CA"/>
        </w:rPr>
        <w:t>common</w:t>
      </w:r>
      <w:proofErr w:type="spellEnd"/>
      <w:r w:rsidRPr="00334822">
        <w:rPr>
          <w:rFonts w:eastAsiaTheme="minorEastAsia" w:cs="Times New Roman"/>
          <w:sz w:val="20"/>
          <w:szCs w:val="20"/>
          <w:lang w:val="fr-CA"/>
        </w:rPr>
        <w:t xml:space="preserve"> </w:t>
      </w:r>
      <w:proofErr w:type="spellStart"/>
      <w:r w:rsidRPr="00334822">
        <w:rPr>
          <w:rFonts w:eastAsiaTheme="minorEastAsia" w:cs="Times New Roman"/>
          <w:sz w:val="20"/>
          <w:szCs w:val="20"/>
          <w:lang w:val="fr-CA"/>
        </w:rPr>
        <w:t>law</w:t>
      </w:r>
      <w:proofErr w:type="spellEnd"/>
      <w:r w:rsidRPr="00334822">
        <w:rPr>
          <w:rFonts w:eastAsiaTheme="minorEastAsia" w:cs="Times New Roman"/>
          <w:sz w:val="20"/>
          <w:szCs w:val="20"/>
          <w:lang w:val="fr-CA"/>
        </w:rPr>
        <w:t xml:space="preserve"> et plaide la cause d’action légale et ses éléments constitutifs dans la déclaration.</w:t>
      </w:r>
    </w:p>
    <w:p w:rsidR="00C639D1"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sz w:val="20"/>
          <w:szCs w:val="20"/>
          <w:lang w:val="fr-CA"/>
        </w:rPr>
        <w:tab/>
        <w:t xml:space="preserve">Exclure la cause d’action prévue à la partie XXIII.1 de la </w:t>
      </w:r>
      <w:r w:rsidRPr="00334822">
        <w:rPr>
          <w:rFonts w:eastAsiaTheme="minorEastAsia" w:cs="Times New Roman"/>
          <w:i/>
          <w:sz w:val="20"/>
          <w:szCs w:val="20"/>
          <w:lang w:val="fr-CA"/>
        </w:rPr>
        <w:t>LVM</w:t>
      </w:r>
      <w:r w:rsidRPr="00334822" w:rsidDel="00D3200C">
        <w:rPr>
          <w:rFonts w:eastAsiaTheme="minorEastAsia" w:cs="Times New Roman"/>
          <w:sz w:val="20"/>
          <w:szCs w:val="20"/>
          <w:lang w:val="fr-CA"/>
        </w:rPr>
        <w:t xml:space="preserve"> </w:t>
      </w:r>
      <w:r w:rsidRPr="00334822">
        <w:rPr>
          <w:rFonts w:eastAsiaTheme="minorEastAsia" w:cs="Times New Roman"/>
          <w:sz w:val="20"/>
          <w:szCs w:val="20"/>
          <w:lang w:val="fr-CA"/>
        </w:rPr>
        <w:t xml:space="preserve">de la protection conférée par l’art. 28 de la </w:t>
      </w:r>
      <w:r w:rsidRPr="00334822">
        <w:rPr>
          <w:rFonts w:eastAsiaTheme="minorEastAsia" w:cs="Times New Roman"/>
          <w:i/>
          <w:sz w:val="20"/>
          <w:szCs w:val="20"/>
          <w:lang w:val="fr-CA"/>
        </w:rPr>
        <w:t>LRC</w:t>
      </w:r>
      <w:r w:rsidRPr="00334822">
        <w:rPr>
          <w:rFonts w:eastAsiaTheme="minorEastAsia" w:cs="Times New Roman"/>
          <w:sz w:val="20"/>
          <w:szCs w:val="20"/>
          <w:lang w:val="fr-CA"/>
        </w:rPr>
        <w:t xml:space="preserve"> jusqu’à ce que l’autorisation soit accordée fait en sorte que le respect du délai de prescription échappe à la volonté du demandeur. En outre, cela obligerait nécessairement les membres éventuels du groupe à déposer une multitude de motions individuelles en autorisation d’intenter l’action prévue par la loi, imposant ainsi inutilement à toutes les parties en cause des formalités procédurales supplémentaires, des coûts plus élevés et des délais plus longs</w:t>
      </w:r>
      <w:r w:rsidRPr="00334822" w:rsidDel="00D3200C">
        <w:rPr>
          <w:rFonts w:eastAsiaTheme="minorEastAsia" w:cs="Times New Roman"/>
          <w:sz w:val="20"/>
          <w:szCs w:val="20"/>
          <w:lang w:val="fr-CA"/>
        </w:rPr>
        <w:t>.</w:t>
      </w:r>
      <w:r w:rsidRPr="00334822">
        <w:rPr>
          <w:rFonts w:eastAsiaTheme="minorEastAsia" w:cs="Times New Roman"/>
          <w:sz w:val="20"/>
          <w:szCs w:val="20"/>
          <w:lang w:val="fr-CA"/>
        </w:rPr>
        <w:t xml:space="preserve"> Une telle obligation n’est imposée ni par le libellé de l’art. 28</w:t>
      </w:r>
      <w:r w:rsidRPr="00334822" w:rsidDel="00D3200C">
        <w:rPr>
          <w:rFonts w:eastAsiaTheme="minorEastAsia" w:cs="Times New Roman"/>
          <w:sz w:val="20"/>
          <w:szCs w:val="20"/>
          <w:lang w:val="fr-CA"/>
        </w:rPr>
        <w:t xml:space="preserve"> </w:t>
      </w:r>
      <w:r w:rsidRPr="00334822">
        <w:rPr>
          <w:rFonts w:eastAsiaTheme="minorEastAsia" w:cs="Times New Roman"/>
          <w:sz w:val="20"/>
          <w:szCs w:val="20"/>
          <w:lang w:val="fr-CA"/>
        </w:rPr>
        <w:t>ni par le contexte ou les objets de la</w:t>
      </w:r>
      <w:r w:rsidRPr="00334822" w:rsidDel="00D3200C">
        <w:rPr>
          <w:rFonts w:eastAsiaTheme="minorEastAsia" w:cs="Times New Roman"/>
          <w:sz w:val="20"/>
          <w:szCs w:val="20"/>
          <w:lang w:val="fr-CA"/>
        </w:rPr>
        <w:t xml:space="preserve"> </w:t>
      </w:r>
      <w:r w:rsidRPr="00334822">
        <w:rPr>
          <w:rFonts w:eastAsiaTheme="minorEastAsia" w:cs="Times New Roman"/>
          <w:i/>
          <w:sz w:val="20"/>
          <w:szCs w:val="20"/>
          <w:lang w:val="fr-CA"/>
        </w:rPr>
        <w:t>LRC</w:t>
      </w:r>
      <w:r w:rsidRPr="00334822" w:rsidDel="00D3200C">
        <w:rPr>
          <w:rFonts w:eastAsiaTheme="minorEastAsia" w:cs="Times New Roman"/>
          <w:sz w:val="20"/>
          <w:szCs w:val="20"/>
          <w:lang w:val="fr-CA"/>
        </w:rPr>
        <w:t>.</w:t>
      </w:r>
      <w:r w:rsidRPr="00334822">
        <w:rPr>
          <w:rFonts w:eastAsiaTheme="minorEastAsia" w:cs="Times New Roman"/>
          <w:sz w:val="20"/>
          <w:szCs w:val="20"/>
          <w:lang w:val="fr-CA"/>
        </w:rPr>
        <w:t xml:space="preserve"> Un tel résultat ne favorise ni l’économie des ressources judiciaires ni l’accès à la justice. Il nuit plutôt au fonctionnement harmonieux des recours collectifs dans le contexte des valeurs mobilières</w:t>
      </w:r>
      <w:r w:rsidRPr="00334822" w:rsidDel="00D3200C">
        <w:rPr>
          <w:rFonts w:eastAsiaTheme="minorEastAsia" w:cs="Times New Roman"/>
          <w:sz w:val="20"/>
          <w:szCs w:val="20"/>
          <w:lang w:val="fr-CA"/>
        </w:rPr>
        <w:t>.</w:t>
      </w:r>
      <w:r w:rsidRPr="00334822">
        <w:rPr>
          <w:rFonts w:eastAsiaTheme="minorEastAsia" w:cs="Times New Roman"/>
          <w:sz w:val="20"/>
          <w:szCs w:val="20"/>
          <w:lang w:val="fr-CA"/>
        </w:rPr>
        <w:t xml:space="preserve"> En outre, une interprétation qui a pour effet de suspendre le délai de prescription lorsque l’autorisation n’a pas encore été accordée en application de l’art. 138.8 de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favorise la réalisation des objets de la </w:t>
      </w:r>
      <w:r w:rsidRPr="00334822">
        <w:rPr>
          <w:rFonts w:eastAsiaTheme="minorEastAsia" w:cs="Times New Roman"/>
          <w:i/>
          <w:sz w:val="20"/>
          <w:szCs w:val="20"/>
          <w:lang w:val="fr-CA"/>
        </w:rPr>
        <w:t>LRC</w:t>
      </w:r>
      <w:r w:rsidRPr="00334822">
        <w:rPr>
          <w:rFonts w:eastAsiaTheme="minorEastAsia" w:cs="Times New Roman"/>
          <w:sz w:val="20"/>
          <w:szCs w:val="20"/>
          <w:lang w:val="fr-CA"/>
        </w:rPr>
        <w:t xml:space="preserve">, s’harmonise avec le texte, l’objet et l’application de la partie XXIII.1 de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et fait en sorte que le recours collectif demeure un moyen efficace d’exercer les poursuites fondées sur la partie XXIII.1, tout en respectant les considérations d’ordre public qui sous</w:t>
      </w:r>
      <w:r w:rsidRPr="00334822">
        <w:rPr>
          <w:rFonts w:eastAsiaTheme="minorEastAsia" w:cs="Times New Roman"/>
          <w:sz w:val="20"/>
          <w:szCs w:val="20"/>
          <w:lang w:val="fr-CA"/>
        </w:rPr>
        <w:noBreakHyphen/>
        <w:t xml:space="preserve">tendent les délais de prescription. </w:t>
      </w:r>
    </w:p>
    <w:p w:rsidR="00C639D1" w:rsidRDefault="00C639D1" w:rsidP="00334822">
      <w:pPr>
        <w:tabs>
          <w:tab w:val="left" w:pos="1168"/>
        </w:tabs>
        <w:jc w:val="both"/>
        <w:rPr>
          <w:rFonts w:eastAsiaTheme="minorEastAsia" w:cs="Times New Roman"/>
          <w:sz w:val="20"/>
          <w:szCs w:val="20"/>
          <w:lang w:val="fr-CA"/>
        </w:rPr>
      </w:pPr>
    </w:p>
    <w:p w:rsid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sz w:val="20"/>
          <w:szCs w:val="20"/>
          <w:lang w:val="fr-CA"/>
        </w:rPr>
        <w:tab/>
        <w:t xml:space="preserve">Dans chacune des trois affaires portées en appel, les demandeurs ont introduit des recours collectifs et plaidé dans leurs déclarations les faits constitutifs du délit de déclaration inexacte faite par négligence et de la cause d’action prévue à la partie XXIII.1 de la </w:t>
      </w:r>
      <w:r w:rsidRPr="00334822">
        <w:rPr>
          <w:rFonts w:eastAsiaTheme="minorEastAsia" w:cs="Times New Roman"/>
          <w:i/>
          <w:sz w:val="20"/>
          <w:szCs w:val="20"/>
          <w:lang w:val="fr-CA"/>
        </w:rPr>
        <w:t>LVM</w:t>
      </w:r>
      <w:r w:rsidRPr="00334822">
        <w:rPr>
          <w:rFonts w:eastAsiaTheme="minorEastAsia" w:cs="Times New Roman"/>
          <w:sz w:val="20"/>
          <w:szCs w:val="20"/>
          <w:lang w:val="fr-CA"/>
        </w:rPr>
        <w:t xml:space="preserve">. En plaidant ainsi ces faits, ils se trouvent à avoir invoqué la cause d’action légale pour l’application de l’art. 28 de la </w:t>
      </w:r>
      <w:r w:rsidRPr="00334822">
        <w:rPr>
          <w:rFonts w:eastAsiaTheme="minorEastAsia" w:cs="Times New Roman"/>
          <w:i/>
          <w:sz w:val="20"/>
          <w:szCs w:val="20"/>
          <w:lang w:val="fr-CA"/>
        </w:rPr>
        <w:t>LRC</w:t>
      </w:r>
      <w:r w:rsidRPr="00334822">
        <w:rPr>
          <w:rFonts w:eastAsiaTheme="minorEastAsia" w:cs="Times New Roman"/>
          <w:sz w:val="20"/>
          <w:szCs w:val="20"/>
          <w:lang w:val="fr-CA"/>
        </w:rPr>
        <w:t>. Par conséquent, les délais de prescription applicables aux actions prévues par la loi qui sont en litige dans les présents pourvois sont suspendus à compter de la date du dépôt de leurs déclarations et aucune des poursuites n’est prescrite.</w:t>
      </w:r>
    </w:p>
    <w:p w:rsidR="00C639D1" w:rsidRPr="00334822"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u w:val="single"/>
          <w:lang w:val="fr-CA" w:eastAsia="en-CA"/>
        </w:rPr>
        <w:t xml:space="preserve">Mesures de redressement </w:t>
      </w:r>
    </w:p>
    <w:p w:rsidR="00C639D1" w:rsidRDefault="00C639D1" w:rsidP="00334822">
      <w:pPr>
        <w:tabs>
          <w:tab w:val="left" w:pos="1168"/>
        </w:tabs>
        <w:jc w:val="both"/>
        <w:rPr>
          <w:rFonts w:eastAsiaTheme="minorEastAsia" w:cs="Times New Roman"/>
          <w:i/>
          <w:sz w:val="20"/>
          <w:szCs w:val="20"/>
          <w:lang w:val="fr-CA"/>
        </w:rPr>
      </w:pPr>
    </w:p>
    <w:p w:rsidR="00334822" w:rsidRP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i/>
          <w:sz w:val="20"/>
          <w:szCs w:val="20"/>
          <w:lang w:val="fr-CA"/>
        </w:rPr>
        <w:tab/>
        <w:t xml:space="preserve">La </w:t>
      </w:r>
      <w:r w:rsidRPr="00334822">
        <w:rPr>
          <w:rFonts w:eastAsiaTheme="minorEastAsia" w:cs="Times New Roman"/>
          <w:sz w:val="20"/>
          <w:szCs w:val="20"/>
          <w:lang w:val="fr-CA"/>
        </w:rPr>
        <w:t>juge en chef</w:t>
      </w:r>
      <w:r w:rsidRPr="00334822">
        <w:rPr>
          <w:rFonts w:eastAsiaTheme="minorEastAsia" w:cs="Times New Roman"/>
          <w:i/>
          <w:sz w:val="20"/>
          <w:szCs w:val="20"/>
          <w:lang w:val="fr-CA"/>
        </w:rPr>
        <w:t xml:space="preserve"> </w:t>
      </w:r>
      <w:proofErr w:type="spellStart"/>
      <w:r w:rsidRPr="00334822">
        <w:rPr>
          <w:rFonts w:eastAsiaTheme="minorEastAsia" w:cs="Times New Roman"/>
          <w:sz w:val="20"/>
          <w:szCs w:val="20"/>
          <w:lang w:val="fr-CA"/>
        </w:rPr>
        <w:t>McLachlin</w:t>
      </w:r>
      <w:proofErr w:type="spellEnd"/>
      <w:r w:rsidRPr="00334822">
        <w:rPr>
          <w:rFonts w:eastAsiaTheme="minorEastAsia" w:cs="Times New Roman"/>
          <w:sz w:val="20"/>
          <w:szCs w:val="20"/>
          <w:lang w:val="fr-CA"/>
        </w:rPr>
        <w:t xml:space="preserve"> et les juges </w:t>
      </w:r>
      <w:proofErr w:type="spellStart"/>
      <w:r w:rsidRPr="00334822">
        <w:rPr>
          <w:rFonts w:eastAsiaTheme="minorEastAsia" w:cs="Times New Roman"/>
          <w:sz w:val="20"/>
          <w:szCs w:val="20"/>
          <w:lang w:val="fr-CA"/>
        </w:rPr>
        <w:t>Rothstein</w:t>
      </w:r>
      <w:proofErr w:type="spellEnd"/>
      <w:r w:rsidRPr="00334822">
        <w:rPr>
          <w:rFonts w:eastAsiaTheme="minorEastAsia" w:cs="Times New Roman"/>
          <w:sz w:val="20"/>
          <w:szCs w:val="20"/>
          <w:lang w:val="fr-CA"/>
        </w:rPr>
        <w:t xml:space="preserve"> et </w:t>
      </w:r>
      <w:r w:rsidRPr="00334822">
        <w:rPr>
          <w:rFonts w:eastAsiaTheme="minorEastAsia" w:cs="Times New Roman"/>
          <w:b/>
          <w:sz w:val="20"/>
          <w:szCs w:val="20"/>
          <w:lang w:val="fr-CA"/>
        </w:rPr>
        <w:t>Côté </w:t>
      </w:r>
      <w:r w:rsidRPr="00334822">
        <w:rPr>
          <w:rFonts w:eastAsiaTheme="minorEastAsia" w:cs="Times New Roman"/>
          <w:sz w:val="20"/>
          <w:szCs w:val="20"/>
          <w:lang w:val="fr-CA"/>
        </w:rPr>
        <w:t xml:space="preserve">: La doctrine </w:t>
      </w:r>
      <w:r w:rsidRPr="00334822">
        <w:rPr>
          <w:rFonts w:eastAsiaTheme="minorEastAsia" w:cs="Times New Roman"/>
          <w:i/>
          <w:sz w:val="20"/>
          <w:szCs w:val="20"/>
          <w:lang w:val="fr-CA"/>
        </w:rPr>
        <w:t xml:space="preserve">nunc pro </w:t>
      </w:r>
      <w:proofErr w:type="spellStart"/>
      <w:r w:rsidRPr="00334822">
        <w:rPr>
          <w:rFonts w:eastAsiaTheme="minorEastAsia" w:cs="Times New Roman"/>
          <w:i/>
          <w:sz w:val="20"/>
          <w:szCs w:val="20"/>
          <w:lang w:val="fr-CA"/>
        </w:rPr>
        <w:t>tunc</w:t>
      </w:r>
      <w:proofErr w:type="spellEnd"/>
      <w:r w:rsidRPr="00334822">
        <w:rPr>
          <w:rFonts w:eastAsiaTheme="minorEastAsia" w:cs="Times New Roman"/>
          <w:sz w:val="20"/>
          <w:szCs w:val="20"/>
          <w:lang w:val="fr-CA"/>
        </w:rPr>
        <w:t xml:space="preserve"> et celle des circonstances spéciales sont distinctes et elles doivent être abordées séparément. Les tribunaux disposent d’une compétence inhérente pour rendre des ordonnances </w:t>
      </w:r>
      <w:r w:rsidRPr="00334822">
        <w:rPr>
          <w:rFonts w:eastAsiaTheme="minorEastAsia" w:cs="Times New Roman"/>
          <w:i/>
          <w:sz w:val="20"/>
          <w:szCs w:val="20"/>
          <w:lang w:val="fr-CA"/>
        </w:rPr>
        <w:t xml:space="preserve">nunc pro </w:t>
      </w:r>
      <w:proofErr w:type="spellStart"/>
      <w:r w:rsidRPr="00334822">
        <w:rPr>
          <w:rFonts w:eastAsiaTheme="minorEastAsia" w:cs="Times New Roman"/>
          <w:i/>
          <w:sz w:val="20"/>
          <w:szCs w:val="20"/>
          <w:lang w:val="fr-CA"/>
        </w:rPr>
        <w:t>tunc</w:t>
      </w:r>
      <w:proofErr w:type="spellEnd"/>
      <w:r w:rsidRPr="00334822">
        <w:rPr>
          <w:rFonts w:eastAsiaTheme="minorEastAsia" w:cs="Times New Roman"/>
          <w:sz w:val="20"/>
          <w:szCs w:val="20"/>
          <w:lang w:val="fr-CA"/>
        </w:rPr>
        <w:t xml:space="preserve">, ce qui signifie qu’ils ont le pouvoir d’antidater leurs ordonnances. Ce pouvoir est confirmé par l’art. 59.01 </w:t>
      </w:r>
      <w:proofErr w:type="gramStart"/>
      <w:r w:rsidRPr="00334822">
        <w:rPr>
          <w:rFonts w:eastAsiaTheme="minorEastAsia" w:cs="Times New Roman"/>
          <w:sz w:val="20"/>
          <w:szCs w:val="20"/>
          <w:lang w:val="fr-CA"/>
        </w:rPr>
        <w:t>des</w:t>
      </w:r>
      <w:proofErr w:type="gramEnd"/>
      <w:r w:rsidRPr="00334822">
        <w:rPr>
          <w:rFonts w:eastAsiaTheme="minorEastAsia" w:cs="Times New Roman"/>
          <w:sz w:val="20"/>
          <w:szCs w:val="20"/>
          <w:lang w:val="fr-CA"/>
        </w:rPr>
        <w:t xml:space="preserve"> </w:t>
      </w:r>
      <w:r w:rsidRPr="00334822">
        <w:rPr>
          <w:rFonts w:eastAsiaTheme="minorEastAsia" w:cs="Times New Roman"/>
          <w:i/>
          <w:sz w:val="20"/>
          <w:szCs w:val="20"/>
          <w:lang w:val="fr-CA"/>
        </w:rPr>
        <w:t>Règles de procédure civile</w:t>
      </w:r>
      <w:r w:rsidRPr="00334822">
        <w:rPr>
          <w:rFonts w:eastAsiaTheme="minorEastAsia" w:cs="Times New Roman"/>
          <w:sz w:val="20"/>
          <w:szCs w:val="20"/>
          <w:lang w:val="fr-CA"/>
        </w:rPr>
        <w:t xml:space="preserve"> de l’Ontario. Les facteurs non exhaustifs suivants aident les tribunaux à décider d’exercer ou non leur compétence inhérente pour rendre pareille ordonnance : 1) l’ordonnance ne causera pas préjudice à la partie adverse; 2) l’ordonnance aurait été rendue si elle avait été sollicitée au moment propice, de sorte que le moment du prononcé de l’ordonnance est simplement une irrégularité; 3) l’irrégularité n’est pas intentionnelle; 4) l’ordonnance permettra effectivement d’obtenir le redressement demandé ou de remédier à l’irrégularité; 5) le retard est attribuable à un acte de la cour; 6) l’ordonnance faciliterait l’accès à la justice. Aucun de ces facteurs n’est déterminant en soi.</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Une </w:t>
      </w:r>
      <w:r w:rsidRPr="00334822">
        <w:rPr>
          <w:rFonts w:eastAsiaTheme="minorEastAsia" w:cs="Times New Roman"/>
          <w:sz w:val="20"/>
          <w:szCs w:val="20"/>
          <w:lang w:val="fr-CA"/>
        </w:rPr>
        <w:t>ordonnance</w:t>
      </w:r>
      <w:r w:rsidRPr="00334822">
        <w:rPr>
          <w:rFonts w:eastAsia="Times New Roman" w:cs="Times New Roman"/>
          <w:sz w:val="20"/>
          <w:szCs w:val="20"/>
          <w:lang w:val="fr-CA" w:eastAsia="en-CA"/>
        </w:rPr>
        <w:t xml:space="preserve"> accordant la permission d’intenter une action peut théoriquement être rendue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lorsque la permission est sollicitée avant l’expiration du délai de prescription. Toutefois, le tribunal ne devrait pas exercer sa compétence inhérente si cela aurait pour effet de miner l’objectif du délai de prescription ou de la loi en cause. Il en est ainsi parce que, comme pour toutes les doctrines et règles de </w:t>
      </w:r>
      <w:proofErr w:type="spellStart"/>
      <w:r w:rsidRPr="00334822">
        <w:rPr>
          <w:rFonts w:eastAsia="Times New Roman" w:cs="Times New Roman"/>
          <w:sz w:val="20"/>
          <w:szCs w:val="20"/>
          <w:lang w:val="fr-CA" w:eastAsia="en-CA"/>
        </w:rPr>
        <w:t>common</w:t>
      </w:r>
      <w:proofErr w:type="spellEnd"/>
      <w:r w:rsidRPr="00334822">
        <w:rPr>
          <w:rFonts w:eastAsia="Times New Roman" w:cs="Times New Roman"/>
          <w:sz w:val="20"/>
          <w:szCs w:val="20"/>
          <w:lang w:val="fr-CA" w:eastAsia="en-CA"/>
        </w:rPr>
        <w:t xml:space="preserve"> </w:t>
      </w:r>
      <w:proofErr w:type="spellStart"/>
      <w:r w:rsidRPr="00334822">
        <w:rPr>
          <w:rFonts w:eastAsia="Times New Roman" w:cs="Times New Roman"/>
          <w:sz w:val="20"/>
          <w:szCs w:val="20"/>
          <w:lang w:val="fr-CA" w:eastAsia="en-CA"/>
        </w:rPr>
        <w:t>law</w:t>
      </w:r>
      <w:proofErr w:type="spellEnd"/>
      <w:r w:rsidRPr="00334822">
        <w:rPr>
          <w:rFonts w:eastAsia="Times New Roman" w:cs="Times New Roman"/>
          <w:sz w:val="20"/>
          <w:szCs w:val="20"/>
          <w:lang w:val="fr-CA" w:eastAsia="en-CA"/>
        </w:rPr>
        <w:t xml:space="preserve">, la compétence inhérente de rendre des ordonnances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 xml:space="preserve">est circonscrite par l’intention du législateur. Aucune ordonnance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 xml:space="preserve">ne sera rendue si le libellé ou l’objet d’une loi ne l’autorise pas. Par conséquent, la compétence inhérente des tribunaux pour rendre des ordonnances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i/>
          <w:sz w:val="20"/>
          <w:szCs w:val="20"/>
          <w:lang w:val="fr-CA" w:eastAsia="en-CA"/>
        </w:rPr>
        <w:t xml:space="preserve"> </w:t>
      </w:r>
      <w:r w:rsidRPr="00334822">
        <w:rPr>
          <w:rFonts w:eastAsia="Times New Roman" w:cs="Times New Roman"/>
          <w:sz w:val="20"/>
          <w:szCs w:val="20"/>
          <w:lang w:val="fr-CA" w:eastAsia="en-CA"/>
        </w:rPr>
        <w:t xml:space="preserve">visant la permission d’intenter un recours en vertu de l’art. 138.3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 xml:space="preserve">LVM </w:t>
      </w:r>
      <w:r w:rsidRPr="00334822">
        <w:rPr>
          <w:rFonts w:eastAsia="Times New Roman" w:cs="Times New Roman"/>
          <w:sz w:val="20"/>
          <w:szCs w:val="20"/>
          <w:lang w:val="fr-CA" w:eastAsia="en-CA"/>
        </w:rPr>
        <w:t>n’est pas illimitée et doit être exercée en gardant à l’esprit que l’obligation d’obtenir la permission et son interaction avec le délai de prescription sont essentiels à l’équilibre délicat qui est au centre de la partie </w:t>
      </w:r>
      <w:r w:rsidRPr="00334822">
        <w:rPr>
          <w:rFonts w:eastAsia="Times New Roman" w:cs="Times New Roman"/>
          <w:sz w:val="20"/>
          <w:szCs w:val="20"/>
          <w:lang w:val="fr-CA" w:eastAsia="en-CA" w:bidi="en-US"/>
        </w:rPr>
        <w:t xml:space="preserve">XXIII.1 de la </w:t>
      </w:r>
      <w:r w:rsidRPr="00334822">
        <w:rPr>
          <w:rFonts w:eastAsia="Times New Roman" w:cs="Times New Roman"/>
          <w:i/>
          <w:sz w:val="20"/>
          <w:szCs w:val="20"/>
          <w:lang w:val="fr-CA" w:eastAsia="en-CA" w:bidi="en-US"/>
        </w:rPr>
        <w:t>LVM</w:t>
      </w:r>
      <w:r w:rsidRPr="00334822">
        <w:rPr>
          <w:rFonts w:eastAsia="Times New Roman" w:cs="Times New Roman"/>
          <w:sz w:val="20"/>
          <w:szCs w:val="20"/>
          <w:lang w:val="fr-CA" w:eastAsia="en-CA"/>
        </w:rPr>
        <w:t>.</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La norme qui s’applique en temps normal à la décision discrétionnaire du juge de rendre ou non une ordonnance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est celle de la déférence : si le juge a accordé suffisamment d’importance à toutes les considérations pertinentes, une cour d’appel doit s’en remettre à l’exercice du pouvoir discrétionnaire du juge de première instance. Cependant, si le juge de première instance a exercé son pouvoir discrétionnaire en se fondant sur un principe erroné, une cour d’appel peut intervenir. Dans le dossier </w:t>
      </w:r>
      <w:r w:rsidRPr="00334822">
        <w:rPr>
          <w:rFonts w:eastAsia="Times New Roman" w:cs="Times New Roman"/>
          <w:i/>
          <w:sz w:val="20"/>
          <w:szCs w:val="20"/>
          <w:lang w:val="fr-CA" w:eastAsia="en-CA"/>
        </w:rPr>
        <w:t>CIBC</w:t>
      </w:r>
      <w:r w:rsidRPr="00334822">
        <w:rPr>
          <w:rFonts w:eastAsia="Times New Roman" w:cs="Times New Roman"/>
          <w:sz w:val="20"/>
          <w:szCs w:val="20"/>
          <w:lang w:val="fr-CA" w:eastAsia="en-CA"/>
        </w:rPr>
        <w:t xml:space="preserve">, le juge des motions a conclu qu’il n’avait pas compétence pour rendre l’ordonnance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Il s’ensuit qu’il n’a pas exercé de pouvoir discrétionnaire et que la déférence n’est pas de mise. Cela dit, même s’il avait exercé telle discrétion, son analyse de la question de savoir si l’ordonnance devrait être rendue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était fondée sur un principe erroné. Dans </w:t>
      </w:r>
      <w:r w:rsidRPr="00334822">
        <w:rPr>
          <w:rFonts w:eastAsia="Times New Roman" w:cs="Times New Roman"/>
          <w:i/>
          <w:sz w:val="20"/>
          <w:szCs w:val="20"/>
          <w:lang w:val="fr-CA" w:eastAsia="en-CA"/>
        </w:rPr>
        <w:t>IMAX</w:t>
      </w:r>
      <w:r w:rsidRPr="00334822">
        <w:rPr>
          <w:rFonts w:eastAsia="Times New Roman" w:cs="Times New Roman"/>
          <w:sz w:val="20"/>
          <w:szCs w:val="20"/>
          <w:lang w:val="fr-CA" w:eastAsia="en-CA"/>
        </w:rPr>
        <w:t>, en exerçant son pouvoir discrétionnaire, la juge des motions n’a pas traité de la situation des défendeurs qui n’étaient pas parties à la déclaration originale et n’a pas non plus fait de distinction entre leur situation et celle des défendeurs initiaux. Le principe de déférence ne s’applique donc pas.</w:t>
      </w:r>
    </w:p>
    <w:p w:rsidR="00C639D1"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sz w:val="20"/>
          <w:szCs w:val="20"/>
          <w:lang w:val="fr-CA"/>
        </w:rPr>
        <w:tab/>
        <w:t xml:space="preserve">Dans </w:t>
      </w:r>
      <w:r w:rsidRPr="00334822">
        <w:rPr>
          <w:rFonts w:eastAsiaTheme="minorEastAsia" w:cs="Times New Roman"/>
          <w:i/>
          <w:sz w:val="20"/>
          <w:szCs w:val="20"/>
          <w:lang w:val="fr-CA"/>
        </w:rPr>
        <w:t>CIBC</w:t>
      </w:r>
      <w:r w:rsidRPr="00334822">
        <w:rPr>
          <w:rFonts w:eastAsiaTheme="minorEastAsia" w:cs="Times New Roman"/>
          <w:sz w:val="20"/>
          <w:szCs w:val="20"/>
          <w:lang w:val="fr-CA"/>
        </w:rPr>
        <w:t xml:space="preserve">, les </w:t>
      </w:r>
      <w:r w:rsidRPr="00334822">
        <w:rPr>
          <w:rFonts w:eastAsia="Times New Roman" w:cs="Times New Roman"/>
          <w:sz w:val="20"/>
          <w:szCs w:val="20"/>
          <w:lang w:val="fr-CA" w:eastAsia="en-CA"/>
        </w:rPr>
        <w:t>demandeurs</w:t>
      </w:r>
      <w:r w:rsidRPr="00334822">
        <w:rPr>
          <w:rFonts w:eastAsiaTheme="minorEastAsia" w:cs="Times New Roman"/>
          <w:sz w:val="20"/>
          <w:szCs w:val="20"/>
          <w:lang w:val="fr-CA"/>
        </w:rPr>
        <w:t xml:space="preserve"> étaient conscients de la nécessité d’obtenir la permission, mais ils ont fait le choix de ne pas procéder plus rapidement avec leur requête pour permission, tenant pour acquis que le tribunal avait compétence pour proroger le délai de prescription et qu’il exercerait son pouvoir discrétionnaire en leur faveur en leur accordant la permission </w:t>
      </w:r>
      <w:r w:rsidRPr="00334822">
        <w:rPr>
          <w:rFonts w:eastAsiaTheme="minorEastAsia" w:cs="Times New Roman"/>
          <w:i/>
          <w:sz w:val="20"/>
          <w:szCs w:val="20"/>
          <w:lang w:val="fr-CA"/>
        </w:rPr>
        <w:t xml:space="preserve">nunc pro </w:t>
      </w:r>
      <w:proofErr w:type="spellStart"/>
      <w:r w:rsidRPr="00334822">
        <w:rPr>
          <w:rFonts w:eastAsiaTheme="minorEastAsia" w:cs="Times New Roman"/>
          <w:i/>
          <w:sz w:val="20"/>
          <w:szCs w:val="20"/>
          <w:lang w:val="fr-CA"/>
        </w:rPr>
        <w:t>tunc</w:t>
      </w:r>
      <w:proofErr w:type="spellEnd"/>
      <w:r w:rsidRPr="00334822">
        <w:rPr>
          <w:rFonts w:eastAsiaTheme="minorEastAsia" w:cs="Times New Roman"/>
          <w:sz w:val="20"/>
          <w:szCs w:val="20"/>
          <w:lang w:val="fr-CA"/>
        </w:rPr>
        <w:t xml:space="preserve">. En l’espèce, prononcer une ordonnance </w:t>
      </w:r>
      <w:r w:rsidRPr="00334822">
        <w:rPr>
          <w:rFonts w:eastAsiaTheme="minorEastAsia" w:cs="Times New Roman"/>
          <w:i/>
          <w:sz w:val="20"/>
          <w:szCs w:val="20"/>
          <w:lang w:val="fr-CA"/>
        </w:rPr>
        <w:t xml:space="preserve">nunc pro </w:t>
      </w:r>
      <w:proofErr w:type="spellStart"/>
      <w:r w:rsidRPr="00334822">
        <w:rPr>
          <w:rFonts w:eastAsiaTheme="minorEastAsia" w:cs="Times New Roman"/>
          <w:i/>
          <w:sz w:val="20"/>
          <w:szCs w:val="20"/>
          <w:lang w:val="fr-CA"/>
        </w:rPr>
        <w:t>tunc</w:t>
      </w:r>
      <w:proofErr w:type="spellEnd"/>
      <w:r w:rsidRPr="00334822">
        <w:rPr>
          <w:rFonts w:eastAsiaTheme="minorEastAsia" w:cs="Times New Roman"/>
          <w:sz w:val="20"/>
          <w:szCs w:val="20"/>
          <w:lang w:val="fr-CA"/>
        </w:rPr>
        <w:t xml:space="preserve"> même si les demandeurs n’ont absolument rien fait pour prévenir l’expiration du délai de prescription aurait pour conséquence de passer outre à l’intention du législateur. </w:t>
      </w:r>
    </w:p>
    <w:p w:rsidR="00C639D1"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sz w:val="20"/>
          <w:szCs w:val="20"/>
          <w:lang w:val="fr-CA"/>
        </w:rPr>
        <w:tab/>
        <w:t xml:space="preserve">Dans </w:t>
      </w:r>
      <w:r w:rsidRPr="00334822">
        <w:rPr>
          <w:rFonts w:eastAsiaTheme="minorEastAsia" w:cs="Times New Roman"/>
          <w:i/>
          <w:sz w:val="20"/>
          <w:szCs w:val="20"/>
          <w:lang w:val="fr-CA"/>
        </w:rPr>
        <w:t>IMAX</w:t>
      </w:r>
      <w:r w:rsidRPr="00334822">
        <w:rPr>
          <w:rFonts w:eastAsiaTheme="minorEastAsia" w:cs="Times New Roman"/>
          <w:sz w:val="20"/>
          <w:szCs w:val="20"/>
          <w:lang w:val="fr-CA"/>
        </w:rPr>
        <w:t xml:space="preserve">, la juge des motions a exercé correctement son pouvoir discrétionnaire en rendant l’ordonnance </w:t>
      </w:r>
      <w:r w:rsidRPr="00334822">
        <w:rPr>
          <w:rFonts w:eastAsiaTheme="minorEastAsia" w:cs="Times New Roman"/>
          <w:i/>
          <w:sz w:val="20"/>
          <w:szCs w:val="20"/>
          <w:lang w:val="fr-CA"/>
        </w:rPr>
        <w:t xml:space="preserve">nunc pro </w:t>
      </w:r>
      <w:proofErr w:type="spellStart"/>
      <w:r w:rsidRPr="00334822">
        <w:rPr>
          <w:rFonts w:eastAsiaTheme="minorEastAsia" w:cs="Times New Roman"/>
          <w:i/>
          <w:sz w:val="20"/>
          <w:szCs w:val="20"/>
          <w:lang w:val="fr-CA"/>
        </w:rPr>
        <w:t>tunc</w:t>
      </w:r>
      <w:proofErr w:type="spellEnd"/>
      <w:r w:rsidRPr="00334822">
        <w:rPr>
          <w:rFonts w:eastAsiaTheme="minorEastAsia" w:cs="Times New Roman"/>
          <w:sz w:val="20"/>
          <w:szCs w:val="20"/>
          <w:lang w:val="fr-CA"/>
        </w:rPr>
        <w:t xml:space="preserve"> à l’endroit des défendeurs </w:t>
      </w:r>
      <w:proofErr w:type="gramStart"/>
      <w:r w:rsidRPr="00334822">
        <w:rPr>
          <w:rFonts w:eastAsiaTheme="minorEastAsia" w:cs="Times New Roman"/>
          <w:sz w:val="20"/>
          <w:szCs w:val="20"/>
          <w:lang w:val="fr-CA"/>
        </w:rPr>
        <w:t>parties</w:t>
      </w:r>
      <w:proofErr w:type="gramEnd"/>
      <w:r w:rsidRPr="00334822">
        <w:rPr>
          <w:rFonts w:eastAsiaTheme="minorEastAsia" w:cs="Times New Roman"/>
          <w:sz w:val="20"/>
          <w:szCs w:val="20"/>
          <w:lang w:val="fr-CA"/>
        </w:rPr>
        <w:t xml:space="preserve"> à la déclaration initiale. Cependant, dans le cas des autres défendeurs, qui n’étaient parties à aucune instance pendante lorsque le débat sur la demande de permission s’est terminé, les demandeurs, ayant attendu plus de deux ans après l’octroi de la permission avant de déposer une première déclaration contre eux à titre de défendeurs et n’ayant fourni aucune explication valable pour ce délai, on ne peut assurément pas dire qu’ils ont fait preuve de diligence. Accorder un redressement aux demandeurs aux dépens de ces défendeurs minerait le délai de prescription strict établi à l’art. 138.14 </w:t>
      </w:r>
      <w:proofErr w:type="gramStart"/>
      <w:r w:rsidRPr="00334822">
        <w:rPr>
          <w:rFonts w:eastAsiaTheme="minorEastAsia" w:cs="Times New Roman"/>
          <w:sz w:val="20"/>
          <w:szCs w:val="20"/>
          <w:lang w:val="fr-CA"/>
        </w:rPr>
        <w:t>de</w:t>
      </w:r>
      <w:proofErr w:type="gramEnd"/>
      <w:r w:rsidRPr="00334822">
        <w:rPr>
          <w:rFonts w:eastAsiaTheme="minorEastAsia" w:cs="Times New Roman"/>
          <w:sz w:val="20"/>
          <w:szCs w:val="20"/>
          <w:lang w:val="fr-CA"/>
        </w:rPr>
        <w:t xml:space="preserve"> la </w:t>
      </w:r>
      <w:r w:rsidRPr="00334822">
        <w:rPr>
          <w:rFonts w:eastAsiaTheme="minorEastAsia" w:cs="Times New Roman"/>
          <w:i/>
          <w:sz w:val="20"/>
          <w:szCs w:val="20"/>
          <w:lang w:val="fr-CA"/>
        </w:rPr>
        <w:t xml:space="preserve">LVM </w:t>
      </w:r>
      <w:r w:rsidRPr="00334822">
        <w:rPr>
          <w:rFonts w:eastAsiaTheme="minorEastAsia" w:cs="Times New Roman"/>
          <w:sz w:val="20"/>
          <w:szCs w:val="20"/>
          <w:lang w:val="fr-CA"/>
        </w:rPr>
        <w:t>et compromettrait l’équilibre établi par la loi.</w:t>
      </w:r>
    </w:p>
    <w:p w:rsidR="00C639D1"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heme="minorEastAsia" w:cs="Times New Roman"/>
          <w:sz w:val="20"/>
          <w:szCs w:val="20"/>
          <w:lang w:val="fr-CA"/>
        </w:rPr>
        <w:tab/>
        <w:t>Dans</w:t>
      </w:r>
      <w:r w:rsidRPr="00334822">
        <w:rPr>
          <w:rFonts w:eastAsia="Times New Roman" w:cs="Times New Roman"/>
          <w:sz w:val="20"/>
          <w:szCs w:val="20"/>
          <w:lang w:val="fr-CA" w:eastAsia="en-CA"/>
        </w:rPr>
        <w:t xml:space="preserve"> </w:t>
      </w:r>
      <w:proofErr w:type="spellStart"/>
      <w:r w:rsidRPr="00334822">
        <w:rPr>
          <w:rFonts w:eastAsia="Times New Roman" w:cs="Times New Roman"/>
          <w:i/>
          <w:sz w:val="20"/>
          <w:szCs w:val="20"/>
          <w:lang w:val="fr-CA" w:eastAsia="en-CA"/>
        </w:rPr>
        <w:t>Celestica</w:t>
      </w:r>
      <w:proofErr w:type="spellEnd"/>
      <w:r w:rsidRPr="00334822">
        <w:rPr>
          <w:rFonts w:eastAsia="Times New Roman" w:cs="Times New Roman"/>
          <w:sz w:val="20"/>
          <w:szCs w:val="20"/>
          <w:lang w:val="fr-CA" w:eastAsia="en-CA"/>
        </w:rPr>
        <w:t xml:space="preserve">, aucune requête pour permission n’a été déposée avant l’expiration du délai de prescription. Ainsi, une ordonnance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ne pourrait remédier à cette expiration. Cette raison suffit pour refuser de rendre une telle ordonnance.</w:t>
      </w:r>
    </w:p>
    <w:p w:rsidR="00C639D1"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heme="minorEastAsia" w:cs="Times New Roman"/>
          <w:sz w:val="20"/>
          <w:szCs w:val="20"/>
          <w:lang w:val="fr-CA"/>
        </w:rPr>
        <w:tab/>
        <w:t>La</w:t>
      </w:r>
      <w:r w:rsidRPr="00334822">
        <w:rPr>
          <w:rFonts w:eastAsia="Times New Roman" w:cs="Times New Roman"/>
          <w:sz w:val="20"/>
          <w:szCs w:val="20"/>
          <w:lang w:val="fr-CA" w:eastAsia="en-CA"/>
        </w:rPr>
        <w:t xml:space="preserve"> doctrine des circonstances spéciales autorise le tribunal à modérer les effets potentiellement sévères et injustes des délais de prescription en permettant à un demandeur d’ajouter une cause d’action ou une partie à sa déclaration après l’expiration du délai de prescription applicable. Les circonstances justifiant une telle modification se présentent rarement. Dans le cas d’actions statutaires intentées en application de l’art. 138.3 de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le législateur a expressément prévu l’impossibilité pour un demandeur d’intenter un tel recours sans avoir d’abord obtenu la permission du tribunal. Par conséquent, la doctrine des circonstances spéciales n’est d’aucune utilité pour l’un ou l’autre des demandeurs dans les trois présents dossiers. On ne peut faire obstacle au délai prescrit à l’art. 138.14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 xml:space="preserve"> ou à la permission exigée à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cette loi en amendant les actes de procédure pour y inclure le recours de l’art. 138.3. Cette doctrine ne permet donc pas aux demandeurs d’obtenir un redressement efficace, car elle ne peut contrer à elle seule l’exigence de permission prévue par l’art. 138.8 </w:t>
      </w:r>
      <w:proofErr w:type="gramStart"/>
      <w:r w:rsidRPr="00334822">
        <w:rPr>
          <w:rFonts w:eastAsia="Times New Roman" w:cs="Times New Roman"/>
          <w:sz w:val="20"/>
          <w:szCs w:val="20"/>
          <w:lang w:val="fr-CA" w:eastAsia="en-CA"/>
        </w:rPr>
        <w:t>de</w:t>
      </w:r>
      <w:proofErr w:type="gramEnd"/>
      <w:r w:rsidRPr="00334822">
        <w:rPr>
          <w:rFonts w:eastAsia="Times New Roman" w:cs="Times New Roman"/>
          <w:sz w:val="20"/>
          <w:szCs w:val="20"/>
          <w:lang w:val="fr-CA" w:eastAsia="en-CA"/>
        </w:rPr>
        <w:t xml:space="preserve"> la </w:t>
      </w:r>
      <w:r w:rsidRPr="00334822">
        <w:rPr>
          <w:rFonts w:eastAsia="Times New Roman" w:cs="Times New Roman"/>
          <w:i/>
          <w:sz w:val="20"/>
          <w:szCs w:val="20"/>
          <w:lang w:val="fr-CA" w:eastAsia="en-CA"/>
        </w:rPr>
        <w:t>LVM</w:t>
      </w:r>
      <w:r w:rsidRPr="00334822">
        <w:rPr>
          <w:rFonts w:eastAsia="Times New Roman" w:cs="Times New Roman"/>
          <w:sz w:val="20"/>
          <w:szCs w:val="20"/>
          <w:lang w:val="fr-CA" w:eastAsia="en-CA"/>
        </w:rPr>
        <w:t>.</w:t>
      </w:r>
    </w:p>
    <w:p w:rsidR="00C639D1" w:rsidRDefault="00C639D1" w:rsidP="00334822">
      <w:pPr>
        <w:tabs>
          <w:tab w:val="left" w:pos="1168"/>
        </w:tabs>
        <w:jc w:val="both"/>
        <w:rPr>
          <w:rFonts w:eastAsia="Times New Roman" w:cs="Times New Roman"/>
          <w:i/>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i/>
          <w:sz w:val="20"/>
          <w:szCs w:val="20"/>
          <w:lang w:val="fr-CA" w:eastAsia="en-CA"/>
        </w:rPr>
        <w:tab/>
        <w:t xml:space="preserve">Le </w:t>
      </w:r>
      <w:r w:rsidRPr="00334822">
        <w:rPr>
          <w:rFonts w:eastAsia="Times New Roman" w:cs="Times New Roman"/>
          <w:sz w:val="20"/>
          <w:szCs w:val="20"/>
          <w:lang w:val="fr-CA" w:eastAsia="en-CA"/>
        </w:rPr>
        <w:t xml:space="preserve">juge </w:t>
      </w:r>
      <w:r w:rsidRPr="00334822">
        <w:rPr>
          <w:rFonts w:eastAsia="Times New Roman" w:cs="Times New Roman"/>
          <w:b/>
          <w:sz w:val="20"/>
          <w:szCs w:val="20"/>
          <w:lang w:val="fr-CA" w:eastAsia="en-CA"/>
        </w:rPr>
        <w:t>Cromwell </w:t>
      </w:r>
      <w:r w:rsidRPr="00334822">
        <w:rPr>
          <w:rFonts w:eastAsia="Times New Roman" w:cs="Times New Roman"/>
          <w:sz w:val="20"/>
          <w:szCs w:val="20"/>
          <w:lang w:val="fr-CA" w:eastAsia="en-CA"/>
        </w:rPr>
        <w:t xml:space="preserve">: Il y a accord avec les motifs de la juge Côté quant au </w:t>
      </w:r>
      <w:r w:rsidRPr="00334822">
        <w:rPr>
          <w:rFonts w:eastAsiaTheme="minorEastAsia" w:cs="Times New Roman"/>
          <w:sz w:val="20"/>
          <w:szCs w:val="20"/>
          <w:lang w:val="fr-CA"/>
        </w:rPr>
        <w:t>pouvoir</w:t>
      </w:r>
      <w:r w:rsidRPr="00334822">
        <w:rPr>
          <w:rFonts w:eastAsia="Times New Roman" w:cs="Times New Roman"/>
          <w:sz w:val="20"/>
          <w:szCs w:val="20"/>
          <w:lang w:val="fr-CA" w:eastAsia="en-CA"/>
        </w:rPr>
        <w:t xml:space="preserve"> discrétionnaire des tribunaux d’accorder, après l’expiration de ce délai, l’autorisation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d’exercer un recours conféré par la loi pour présentation inexacte des faits sur le marché secondaire.</w:t>
      </w:r>
    </w:p>
    <w:p w:rsidR="00C639D1" w:rsidRDefault="00C639D1" w:rsidP="00334822">
      <w:pPr>
        <w:tabs>
          <w:tab w:val="left" w:pos="1168"/>
        </w:tabs>
        <w:jc w:val="both"/>
        <w:rPr>
          <w:rFonts w:eastAsiaTheme="minorEastAsia" w:cs="Times New Roman"/>
          <w:sz w:val="20"/>
          <w:szCs w:val="20"/>
          <w:lang w:val="fr-CA"/>
        </w:rPr>
      </w:pPr>
    </w:p>
    <w:p w:rsidR="00334822" w:rsidRPr="00334822" w:rsidRDefault="00334822" w:rsidP="00334822">
      <w:pPr>
        <w:tabs>
          <w:tab w:val="left" w:pos="1168"/>
        </w:tabs>
        <w:jc w:val="both"/>
        <w:rPr>
          <w:rFonts w:eastAsiaTheme="minorEastAsia" w:cs="Times New Roman"/>
          <w:sz w:val="20"/>
          <w:szCs w:val="20"/>
          <w:lang w:val="fr-CA"/>
        </w:rPr>
      </w:pPr>
      <w:r w:rsidRPr="00334822">
        <w:rPr>
          <w:rFonts w:eastAsiaTheme="minorEastAsia" w:cs="Times New Roman"/>
          <w:sz w:val="20"/>
          <w:szCs w:val="20"/>
          <w:lang w:val="fr-CA"/>
        </w:rPr>
        <w:tab/>
        <w:t xml:space="preserve">Dans </w:t>
      </w:r>
      <w:r w:rsidRPr="00334822">
        <w:rPr>
          <w:rFonts w:eastAsiaTheme="minorEastAsia" w:cs="Times New Roman"/>
          <w:i/>
          <w:sz w:val="20"/>
          <w:szCs w:val="20"/>
          <w:lang w:val="fr-CA"/>
        </w:rPr>
        <w:t>CIBC</w:t>
      </w:r>
      <w:r w:rsidRPr="00334822">
        <w:rPr>
          <w:rFonts w:eastAsiaTheme="minorEastAsia" w:cs="Times New Roman"/>
          <w:sz w:val="20"/>
          <w:szCs w:val="20"/>
          <w:lang w:val="fr-CA"/>
        </w:rPr>
        <w:t xml:space="preserve">, le juge des motions se trouvait donc dans une situation idéale pour évaluer </w:t>
      </w:r>
      <w:r w:rsidRPr="00334822">
        <w:rPr>
          <w:rFonts w:eastAsia="Times New Roman" w:cs="Times New Roman"/>
          <w:sz w:val="20"/>
          <w:szCs w:val="20"/>
          <w:lang w:val="fr-CA" w:eastAsia="en-CA"/>
        </w:rPr>
        <w:t>et</w:t>
      </w:r>
      <w:r w:rsidRPr="00334822">
        <w:rPr>
          <w:rFonts w:eastAsiaTheme="minorEastAsia" w:cs="Times New Roman"/>
          <w:sz w:val="20"/>
          <w:szCs w:val="20"/>
          <w:lang w:val="fr-CA"/>
        </w:rPr>
        <w:t xml:space="preserve"> soupeser l’ensemble des multiples considérations se rapportant au point de savoir si le tribunal doit exercer son pouvoir discrétionnaire en faveur des demandeurs. Il faut faire preuve de déférence en appel à l’égard de son analyse de ces considérations et du poids à leur attribuer. Il n’y a aucune erreur dans les principes que le juge des motions a appliqués, les facteurs qu’il a jugés pertinents ou son appréciation de la preuve. Il n’existe donc aucune raison de modifier sa conclusion qu’il y a lieu en l’espèce d’exercer le pouvoir discrétionnaire </w:t>
      </w:r>
      <w:r w:rsidRPr="00334822">
        <w:rPr>
          <w:rFonts w:eastAsiaTheme="minorEastAsia" w:cs="Times New Roman"/>
          <w:i/>
          <w:sz w:val="20"/>
          <w:szCs w:val="20"/>
          <w:lang w:val="fr-CA"/>
        </w:rPr>
        <w:t xml:space="preserve">nunc pro </w:t>
      </w:r>
      <w:proofErr w:type="spellStart"/>
      <w:r w:rsidRPr="00334822">
        <w:rPr>
          <w:rFonts w:eastAsiaTheme="minorEastAsia" w:cs="Times New Roman"/>
          <w:i/>
          <w:sz w:val="20"/>
          <w:szCs w:val="20"/>
          <w:lang w:val="fr-CA"/>
        </w:rPr>
        <w:t>tunc</w:t>
      </w:r>
      <w:proofErr w:type="spellEnd"/>
      <w:r w:rsidRPr="00334822">
        <w:rPr>
          <w:rFonts w:eastAsiaTheme="minorEastAsia" w:cs="Times New Roman"/>
          <w:sz w:val="20"/>
          <w:szCs w:val="20"/>
          <w:lang w:val="fr-CA"/>
        </w:rPr>
        <w:t xml:space="preserve"> en faveur des demandeurs.</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La juge des motions dans </w:t>
      </w:r>
      <w:r w:rsidRPr="00334822">
        <w:rPr>
          <w:rFonts w:eastAsia="Times New Roman" w:cs="Times New Roman"/>
          <w:i/>
          <w:sz w:val="20"/>
          <w:szCs w:val="20"/>
          <w:lang w:val="fr-CA" w:eastAsia="en-CA"/>
        </w:rPr>
        <w:t>IMAX</w:t>
      </w:r>
      <w:r w:rsidRPr="00334822">
        <w:rPr>
          <w:rFonts w:eastAsia="Times New Roman" w:cs="Times New Roman"/>
          <w:sz w:val="20"/>
          <w:szCs w:val="20"/>
          <w:lang w:val="fr-CA" w:eastAsia="en-CA"/>
        </w:rPr>
        <w:t xml:space="preserve"> a également eu raison d’exercer son pouvoir discrétionnaire </w:t>
      </w:r>
      <w:r w:rsidRPr="00334822">
        <w:rPr>
          <w:rFonts w:eastAsia="Times New Roman" w:cs="Times New Roman"/>
          <w:i/>
          <w:sz w:val="20"/>
          <w:szCs w:val="20"/>
          <w:lang w:val="fr-CA" w:eastAsia="en-CA"/>
        </w:rPr>
        <w:t xml:space="preserve">nunc pro </w:t>
      </w:r>
      <w:proofErr w:type="spellStart"/>
      <w:r w:rsidRPr="00334822">
        <w:rPr>
          <w:rFonts w:eastAsia="Times New Roman" w:cs="Times New Roman"/>
          <w:i/>
          <w:sz w:val="20"/>
          <w:szCs w:val="20"/>
          <w:lang w:val="fr-CA" w:eastAsia="en-CA"/>
        </w:rPr>
        <w:t>tunc</w:t>
      </w:r>
      <w:proofErr w:type="spellEnd"/>
      <w:r w:rsidRPr="00334822">
        <w:rPr>
          <w:rFonts w:eastAsia="Times New Roman" w:cs="Times New Roman"/>
          <w:sz w:val="20"/>
          <w:szCs w:val="20"/>
          <w:lang w:val="fr-CA" w:eastAsia="en-CA"/>
        </w:rPr>
        <w:t xml:space="preserve">. La juge des motions connaissait fort bien l’évolution de ce dossier dont elle s’est occupée pendant des années. Il n’existe aucune raison de modifier son évaluation du caractère équitable de la situation ou de la diligence des demandeurs.  </w:t>
      </w:r>
    </w:p>
    <w:p w:rsidR="00C639D1" w:rsidRDefault="00C639D1" w:rsidP="00334822">
      <w:pPr>
        <w:tabs>
          <w:tab w:val="left" w:pos="1168"/>
        </w:tabs>
        <w:jc w:val="both"/>
        <w:rPr>
          <w:rFonts w:eastAsia="Times New Roman" w:cs="Times New Roman"/>
          <w:sz w:val="20"/>
          <w:szCs w:val="20"/>
          <w:lang w:val="fr-CA" w:eastAsia="en-CA"/>
        </w:rPr>
      </w:pPr>
    </w:p>
    <w:p w:rsidR="00334822" w:rsidRPr="00334822" w:rsidRDefault="00334822" w:rsidP="00334822">
      <w:pPr>
        <w:tabs>
          <w:tab w:val="left" w:pos="1168"/>
        </w:tabs>
        <w:jc w:val="both"/>
        <w:rPr>
          <w:rFonts w:eastAsia="Times New Roman" w:cs="Times New Roman"/>
          <w:sz w:val="20"/>
          <w:szCs w:val="20"/>
          <w:lang w:val="fr-CA" w:eastAsia="en-CA"/>
        </w:rPr>
      </w:pPr>
      <w:r w:rsidRPr="00334822">
        <w:rPr>
          <w:rFonts w:eastAsia="Times New Roman" w:cs="Times New Roman"/>
          <w:sz w:val="20"/>
          <w:szCs w:val="20"/>
          <w:lang w:val="fr-CA" w:eastAsia="en-CA"/>
        </w:rPr>
        <w:tab/>
        <w:t xml:space="preserve">Il y a accord avec les conclusions de la juge Côté dans </w:t>
      </w:r>
      <w:proofErr w:type="spellStart"/>
      <w:r w:rsidRPr="00334822">
        <w:rPr>
          <w:rFonts w:eastAsia="Times New Roman" w:cs="Times New Roman"/>
          <w:i/>
          <w:sz w:val="20"/>
          <w:szCs w:val="20"/>
          <w:lang w:val="fr-CA" w:eastAsia="en-CA"/>
        </w:rPr>
        <w:t>Celestica</w:t>
      </w:r>
      <w:proofErr w:type="spellEnd"/>
      <w:r w:rsidRPr="00334822">
        <w:rPr>
          <w:rFonts w:eastAsia="Times New Roman" w:cs="Times New Roman"/>
          <w:sz w:val="20"/>
          <w:szCs w:val="20"/>
          <w:lang w:val="fr-CA" w:eastAsia="en-CA"/>
        </w:rPr>
        <w:t xml:space="preserve">. </w:t>
      </w:r>
    </w:p>
    <w:p w:rsidR="0052229C" w:rsidRPr="00C639D1" w:rsidRDefault="0052229C" w:rsidP="00C639D1">
      <w:pPr>
        <w:pStyle w:val="SCCNormalDoubleSpacing"/>
        <w:spacing w:line="240" w:lineRule="auto"/>
        <w:rPr>
          <w:sz w:val="20"/>
          <w:lang w:val="fr-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eastAsia="en-CA"/>
        </w:rPr>
        <w:tab/>
        <w:t xml:space="preserve">POURVOIS </w:t>
      </w:r>
      <w:proofErr w:type="spellStart"/>
      <w:r w:rsidRPr="00C639D1">
        <w:rPr>
          <w:rFonts w:eastAsia="Times New Roman" w:cs="Times New Roman"/>
          <w:sz w:val="20"/>
          <w:szCs w:val="20"/>
          <w:lang w:eastAsia="en-CA"/>
        </w:rPr>
        <w:t>contre</w:t>
      </w:r>
      <w:proofErr w:type="spellEnd"/>
      <w:r w:rsidRPr="00C639D1">
        <w:rPr>
          <w:rFonts w:eastAsia="Times New Roman" w:cs="Times New Roman"/>
          <w:sz w:val="20"/>
          <w:szCs w:val="20"/>
          <w:lang w:eastAsia="en-CA"/>
        </w:rPr>
        <w:t xml:space="preserve"> un </w:t>
      </w:r>
      <w:proofErr w:type="spellStart"/>
      <w:r w:rsidRPr="00C639D1">
        <w:rPr>
          <w:rFonts w:eastAsia="Times New Roman" w:cs="Times New Roman"/>
          <w:sz w:val="20"/>
          <w:szCs w:val="20"/>
          <w:lang w:eastAsia="en-CA"/>
        </w:rPr>
        <w:t>arrêt</w:t>
      </w:r>
      <w:proofErr w:type="spellEnd"/>
      <w:r w:rsidRPr="00C639D1">
        <w:rPr>
          <w:rFonts w:eastAsia="Times New Roman" w:cs="Times New Roman"/>
          <w:sz w:val="20"/>
          <w:szCs w:val="20"/>
          <w:lang w:eastAsia="en-CA"/>
        </w:rPr>
        <w:t xml:space="preserve"> de la </w:t>
      </w:r>
      <w:proofErr w:type="spellStart"/>
      <w:r w:rsidRPr="00C639D1">
        <w:rPr>
          <w:rFonts w:eastAsia="Times New Roman" w:cs="Times New Roman"/>
          <w:sz w:val="20"/>
          <w:szCs w:val="20"/>
          <w:lang w:eastAsia="en-CA"/>
        </w:rPr>
        <w:t>Cour</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d’appel</w:t>
      </w:r>
      <w:proofErr w:type="spellEnd"/>
      <w:r w:rsidRPr="00C639D1">
        <w:rPr>
          <w:rFonts w:eastAsia="Times New Roman" w:cs="Times New Roman"/>
          <w:sz w:val="20"/>
          <w:szCs w:val="20"/>
          <w:lang w:eastAsia="en-CA"/>
        </w:rPr>
        <w:t xml:space="preserve"> de </w:t>
      </w:r>
      <w:proofErr w:type="spellStart"/>
      <w:r w:rsidRPr="00C639D1">
        <w:rPr>
          <w:rFonts w:eastAsia="Times New Roman" w:cs="Times New Roman"/>
          <w:sz w:val="20"/>
          <w:szCs w:val="20"/>
          <w:lang w:eastAsia="en-CA"/>
        </w:rPr>
        <w:t>l’Ontario</w:t>
      </w:r>
      <w:proofErr w:type="spellEnd"/>
      <w:r w:rsidRPr="00C639D1">
        <w:rPr>
          <w:rFonts w:eastAsia="Times New Roman" w:cs="Times New Roman"/>
          <w:sz w:val="20"/>
          <w:szCs w:val="20"/>
          <w:lang w:eastAsia="en-CA"/>
        </w:rPr>
        <w:t xml:space="preserve"> (les </w:t>
      </w:r>
      <w:proofErr w:type="spellStart"/>
      <w:r w:rsidRPr="00C639D1">
        <w:rPr>
          <w:rFonts w:eastAsia="Times New Roman" w:cs="Times New Roman"/>
          <w:sz w:val="20"/>
          <w:szCs w:val="20"/>
          <w:lang w:eastAsia="en-CA"/>
        </w:rPr>
        <w:t>juges</w:t>
      </w:r>
      <w:proofErr w:type="spellEnd"/>
      <w:r w:rsidRPr="00C639D1">
        <w:rPr>
          <w:rFonts w:eastAsia="Times New Roman" w:cs="Times New Roman"/>
          <w:sz w:val="20"/>
          <w:szCs w:val="20"/>
          <w:lang w:eastAsia="en-CA"/>
        </w:rPr>
        <w:t xml:space="preserve"> Doherty, Feldman, Cronk, Blair et </w:t>
      </w:r>
      <w:proofErr w:type="spellStart"/>
      <w:r w:rsidRPr="00C639D1">
        <w:rPr>
          <w:rFonts w:eastAsia="Times New Roman" w:cs="Times New Roman"/>
          <w:sz w:val="20"/>
          <w:szCs w:val="20"/>
          <w:lang w:eastAsia="en-CA"/>
        </w:rPr>
        <w:t>Juriansz</w:t>
      </w:r>
      <w:proofErr w:type="spellEnd"/>
      <w:r w:rsidRPr="00C639D1">
        <w:rPr>
          <w:rFonts w:eastAsia="Times New Roman" w:cs="Times New Roman"/>
          <w:sz w:val="20"/>
          <w:szCs w:val="20"/>
          <w:lang w:eastAsia="en-CA"/>
        </w:rPr>
        <w:t xml:space="preserve">), 2014 ONCA 90, 370 D.L.R. (4th) 402, 118 O.R. (3d) 641, 314 O.A.C. 315, 50 C.P.C. (7th) 113, [2014] O.J. No. 419 (QL), 2014 </w:t>
      </w:r>
      <w:proofErr w:type="spellStart"/>
      <w:r w:rsidRPr="00C639D1">
        <w:rPr>
          <w:rFonts w:eastAsia="Times New Roman" w:cs="Times New Roman"/>
          <w:sz w:val="20"/>
          <w:szCs w:val="20"/>
          <w:lang w:eastAsia="en-CA"/>
        </w:rPr>
        <w:t>CarswellOnt</w:t>
      </w:r>
      <w:proofErr w:type="spellEnd"/>
      <w:r w:rsidRPr="00C639D1">
        <w:rPr>
          <w:rFonts w:eastAsia="Times New Roman" w:cs="Times New Roman"/>
          <w:sz w:val="20"/>
          <w:szCs w:val="20"/>
          <w:lang w:eastAsia="en-CA"/>
        </w:rPr>
        <w:t xml:space="preserve"> 1143 (WL Can.); qui a </w:t>
      </w:r>
      <w:proofErr w:type="spellStart"/>
      <w:r w:rsidRPr="00C639D1">
        <w:rPr>
          <w:rFonts w:eastAsia="Times New Roman" w:cs="Times New Roman"/>
          <w:sz w:val="20"/>
          <w:szCs w:val="20"/>
          <w:lang w:eastAsia="en-CA"/>
        </w:rPr>
        <w:t>infirmé</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une</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décision</w:t>
      </w:r>
      <w:proofErr w:type="spellEnd"/>
      <w:r w:rsidRPr="00C639D1">
        <w:rPr>
          <w:rFonts w:eastAsia="Times New Roman" w:cs="Times New Roman"/>
          <w:sz w:val="20"/>
          <w:szCs w:val="20"/>
          <w:lang w:eastAsia="en-CA"/>
        </w:rPr>
        <w:t xml:space="preserve"> du </w:t>
      </w:r>
      <w:proofErr w:type="spellStart"/>
      <w:r w:rsidRPr="00C639D1">
        <w:rPr>
          <w:rFonts w:eastAsia="Times New Roman" w:cs="Times New Roman"/>
          <w:sz w:val="20"/>
          <w:szCs w:val="20"/>
          <w:lang w:eastAsia="en-CA"/>
        </w:rPr>
        <w:t>juge</w:t>
      </w:r>
      <w:proofErr w:type="spellEnd"/>
      <w:r w:rsidRPr="00C639D1">
        <w:rPr>
          <w:rFonts w:eastAsia="Times New Roman" w:cs="Times New Roman"/>
          <w:sz w:val="20"/>
          <w:szCs w:val="20"/>
          <w:lang w:eastAsia="en-CA"/>
        </w:rPr>
        <w:t xml:space="preserve"> Strathy, 2012 ONSC 3637, 29 C.P.C. (7th) 225, [2012] O.J. No. 3072 (QL), 2012 </w:t>
      </w:r>
      <w:proofErr w:type="spellStart"/>
      <w:r w:rsidRPr="00C639D1">
        <w:rPr>
          <w:rFonts w:eastAsia="Times New Roman" w:cs="Times New Roman"/>
          <w:sz w:val="20"/>
          <w:szCs w:val="20"/>
          <w:lang w:eastAsia="en-CA"/>
        </w:rPr>
        <w:t>CarswellOnt</w:t>
      </w:r>
      <w:proofErr w:type="spellEnd"/>
      <w:r w:rsidRPr="00C639D1">
        <w:rPr>
          <w:rFonts w:eastAsia="Times New Roman" w:cs="Times New Roman"/>
          <w:sz w:val="20"/>
          <w:szCs w:val="20"/>
          <w:lang w:eastAsia="en-CA"/>
        </w:rPr>
        <w:t xml:space="preserve"> 8382 (WL Can.); qui a </w:t>
      </w:r>
      <w:proofErr w:type="spellStart"/>
      <w:r w:rsidRPr="00C639D1">
        <w:rPr>
          <w:rFonts w:eastAsia="Times New Roman" w:cs="Times New Roman"/>
          <w:sz w:val="20"/>
          <w:szCs w:val="20"/>
          <w:lang w:eastAsia="en-CA"/>
        </w:rPr>
        <w:t>confirmé</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une</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décision</w:t>
      </w:r>
      <w:proofErr w:type="spellEnd"/>
      <w:r w:rsidRPr="00C639D1">
        <w:rPr>
          <w:rFonts w:eastAsia="Times New Roman" w:cs="Times New Roman"/>
          <w:sz w:val="20"/>
          <w:szCs w:val="20"/>
          <w:lang w:eastAsia="en-CA"/>
        </w:rPr>
        <w:t xml:space="preserve"> de la </w:t>
      </w:r>
      <w:proofErr w:type="spellStart"/>
      <w:r w:rsidRPr="00C639D1">
        <w:rPr>
          <w:rFonts w:eastAsia="Times New Roman" w:cs="Times New Roman"/>
          <w:sz w:val="20"/>
          <w:szCs w:val="20"/>
          <w:lang w:eastAsia="en-CA"/>
        </w:rPr>
        <w:t>juge</w:t>
      </w:r>
      <w:proofErr w:type="spellEnd"/>
      <w:r w:rsidRPr="00C639D1">
        <w:rPr>
          <w:rFonts w:eastAsia="Times New Roman" w:cs="Times New Roman"/>
          <w:sz w:val="20"/>
          <w:szCs w:val="20"/>
          <w:lang w:eastAsia="en-CA"/>
        </w:rPr>
        <w:t xml:space="preserve"> van </w:t>
      </w:r>
      <w:proofErr w:type="spellStart"/>
      <w:r w:rsidRPr="00C639D1">
        <w:rPr>
          <w:rFonts w:eastAsia="Times New Roman" w:cs="Times New Roman"/>
          <w:sz w:val="20"/>
          <w:szCs w:val="20"/>
          <w:lang w:eastAsia="en-CA"/>
        </w:rPr>
        <w:t>Rensburg</w:t>
      </w:r>
      <w:proofErr w:type="spellEnd"/>
      <w:r w:rsidRPr="00C639D1">
        <w:rPr>
          <w:rFonts w:eastAsia="Times New Roman" w:cs="Times New Roman"/>
          <w:sz w:val="20"/>
          <w:szCs w:val="20"/>
          <w:lang w:eastAsia="en-CA"/>
        </w:rPr>
        <w:t xml:space="preserve">, 2012 ONSC 4881, [2012] O.J. No. 4002 (QL), 2012 </w:t>
      </w:r>
      <w:proofErr w:type="spellStart"/>
      <w:r w:rsidRPr="00C639D1">
        <w:rPr>
          <w:rFonts w:eastAsia="Times New Roman" w:cs="Times New Roman"/>
          <w:sz w:val="20"/>
          <w:szCs w:val="20"/>
          <w:lang w:eastAsia="en-CA"/>
        </w:rPr>
        <w:t>CarswellOnt</w:t>
      </w:r>
      <w:proofErr w:type="spellEnd"/>
      <w:r w:rsidRPr="00C639D1">
        <w:rPr>
          <w:rFonts w:eastAsia="Times New Roman" w:cs="Times New Roman"/>
          <w:sz w:val="20"/>
          <w:szCs w:val="20"/>
          <w:lang w:eastAsia="en-CA"/>
        </w:rPr>
        <w:t xml:space="preserve"> 10391 (WL Can.); et qui a </w:t>
      </w:r>
      <w:proofErr w:type="spellStart"/>
      <w:r w:rsidRPr="00C639D1">
        <w:rPr>
          <w:rFonts w:eastAsia="Times New Roman" w:cs="Times New Roman"/>
          <w:sz w:val="20"/>
          <w:szCs w:val="20"/>
          <w:lang w:eastAsia="en-CA"/>
        </w:rPr>
        <w:t>confirmé</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une</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décision</w:t>
      </w:r>
      <w:proofErr w:type="spellEnd"/>
      <w:r w:rsidRPr="00C639D1">
        <w:rPr>
          <w:rFonts w:eastAsia="Times New Roman" w:cs="Times New Roman"/>
          <w:sz w:val="20"/>
          <w:szCs w:val="20"/>
          <w:lang w:eastAsia="en-CA"/>
        </w:rPr>
        <w:t xml:space="preserve"> du </w:t>
      </w:r>
      <w:proofErr w:type="spellStart"/>
      <w:r w:rsidRPr="00C639D1">
        <w:rPr>
          <w:rFonts w:eastAsia="Times New Roman" w:cs="Times New Roman"/>
          <w:sz w:val="20"/>
          <w:szCs w:val="20"/>
          <w:lang w:eastAsia="en-CA"/>
        </w:rPr>
        <w:t>juge</w:t>
      </w:r>
      <w:proofErr w:type="spellEnd"/>
      <w:r w:rsidRPr="00C639D1">
        <w:rPr>
          <w:rFonts w:eastAsia="Times New Roman" w:cs="Times New Roman"/>
          <w:sz w:val="20"/>
          <w:szCs w:val="20"/>
          <w:lang w:eastAsia="en-CA"/>
        </w:rPr>
        <w:t xml:space="preserve"> </w:t>
      </w:r>
      <w:proofErr w:type="spellStart"/>
      <w:r w:rsidRPr="00C639D1">
        <w:rPr>
          <w:rFonts w:eastAsia="Times New Roman" w:cs="Times New Roman"/>
          <w:sz w:val="20"/>
          <w:szCs w:val="20"/>
          <w:lang w:eastAsia="en-CA"/>
        </w:rPr>
        <w:t>Perell</w:t>
      </w:r>
      <w:proofErr w:type="spellEnd"/>
      <w:r w:rsidRPr="00C639D1">
        <w:rPr>
          <w:rFonts w:eastAsia="Times New Roman" w:cs="Times New Roman"/>
          <w:sz w:val="20"/>
          <w:szCs w:val="20"/>
          <w:lang w:eastAsia="en-CA"/>
        </w:rPr>
        <w:t xml:space="preserve">, 2012 ONSC 6083, 113 O.R. (3d) 264, [2012] O.J. No. 5083 (QL), 2012 </w:t>
      </w:r>
      <w:proofErr w:type="spellStart"/>
      <w:r w:rsidRPr="00C639D1">
        <w:rPr>
          <w:rFonts w:eastAsia="Times New Roman" w:cs="Times New Roman"/>
          <w:sz w:val="20"/>
          <w:szCs w:val="20"/>
          <w:lang w:eastAsia="en-CA"/>
        </w:rPr>
        <w:t>CarswellOnt</w:t>
      </w:r>
      <w:proofErr w:type="spellEnd"/>
      <w:r w:rsidRPr="00C639D1">
        <w:rPr>
          <w:rFonts w:eastAsia="Times New Roman" w:cs="Times New Roman"/>
          <w:sz w:val="20"/>
          <w:szCs w:val="20"/>
          <w:lang w:eastAsia="en-CA"/>
        </w:rPr>
        <w:t xml:space="preserve"> 13292 (WL Can.). </w:t>
      </w:r>
      <w:r w:rsidRPr="00C639D1">
        <w:rPr>
          <w:rFonts w:eastAsia="Times New Roman" w:cs="Times New Roman"/>
          <w:sz w:val="20"/>
          <w:szCs w:val="20"/>
          <w:lang w:val="fr-CA" w:eastAsia="en-CA"/>
        </w:rPr>
        <w:t xml:space="preserve">Les pourvois dans </w:t>
      </w:r>
      <w:r w:rsidRPr="00C639D1">
        <w:rPr>
          <w:rFonts w:eastAsia="Times New Roman" w:cs="Times New Roman"/>
          <w:i/>
          <w:sz w:val="20"/>
          <w:szCs w:val="20"/>
          <w:lang w:val="fr-CA" w:eastAsia="en-CA"/>
        </w:rPr>
        <w:t>CIBC</w:t>
      </w:r>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IMAX</w:t>
      </w:r>
      <w:r w:rsidRPr="00C639D1">
        <w:rPr>
          <w:rFonts w:eastAsia="Times New Roman" w:cs="Times New Roman"/>
          <w:sz w:val="20"/>
          <w:szCs w:val="20"/>
          <w:lang w:val="fr-CA" w:eastAsia="en-CA"/>
        </w:rPr>
        <w:t xml:space="preserve"> sont rejetés, la juge en chef </w:t>
      </w:r>
      <w:proofErr w:type="spellStart"/>
      <w:r w:rsidRPr="00C639D1">
        <w:rPr>
          <w:rFonts w:eastAsia="Times New Roman" w:cs="Times New Roman"/>
          <w:sz w:val="20"/>
          <w:szCs w:val="20"/>
          <w:lang w:val="fr-CA" w:eastAsia="en-CA"/>
        </w:rPr>
        <w:t>McLachlin</w:t>
      </w:r>
      <w:proofErr w:type="spellEnd"/>
      <w:r w:rsidRPr="00C639D1">
        <w:rPr>
          <w:rFonts w:eastAsia="Times New Roman" w:cs="Times New Roman"/>
          <w:sz w:val="20"/>
          <w:szCs w:val="20"/>
          <w:lang w:val="fr-CA" w:eastAsia="en-CA"/>
        </w:rPr>
        <w:t xml:space="preserve"> et les juges </w:t>
      </w:r>
      <w:proofErr w:type="spellStart"/>
      <w:r w:rsidRPr="00C639D1">
        <w:rPr>
          <w:rFonts w:eastAsia="Times New Roman" w:cs="Times New Roman"/>
          <w:sz w:val="20"/>
          <w:szCs w:val="20"/>
          <w:lang w:val="fr-CA" w:eastAsia="en-CA"/>
        </w:rPr>
        <w:t>Rothstein</w:t>
      </w:r>
      <w:proofErr w:type="spellEnd"/>
      <w:r w:rsidRPr="00C639D1">
        <w:rPr>
          <w:rFonts w:eastAsia="Times New Roman" w:cs="Times New Roman"/>
          <w:sz w:val="20"/>
          <w:szCs w:val="20"/>
          <w:lang w:val="fr-CA" w:eastAsia="en-CA"/>
        </w:rPr>
        <w:t xml:space="preserve"> et Côté sont dissidents en partie; le pourvoi dans </w:t>
      </w:r>
      <w:proofErr w:type="spellStart"/>
      <w:r w:rsidRPr="00C639D1">
        <w:rPr>
          <w:rFonts w:eastAsia="Times New Roman" w:cs="Times New Roman"/>
          <w:i/>
          <w:sz w:val="20"/>
          <w:szCs w:val="20"/>
          <w:lang w:val="fr-CA" w:eastAsia="en-CA"/>
        </w:rPr>
        <w:t>Celestica</w:t>
      </w:r>
      <w:proofErr w:type="spellEnd"/>
      <w:r w:rsidRPr="00C639D1">
        <w:rPr>
          <w:rFonts w:eastAsia="Times New Roman" w:cs="Times New Roman"/>
          <w:sz w:val="20"/>
          <w:szCs w:val="20"/>
          <w:lang w:val="fr-CA" w:eastAsia="en-CA"/>
        </w:rPr>
        <w:t xml:space="preserve"> est accueilli, les juges </w:t>
      </w:r>
      <w:proofErr w:type="spellStart"/>
      <w:r w:rsidRPr="00C639D1">
        <w:rPr>
          <w:rFonts w:eastAsia="Times New Roman" w:cs="Times New Roman"/>
          <w:sz w:val="20"/>
          <w:szCs w:val="20"/>
          <w:lang w:val="fr-CA" w:eastAsia="en-CA"/>
        </w:rPr>
        <w:t>Moldaver</w:t>
      </w:r>
      <w:proofErr w:type="spellEnd"/>
      <w:r w:rsidRPr="00C639D1">
        <w:rPr>
          <w:rFonts w:eastAsia="Times New Roman" w:cs="Times New Roman"/>
          <w:sz w:val="20"/>
          <w:szCs w:val="20"/>
          <w:lang w:val="fr-CA" w:eastAsia="en-CA"/>
        </w:rPr>
        <w:t xml:space="preserve">, </w:t>
      </w:r>
      <w:proofErr w:type="spellStart"/>
      <w:r w:rsidRPr="00C639D1">
        <w:rPr>
          <w:rFonts w:eastAsia="Times New Roman" w:cs="Times New Roman"/>
          <w:sz w:val="20"/>
          <w:szCs w:val="20"/>
          <w:lang w:val="fr-CA" w:eastAsia="en-CA"/>
        </w:rPr>
        <w:t>Karakatsanis</w:t>
      </w:r>
      <w:proofErr w:type="spellEnd"/>
      <w:r w:rsidRPr="00C639D1">
        <w:rPr>
          <w:rFonts w:eastAsia="Times New Roman" w:cs="Times New Roman"/>
          <w:sz w:val="20"/>
          <w:szCs w:val="20"/>
          <w:lang w:val="fr-CA" w:eastAsia="en-CA"/>
        </w:rPr>
        <w:t xml:space="preserve"> et Gascon sont dissidents.</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Sheila R. Block</w:t>
      </w:r>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James C. Tory</w:t>
      </w:r>
      <w:r w:rsidRPr="00C639D1">
        <w:rPr>
          <w:rFonts w:eastAsia="Times New Roman" w:cs="Times New Roman"/>
          <w:sz w:val="20"/>
          <w:szCs w:val="20"/>
          <w:lang w:val="fr-CA" w:eastAsia="en-CA"/>
        </w:rPr>
        <w:t>, pour l’appelante la Banque Canadienne Impériale de Commerce.</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 xml:space="preserve">Benjamin </w:t>
      </w:r>
      <w:proofErr w:type="spellStart"/>
      <w:r w:rsidRPr="00C639D1">
        <w:rPr>
          <w:rFonts w:eastAsia="Times New Roman" w:cs="Times New Roman"/>
          <w:i/>
          <w:sz w:val="20"/>
          <w:szCs w:val="20"/>
          <w:lang w:val="fr-CA" w:eastAsia="en-CA"/>
        </w:rPr>
        <w:t>Zarnett</w:t>
      </w:r>
      <w:proofErr w:type="spellEnd"/>
      <w:r w:rsidRPr="00C639D1">
        <w:rPr>
          <w:rFonts w:eastAsia="Times New Roman" w:cs="Times New Roman"/>
          <w:sz w:val="20"/>
          <w:szCs w:val="20"/>
          <w:lang w:val="fr-CA" w:eastAsia="en-CA"/>
        </w:rPr>
        <w:t xml:space="preserve">, </w:t>
      </w:r>
      <w:r w:rsidRPr="00C639D1">
        <w:rPr>
          <w:rFonts w:eastAsia="Times New Roman" w:cs="Times New Roman"/>
          <w:i/>
          <w:sz w:val="20"/>
          <w:szCs w:val="20"/>
          <w:lang w:val="fr-CA" w:eastAsia="en-CA"/>
        </w:rPr>
        <w:t xml:space="preserve">David D. </w:t>
      </w:r>
      <w:proofErr w:type="spellStart"/>
      <w:r w:rsidRPr="00C639D1">
        <w:rPr>
          <w:rFonts w:eastAsia="Times New Roman" w:cs="Times New Roman"/>
          <w:i/>
          <w:sz w:val="20"/>
          <w:szCs w:val="20"/>
          <w:lang w:val="fr-CA" w:eastAsia="en-CA"/>
        </w:rPr>
        <w:t>Conklin</w:t>
      </w:r>
      <w:proofErr w:type="spellEnd"/>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 xml:space="preserve">Jonathan </w:t>
      </w:r>
      <w:proofErr w:type="spellStart"/>
      <w:r w:rsidRPr="00C639D1">
        <w:rPr>
          <w:rFonts w:eastAsia="Times New Roman" w:cs="Times New Roman"/>
          <w:i/>
          <w:sz w:val="20"/>
          <w:szCs w:val="20"/>
          <w:lang w:val="fr-CA" w:eastAsia="en-CA"/>
        </w:rPr>
        <w:t>Edge</w:t>
      </w:r>
      <w:proofErr w:type="spellEnd"/>
      <w:r w:rsidRPr="00C639D1">
        <w:rPr>
          <w:rFonts w:eastAsia="Times New Roman" w:cs="Times New Roman"/>
          <w:sz w:val="20"/>
          <w:szCs w:val="20"/>
          <w:lang w:val="fr-CA" w:eastAsia="en-CA"/>
        </w:rPr>
        <w:t xml:space="preserve">, pour les appelants Gerald </w:t>
      </w:r>
      <w:proofErr w:type="spellStart"/>
      <w:r w:rsidRPr="00C639D1">
        <w:rPr>
          <w:rFonts w:eastAsia="Times New Roman" w:cs="Times New Roman"/>
          <w:sz w:val="20"/>
          <w:szCs w:val="20"/>
          <w:lang w:val="fr-CA" w:eastAsia="en-CA"/>
        </w:rPr>
        <w:t>McCaughey</w:t>
      </w:r>
      <w:proofErr w:type="spellEnd"/>
      <w:r w:rsidRPr="00C639D1">
        <w:rPr>
          <w:rFonts w:eastAsia="Times New Roman" w:cs="Times New Roman"/>
          <w:sz w:val="20"/>
          <w:szCs w:val="20"/>
          <w:lang w:val="fr-CA" w:eastAsia="en-CA"/>
        </w:rPr>
        <w:t xml:space="preserve"> et autres.</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 xml:space="preserve">R. Paul </w:t>
      </w:r>
      <w:proofErr w:type="spellStart"/>
      <w:r w:rsidRPr="00C639D1">
        <w:rPr>
          <w:rFonts w:eastAsia="Times New Roman" w:cs="Times New Roman"/>
          <w:i/>
          <w:sz w:val="20"/>
          <w:szCs w:val="20"/>
          <w:lang w:val="fr-CA" w:eastAsia="en-CA"/>
        </w:rPr>
        <w:t>Steep</w:t>
      </w:r>
      <w:proofErr w:type="spellEnd"/>
      <w:r w:rsidRPr="00C639D1">
        <w:rPr>
          <w:rFonts w:eastAsia="Times New Roman" w:cs="Times New Roman"/>
          <w:sz w:val="20"/>
          <w:szCs w:val="20"/>
          <w:lang w:val="fr-CA" w:eastAsia="en-CA"/>
        </w:rPr>
        <w:t xml:space="preserve">, </w:t>
      </w:r>
      <w:r w:rsidRPr="00C639D1">
        <w:rPr>
          <w:rFonts w:eastAsia="Times New Roman" w:cs="Times New Roman"/>
          <w:i/>
          <w:sz w:val="20"/>
          <w:szCs w:val="20"/>
          <w:lang w:val="fr-CA" w:eastAsia="en-CA"/>
        </w:rPr>
        <w:t>Dana M. Peebles</w:t>
      </w:r>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 xml:space="preserve">Brandon </w:t>
      </w:r>
      <w:proofErr w:type="spellStart"/>
      <w:r w:rsidRPr="00C639D1">
        <w:rPr>
          <w:rFonts w:eastAsia="Times New Roman" w:cs="Times New Roman"/>
          <w:i/>
          <w:sz w:val="20"/>
          <w:szCs w:val="20"/>
          <w:lang w:val="fr-CA" w:eastAsia="en-CA"/>
        </w:rPr>
        <w:t>Kain</w:t>
      </w:r>
      <w:proofErr w:type="spellEnd"/>
      <w:r w:rsidRPr="00C639D1">
        <w:rPr>
          <w:rFonts w:eastAsia="Times New Roman" w:cs="Times New Roman"/>
          <w:sz w:val="20"/>
          <w:szCs w:val="20"/>
          <w:lang w:val="fr-CA" w:eastAsia="en-CA"/>
        </w:rPr>
        <w:t>, pour les appelants IMAX Corporation et autres.</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Nigel Campbell</w:t>
      </w:r>
      <w:r w:rsidRPr="00C639D1">
        <w:rPr>
          <w:rFonts w:eastAsia="Times New Roman" w:cs="Times New Roman"/>
          <w:sz w:val="20"/>
          <w:szCs w:val="20"/>
          <w:lang w:val="fr-CA" w:eastAsia="en-CA"/>
        </w:rPr>
        <w:t xml:space="preserve">, </w:t>
      </w:r>
      <w:r w:rsidRPr="00C639D1">
        <w:rPr>
          <w:rFonts w:eastAsia="Times New Roman" w:cs="Times New Roman"/>
          <w:i/>
          <w:sz w:val="20"/>
          <w:szCs w:val="20"/>
          <w:lang w:val="fr-CA" w:eastAsia="en-CA"/>
        </w:rPr>
        <w:t>Andrea Laing</w:t>
      </w:r>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Ryan A. Morris</w:t>
      </w:r>
      <w:r w:rsidRPr="00C639D1">
        <w:rPr>
          <w:rFonts w:eastAsia="Times New Roman" w:cs="Times New Roman"/>
          <w:sz w:val="20"/>
          <w:szCs w:val="20"/>
          <w:lang w:val="fr-CA" w:eastAsia="en-CA"/>
        </w:rPr>
        <w:t xml:space="preserve">, pour les appelants </w:t>
      </w:r>
      <w:proofErr w:type="spellStart"/>
      <w:r w:rsidRPr="00C639D1">
        <w:rPr>
          <w:rFonts w:eastAsia="Times New Roman" w:cs="Times New Roman"/>
          <w:sz w:val="20"/>
          <w:szCs w:val="20"/>
          <w:lang w:val="fr-CA" w:eastAsia="en-CA"/>
        </w:rPr>
        <w:t>Celestica</w:t>
      </w:r>
      <w:proofErr w:type="spellEnd"/>
      <w:r w:rsidRPr="00C639D1">
        <w:rPr>
          <w:rFonts w:eastAsia="Times New Roman" w:cs="Times New Roman"/>
          <w:sz w:val="20"/>
          <w:szCs w:val="20"/>
          <w:lang w:val="fr-CA" w:eastAsia="en-CA"/>
        </w:rPr>
        <w:t xml:space="preserve"> Inc., Stephen W. Delaney et Anthony P. </w:t>
      </w:r>
      <w:proofErr w:type="spellStart"/>
      <w:r w:rsidRPr="00C639D1">
        <w:rPr>
          <w:rFonts w:eastAsia="Times New Roman" w:cs="Times New Roman"/>
          <w:sz w:val="20"/>
          <w:szCs w:val="20"/>
          <w:lang w:val="fr-CA" w:eastAsia="en-CA"/>
        </w:rPr>
        <w:t>Puppi</w:t>
      </w:r>
      <w:proofErr w:type="spellEnd"/>
      <w:r w:rsidRPr="00C639D1">
        <w:rPr>
          <w:rFonts w:eastAsia="Times New Roman" w:cs="Times New Roman"/>
          <w:sz w:val="20"/>
          <w:szCs w:val="20"/>
          <w:lang w:val="fr-CA" w:eastAsia="en-CA"/>
        </w:rPr>
        <w:t>.</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 xml:space="preserve">Peter R. </w:t>
      </w:r>
      <w:proofErr w:type="spellStart"/>
      <w:r w:rsidRPr="00C639D1">
        <w:rPr>
          <w:rFonts w:eastAsia="Times New Roman" w:cs="Times New Roman"/>
          <w:i/>
          <w:sz w:val="20"/>
          <w:szCs w:val="20"/>
          <w:lang w:val="fr-CA" w:eastAsia="en-CA"/>
        </w:rPr>
        <w:t>Jervis</w:t>
      </w:r>
      <w:proofErr w:type="spellEnd"/>
      <w:r w:rsidRPr="00C639D1">
        <w:rPr>
          <w:rFonts w:eastAsia="Times New Roman" w:cs="Times New Roman"/>
          <w:sz w:val="20"/>
          <w:szCs w:val="20"/>
          <w:lang w:val="fr-CA" w:eastAsia="en-CA"/>
        </w:rPr>
        <w:t xml:space="preserve">, </w:t>
      </w:r>
      <w:proofErr w:type="spellStart"/>
      <w:r w:rsidRPr="00C639D1">
        <w:rPr>
          <w:rFonts w:eastAsia="Times New Roman" w:cs="Times New Roman"/>
          <w:i/>
          <w:sz w:val="20"/>
          <w:szCs w:val="20"/>
          <w:lang w:val="fr-CA" w:eastAsia="en-CA"/>
        </w:rPr>
        <w:t>Joel</w:t>
      </w:r>
      <w:proofErr w:type="spellEnd"/>
      <w:r w:rsidRPr="00C639D1">
        <w:rPr>
          <w:rFonts w:eastAsia="Times New Roman" w:cs="Times New Roman"/>
          <w:i/>
          <w:sz w:val="20"/>
          <w:szCs w:val="20"/>
          <w:lang w:val="fr-CA" w:eastAsia="en-CA"/>
        </w:rPr>
        <w:t> P. </w:t>
      </w:r>
      <w:proofErr w:type="spellStart"/>
      <w:r w:rsidRPr="00C639D1">
        <w:rPr>
          <w:rFonts w:eastAsia="Times New Roman" w:cs="Times New Roman"/>
          <w:i/>
          <w:sz w:val="20"/>
          <w:szCs w:val="20"/>
          <w:lang w:val="fr-CA" w:eastAsia="en-CA"/>
        </w:rPr>
        <w:t>Rochon</w:t>
      </w:r>
      <w:proofErr w:type="spellEnd"/>
      <w:r w:rsidRPr="00C639D1">
        <w:rPr>
          <w:rFonts w:eastAsia="Times New Roman" w:cs="Times New Roman"/>
          <w:sz w:val="20"/>
          <w:szCs w:val="20"/>
          <w:lang w:val="fr-CA" w:eastAsia="en-CA"/>
        </w:rPr>
        <w:t xml:space="preserve">, </w:t>
      </w:r>
      <w:proofErr w:type="spellStart"/>
      <w:r w:rsidRPr="00C639D1">
        <w:rPr>
          <w:rFonts w:eastAsia="Times New Roman" w:cs="Times New Roman"/>
          <w:i/>
          <w:sz w:val="20"/>
          <w:szCs w:val="20"/>
          <w:lang w:val="fr-CA" w:eastAsia="en-CA"/>
        </w:rPr>
        <w:t>Sakie</w:t>
      </w:r>
      <w:proofErr w:type="spellEnd"/>
      <w:r w:rsidRPr="00C639D1">
        <w:rPr>
          <w:rFonts w:eastAsia="Times New Roman" w:cs="Times New Roman"/>
          <w:i/>
          <w:sz w:val="20"/>
          <w:szCs w:val="20"/>
          <w:lang w:val="fr-CA" w:eastAsia="en-CA"/>
        </w:rPr>
        <w:t xml:space="preserve"> </w:t>
      </w:r>
      <w:proofErr w:type="spellStart"/>
      <w:r w:rsidRPr="00C639D1">
        <w:rPr>
          <w:rFonts w:eastAsia="Times New Roman" w:cs="Times New Roman"/>
          <w:i/>
          <w:sz w:val="20"/>
          <w:szCs w:val="20"/>
          <w:lang w:val="fr-CA" w:eastAsia="en-CA"/>
        </w:rPr>
        <w:t>Tambakos</w:t>
      </w:r>
      <w:proofErr w:type="spellEnd"/>
      <w:r w:rsidRPr="00C639D1">
        <w:rPr>
          <w:rFonts w:eastAsia="Times New Roman" w:cs="Times New Roman"/>
          <w:sz w:val="20"/>
          <w:szCs w:val="20"/>
          <w:lang w:val="fr-CA" w:eastAsia="en-CA"/>
        </w:rPr>
        <w:t xml:space="preserve"> et </w:t>
      </w:r>
      <w:proofErr w:type="spellStart"/>
      <w:r w:rsidRPr="00C639D1">
        <w:rPr>
          <w:rFonts w:eastAsia="Times New Roman" w:cs="Times New Roman"/>
          <w:i/>
          <w:sz w:val="20"/>
          <w:szCs w:val="20"/>
          <w:lang w:val="fr-CA" w:eastAsia="en-CA"/>
        </w:rPr>
        <w:t>Remissa</w:t>
      </w:r>
      <w:proofErr w:type="spellEnd"/>
      <w:r w:rsidRPr="00C639D1">
        <w:rPr>
          <w:rFonts w:eastAsia="Times New Roman" w:cs="Times New Roman"/>
          <w:i/>
          <w:sz w:val="20"/>
          <w:szCs w:val="20"/>
          <w:lang w:val="fr-CA" w:eastAsia="en-CA"/>
        </w:rPr>
        <w:t xml:space="preserve"> </w:t>
      </w:r>
      <w:proofErr w:type="spellStart"/>
      <w:r w:rsidRPr="00C639D1">
        <w:rPr>
          <w:rFonts w:eastAsia="Times New Roman" w:cs="Times New Roman"/>
          <w:i/>
          <w:sz w:val="20"/>
          <w:szCs w:val="20"/>
          <w:lang w:val="fr-CA" w:eastAsia="en-CA"/>
        </w:rPr>
        <w:t>Hirji</w:t>
      </w:r>
      <w:proofErr w:type="spellEnd"/>
      <w:r w:rsidRPr="00C639D1">
        <w:rPr>
          <w:rFonts w:eastAsia="Times New Roman" w:cs="Times New Roman"/>
          <w:sz w:val="20"/>
          <w:szCs w:val="20"/>
          <w:lang w:val="fr-CA" w:eastAsia="en-CA"/>
        </w:rPr>
        <w:t>, pour les intimés Howard Green et Anne Bell.</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A. Dimitri Lascaris</w:t>
      </w:r>
      <w:r w:rsidRPr="00C639D1">
        <w:rPr>
          <w:rFonts w:eastAsia="Times New Roman" w:cs="Times New Roman"/>
          <w:sz w:val="20"/>
          <w:szCs w:val="20"/>
          <w:lang w:val="fr-CA" w:eastAsia="en-CA"/>
        </w:rPr>
        <w:t xml:space="preserve">, </w:t>
      </w:r>
      <w:r w:rsidRPr="00C639D1">
        <w:rPr>
          <w:rFonts w:eastAsia="Times New Roman" w:cs="Times New Roman"/>
          <w:i/>
          <w:sz w:val="20"/>
          <w:szCs w:val="20"/>
          <w:lang w:val="fr-CA" w:eastAsia="en-CA"/>
        </w:rPr>
        <w:t xml:space="preserve">William V. </w:t>
      </w:r>
      <w:proofErr w:type="spellStart"/>
      <w:r w:rsidRPr="00C639D1">
        <w:rPr>
          <w:rFonts w:eastAsia="Times New Roman" w:cs="Times New Roman"/>
          <w:i/>
          <w:sz w:val="20"/>
          <w:szCs w:val="20"/>
          <w:lang w:val="fr-CA" w:eastAsia="en-CA"/>
        </w:rPr>
        <w:t>Sasso</w:t>
      </w:r>
      <w:proofErr w:type="spellEnd"/>
      <w:r w:rsidRPr="00C639D1">
        <w:rPr>
          <w:rFonts w:eastAsia="Times New Roman" w:cs="Times New Roman"/>
          <w:sz w:val="20"/>
          <w:szCs w:val="20"/>
          <w:lang w:val="fr-CA" w:eastAsia="en-CA"/>
        </w:rPr>
        <w:t xml:space="preserve">, </w:t>
      </w:r>
      <w:r w:rsidRPr="00C639D1">
        <w:rPr>
          <w:rFonts w:eastAsia="Times New Roman" w:cs="Times New Roman"/>
          <w:i/>
          <w:sz w:val="20"/>
          <w:szCs w:val="20"/>
          <w:lang w:val="fr-CA" w:eastAsia="en-CA"/>
        </w:rPr>
        <w:t xml:space="preserve">Michael </w:t>
      </w:r>
      <w:proofErr w:type="spellStart"/>
      <w:r w:rsidRPr="00C639D1">
        <w:rPr>
          <w:rFonts w:eastAsia="Times New Roman" w:cs="Times New Roman"/>
          <w:i/>
          <w:sz w:val="20"/>
          <w:szCs w:val="20"/>
          <w:lang w:val="fr-CA" w:eastAsia="en-CA"/>
        </w:rPr>
        <w:t>Robb</w:t>
      </w:r>
      <w:proofErr w:type="spellEnd"/>
      <w:r w:rsidRPr="00C639D1">
        <w:rPr>
          <w:rFonts w:eastAsia="Times New Roman" w:cs="Times New Roman"/>
          <w:sz w:val="20"/>
          <w:szCs w:val="20"/>
          <w:lang w:val="fr-CA" w:eastAsia="en-CA"/>
        </w:rPr>
        <w:t xml:space="preserve">, </w:t>
      </w:r>
      <w:r w:rsidRPr="00C639D1">
        <w:rPr>
          <w:rFonts w:eastAsia="Times New Roman" w:cs="Times New Roman"/>
          <w:i/>
          <w:sz w:val="20"/>
          <w:szCs w:val="20"/>
          <w:lang w:val="fr-CA" w:eastAsia="en-CA"/>
        </w:rPr>
        <w:t>Daniel E. H. Bach</w:t>
      </w:r>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 xml:space="preserve">Serge </w:t>
      </w:r>
      <w:proofErr w:type="spellStart"/>
      <w:r w:rsidRPr="00C639D1">
        <w:rPr>
          <w:rFonts w:eastAsia="Times New Roman" w:cs="Times New Roman"/>
          <w:i/>
          <w:sz w:val="20"/>
          <w:szCs w:val="20"/>
          <w:lang w:val="fr-CA" w:eastAsia="en-CA"/>
        </w:rPr>
        <w:t>Kalloghlian</w:t>
      </w:r>
      <w:proofErr w:type="spellEnd"/>
      <w:r w:rsidRPr="00C639D1">
        <w:rPr>
          <w:rFonts w:eastAsia="Times New Roman" w:cs="Times New Roman"/>
          <w:sz w:val="20"/>
          <w:szCs w:val="20"/>
          <w:lang w:val="fr-CA" w:eastAsia="en-CA"/>
        </w:rPr>
        <w:t xml:space="preserve">, pour les intimés Marvin Neil </w:t>
      </w:r>
      <w:proofErr w:type="spellStart"/>
      <w:r w:rsidRPr="00C639D1">
        <w:rPr>
          <w:rFonts w:eastAsia="Times New Roman" w:cs="Times New Roman"/>
          <w:sz w:val="20"/>
          <w:szCs w:val="20"/>
          <w:lang w:val="fr-CA" w:eastAsia="en-CA"/>
        </w:rPr>
        <w:t>Silver</w:t>
      </w:r>
      <w:proofErr w:type="spellEnd"/>
      <w:r w:rsidRPr="00C639D1">
        <w:rPr>
          <w:rFonts w:eastAsia="Times New Roman" w:cs="Times New Roman"/>
          <w:sz w:val="20"/>
          <w:szCs w:val="20"/>
          <w:lang w:val="fr-CA" w:eastAsia="en-CA"/>
        </w:rPr>
        <w:t xml:space="preserve"> et Cliff Cohen.</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 xml:space="preserve">Kirk M. </w:t>
      </w:r>
      <w:proofErr w:type="spellStart"/>
      <w:r w:rsidRPr="00C639D1">
        <w:rPr>
          <w:rFonts w:eastAsia="Times New Roman" w:cs="Times New Roman"/>
          <w:i/>
          <w:sz w:val="20"/>
          <w:szCs w:val="20"/>
          <w:lang w:val="fr-CA" w:eastAsia="en-CA"/>
        </w:rPr>
        <w:t>Baert</w:t>
      </w:r>
      <w:proofErr w:type="spellEnd"/>
      <w:r w:rsidRPr="00C639D1">
        <w:rPr>
          <w:rFonts w:eastAsia="Times New Roman" w:cs="Times New Roman"/>
          <w:sz w:val="20"/>
          <w:szCs w:val="20"/>
          <w:lang w:val="fr-CA" w:eastAsia="en-CA"/>
        </w:rPr>
        <w:t xml:space="preserve"> et </w:t>
      </w:r>
      <w:proofErr w:type="spellStart"/>
      <w:r w:rsidRPr="00C639D1">
        <w:rPr>
          <w:rFonts w:eastAsia="Times New Roman" w:cs="Times New Roman"/>
          <w:i/>
          <w:sz w:val="20"/>
          <w:szCs w:val="20"/>
          <w:lang w:val="fr-CA" w:eastAsia="en-CA"/>
        </w:rPr>
        <w:t>Celeste</w:t>
      </w:r>
      <w:proofErr w:type="spellEnd"/>
      <w:r w:rsidRPr="00C639D1">
        <w:rPr>
          <w:rFonts w:eastAsia="Times New Roman" w:cs="Times New Roman"/>
          <w:i/>
          <w:sz w:val="20"/>
          <w:szCs w:val="20"/>
          <w:lang w:val="fr-CA" w:eastAsia="en-CA"/>
        </w:rPr>
        <w:t xml:space="preserve"> B. </w:t>
      </w:r>
      <w:proofErr w:type="spellStart"/>
      <w:r w:rsidRPr="00C639D1">
        <w:rPr>
          <w:rFonts w:eastAsia="Times New Roman" w:cs="Times New Roman"/>
          <w:i/>
          <w:sz w:val="20"/>
          <w:szCs w:val="20"/>
          <w:lang w:val="fr-CA" w:eastAsia="en-CA"/>
        </w:rPr>
        <w:t>Poltak</w:t>
      </w:r>
      <w:proofErr w:type="spellEnd"/>
      <w:r w:rsidRPr="00C639D1">
        <w:rPr>
          <w:rFonts w:eastAsia="Times New Roman" w:cs="Times New Roman"/>
          <w:sz w:val="20"/>
          <w:szCs w:val="20"/>
          <w:lang w:val="fr-CA" w:eastAsia="en-CA"/>
        </w:rPr>
        <w:t xml:space="preserve">, pour les intimés les Fiduciaires de la caisse de retraite en fiducie du </w:t>
      </w:r>
      <w:proofErr w:type="spellStart"/>
      <w:r w:rsidRPr="00C639D1">
        <w:rPr>
          <w:rFonts w:eastAsia="Times New Roman" w:cs="Times New Roman"/>
          <w:sz w:val="20"/>
          <w:szCs w:val="20"/>
          <w:lang w:val="fr-CA" w:eastAsia="en-CA"/>
        </w:rPr>
        <w:t>Millwright</w:t>
      </w:r>
      <w:proofErr w:type="spellEnd"/>
      <w:r w:rsidRPr="00C639D1">
        <w:rPr>
          <w:rFonts w:eastAsia="Times New Roman" w:cs="Times New Roman"/>
          <w:sz w:val="20"/>
          <w:szCs w:val="20"/>
          <w:lang w:val="fr-CA" w:eastAsia="en-CA"/>
        </w:rPr>
        <w:t xml:space="preserve"> </w:t>
      </w:r>
      <w:proofErr w:type="spellStart"/>
      <w:r w:rsidRPr="00C639D1">
        <w:rPr>
          <w:rFonts w:eastAsia="Times New Roman" w:cs="Times New Roman"/>
          <w:sz w:val="20"/>
          <w:szCs w:val="20"/>
          <w:lang w:val="fr-CA" w:eastAsia="en-CA"/>
        </w:rPr>
        <w:t>Regional</w:t>
      </w:r>
      <w:proofErr w:type="spellEnd"/>
      <w:r w:rsidRPr="00C639D1">
        <w:rPr>
          <w:rFonts w:eastAsia="Times New Roman" w:cs="Times New Roman"/>
          <w:sz w:val="20"/>
          <w:szCs w:val="20"/>
          <w:lang w:val="fr-CA" w:eastAsia="en-CA"/>
        </w:rPr>
        <w:t xml:space="preserve"> Council of Ontario, Nabil </w:t>
      </w:r>
      <w:proofErr w:type="spellStart"/>
      <w:r w:rsidRPr="00C639D1">
        <w:rPr>
          <w:rFonts w:eastAsia="Times New Roman" w:cs="Times New Roman"/>
          <w:sz w:val="20"/>
          <w:szCs w:val="20"/>
          <w:lang w:val="fr-CA" w:eastAsia="en-CA"/>
        </w:rPr>
        <w:t>Berzi</w:t>
      </w:r>
      <w:proofErr w:type="spellEnd"/>
      <w:r w:rsidRPr="00C639D1">
        <w:rPr>
          <w:rFonts w:eastAsia="Times New Roman" w:cs="Times New Roman"/>
          <w:sz w:val="20"/>
          <w:szCs w:val="20"/>
          <w:lang w:val="fr-CA" w:eastAsia="en-CA"/>
        </w:rPr>
        <w:t xml:space="preserve"> et </w:t>
      </w:r>
      <w:proofErr w:type="spellStart"/>
      <w:r w:rsidRPr="00C639D1">
        <w:rPr>
          <w:rFonts w:eastAsia="Times New Roman" w:cs="Times New Roman"/>
          <w:sz w:val="20"/>
          <w:szCs w:val="20"/>
          <w:lang w:val="fr-CA" w:eastAsia="en-CA"/>
        </w:rPr>
        <w:t>Huacheng</w:t>
      </w:r>
      <w:proofErr w:type="spellEnd"/>
      <w:r w:rsidRPr="00C639D1">
        <w:rPr>
          <w:rFonts w:eastAsia="Times New Roman" w:cs="Times New Roman"/>
          <w:sz w:val="20"/>
          <w:szCs w:val="20"/>
          <w:lang w:val="fr-CA" w:eastAsia="en-CA"/>
        </w:rPr>
        <w:t xml:space="preserve"> </w:t>
      </w:r>
      <w:proofErr w:type="spellStart"/>
      <w:r w:rsidRPr="00C639D1">
        <w:rPr>
          <w:rFonts w:eastAsia="Times New Roman" w:cs="Times New Roman"/>
          <w:sz w:val="20"/>
          <w:szCs w:val="20"/>
          <w:lang w:val="fr-CA" w:eastAsia="en-CA"/>
        </w:rPr>
        <w:t>Xing</w:t>
      </w:r>
      <w:proofErr w:type="spellEnd"/>
      <w:r w:rsidRPr="00C639D1">
        <w:rPr>
          <w:rFonts w:eastAsia="Times New Roman" w:cs="Times New Roman"/>
          <w:sz w:val="20"/>
          <w:szCs w:val="20"/>
          <w:lang w:val="fr-CA" w:eastAsia="en-CA"/>
        </w:rPr>
        <w:t>.</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t xml:space="preserve">Argumentation écrite seulement par </w:t>
      </w:r>
      <w:r w:rsidRPr="00C639D1">
        <w:rPr>
          <w:rFonts w:eastAsia="Times New Roman" w:cs="Times New Roman"/>
          <w:i/>
          <w:sz w:val="20"/>
          <w:szCs w:val="20"/>
          <w:lang w:val="fr-CA" w:eastAsia="en-CA"/>
        </w:rPr>
        <w:t>Margaret L. Waddell</w:t>
      </w:r>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 xml:space="preserve">Denise </w:t>
      </w:r>
      <w:proofErr w:type="spellStart"/>
      <w:r w:rsidRPr="00C639D1">
        <w:rPr>
          <w:rFonts w:eastAsia="Times New Roman" w:cs="Times New Roman"/>
          <w:i/>
          <w:sz w:val="20"/>
          <w:szCs w:val="20"/>
          <w:lang w:val="fr-CA" w:eastAsia="en-CA"/>
        </w:rPr>
        <w:t>Cooney</w:t>
      </w:r>
      <w:proofErr w:type="spellEnd"/>
      <w:r w:rsidRPr="00C639D1">
        <w:rPr>
          <w:rFonts w:eastAsia="Times New Roman" w:cs="Times New Roman"/>
          <w:sz w:val="20"/>
          <w:szCs w:val="20"/>
          <w:lang w:val="fr-CA" w:eastAsia="en-CA"/>
        </w:rPr>
        <w:t>, pour l’intervenante la Fondation canadienne pour l’avancement des droits des investisseurs.</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eastAsia="en-CA"/>
        </w:rPr>
      </w:pPr>
      <w:r w:rsidRPr="00C639D1">
        <w:rPr>
          <w:rFonts w:eastAsia="Times New Roman" w:cs="Times New Roman"/>
          <w:sz w:val="20"/>
          <w:szCs w:val="20"/>
          <w:lang w:val="fr-CA" w:eastAsia="en-CA"/>
        </w:rPr>
        <w:tab/>
      </w:r>
      <w:r w:rsidRPr="00C639D1">
        <w:rPr>
          <w:rFonts w:eastAsia="Times New Roman" w:cs="Times New Roman"/>
          <w:i/>
          <w:sz w:val="20"/>
          <w:szCs w:val="20"/>
          <w:lang w:eastAsia="en-CA"/>
        </w:rPr>
        <w:t>Bonnie Roberts Jones</w:t>
      </w:r>
      <w:r w:rsidRPr="00C639D1">
        <w:rPr>
          <w:rFonts w:eastAsia="Times New Roman" w:cs="Times New Roman"/>
          <w:sz w:val="20"/>
          <w:szCs w:val="20"/>
          <w:lang w:eastAsia="en-CA"/>
        </w:rPr>
        <w:t xml:space="preserve">, pour </w:t>
      </w:r>
      <w:proofErr w:type="spellStart"/>
      <w:r w:rsidRPr="00C639D1">
        <w:rPr>
          <w:rFonts w:eastAsia="Times New Roman" w:cs="Times New Roman"/>
          <w:sz w:val="20"/>
          <w:szCs w:val="20"/>
          <w:lang w:eastAsia="en-CA"/>
        </w:rPr>
        <w:t>l’intervenante</w:t>
      </w:r>
      <w:proofErr w:type="spellEnd"/>
      <w:r w:rsidRPr="00C639D1">
        <w:rPr>
          <w:rFonts w:eastAsia="Times New Roman" w:cs="Times New Roman"/>
          <w:sz w:val="20"/>
          <w:szCs w:val="20"/>
          <w:lang w:eastAsia="en-CA"/>
        </w:rPr>
        <w:t xml:space="preserve"> Shareholder Association for Research and Education.</w:t>
      </w:r>
    </w:p>
    <w:p w:rsidR="00C639D1" w:rsidRDefault="00C639D1" w:rsidP="00C639D1">
      <w:pPr>
        <w:tabs>
          <w:tab w:val="left" w:pos="1168"/>
        </w:tabs>
        <w:jc w:val="both"/>
        <w:rPr>
          <w:rFonts w:eastAsia="Times New Roman" w:cs="Times New Roman"/>
          <w:sz w:val="20"/>
          <w:szCs w:val="20"/>
          <w:lang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eastAsia="en-CA"/>
        </w:rPr>
        <w:tab/>
      </w:r>
      <w:r w:rsidRPr="00C639D1">
        <w:rPr>
          <w:rFonts w:eastAsia="Times New Roman" w:cs="Times New Roman"/>
          <w:i/>
          <w:sz w:val="20"/>
          <w:szCs w:val="20"/>
          <w:lang w:val="fr-CA" w:eastAsia="en-CA"/>
        </w:rPr>
        <w:t xml:space="preserve">Anna </w:t>
      </w:r>
      <w:proofErr w:type="spellStart"/>
      <w:r w:rsidRPr="00C639D1">
        <w:rPr>
          <w:rFonts w:eastAsia="Times New Roman" w:cs="Times New Roman"/>
          <w:i/>
          <w:sz w:val="20"/>
          <w:szCs w:val="20"/>
          <w:lang w:val="fr-CA" w:eastAsia="en-CA"/>
        </w:rPr>
        <w:t>Perschy</w:t>
      </w:r>
      <w:proofErr w:type="spellEnd"/>
      <w:r w:rsidRPr="00C639D1">
        <w:rPr>
          <w:rFonts w:eastAsia="Times New Roman" w:cs="Times New Roman"/>
          <w:sz w:val="20"/>
          <w:szCs w:val="20"/>
          <w:lang w:val="fr-CA" w:eastAsia="en-CA"/>
        </w:rPr>
        <w:t xml:space="preserve"> et </w:t>
      </w:r>
      <w:r w:rsidRPr="00C639D1">
        <w:rPr>
          <w:rFonts w:eastAsia="Times New Roman" w:cs="Times New Roman"/>
          <w:i/>
          <w:sz w:val="20"/>
          <w:szCs w:val="20"/>
          <w:lang w:val="fr-CA" w:eastAsia="en-CA"/>
        </w:rPr>
        <w:t xml:space="preserve">Amanda </w:t>
      </w:r>
      <w:proofErr w:type="spellStart"/>
      <w:r w:rsidRPr="00C639D1">
        <w:rPr>
          <w:rFonts w:eastAsia="Times New Roman" w:cs="Times New Roman"/>
          <w:i/>
          <w:sz w:val="20"/>
          <w:szCs w:val="20"/>
          <w:lang w:val="fr-CA" w:eastAsia="en-CA"/>
        </w:rPr>
        <w:t>Heydon</w:t>
      </w:r>
      <w:proofErr w:type="spellEnd"/>
      <w:r w:rsidRPr="00C639D1">
        <w:rPr>
          <w:rFonts w:eastAsia="Times New Roman" w:cs="Times New Roman"/>
          <w:sz w:val="20"/>
          <w:szCs w:val="20"/>
          <w:lang w:val="fr-CA" w:eastAsia="en-CA"/>
        </w:rPr>
        <w:t>, pour l’intervenante la Commission des valeurs mobilières de l’Ontario.</w:t>
      </w:r>
    </w:p>
    <w:p w:rsidR="00C639D1" w:rsidRDefault="00C639D1" w:rsidP="00C639D1">
      <w:pPr>
        <w:tabs>
          <w:tab w:val="left" w:pos="1168"/>
        </w:tabs>
        <w:jc w:val="both"/>
        <w:rPr>
          <w:rFonts w:eastAsia="Times New Roman" w:cs="Times New Roman"/>
          <w:sz w:val="20"/>
          <w:szCs w:val="20"/>
          <w:lang w:val="fr-CA" w:eastAsia="en-CA"/>
        </w:rPr>
      </w:pPr>
    </w:p>
    <w:p w:rsidR="00C639D1" w:rsidRPr="00C639D1" w:rsidRDefault="00C639D1" w:rsidP="00C639D1">
      <w:pPr>
        <w:tabs>
          <w:tab w:val="left" w:pos="1168"/>
        </w:tabs>
        <w:jc w:val="both"/>
        <w:rPr>
          <w:rFonts w:eastAsia="Times New Roman" w:cs="Times New Roman"/>
          <w:sz w:val="20"/>
          <w:szCs w:val="20"/>
          <w:lang w:val="fr-CA" w:eastAsia="en-CA"/>
        </w:rPr>
      </w:pPr>
      <w:r w:rsidRPr="00C639D1">
        <w:rPr>
          <w:rFonts w:eastAsia="Times New Roman" w:cs="Times New Roman"/>
          <w:sz w:val="20"/>
          <w:szCs w:val="20"/>
          <w:lang w:val="fr-CA" w:eastAsia="en-CA"/>
        </w:rPr>
        <w:tab/>
      </w:r>
      <w:r w:rsidRPr="00C639D1">
        <w:rPr>
          <w:rFonts w:eastAsia="Times New Roman" w:cs="Times New Roman"/>
          <w:i/>
          <w:sz w:val="20"/>
          <w:szCs w:val="20"/>
          <w:lang w:val="fr-CA" w:eastAsia="en-CA"/>
        </w:rPr>
        <w:t>Alan L. W. D’Silva</w:t>
      </w:r>
      <w:r w:rsidRPr="00C639D1">
        <w:rPr>
          <w:rFonts w:eastAsia="Times New Roman" w:cs="Times New Roman"/>
          <w:sz w:val="20"/>
          <w:szCs w:val="20"/>
          <w:lang w:val="fr-CA" w:eastAsia="en-CA"/>
        </w:rPr>
        <w:t xml:space="preserve">, </w:t>
      </w:r>
      <w:r w:rsidRPr="00C639D1">
        <w:rPr>
          <w:rFonts w:eastAsia="Times New Roman" w:cs="Times New Roman"/>
          <w:i/>
          <w:sz w:val="20"/>
          <w:szCs w:val="20"/>
          <w:lang w:val="fr-CA" w:eastAsia="en-CA"/>
        </w:rPr>
        <w:t>Daniel S. Murdoch</w:t>
      </w:r>
      <w:r w:rsidRPr="00C639D1">
        <w:rPr>
          <w:rFonts w:eastAsia="Times New Roman" w:cs="Times New Roman"/>
          <w:sz w:val="20"/>
          <w:szCs w:val="20"/>
          <w:lang w:val="fr-CA" w:eastAsia="en-CA"/>
        </w:rPr>
        <w:t xml:space="preserve"> et </w:t>
      </w:r>
      <w:proofErr w:type="spellStart"/>
      <w:r w:rsidRPr="00C639D1">
        <w:rPr>
          <w:rFonts w:eastAsia="Times New Roman" w:cs="Times New Roman"/>
          <w:i/>
          <w:sz w:val="20"/>
          <w:szCs w:val="20"/>
          <w:lang w:val="fr-CA" w:eastAsia="en-CA"/>
        </w:rPr>
        <w:t>Sinziana</w:t>
      </w:r>
      <w:proofErr w:type="spellEnd"/>
      <w:r w:rsidRPr="00C639D1">
        <w:rPr>
          <w:rFonts w:eastAsia="Times New Roman" w:cs="Times New Roman"/>
          <w:i/>
          <w:sz w:val="20"/>
          <w:szCs w:val="20"/>
          <w:lang w:val="fr-CA" w:eastAsia="en-CA"/>
        </w:rPr>
        <w:t xml:space="preserve"> R. </w:t>
      </w:r>
      <w:proofErr w:type="spellStart"/>
      <w:r w:rsidRPr="00C639D1">
        <w:rPr>
          <w:rFonts w:eastAsia="Times New Roman" w:cs="Times New Roman"/>
          <w:i/>
          <w:sz w:val="20"/>
          <w:szCs w:val="20"/>
          <w:lang w:val="fr-CA" w:eastAsia="en-CA"/>
        </w:rPr>
        <w:t>Hennig</w:t>
      </w:r>
      <w:proofErr w:type="spellEnd"/>
      <w:r w:rsidRPr="00C639D1">
        <w:rPr>
          <w:rFonts w:eastAsia="Times New Roman" w:cs="Times New Roman"/>
          <w:sz w:val="20"/>
          <w:szCs w:val="20"/>
          <w:lang w:val="fr-CA" w:eastAsia="en-CA"/>
        </w:rPr>
        <w:t>, pour l’intervenant le Bureau d’assurance du Canada.</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Procureurs de l’appelante la Banque Canadienne Impériale de Commerce : Torys,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 xml:space="preserve">Procureurs des appelants Gerald </w:t>
      </w:r>
      <w:proofErr w:type="spellStart"/>
      <w:r w:rsidRPr="00C639D1">
        <w:rPr>
          <w:rFonts w:eastAsia="Times New Roman" w:cs="Times New Roman"/>
          <w:i/>
          <w:sz w:val="20"/>
          <w:szCs w:val="20"/>
          <w:lang w:val="fr-CA" w:eastAsia="en-CA"/>
        </w:rPr>
        <w:t>McCaughey</w:t>
      </w:r>
      <w:proofErr w:type="spellEnd"/>
      <w:r w:rsidRPr="00C639D1">
        <w:rPr>
          <w:rFonts w:eastAsia="Times New Roman" w:cs="Times New Roman"/>
          <w:i/>
          <w:sz w:val="20"/>
          <w:szCs w:val="20"/>
          <w:lang w:val="fr-CA" w:eastAsia="en-CA"/>
        </w:rPr>
        <w:t xml:space="preserve"> et autres : </w:t>
      </w:r>
      <w:proofErr w:type="spellStart"/>
      <w:r w:rsidRPr="00C639D1">
        <w:rPr>
          <w:rFonts w:eastAsia="Times New Roman" w:cs="Times New Roman"/>
          <w:i/>
          <w:sz w:val="20"/>
          <w:szCs w:val="20"/>
          <w:lang w:val="fr-CA" w:eastAsia="en-CA"/>
        </w:rPr>
        <w:t>Goodmans</w:t>
      </w:r>
      <w:proofErr w:type="spellEnd"/>
      <w:r w:rsidRPr="00C639D1">
        <w:rPr>
          <w:rFonts w:eastAsia="Times New Roman" w:cs="Times New Roman"/>
          <w:i/>
          <w:sz w:val="20"/>
          <w:szCs w:val="20"/>
          <w:lang w:val="fr-CA" w:eastAsia="en-CA"/>
        </w:rPr>
        <w:t>,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 xml:space="preserve">Procureurs des appelants IMAX Corporation et autres : McCarthy </w:t>
      </w:r>
      <w:proofErr w:type="spellStart"/>
      <w:r w:rsidRPr="00C639D1">
        <w:rPr>
          <w:rFonts w:eastAsia="Times New Roman" w:cs="Times New Roman"/>
          <w:i/>
          <w:sz w:val="20"/>
          <w:szCs w:val="20"/>
          <w:lang w:val="fr-CA" w:eastAsia="en-CA"/>
        </w:rPr>
        <w:t>Tétrault</w:t>
      </w:r>
      <w:proofErr w:type="spellEnd"/>
      <w:r w:rsidRPr="00C639D1">
        <w:rPr>
          <w:rFonts w:eastAsia="Times New Roman" w:cs="Times New Roman"/>
          <w:i/>
          <w:sz w:val="20"/>
          <w:szCs w:val="20"/>
          <w:lang w:val="fr-CA" w:eastAsia="en-CA"/>
        </w:rPr>
        <w:t>,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 xml:space="preserve">Procureurs des appelants </w:t>
      </w:r>
      <w:proofErr w:type="spellStart"/>
      <w:r w:rsidRPr="00C639D1">
        <w:rPr>
          <w:rFonts w:eastAsia="Times New Roman" w:cs="Times New Roman"/>
          <w:i/>
          <w:sz w:val="20"/>
          <w:szCs w:val="20"/>
          <w:lang w:val="fr-CA" w:eastAsia="en-CA"/>
        </w:rPr>
        <w:t>Celestica</w:t>
      </w:r>
      <w:proofErr w:type="spellEnd"/>
      <w:r w:rsidRPr="00C639D1">
        <w:rPr>
          <w:rFonts w:eastAsia="Times New Roman" w:cs="Times New Roman"/>
          <w:i/>
          <w:sz w:val="20"/>
          <w:szCs w:val="20"/>
          <w:lang w:val="fr-CA" w:eastAsia="en-CA"/>
        </w:rPr>
        <w:t xml:space="preserve"> Inc., Stephen W. Delaney et Anthony P. </w:t>
      </w:r>
      <w:proofErr w:type="spellStart"/>
      <w:r w:rsidRPr="00C639D1">
        <w:rPr>
          <w:rFonts w:eastAsia="Times New Roman" w:cs="Times New Roman"/>
          <w:i/>
          <w:sz w:val="20"/>
          <w:szCs w:val="20"/>
          <w:lang w:val="fr-CA" w:eastAsia="en-CA"/>
        </w:rPr>
        <w:t>Puppi</w:t>
      </w:r>
      <w:proofErr w:type="spellEnd"/>
      <w:r w:rsidRPr="00C639D1">
        <w:rPr>
          <w:rFonts w:eastAsia="Times New Roman" w:cs="Times New Roman"/>
          <w:i/>
          <w:sz w:val="20"/>
          <w:szCs w:val="20"/>
          <w:lang w:val="fr-CA" w:eastAsia="en-CA"/>
        </w:rPr>
        <w:t xml:space="preserve"> : Blake, </w:t>
      </w:r>
      <w:proofErr w:type="spellStart"/>
      <w:r w:rsidRPr="00C639D1">
        <w:rPr>
          <w:rFonts w:eastAsia="Times New Roman" w:cs="Times New Roman"/>
          <w:i/>
          <w:sz w:val="20"/>
          <w:szCs w:val="20"/>
          <w:lang w:val="fr-CA" w:eastAsia="en-CA"/>
        </w:rPr>
        <w:t>Cassels</w:t>
      </w:r>
      <w:proofErr w:type="spellEnd"/>
      <w:r w:rsidRPr="00C639D1">
        <w:rPr>
          <w:rFonts w:eastAsia="Times New Roman" w:cs="Times New Roman"/>
          <w:i/>
          <w:sz w:val="20"/>
          <w:szCs w:val="20"/>
          <w:lang w:val="fr-CA" w:eastAsia="en-CA"/>
        </w:rPr>
        <w:t xml:space="preserve"> &amp; </w:t>
      </w:r>
      <w:proofErr w:type="spellStart"/>
      <w:r w:rsidRPr="00C639D1">
        <w:rPr>
          <w:rFonts w:eastAsia="Times New Roman" w:cs="Times New Roman"/>
          <w:i/>
          <w:sz w:val="20"/>
          <w:szCs w:val="20"/>
          <w:lang w:val="fr-CA" w:eastAsia="en-CA"/>
        </w:rPr>
        <w:t>Graydon</w:t>
      </w:r>
      <w:proofErr w:type="spellEnd"/>
      <w:r w:rsidRPr="00C639D1">
        <w:rPr>
          <w:rFonts w:eastAsia="Times New Roman" w:cs="Times New Roman"/>
          <w:i/>
          <w:sz w:val="20"/>
          <w:szCs w:val="20"/>
          <w:lang w:val="fr-CA" w:eastAsia="en-CA"/>
        </w:rPr>
        <w:t>,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Procureurs des intimés Howard Green et Anne Bell : </w:t>
      </w:r>
      <w:proofErr w:type="spellStart"/>
      <w:r w:rsidRPr="00C639D1">
        <w:rPr>
          <w:rFonts w:eastAsia="Times New Roman" w:cs="Times New Roman"/>
          <w:i/>
          <w:sz w:val="20"/>
          <w:szCs w:val="20"/>
          <w:lang w:val="fr-CA" w:eastAsia="en-CA"/>
        </w:rPr>
        <w:t>Rochon</w:t>
      </w:r>
      <w:proofErr w:type="spellEnd"/>
      <w:r w:rsidRPr="00C639D1">
        <w:rPr>
          <w:rFonts w:eastAsia="Times New Roman" w:cs="Times New Roman"/>
          <w:i/>
          <w:sz w:val="20"/>
          <w:szCs w:val="20"/>
          <w:lang w:val="fr-CA" w:eastAsia="en-CA"/>
        </w:rPr>
        <w:t xml:space="preserve"> Genova,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 xml:space="preserve">Procureurs des intimés Marvin Neil </w:t>
      </w:r>
      <w:proofErr w:type="spellStart"/>
      <w:r w:rsidRPr="00C639D1">
        <w:rPr>
          <w:rFonts w:eastAsia="Times New Roman" w:cs="Times New Roman"/>
          <w:i/>
          <w:sz w:val="20"/>
          <w:szCs w:val="20"/>
          <w:lang w:val="fr-CA" w:eastAsia="en-CA"/>
        </w:rPr>
        <w:t>Silver</w:t>
      </w:r>
      <w:proofErr w:type="spellEnd"/>
      <w:r w:rsidRPr="00C639D1">
        <w:rPr>
          <w:rFonts w:eastAsia="Times New Roman" w:cs="Times New Roman"/>
          <w:i/>
          <w:sz w:val="20"/>
          <w:szCs w:val="20"/>
          <w:lang w:val="fr-CA" w:eastAsia="en-CA"/>
        </w:rPr>
        <w:t xml:space="preserve"> et Cliff Cohen : </w:t>
      </w:r>
      <w:proofErr w:type="spellStart"/>
      <w:r w:rsidRPr="00C639D1">
        <w:rPr>
          <w:rFonts w:eastAsia="Times New Roman" w:cs="Times New Roman"/>
          <w:i/>
          <w:sz w:val="20"/>
          <w:szCs w:val="20"/>
          <w:lang w:val="fr-CA" w:eastAsia="en-CA"/>
        </w:rPr>
        <w:t>Siskinds</w:t>
      </w:r>
      <w:proofErr w:type="spellEnd"/>
      <w:r w:rsidRPr="00C639D1">
        <w:rPr>
          <w:rFonts w:eastAsia="Times New Roman" w:cs="Times New Roman"/>
          <w:i/>
          <w:sz w:val="20"/>
          <w:szCs w:val="20"/>
          <w:lang w:val="fr-CA" w:eastAsia="en-CA"/>
        </w:rPr>
        <w:t xml:space="preserve">, London; </w:t>
      </w:r>
      <w:proofErr w:type="spellStart"/>
      <w:r w:rsidRPr="00C639D1">
        <w:rPr>
          <w:rFonts w:eastAsia="Times New Roman" w:cs="Times New Roman"/>
          <w:i/>
          <w:sz w:val="20"/>
          <w:szCs w:val="20"/>
          <w:lang w:val="fr-CA" w:eastAsia="en-CA"/>
        </w:rPr>
        <w:t>Sutts</w:t>
      </w:r>
      <w:proofErr w:type="spellEnd"/>
      <w:r w:rsidRPr="00C639D1">
        <w:rPr>
          <w:rFonts w:eastAsia="Times New Roman" w:cs="Times New Roman"/>
          <w:i/>
          <w:sz w:val="20"/>
          <w:szCs w:val="20"/>
          <w:lang w:val="fr-CA" w:eastAsia="en-CA"/>
        </w:rPr>
        <w:t xml:space="preserve"> </w:t>
      </w:r>
      <w:proofErr w:type="spellStart"/>
      <w:r w:rsidRPr="00C639D1">
        <w:rPr>
          <w:rFonts w:eastAsia="Times New Roman" w:cs="Times New Roman"/>
          <w:i/>
          <w:sz w:val="20"/>
          <w:szCs w:val="20"/>
          <w:lang w:val="fr-CA" w:eastAsia="en-CA"/>
        </w:rPr>
        <w:t>Strosberg</w:t>
      </w:r>
      <w:proofErr w:type="spellEnd"/>
      <w:r w:rsidRPr="00C639D1">
        <w:rPr>
          <w:rFonts w:eastAsia="Times New Roman" w:cs="Times New Roman"/>
          <w:i/>
          <w:sz w:val="20"/>
          <w:szCs w:val="20"/>
          <w:lang w:val="fr-CA" w:eastAsia="en-CA"/>
        </w:rPr>
        <w:t>, Windsor.</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 xml:space="preserve">Procureurs des intimés les Fiduciaires de la caisse de retraite en fiducie du </w:t>
      </w:r>
      <w:proofErr w:type="spellStart"/>
      <w:r w:rsidRPr="00C639D1">
        <w:rPr>
          <w:rFonts w:eastAsia="Times New Roman" w:cs="Times New Roman"/>
          <w:i/>
          <w:sz w:val="20"/>
          <w:szCs w:val="20"/>
          <w:lang w:val="fr-CA" w:eastAsia="en-CA"/>
        </w:rPr>
        <w:t>Millwright</w:t>
      </w:r>
      <w:proofErr w:type="spellEnd"/>
      <w:r w:rsidRPr="00C639D1">
        <w:rPr>
          <w:rFonts w:eastAsia="Times New Roman" w:cs="Times New Roman"/>
          <w:i/>
          <w:sz w:val="20"/>
          <w:szCs w:val="20"/>
          <w:lang w:val="fr-CA" w:eastAsia="en-CA"/>
        </w:rPr>
        <w:t xml:space="preserve"> </w:t>
      </w:r>
      <w:proofErr w:type="spellStart"/>
      <w:r w:rsidRPr="00C639D1">
        <w:rPr>
          <w:rFonts w:eastAsia="Times New Roman" w:cs="Times New Roman"/>
          <w:i/>
          <w:sz w:val="20"/>
          <w:szCs w:val="20"/>
          <w:lang w:val="fr-CA" w:eastAsia="en-CA"/>
        </w:rPr>
        <w:t>Regional</w:t>
      </w:r>
      <w:proofErr w:type="spellEnd"/>
      <w:r w:rsidRPr="00C639D1">
        <w:rPr>
          <w:rFonts w:eastAsia="Times New Roman" w:cs="Times New Roman"/>
          <w:i/>
          <w:sz w:val="20"/>
          <w:szCs w:val="20"/>
          <w:lang w:val="fr-CA" w:eastAsia="en-CA"/>
        </w:rPr>
        <w:t xml:space="preserve"> Council of Ontario, Nabil </w:t>
      </w:r>
      <w:proofErr w:type="spellStart"/>
      <w:r w:rsidRPr="00C639D1">
        <w:rPr>
          <w:rFonts w:eastAsia="Times New Roman" w:cs="Times New Roman"/>
          <w:i/>
          <w:sz w:val="20"/>
          <w:szCs w:val="20"/>
          <w:lang w:val="fr-CA" w:eastAsia="en-CA"/>
        </w:rPr>
        <w:t>Berzi</w:t>
      </w:r>
      <w:proofErr w:type="spellEnd"/>
      <w:r w:rsidRPr="00C639D1">
        <w:rPr>
          <w:rFonts w:eastAsia="Times New Roman" w:cs="Times New Roman"/>
          <w:i/>
          <w:sz w:val="20"/>
          <w:szCs w:val="20"/>
          <w:lang w:val="fr-CA" w:eastAsia="en-CA"/>
        </w:rPr>
        <w:t xml:space="preserve"> et </w:t>
      </w:r>
      <w:proofErr w:type="spellStart"/>
      <w:r w:rsidRPr="00C639D1">
        <w:rPr>
          <w:rFonts w:eastAsia="Times New Roman" w:cs="Times New Roman"/>
          <w:i/>
          <w:sz w:val="20"/>
          <w:szCs w:val="20"/>
          <w:lang w:val="fr-CA" w:eastAsia="en-CA"/>
        </w:rPr>
        <w:t>Huacheng</w:t>
      </w:r>
      <w:proofErr w:type="spellEnd"/>
      <w:r w:rsidRPr="00C639D1">
        <w:rPr>
          <w:rFonts w:eastAsia="Times New Roman" w:cs="Times New Roman"/>
          <w:i/>
          <w:sz w:val="20"/>
          <w:szCs w:val="20"/>
          <w:lang w:val="fr-CA" w:eastAsia="en-CA"/>
        </w:rPr>
        <w:t xml:space="preserve"> </w:t>
      </w:r>
      <w:proofErr w:type="spellStart"/>
      <w:r w:rsidRPr="00C639D1">
        <w:rPr>
          <w:rFonts w:eastAsia="Times New Roman" w:cs="Times New Roman"/>
          <w:i/>
          <w:sz w:val="20"/>
          <w:szCs w:val="20"/>
          <w:lang w:val="fr-CA" w:eastAsia="en-CA"/>
        </w:rPr>
        <w:t>Xing</w:t>
      </w:r>
      <w:proofErr w:type="spellEnd"/>
      <w:r w:rsidRPr="00C639D1">
        <w:rPr>
          <w:rFonts w:eastAsia="Times New Roman" w:cs="Times New Roman"/>
          <w:i/>
          <w:sz w:val="20"/>
          <w:szCs w:val="20"/>
          <w:lang w:val="fr-CA" w:eastAsia="en-CA"/>
        </w:rPr>
        <w:t> : </w:t>
      </w:r>
      <w:proofErr w:type="spellStart"/>
      <w:r w:rsidRPr="00C639D1">
        <w:rPr>
          <w:rFonts w:eastAsia="Times New Roman" w:cs="Times New Roman"/>
          <w:i/>
          <w:sz w:val="20"/>
          <w:szCs w:val="20"/>
          <w:lang w:val="fr-CA" w:eastAsia="en-CA"/>
        </w:rPr>
        <w:t>Koskie</w:t>
      </w:r>
      <w:proofErr w:type="spellEnd"/>
      <w:r w:rsidRPr="00C639D1">
        <w:rPr>
          <w:rFonts w:eastAsia="Times New Roman" w:cs="Times New Roman"/>
          <w:i/>
          <w:sz w:val="20"/>
          <w:szCs w:val="20"/>
          <w:lang w:val="fr-CA" w:eastAsia="en-CA"/>
        </w:rPr>
        <w:t xml:space="preserve"> </w:t>
      </w:r>
      <w:proofErr w:type="spellStart"/>
      <w:r w:rsidRPr="00C639D1">
        <w:rPr>
          <w:rFonts w:eastAsia="Times New Roman" w:cs="Times New Roman"/>
          <w:i/>
          <w:sz w:val="20"/>
          <w:szCs w:val="20"/>
          <w:lang w:val="fr-CA" w:eastAsia="en-CA"/>
        </w:rPr>
        <w:t>Minsky</w:t>
      </w:r>
      <w:proofErr w:type="spellEnd"/>
      <w:r w:rsidRPr="00C639D1">
        <w:rPr>
          <w:rFonts w:eastAsia="Times New Roman" w:cs="Times New Roman"/>
          <w:i/>
          <w:sz w:val="20"/>
          <w:szCs w:val="20"/>
          <w:lang w:val="fr-CA" w:eastAsia="en-CA"/>
        </w:rPr>
        <w:t>,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Procureurs de l’intervenante la Fondation canadienne pour l’avancement des droits des investisseurs : </w:t>
      </w:r>
      <w:proofErr w:type="spellStart"/>
      <w:r w:rsidRPr="00C639D1">
        <w:rPr>
          <w:rFonts w:eastAsia="Times New Roman" w:cs="Times New Roman"/>
          <w:i/>
          <w:sz w:val="20"/>
          <w:szCs w:val="20"/>
          <w:lang w:val="fr-CA" w:eastAsia="en-CA"/>
        </w:rPr>
        <w:t>Paliare</w:t>
      </w:r>
      <w:proofErr w:type="spellEnd"/>
      <w:r w:rsidRPr="00C639D1">
        <w:rPr>
          <w:rFonts w:eastAsia="Times New Roman" w:cs="Times New Roman"/>
          <w:i/>
          <w:sz w:val="20"/>
          <w:szCs w:val="20"/>
          <w:lang w:val="fr-CA" w:eastAsia="en-CA"/>
        </w:rPr>
        <w:t xml:space="preserve"> Roland Rosenberg </w:t>
      </w:r>
      <w:proofErr w:type="spellStart"/>
      <w:r w:rsidRPr="00C639D1">
        <w:rPr>
          <w:rFonts w:eastAsia="Times New Roman" w:cs="Times New Roman"/>
          <w:i/>
          <w:sz w:val="20"/>
          <w:szCs w:val="20"/>
          <w:lang w:val="fr-CA" w:eastAsia="en-CA"/>
        </w:rPr>
        <w:t>Rothstein</w:t>
      </w:r>
      <w:proofErr w:type="spellEnd"/>
      <w:r w:rsidRPr="00C639D1">
        <w:rPr>
          <w:rFonts w:eastAsia="Times New Roman" w:cs="Times New Roman"/>
          <w:i/>
          <w:sz w:val="20"/>
          <w:szCs w:val="20"/>
          <w:lang w:val="fr-CA" w:eastAsia="en-CA"/>
        </w:rPr>
        <w:t>,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eastAsia="en-CA"/>
        </w:rPr>
      </w:pPr>
      <w:r w:rsidRPr="00C639D1">
        <w:rPr>
          <w:rFonts w:eastAsia="Times New Roman" w:cs="Times New Roman"/>
          <w:i/>
          <w:sz w:val="20"/>
          <w:szCs w:val="20"/>
          <w:lang w:val="fr-CA" w:eastAsia="en-CA"/>
        </w:rPr>
        <w:tab/>
      </w:r>
      <w:proofErr w:type="spellStart"/>
      <w:r w:rsidRPr="00C639D1">
        <w:rPr>
          <w:rFonts w:eastAsia="Times New Roman" w:cs="Times New Roman"/>
          <w:i/>
          <w:sz w:val="20"/>
          <w:szCs w:val="20"/>
          <w:lang w:eastAsia="en-CA"/>
        </w:rPr>
        <w:t>Procureurs</w:t>
      </w:r>
      <w:proofErr w:type="spellEnd"/>
      <w:r w:rsidRPr="00C639D1">
        <w:rPr>
          <w:rFonts w:eastAsia="Times New Roman" w:cs="Times New Roman"/>
          <w:i/>
          <w:sz w:val="20"/>
          <w:szCs w:val="20"/>
          <w:lang w:eastAsia="en-CA"/>
        </w:rPr>
        <w:t xml:space="preserve"> de </w:t>
      </w:r>
      <w:proofErr w:type="spellStart"/>
      <w:r w:rsidRPr="00C639D1">
        <w:rPr>
          <w:rFonts w:eastAsia="Times New Roman" w:cs="Times New Roman"/>
          <w:i/>
          <w:sz w:val="20"/>
          <w:szCs w:val="20"/>
          <w:lang w:eastAsia="en-CA"/>
        </w:rPr>
        <w:t>l’intervenante</w:t>
      </w:r>
      <w:proofErr w:type="spellEnd"/>
      <w:r w:rsidRPr="00C639D1">
        <w:rPr>
          <w:rFonts w:eastAsia="Times New Roman" w:cs="Times New Roman"/>
          <w:i/>
          <w:sz w:val="20"/>
          <w:szCs w:val="20"/>
          <w:lang w:eastAsia="en-CA"/>
        </w:rPr>
        <w:t xml:space="preserve"> Shareholder Association for Research and </w:t>
      </w:r>
      <w:proofErr w:type="gramStart"/>
      <w:r w:rsidRPr="00C639D1">
        <w:rPr>
          <w:rFonts w:eastAsia="Times New Roman" w:cs="Times New Roman"/>
          <w:i/>
          <w:sz w:val="20"/>
          <w:szCs w:val="20"/>
          <w:lang w:eastAsia="en-CA"/>
        </w:rPr>
        <w:t>Education :</w:t>
      </w:r>
      <w:proofErr w:type="gramEnd"/>
      <w:r w:rsidRPr="00C639D1">
        <w:rPr>
          <w:rFonts w:eastAsia="Times New Roman" w:cs="Times New Roman"/>
          <w:i/>
          <w:sz w:val="20"/>
          <w:szCs w:val="20"/>
          <w:lang w:eastAsia="en-CA"/>
        </w:rPr>
        <w:t> </w:t>
      </w:r>
      <w:proofErr w:type="spellStart"/>
      <w:r w:rsidRPr="00C639D1">
        <w:rPr>
          <w:rFonts w:eastAsia="Times New Roman" w:cs="Times New Roman"/>
          <w:i/>
          <w:sz w:val="20"/>
          <w:szCs w:val="20"/>
          <w:lang w:eastAsia="en-CA"/>
        </w:rPr>
        <w:t>Groia</w:t>
      </w:r>
      <w:proofErr w:type="spellEnd"/>
      <w:r w:rsidRPr="00C639D1">
        <w:rPr>
          <w:rFonts w:eastAsia="Times New Roman" w:cs="Times New Roman"/>
          <w:i/>
          <w:sz w:val="20"/>
          <w:szCs w:val="20"/>
          <w:lang w:eastAsia="en-CA"/>
        </w:rPr>
        <w:t xml:space="preserve"> &amp; Company, Toronto.</w:t>
      </w:r>
    </w:p>
    <w:p w:rsidR="00C639D1" w:rsidRDefault="00C639D1" w:rsidP="00C639D1">
      <w:pPr>
        <w:tabs>
          <w:tab w:val="left" w:pos="1168"/>
        </w:tabs>
        <w:jc w:val="both"/>
        <w:rPr>
          <w:rFonts w:eastAsia="Times New Roman" w:cs="Times New Roman"/>
          <w:i/>
          <w:sz w:val="20"/>
          <w:szCs w:val="20"/>
          <w:lang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eastAsia="en-CA"/>
        </w:rPr>
        <w:tab/>
      </w:r>
      <w:r w:rsidRPr="00C639D1">
        <w:rPr>
          <w:rFonts w:eastAsia="Times New Roman" w:cs="Times New Roman"/>
          <w:i/>
          <w:sz w:val="20"/>
          <w:szCs w:val="20"/>
          <w:lang w:val="fr-CA" w:eastAsia="en-CA"/>
        </w:rPr>
        <w:t>Procureur de l’intervenante la Commission des valeurs mobilières de l’Ontario : Commission des valeurs mobilières de l’Ontario, Toronto.</w:t>
      </w:r>
    </w:p>
    <w:p w:rsidR="00C639D1" w:rsidRDefault="00C639D1" w:rsidP="00C639D1">
      <w:pPr>
        <w:tabs>
          <w:tab w:val="left" w:pos="1168"/>
        </w:tabs>
        <w:jc w:val="both"/>
        <w:rPr>
          <w:rFonts w:eastAsia="Times New Roman" w:cs="Times New Roman"/>
          <w:i/>
          <w:sz w:val="20"/>
          <w:szCs w:val="20"/>
          <w:lang w:val="fr-CA" w:eastAsia="en-CA"/>
        </w:rPr>
      </w:pPr>
    </w:p>
    <w:p w:rsidR="00C639D1" w:rsidRPr="00C639D1" w:rsidRDefault="00C639D1" w:rsidP="00C639D1">
      <w:pPr>
        <w:tabs>
          <w:tab w:val="left" w:pos="1168"/>
        </w:tabs>
        <w:jc w:val="both"/>
        <w:rPr>
          <w:rFonts w:eastAsia="Times New Roman" w:cs="Times New Roman"/>
          <w:i/>
          <w:sz w:val="20"/>
          <w:szCs w:val="20"/>
          <w:lang w:val="fr-CA" w:eastAsia="en-CA"/>
        </w:rPr>
      </w:pPr>
      <w:r w:rsidRPr="00C639D1">
        <w:rPr>
          <w:rFonts w:eastAsia="Times New Roman" w:cs="Times New Roman"/>
          <w:i/>
          <w:sz w:val="20"/>
          <w:szCs w:val="20"/>
          <w:lang w:val="fr-CA" w:eastAsia="en-CA"/>
        </w:rPr>
        <w:tab/>
        <w:t>Procureurs de l’intervenant le Bureau d’assurance du Canada : </w:t>
      </w:r>
      <w:proofErr w:type="spellStart"/>
      <w:r w:rsidRPr="00C639D1">
        <w:rPr>
          <w:rFonts w:eastAsia="Times New Roman" w:cs="Times New Roman"/>
          <w:i/>
          <w:sz w:val="20"/>
          <w:szCs w:val="20"/>
          <w:lang w:val="fr-CA" w:eastAsia="en-CA"/>
        </w:rPr>
        <w:t>Stikeman</w:t>
      </w:r>
      <w:proofErr w:type="spellEnd"/>
      <w:r w:rsidRPr="00C639D1">
        <w:rPr>
          <w:rFonts w:eastAsia="Times New Roman" w:cs="Times New Roman"/>
          <w:i/>
          <w:sz w:val="20"/>
          <w:szCs w:val="20"/>
          <w:lang w:val="fr-CA" w:eastAsia="en-CA"/>
        </w:rPr>
        <w:t xml:space="preserve"> Elliott, Toronto.</w:t>
      </w:r>
    </w:p>
    <w:p w:rsidR="00902E51" w:rsidRPr="00352A49" w:rsidRDefault="00902E51" w:rsidP="00902E51">
      <w:pPr>
        <w:rPr>
          <w:sz w:val="20"/>
          <w:szCs w:val="20"/>
          <w:lang w:val="fr-CA"/>
        </w:rPr>
      </w:pPr>
    </w:p>
    <w:p w:rsidR="00902E51" w:rsidRDefault="00B150CF" w:rsidP="00902E51">
      <w:pPr>
        <w:rPr>
          <w:rFonts w:cs="Times New Roman"/>
          <w:sz w:val="20"/>
          <w:szCs w:val="20"/>
          <w:lang w:val="fr-CA"/>
        </w:rPr>
      </w:pPr>
      <w:r>
        <w:rPr>
          <w:rFonts w:cs="Times New Roman"/>
          <w:sz w:val="20"/>
          <w:szCs w:val="20"/>
          <w:lang w:val="fr-CA"/>
        </w:rPr>
        <w:pict>
          <v:rect id="_x0000_i1077" style="width:144.3pt;height:1pt" o:hrpct="300" o:hralign="center" o:hrstd="t" o:hrnoshade="t" o:hr="t" fillcolor="black [3213]" stroked="f"/>
        </w:pict>
      </w:r>
    </w:p>
    <w:p w:rsidR="005C6840" w:rsidRPr="00C50A5C" w:rsidRDefault="005C6840" w:rsidP="005C6840">
      <w:pPr>
        <w:jc w:val="both"/>
        <w:rPr>
          <w:sz w:val="20"/>
          <w:szCs w:val="20"/>
        </w:rPr>
      </w:pPr>
    </w:p>
    <w:p w:rsidR="00102926" w:rsidRDefault="00102926" w:rsidP="00782AE4">
      <w:pPr>
        <w:jc w:val="both"/>
        <w:rPr>
          <w:sz w:val="20"/>
          <w:szCs w:val="20"/>
        </w:rPr>
      </w:pPr>
    </w:p>
    <w:p w:rsidR="00C639D1" w:rsidRPr="00C50A5C" w:rsidRDefault="00C639D1" w:rsidP="00782AE4">
      <w:pPr>
        <w:jc w:val="both"/>
        <w:rPr>
          <w:sz w:val="20"/>
          <w:szCs w:val="20"/>
        </w:rPr>
        <w:sectPr w:rsidR="00C639D1" w:rsidRPr="00C50A5C" w:rsidSect="00782AE4">
          <w:headerReference w:type="even" r:id="rId104"/>
          <w:headerReference w:type="default" r:id="rId105"/>
          <w:footerReference w:type="even" r:id="rId106"/>
          <w:footerReference w:type="default" r:id="rId107"/>
          <w:headerReference w:type="first" r:id="rId108"/>
          <w:footerReference w:type="first" r:id="rId109"/>
          <w:pgSz w:w="12240" w:h="15840"/>
          <w:pgMar w:top="720" w:right="965" w:bottom="1080" w:left="1656" w:header="576" w:footer="960" w:gutter="0"/>
          <w:cols w:space="720"/>
          <w:titlePg/>
          <w:docGrid w:linePitch="272"/>
        </w:sectPr>
      </w:pPr>
    </w:p>
    <w:bookmarkStart w:id="3" w:name="QuickMark"/>
    <w:bookmarkEnd w:id="3"/>
    <w:p w:rsidR="008902B1" w:rsidRPr="002E0C7E" w:rsidRDefault="008902B1" w:rsidP="008902B1">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fldChar w:fldCharType="begin"/>
      </w:r>
      <w:r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Pr="002E0C7E">
        <w:rPr>
          <w:rFonts w:asciiTheme="minorHAnsi" w:hAnsiTheme="minorHAnsi" w:cstheme="minorHAnsi"/>
          <w:b/>
          <w:szCs w:val="24"/>
        </w:rPr>
        <w:t>SUPREME COURT OF CANADA SCHEDULE / CALENDRIER DE LA COUR SUPREME</w:t>
      </w:r>
    </w:p>
    <w:p w:rsidR="008902B1" w:rsidRPr="002E0C7E" w:rsidRDefault="008902B1" w:rsidP="008902B1">
      <w:pPr>
        <w:widowControl w:val="0"/>
        <w:spacing w:line="180" w:lineRule="auto"/>
        <w:rPr>
          <w:rFonts w:asciiTheme="minorHAnsi" w:hAnsiTheme="minorHAnsi" w:cstheme="minorHAnsi"/>
          <w:szCs w:val="24"/>
        </w:rPr>
      </w:pPr>
    </w:p>
    <w:p w:rsidR="008902B1" w:rsidRPr="002E0C7E" w:rsidRDefault="008902B1" w:rsidP="008902B1">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5</w:t>
      </w:r>
      <w:r w:rsidRPr="002E0C7E">
        <w:rPr>
          <w:rFonts w:ascii="Arial" w:hAnsi="Arial"/>
          <w:i/>
          <w:sz w:val="36"/>
        </w:rPr>
        <w:t xml:space="preserve"> -</w:t>
      </w:r>
      <w:r w:rsidRPr="002E0C7E">
        <w:rPr>
          <w:rFonts w:ascii="Arial" w:hAnsi="Arial"/>
          <w:sz w:val="18"/>
        </w:rPr>
        <w:tab/>
      </w:r>
    </w:p>
    <w:tbl>
      <w:tblPr>
        <w:tblW w:w="10797"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70"/>
        <w:gridCol w:w="469"/>
        <w:gridCol w:w="470"/>
        <w:gridCol w:w="469"/>
        <w:gridCol w:w="470"/>
        <w:gridCol w:w="469"/>
        <w:gridCol w:w="469"/>
        <w:gridCol w:w="470"/>
        <w:gridCol w:w="469"/>
        <w:gridCol w:w="470"/>
        <w:gridCol w:w="469"/>
        <w:gridCol w:w="470"/>
        <w:gridCol w:w="469"/>
        <w:gridCol w:w="469"/>
        <w:gridCol w:w="470"/>
        <w:gridCol w:w="469"/>
        <w:gridCol w:w="470"/>
        <w:gridCol w:w="469"/>
        <w:gridCol w:w="470"/>
        <w:gridCol w:w="469"/>
        <w:gridCol w:w="470"/>
      </w:tblGrid>
      <w:tr w:rsidR="008902B1" w:rsidRPr="002E0C7E" w:rsidTr="000B23D3">
        <w:trPr>
          <w:cantSplit/>
          <w:jc w:val="center"/>
        </w:trPr>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0B23D3">
            <w:pPr>
              <w:widowControl w:val="0"/>
              <w:jc w:val="center"/>
              <w:rPr>
                <w:rFonts w:ascii="Arial" w:hAnsi="Arial"/>
                <w:sz w:val="14"/>
              </w:rPr>
            </w:pPr>
          </w:p>
        </w:tc>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0B23D3">
            <w:pPr>
              <w:widowControl w:val="0"/>
              <w:jc w:val="center"/>
              <w:rPr>
                <w:rFonts w:ascii="Arial" w:hAnsi="Arial"/>
                <w:sz w:val="14"/>
              </w:rPr>
            </w:pPr>
          </w:p>
        </w:tc>
        <w:tc>
          <w:tcPr>
            <w:tcW w:w="3287"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DECEMBER - DÉCEMBRE</w:t>
            </w:r>
          </w:p>
        </w:tc>
      </w:tr>
      <w:tr w:rsidR="008902B1" w:rsidRPr="002E0C7E" w:rsidTr="000B23D3">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70" w:type="dxa"/>
            <w:tcBorders>
              <w:top w:val="double" w:sz="6" w:space="0" w:color="000000"/>
              <w:left w:val="double" w:sz="6" w:space="0" w:color="000000"/>
              <w:bottom w:val="single" w:sz="8" w:space="0" w:color="000000"/>
              <w:right w:val="single" w:sz="4" w:space="0" w:color="auto"/>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4" w:space="0" w:color="auto"/>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r>
      <w:tr w:rsidR="008902B1" w:rsidRPr="002E0C7E" w:rsidTr="000B23D3">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70"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M</w:t>
            </w:r>
          </w:p>
          <w:p w:rsidR="008902B1" w:rsidRPr="002E0C7E" w:rsidRDefault="008902B1" w:rsidP="000B23D3">
            <w:pPr>
              <w:widowControl w:val="0"/>
              <w:jc w:val="center"/>
              <w:rPr>
                <w:rFonts w:ascii="Arial" w:hAnsi="Arial"/>
                <w:sz w:val="14"/>
              </w:rPr>
            </w:pPr>
            <w:r>
              <w:rPr>
                <w:rFonts w:ascii="Arial" w:hAnsi="Arial"/>
                <w:sz w:val="14"/>
              </w:rPr>
              <w:t>2</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70"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C411C2"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r>
      <w:tr w:rsidR="008902B1" w:rsidRPr="002E0C7E" w:rsidTr="000B23D3">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902B1" w:rsidRPr="000C583B" w:rsidRDefault="008902B1" w:rsidP="000B23D3">
            <w:pPr>
              <w:widowControl w:val="0"/>
              <w:jc w:val="center"/>
              <w:rPr>
                <w:rFonts w:ascii="Arial" w:hAnsi="Arial"/>
                <w:b/>
                <w:sz w:val="14"/>
              </w:rPr>
            </w:pPr>
            <w:r>
              <w:rPr>
                <w:rFonts w:ascii="Arial" w:hAnsi="Arial"/>
                <w:b/>
                <w:sz w:val="14"/>
              </w:rPr>
              <w:t>M</w:t>
            </w:r>
          </w:p>
          <w:p w:rsidR="008902B1" w:rsidRPr="002E0C7E" w:rsidRDefault="008902B1" w:rsidP="000B23D3">
            <w:pPr>
              <w:widowControl w:val="0"/>
              <w:jc w:val="center"/>
              <w:rPr>
                <w:rFonts w:ascii="Arial" w:hAnsi="Arial"/>
                <w:sz w:val="14"/>
              </w:rPr>
            </w:pPr>
            <w:r>
              <w:rPr>
                <w:rFonts w:ascii="Arial" w:hAnsi="Arial"/>
                <w:sz w:val="14"/>
              </w:rPr>
              <w:t>5</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0C583B"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nil"/>
              <w:right w:val="nil"/>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70"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double" w:sz="6"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70" w:type="dxa"/>
            <w:tcBorders>
              <w:top w:val="double" w:sz="6" w:space="0" w:color="000000"/>
              <w:left w:val="double" w:sz="6" w:space="0" w:color="000000"/>
              <w:bottom w:val="double" w:sz="6" w:space="0" w:color="000000"/>
              <w:right w:val="double" w:sz="6" w:space="0" w:color="000000"/>
            </w:tcBorders>
            <w:shd w:val="clear" w:color="000000" w:fill="auto"/>
            <w:tcMar>
              <w:top w:w="72" w:type="dxa"/>
              <w:left w:w="0" w:type="dxa"/>
              <w:bottom w:w="43" w:type="dxa"/>
              <w:right w:w="0" w:type="dxa"/>
            </w:tcMar>
          </w:tcPr>
          <w:p w:rsidR="008902B1" w:rsidRPr="002A4724" w:rsidRDefault="008902B1" w:rsidP="000B23D3">
            <w:pPr>
              <w:widowControl w:val="0"/>
              <w:jc w:val="center"/>
              <w:rPr>
                <w:rFonts w:ascii="Arial" w:hAnsi="Arial"/>
                <w:b/>
                <w:sz w:val="14"/>
              </w:rPr>
            </w:pPr>
            <w:r w:rsidRPr="002A4724">
              <w:rPr>
                <w:rFonts w:ascii="Arial" w:hAnsi="Arial"/>
                <w:b/>
                <w:sz w:val="14"/>
              </w:rPr>
              <w:t>H</w:t>
            </w:r>
          </w:p>
          <w:p w:rsidR="008902B1" w:rsidRPr="002E0C7E" w:rsidRDefault="008902B1" w:rsidP="000B23D3">
            <w:pPr>
              <w:widowControl w:val="0"/>
              <w:jc w:val="center"/>
              <w:rPr>
                <w:rFonts w:ascii="Arial" w:hAnsi="Arial"/>
                <w:sz w:val="14"/>
              </w:rPr>
            </w:pPr>
            <w:r>
              <w:rPr>
                <w:rFonts w:ascii="Arial" w:hAnsi="Arial"/>
                <w:sz w:val="14"/>
              </w:rPr>
              <w:t>11</w:t>
            </w:r>
          </w:p>
        </w:tc>
        <w:tc>
          <w:tcPr>
            <w:tcW w:w="469" w:type="dxa"/>
            <w:tcBorders>
              <w:top w:val="single" w:sz="8" w:space="0" w:color="000000"/>
              <w:left w:val="double" w:sz="6" w:space="0" w:color="000000"/>
              <w:bottom w:val="nil"/>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12</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12</w:t>
            </w:r>
          </w:p>
        </w:tc>
      </w:tr>
      <w:tr w:rsidR="008902B1" w:rsidRPr="002E0C7E" w:rsidTr="000B23D3">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11</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0C583B" w:rsidRDefault="008902B1" w:rsidP="000B23D3">
            <w:pPr>
              <w:widowControl w:val="0"/>
              <w:jc w:val="center"/>
              <w:rPr>
                <w:rFonts w:ascii="Arial" w:hAnsi="Arial"/>
                <w:b/>
                <w:sz w:val="14"/>
              </w:rPr>
            </w:pPr>
            <w:r>
              <w:rPr>
                <w:rFonts w:ascii="Arial" w:hAnsi="Arial"/>
                <w:b/>
                <w:sz w:val="14"/>
              </w:rPr>
              <w:t>H</w:t>
            </w: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2</w:t>
            </w:r>
          </w:p>
        </w:tc>
        <w:tc>
          <w:tcPr>
            <w:tcW w:w="470"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0C583B"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15</w:t>
            </w:r>
          </w:p>
        </w:tc>
        <w:tc>
          <w:tcPr>
            <w:tcW w:w="470" w:type="dxa"/>
            <w:tcBorders>
              <w:top w:val="single" w:sz="8" w:space="0" w:color="000000"/>
              <w:left w:val="single" w:sz="8" w:space="0" w:color="000000"/>
              <w:bottom w:val="single" w:sz="4" w:space="0" w:color="auto"/>
              <w:right w:val="single" w:sz="8" w:space="0" w:color="000000"/>
            </w:tcBorders>
            <w:shd w:val="clear" w:color="auto" w:fill="auto"/>
            <w:tcMar>
              <w:top w:w="72" w:type="dxa"/>
              <w:left w:w="0" w:type="dxa"/>
              <w:bottom w:w="43" w:type="dxa"/>
              <w:right w:w="0" w:type="dxa"/>
            </w:tcMar>
          </w:tcPr>
          <w:p w:rsidR="008902B1" w:rsidRPr="004030BA"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4F066E"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r>
              <w:rPr>
                <w:rFonts w:ascii="Arial" w:hAnsi="Arial"/>
                <w:sz w:val="14"/>
              </w:rPr>
              <w:t>17</w:t>
            </w:r>
          </w:p>
        </w:tc>
        <w:tc>
          <w:tcPr>
            <w:tcW w:w="470" w:type="dxa"/>
            <w:tcBorders>
              <w:top w:val="double" w:sz="6" w:space="0" w:color="000000"/>
              <w:left w:val="single" w:sz="8" w:space="0" w:color="000000"/>
              <w:bottom w:val="nil"/>
              <w:right w:val="nil"/>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r w:rsidRPr="002E0C7E">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18</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19</w:t>
            </w:r>
          </w:p>
        </w:tc>
      </w:tr>
      <w:tr w:rsidR="008902B1" w:rsidRPr="002E0C7E" w:rsidTr="000B23D3">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18</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19</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21</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22</w:t>
            </w:r>
          </w:p>
        </w:tc>
        <w:tc>
          <w:tcPr>
            <w:tcW w:w="470" w:type="dxa"/>
            <w:tcBorders>
              <w:top w:val="single" w:sz="4" w:space="0" w:color="auto"/>
              <w:left w:val="single" w:sz="8" w:space="0" w:color="000000"/>
              <w:bottom w:val="double" w:sz="6" w:space="0" w:color="000000"/>
              <w:right w:val="nil"/>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24</w:t>
            </w:r>
          </w:p>
        </w:tc>
        <w:tc>
          <w:tcPr>
            <w:tcW w:w="470" w:type="dxa"/>
            <w:tcBorders>
              <w:top w:val="single" w:sz="8" w:space="0" w:color="000000"/>
              <w:left w:val="single" w:sz="8" w:space="0" w:color="000000"/>
              <w:bottom w:val="nil"/>
              <w:right w:val="nil"/>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21</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auto"/>
              <w:right w:val="single" w:sz="8" w:space="0" w:color="000000"/>
            </w:tcBorders>
            <w:tcMar>
              <w:top w:w="72" w:type="dxa"/>
              <w:left w:w="0" w:type="dxa"/>
              <w:bottom w:w="43" w:type="dxa"/>
              <w:right w:w="0" w:type="dxa"/>
            </w:tcMar>
          </w:tcPr>
          <w:p w:rsidR="008902B1" w:rsidRPr="00D23ECF"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auto"/>
              <w:right w:val="double" w:sz="6" w:space="0" w:color="000000"/>
            </w:tcBorders>
            <w:tcMar>
              <w:top w:w="72" w:type="dxa"/>
              <w:left w:w="0" w:type="dxa"/>
              <w:bottom w:w="43" w:type="dxa"/>
              <w:right w:w="0" w:type="dxa"/>
            </w:tcMar>
          </w:tcPr>
          <w:p w:rsidR="008902B1" w:rsidRPr="00D23ECF"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r>
              <w:rPr>
                <w:rFonts w:ascii="Arial" w:hAnsi="Arial"/>
                <w:sz w:val="14"/>
              </w:rPr>
              <w:t>24</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D23ECF" w:rsidRDefault="008902B1" w:rsidP="000B23D3">
            <w:pPr>
              <w:widowControl w:val="0"/>
              <w:jc w:val="center"/>
              <w:rPr>
                <w:rFonts w:ascii="Arial" w:hAnsi="Arial"/>
                <w:b/>
                <w:sz w:val="14"/>
              </w:rPr>
            </w:pPr>
            <w:r>
              <w:rPr>
                <w:rFonts w:ascii="Arial" w:hAnsi="Arial"/>
                <w:b/>
                <w:sz w:val="14"/>
              </w:rPr>
              <w:t>H</w:t>
            </w:r>
          </w:p>
          <w:p w:rsidR="008902B1" w:rsidRPr="002E0C7E" w:rsidRDefault="008902B1" w:rsidP="000B23D3">
            <w:pPr>
              <w:widowControl w:val="0"/>
              <w:jc w:val="center"/>
              <w:rPr>
                <w:rFonts w:ascii="Arial" w:hAnsi="Arial"/>
                <w:sz w:val="14"/>
              </w:rPr>
            </w:pPr>
            <w:r>
              <w:rPr>
                <w:rFonts w:ascii="Arial" w:hAnsi="Arial"/>
                <w:sz w:val="14"/>
              </w:rPr>
              <w:t>25</w:t>
            </w: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6</w:t>
            </w:r>
          </w:p>
        </w:tc>
      </w:tr>
      <w:tr w:rsidR="008902B1" w:rsidRPr="002E0C7E" w:rsidTr="000B23D3">
        <w:trPr>
          <w:cantSplit/>
          <w:trHeight w:val="288"/>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26</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70"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902B1" w:rsidRPr="002A4724" w:rsidRDefault="008902B1" w:rsidP="000B23D3">
            <w:pPr>
              <w:widowControl w:val="0"/>
              <w:jc w:val="center"/>
              <w:rPr>
                <w:rFonts w:ascii="Arial" w:hAnsi="Arial"/>
                <w:b/>
                <w:sz w:val="14"/>
              </w:rPr>
            </w:pPr>
            <w:r w:rsidRPr="002A4724">
              <w:rPr>
                <w:rFonts w:ascii="Arial" w:hAnsi="Arial"/>
                <w:b/>
                <w:sz w:val="14"/>
              </w:rPr>
              <w:t>M</w:t>
            </w:r>
          </w:p>
          <w:p w:rsidR="008902B1" w:rsidRPr="002E0C7E" w:rsidRDefault="008902B1" w:rsidP="000B23D3">
            <w:pPr>
              <w:widowControl w:val="0"/>
              <w:jc w:val="center"/>
              <w:rPr>
                <w:rFonts w:ascii="Arial" w:hAnsi="Arial"/>
                <w:sz w:val="14"/>
              </w:rPr>
            </w:pPr>
            <w:r>
              <w:rPr>
                <w:rFonts w:ascii="Arial" w:hAnsi="Arial"/>
                <w:sz w:val="14"/>
              </w:rPr>
              <w:t>30</w:t>
            </w: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70" w:type="dxa"/>
            <w:tcBorders>
              <w:top w:val="single" w:sz="8"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27</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5158BD" w:rsidRDefault="008902B1" w:rsidP="000B23D3">
            <w:pPr>
              <w:widowControl w:val="0"/>
              <w:jc w:val="center"/>
              <w:rPr>
                <w:rFonts w:ascii="Arial" w:hAnsi="Arial"/>
                <w:b/>
                <w:sz w:val="14"/>
              </w:rPr>
            </w:pPr>
            <w:r>
              <w:rPr>
                <w:rFonts w:ascii="Arial" w:hAnsi="Arial"/>
                <w:b/>
                <w:sz w:val="14"/>
              </w:rPr>
              <w:t>H</w:t>
            </w:r>
          </w:p>
          <w:p w:rsidR="008902B1" w:rsidRPr="002E0C7E" w:rsidRDefault="008902B1" w:rsidP="000B23D3">
            <w:pPr>
              <w:widowControl w:val="0"/>
              <w:jc w:val="center"/>
              <w:rPr>
                <w:rFonts w:ascii="Arial" w:hAnsi="Arial"/>
                <w:sz w:val="14"/>
              </w:rPr>
            </w:pPr>
            <w:r>
              <w:rPr>
                <w:rFonts w:ascii="Arial" w:hAnsi="Arial"/>
                <w:sz w:val="14"/>
              </w:rPr>
              <w:t>28</w:t>
            </w:r>
          </w:p>
        </w:tc>
        <w:tc>
          <w:tcPr>
            <w:tcW w:w="470"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single" w:sz="8" w:space="0" w:color="auto"/>
              <w:left w:val="single" w:sz="8" w:space="0" w:color="000000"/>
              <w:bottom w:val="double" w:sz="6" w:space="0" w:color="000000"/>
              <w:right w:val="single" w:sz="4" w:space="0" w:color="auto"/>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30</w:t>
            </w:r>
          </w:p>
        </w:tc>
        <w:tc>
          <w:tcPr>
            <w:tcW w:w="470" w:type="dxa"/>
            <w:tcBorders>
              <w:top w:val="single" w:sz="8" w:space="0" w:color="auto"/>
              <w:left w:val="single" w:sz="4" w:space="0" w:color="auto"/>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31</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r>
    </w:tbl>
    <w:p w:rsidR="008902B1" w:rsidRPr="002E0C7E" w:rsidRDefault="008902B1" w:rsidP="008902B1">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6</w:t>
      </w:r>
      <w:r w:rsidRPr="002E0C7E">
        <w:rPr>
          <w:rFonts w:ascii="Arial" w:hAnsi="Arial"/>
          <w:i/>
          <w:sz w:val="36"/>
        </w:rPr>
        <w:t xml:space="preserve"> -</w:t>
      </w:r>
    </w:p>
    <w:tbl>
      <w:tblPr>
        <w:tblW w:w="10789"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69"/>
        <w:gridCol w:w="469"/>
        <w:gridCol w:w="469"/>
        <w:gridCol w:w="469"/>
        <w:gridCol w:w="470"/>
        <w:gridCol w:w="469"/>
        <w:gridCol w:w="469"/>
        <w:gridCol w:w="469"/>
        <w:gridCol w:w="469"/>
        <w:gridCol w:w="469"/>
        <w:gridCol w:w="469"/>
        <w:gridCol w:w="469"/>
        <w:gridCol w:w="469"/>
        <w:gridCol w:w="469"/>
        <w:gridCol w:w="469"/>
        <w:gridCol w:w="470"/>
      </w:tblGrid>
      <w:tr w:rsidR="008902B1" w:rsidRPr="002E0C7E" w:rsidTr="000B23D3">
        <w:trPr>
          <w:cantSplit/>
          <w:jc w:val="center"/>
        </w:trPr>
        <w:tc>
          <w:tcPr>
            <w:tcW w:w="3283"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0B23D3">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0B23D3">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MARCH - MARS</w:t>
            </w:r>
          </w:p>
        </w:tc>
      </w:tr>
      <w:tr w:rsidR="008902B1" w:rsidRPr="002E0C7E" w:rsidTr="000B23D3">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70"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r>
      <w:tr w:rsidR="008902B1" w:rsidRPr="002E0C7E" w:rsidTr="000B23D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317A69"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p>
        </w:tc>
        <w:tc>
          <w:tcPr>
            <w:tcW w:w="469" w:type="dxa"/>
            <w:tcBorders>
              <w:top w:val="single" w:sz="4" w:space="0" w:color="auto"/>
              <w:left w:val="single" w:sz="8" w:space="0" w:color="000000"/>
              <w:bottom w:val="single" w:sz="8" w:space="0" w:color="000000"/>
              <w:right w:val="single" w:sz="8" w:space="0" w:color="000000"/>
            </w:tcBorders>
            <w:tcMar>
              <w:top w:w="72" w:type="dxa"/>
              <w:left w:w="0" w:type="dxa"/>
              <w:bottom w:w="43" w:type="dxa"/>
              <w:right w:w="0" w:type="dxa"/>
            </w:tcMar>
          </w:tcPr>
          <w:p w:rsidR="008902B1" w:rsidRPr="00D23ECF"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p>
        </w:tc>
        <w:tc>
          <w:tcPr>
            <w:tcW w:w="469" w:type="dxa"/>
            <w:tcBorders>
              <w:top w:val="single" w:sz="4" w:space="0" w:color="auto"/>
              <w:left w:val="single" w:sz="8" w:space="0" w:color="000000"/>
              <w:bottom w:val="single" w:sz="8" w:space="0" w:color="000000"/>
              <w:right w:val="double" w:sz="6" w:space="0" w:color="000000"/>
            </w:tcBorders>
            <w:tcMar>
              <w:top w:w="72" w:type="dxa"/>
              <w:left w:w="0" w:type="dxa"/>
              <w:bottom w:w="43" w:type="dxa"/>
              <w:right w:w="0" w:type="dxa"/>
            </w:tcMar>
          </w:tcPr>
          <w:p w:rsidR="008902B1" w:rsidRPr="004F066E"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CD2D42" w:rsidRDefault="008902B1" w:rsidP="000B23D3">
            <w:pPr>
              <w:widowControl w:val="0"/>
              <w:jc w:val="center"/>
              <w:rPr>
                <w:rFonts w:ascii="Arial" w:hAnsi="Arial"/>
                <w:b/>
                <w:sz w:val="14"/>
              </w:rPr>
            </w:pPr>
            <w:r w:rsidRPr="00CD2D42">
              <w:rPr>
                <w:rFonts w:ascii="Arial" w:hAnsi="Arial"/>
                <w:b/>
                <w:sz w:val="14"/>
              </w:rPr>
              <w:t>H</w:t>
            </w: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r>
      <w:tr w:rsidR="008902B1" w:rsidRPr="002E0C7E" w:rsidTr="000B23D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12</w:t>
            </w:r>
          </w:p>
        </w:tc>
      </w:tr>
      <w:tr w:rsidR="008902B1" w:rsidRPr="002E0C7E" w:rsidTr="000B23D3">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7255AD" w:rsidRDefault="008902B1" w:rsidP="000B23D3">
            <w:pPr>
              <w:widowControl w:val="0"/>
              <w:jc w:val="center"/>
              <w:rPr>
                <w:rFonts w:ascii="Arial" w:hAnsi="Arial"/>
                <w:b/>
                <w:sz w:val="14"/>
              </w:rPr>
            </w:pPr>
            <w:r>
              <w:rPr>
                <w:rFonts w:ascii="Arial" w:hAnsi="Arial"/>
                <w:b/>
                <w:sz w:val="14"/>
              </w:rPr>
              <w:t>M</w:t>
            </w: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14</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0E2B85" w:rsidRDefault="008902B1" w:rsidP="000B23D3">
            <w:pPr>
              <w:widowControl w:val="0"/>
              <w:jc w:val="center"/>
              <w:rPr>
                <w:rFonts w:ascii="Arial" w:hAnsi="Arial"/>
                <w:b/>
                <w:sz w:val="14"/>
              </w:rPr>
            </w:pPr>
            <w:r>
              <w:rPr>
                <w:rFonts w:ascii="Arial" w:hAnsi="Arial"/>
                <w:b/>
                <w:sz w:val="14"/>
              </w:rPr>
              <w:t>M</w:t>
            </w: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7D4CDA"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18</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9</w:t>
            </w:r>
          </w:p>
        </w:tc>
      </w:tr>
      <w:tr w:rsidR="008902B1" w:rsidRPr="002E0C7E" w:rsidTr="000B23D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17</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21</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20</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D34238" w:rsidRDefault="008902B1" w:rsidP="000B23D3">
            <w:pPr>
              <w:widowControl w:val="0"/>
              <w:jc w:val="center"/>
              <w:rPr>
                <w:rFonts w:ascii="Arial" w:hAnsi="Arial"/>
                <w:b/>
                <w:sz w:val="14"/>
              </w:rPr>
            </w:pPr>
            <w:r>
              <w:rPr>
                <w:rFonts w:ascii="Arial" w:hAnsi="Arial"/>
                <w:b/>
                <w:sz w:val="14"/>
              </w:rPr>
              <w:t>M</w:t>
            </w:r>
          </w:p>
          <w:p w:rsidR="008902B1" w:rsidRPr="002E0C7E" w:rsidRDefault="008902B1" w:rsidP="000B23D3">
            <w:pPr>
              <w:widowControl w:val="0"/>
              <w:jc w:val="center"/>
              <w:rPr>
                <w:rFonts w:ascii="Arial" w:hAnsi="Arial"/>
                <w:sz w:val="14"/>
              </w:rPr>
            </w:pPr>
            <w:r>
              <w:rPr>
                <w:rFonts w:ascii="Arial" w:hAnsi="Arial"/>
                <w:sz w:val="14"/>
              </w:rPr>
              <w:t>21</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double" w:sz="6"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8670D0" w:rsidRDefault="008902B1" w:rsidP="000B23D3">
            <w:pPr>
              <w:widowControl w:val="0"/>
              <w:jc w:val="center"/>
              <w:rPr>
                <w:rFonts w:ascii="Arial" w:hAnsi="Arial"/>
                <w:b/>
                <w:sz w:val="14"/>
              </w:rPr>
            </w:pPr>
            <w:r>
              <w:rPr>
                <w:rFonts w:ascii="Arial" w:hAnsi="Arial"/>
                <w:b/>
                <w:sz w:val="14"/>
              </w:rPr>
              <w:t>H</w:t>
            </w: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6</w:t>
            </w:r>
          </w:p>
        </w:tc>
      </w:tr>
      <w:tr w:rsidR="008902B1" w:rsidRPr="002E0C7E" w:rsidTr="000B23D3">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Default="008902B1" w:rsidP="000B23D3">
            <w:pPr>
              <w:widowControl w:val="0"/>
              <w:rPr>
                <w:rFonts w:ascii="Arial" w:hAnsi="Arial"/>
                <w:sz w:val="14"/>
              </w:rPr>
            </w:pPr>
            <w:r>
              <w:rPr>
                <w:rFonts w:ascii="Arial" w:hAnsi="Arial"/>
                <w:sz w:val="14"/>
              </w:rPr>
              <w:t xml:space="preserve"> </w:t>
            </w:r>
            <w:r w:rsidRPr="002E0C7E">
              <w:rPr>
                <w:rFonts w:ascii="Arial" w:hAnsi="Arial"/>
                <w:sz w:val="14"/>
              </w:rPr>
              <w:t>2</w:t>
            </w:r>
            <w:r>
              <w:rPr>
                <w:rFonts w:ascii="Arial" w:hAnsi="Arial"/>
                <w:sz w:val="14"/>
              </w:rPr>
              <w:t>4</w:t>
            </w:r>
          </w:p>
          <w:p w:rsidR="008902B1" w:rsidRPr="002E0C7E" w:rsidRDefault="008902B1" w:rsidP="000B23D3">
            <w:pPr>
              <w:widowControl w:val="0"/>
              <w:jc w:val="center"/>
              <w:rPr>
                <w:rFonts w:ascii="Arial" w:hAnsi="Arial"/>
                <w:sz w:val="14"/>
              </w:rPr>
            </w:pPr>
            <w:r>
              <w:rPr>
                <w:rFonts w:ascii="Arial" w:hAnsi="Arial"/>
                <w:sz w:val="14"/>
              </w:rPr>
              <w:t xml:space="preserve">    31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27</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7D4CDA" w:rsidRDefault="008902B1" w:rsidP="000B23D3">
            <w:pPr>
              <w:widowControl w:val="0"/>
              <w:jc w:val="center"/>
              <w:rPr>
                <w:rFonts w:ascii="Arial" w:hAnsi="Arial"/>
                <w:b/>
                <w:sz w:val="14"/>
              </w:rPr>
            </w:pPr>
            <w:r>
              <w:rPr>
                <w:rFonts w:ascii="Arial" w:hAnsi="Arial"/>
                <w:b/>
                <w:sz w:val="14"/>
              </w:rPr>
              <w:t>H</w:t>
            </w:r>
          </w:p>
          <w:p w:rsidR="008902B1" w:rsidRPr="002E0C7E" w:rsidRDefault="008902B1" w:rsidP="000B23D3">
            <w:pPr>
              <w:widowControl w:val="0"/>
              <w:jc w:val="center"/>
              <w:rPr>
                <w:rFonts w:ascii="Arial" w:hAnsi="Arial"/>
                <w:sz w:val="14"/>
              </w:rPr>
            </w:pPr>
            <w:r>
              <w:rPr>
                <w:rFonts w:ascii="Arial" w:hAnsi="Arial"/>
                <w:sz w:val="14"/>
              </w:rPr>
              <w:t>28</w:t>
            </w:r>
          </w:p>
        </w:tc>
        <w:tc>
          <w:tcPr>
            <w:tcW w:w="469" w:type="dxa"/>
            <w:tcBorders>
              <w:top w:val="single" w:sz="8" w:space="0" w:color="000000"/>
              <w:left w:val="double" w:sz="6"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31</w:t>
            </w:r>
          </w:p>
        </w:tc>
        <w:tc>
          <w:tcPr>
            <w:tcW w:w="469" w:type="dxa"/>
            <w:tcBorders>
              <w:top w:val="double" w:sz="6"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902B1" w:rsidRPr="00261B35"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r>
    </w:tbl>
    <w:p w:rsidR="008902B1" w:rsidRPr="002E0C7E" w:rsidRDefault="008902B1" w:rsidP="008902B1">
      <w:pPr>
        <w:widowControl w:val="0"/>
        <w:rPr>
          <w:rFonts w:ascii="Arial" w:hAnsi="Arial"/>
          <w:vanish/>
          <w:szCs w:val="24"/>
        </w:rPr>
      </w:pPr>
    </w:p>
    <w:tbl>
      <w:tblPr>
        <w:tblW w:w="10790" w:type="dxa"/>
        <w:jc w:val="center"/>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9"/>
        <w:gridCol w:w="469"/>
        <w:gridCol w:w="469"/>
        <w:gridCol w:w="469"/>
        <w:gridCol w:w="469"/>
        <w:gridCol w:w="469"/>
        <w:gridCol w:w="469"/>
        <w:gridCol w:w="470"/>
        <w:gridCol w:w="469"/>
        <w:gridCol w:w="469"/>
        <w:gridCol w:w="469"/>
        <w:gridCol w:w="469"/>
        <w:gridCol w:w="469"/>
        <w:gridCol w:w="469"/>
        <w:gridCol w:w="469"/>
        <w:gridCol w:w="470"/>
        <w:gridCol w:w="469"/>
        <w:gridCol w:w="469"/>
        <w:gridCol w:w="469"/>
        <w:gridCol w:w="469"/>
        <w:gridCol w:w="469"/>
        <w:gridCol w:w="469"/>
        <w:gridCol w:w="470"/>
      </w:tblGrid>
      <w:tr w:rsidR="008902B1" w:rsidRPr="002E0C7E" w:rsidTr="000B23D3">
        <w:trPr>
          <w:cantSplit/>
          <w:jc w:val="center"/>
        </w:trPr>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APRIL - AVRIL</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0B23D3">
            <w:pPr>
              <w:widowControl w:val="0"/>
              <w:jc w:val="center"/>
              <w:rPr>
                <w:rFonts w:ascii="Arial" w:hAnsi="Arial"/>
                <w:sz w:val="14"/>
              </w:rPr>
            </w:pPr>
          </w:p>
        </w:tc>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MAY - MAI</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902B1" w:rsidRPr="002E0C7E" w:rsidRDefault="008902B1" w:rsidP="000B23D3">
            <w:pPr>
              <w:widowControl w:val="0"/>
              <w:jc w:val="center"/>
              <w:rPr>
                <w:rFonts w:ascii="Arial" w:hAnsi="Arial"/>
                <w:sz w:val="14"/>
              </w:rPr>
            </w:pPr>
          </w:p>
        </w:tc>
        <w:tc>
          <w:tcPr>
            <w:tcW w:w="3284"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902B1" w:rsidRPr="002E0C7E" w:rsidRDefault="008902B1" w:rsidP="000B23D3">
            <w:pPr>
              <w:widowControl w:val="0"/>
              <w:jc w:val="center"/>
              <w:rPr>
                <w:rFonts w:ascii="Arial" w:hAnsi="Arial"/>
                <w:sz w:val="14"/>
              </w:rPr>
            </w:pPr>
            <w:r w:rsidRPr="002E0C7E">
              <w:rPr>
                <w:rFonts w:ascii="Arial" w:hAnsi="Arial"/>
                <w:b/>
                <w:sz w:val="14"/>
              </w:rPr>
              <w:t>JUNE - JUIN</w:t>
            </w:r>
          </w:p>
        </w:tc>
      </w:tr>
      <w:tr w:rsidR="008902B1" w:rsidRPr="002E0C7E" w:rsidTr="000B23D3">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S</w:t>
            </w:r>
          </w:p>
          <w:p w:rsidR="008902B1" w:rsidRPr="002E0C7E" w:rsidRDefault="008902B1" w:rsidP="000B23D3">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M</w:t>
            </w:r>
          </w:p>
          <w:p w:rsidR="008902B1" w:rsidRPr="002E0C7E" w:rsidRDefault="008902B1" w:rsidP="000B23D3">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W</w:t>
            </w:r>
          </w:p>
          <w:p w:rsidR="008902B1" w:rsidRPr="002E0C7E" w:rsidRDefault="008902B1" w:rsidP="000B23D3">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T</w:t>
            </w:r>
          </w:p>
          <w:p w:rsidR="008902B1" w:rsidRPr="002E0C7E" w:rsidRDefault="008902B1" w:rsidP="000B23D3">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sidRPr="002E0C7E">
              <w:rPr>
                <w:rFonts w:ascii="Arial" w:hAnsi="Arial"/>
                <w:sz w:val="14"/>
              </w:rPr>
              <w:t>F</w:t>
            </w:r>
          </w:p>
          <w:p w:rsidR="008902B1" w:rsidRPr="002E0C7E" w:rsidRDefault="008902B1" w:rsidP="000B23D3">
            <w:pPr>
              <w:widowControl w:val="0"/>
              <w:jc w:val="center"/>
              <w:rPr>
                <w:rFonts w:ascii="Arial" w:hAnsi="Arial"/>
                <w:sz w:val="14"/>
              </w:rPr>
            </w:pPr>
            <w:r>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r>
              <w:rPr>
                <w:rFonts w:ascii="Arial" w:hAnsi="Arial"/>
                <w:sz w:val="14"/>
              </w:rPr>
              <w:t>S</w:t>
            </w:r>
          </w:p>
          <w:p w:rsidR="008902B1" w:rsidRPr="002E0C7E" w:rsidRDefault="008902B1" w:rsidP="000B23D3">
            <w:pPr>
              <w:widowControl w:val="0"/>
              <w:jc w:val="center"/>
              <w:rPr>
                <w:rFonts w:ascii="Arial" w:hAnsi="Arial"/>
                <w:sz w:val="14"/>
              </w:rPr>
            </w:pPr>
            <w:r>
              <w:rPr>
                <w:rFonts w:ascii="Arial" w:hAnsi="Arial"/>
                <w:sz w:val="14"/>
              </w:rPr>
              <w:t>S</w:t>
            </w:r>
          </w:p>
        </w:tc>
      </w:tr>
      <w:tr w:rsidR="008902B1" w:rsidRPr="002E0C7E" w:rsidTr="000B23D3">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BC4B65"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r>
      <w:tr w:rsidR="008902B1" w:rsidRPr="002E0C7E" w:rsidTr="000B23D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BC4B65"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14</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902B1" w:rsidRPr="00931A1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11</w:t>
            </w:r>
          </w:p>
        </w:tc>
      </w:tr>
      <w:tr w:rsidR="008902B1" w:rsidRPr="002E0C7E" w:rsidTr="000B23D3">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902B1" w:rsidRPr="00BC4B65"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902B1" w:rsidRPr="00852172" w:rsidRDefault="008902B1" w:rsidP="000B23D3">
            <w:pPr>
              <w:widowControl w:val="0"/>
              <w:jc w:val="center"/>
              <w:rPr>
                <w:rFonts w:ascii="Arial" w:hAnsi="Arial"/>
                <w:b/>
                <w:sz w:val="14"/>
              </w:rPr>
            </w:pPr>
          </w:p>
          <w:p w:rsidR="008902B1" w:rsidRPr="002E0C7E" w:rsidRDefault="008902B1" w:rsidP="000B23D3">
            <w:pPr>
              <w:widowControl w:val="0"/>
              <w:jc w:val="center"/>
              <w:rPr>
                <w:rFonts w:ascii="Arial" w:hAnsi="Arial"/>
                <w:sz w:val="14"/>
              </w:rPr>
            </w:pPr>
            <w:r>
              <w:rPr>
                <w:rFonts w:ascii="Arial" w:hAnsi="Arial"/>
                <w:sz w:val="14"/>
              </w:rPr>
              <w:t>15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16</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2453E3" w:rsidRDefault="008902B1" w:rsidP="000B23D3">
            <w:pPr>
              <w:widowControl w:val="0"/>
              <w:jc w:val="center"/>
              <w:rPr>
                <w:rFonts w:ascii="Arial" w:hAnsi="Arial"/>
                <w:b/>
                <w:sz w:val="14"/>
              </w:rPr>
            </w:pPr>
            <w:r w:rsidRPr="002453E3">
              <w:rPr>
                <w:rFonts w:ascii="Arial" w:hAnsi="Arial"/>
                <w:b/>
                <w:sz w:val="14"/>
              </w:rPr>
              <w:t>M</w:t>
            </w: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w:t>
            </w:r>
            <w:r w:rsidRPr="002E0C7E">
              <w:rPr>
                <w:rFonts w:ascii="Arial" w:hAnsi="Arial"/>
                <w:sz w:val="14"/>
              </w:rPr>
              <w:t>1</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12</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902B1" w:rsidRPr="00371D2F" w:rsidRDefault="008902B1" w:rsidP="000B23D3">
            <w:pPr>
              <w:widowControl w:val="0"/>
              <w:jc w:val="center"/>
              <w:rPr>
                <w:rFonts w:ascii="Arial" w:hAnsi="Arial"/>
                <w:b/>
                <w:sz w:val="14"/>
              </w:rPr>
            </w:pPr>
            <w:r>
              <w:rPr>
                <w:rFonts w:ascii="Arial" w:hAnsi="Arial"/>
                <w:b/>
                <w:sz w:val="14"/>
              </w:rPr>
              <w:t>M</w:t>
            </w: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18</w:t>
            </w:r>
          </w:p>
        </w:tc>
      </w:tr>
      <w:tr w:rsidR="008902B1" w:rsidRPr="002E0C7E" w:rsidTr="000B23D3">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17</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vAlign w:val="center"/>
          </w:tcPr>
          <w:p w:rsidR="008902B1" w:rsidRPr="0049680E" w:rsidRDefault="008902B1" w:rsidP="000B23D3">
            <w:pPr>
              <w:widowControl w:val="0"/>
              <w:jc w:val="center"/>
              <w:rPr>
                <w:rFonts w:ascii="Arial" w:hAnsi="Arial"/>
                <w:b/>
                <w:sz w:val="14"/>
              </w:rPr>
            </w:pPr>
            <w:r w:rsidRPr="0049680E">
              <w:rPr>
                <w:rFonts w:ascii="Arial" w:hAnsi="Arial"/>
                <w:b/>
                <w:sz w:val="14"/>
              </w:rPr>
              <w:t>M</w:t>
            </w:r>
          </w:p>
          <w:p w:rsidR="008902B1" w:rsidRPr="002E0C7E" w:rsidRDefault="008902B1" w:rsidP="000B23D3">
            <w:pPr>
              <w:widowControl w:val="0"/>
              <w:jc w:val="center"/>
              <w:rPr>
                <w:rFonts w:ascii="Arial" w:hAnsi="Arial"/>
                <w:sz w:val="14"/>
              </w:rPr>
            </w:pPr>
            <w:r>
              <w:rPr>
                <w:rFonts w:ascii="Arial" w:hAnsi="Arial"/>
                <w:sz w:val="14"/>
              </w:rPr>
              <w:t>18</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3</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22</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902B1" w:rsidRPr="002453E3" w:rsidRDefault="008902B1" w:rsidP="000B23D3">
            <w:pPr>
              <w:widowControl w:val="0"/>
              <w:jc w:val="center"/>
              <w:rPr>
                <w:rFonts w:ascii="Arial" w:hAnsi="Arial"/>
                <w:b/>
                <w:sz w:val="14"/>
              </w:rPr>
            </w:pPr>
            <w:r>
              <w:rPr>
                <w:rFonts w:ascii="Arial" w:hAnsi="Arial"/>
                <w:b/>
                <w:sz w:val="14"/>
              </w:rPr>
              <w:t>H</w:t>
            </w:r>
          </w:p>
          <w:p w:rsidR="008902B1" w:rsidRPr="002E0C7E" w:rsidRDefault="008902B1" w:rsidP="000B23D3">
            <w:pPr>
              <w:widowControl w:val="0"/>
              <w:jc w:val="center"/>
              <w:rPr>
                <w:rFonts w:ascii="Arial" w:hAnsi="Arial"/>
                <w:sz w:val="14"/>
              </w:rPr>
            </w:pPr>
            <w:r>
              <w:rPr>
                <w:rFonts w:ascii="Arial" w:hAnsi="Arial"/>
                <w:sz w:val="14"/>
              </w:rPr>
              <w:t>23</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8</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19</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sidRPr="002E0C7E">
              <w:rPr>
                <w:rFonts w:ascii="Arial" w:hAnsi="Arial"/>
                <w:sz w:val="14"/>
              </w:rPr>
              <w:t>2</w:t>
            </w:r>
            <w:r>
              <w:rPr>
                <w:rFonts w:ascii="Arial" w:hAnsi="Arial"/>
                <w:sz w:val="14"/>
              </w:rPr>
              <w:t>5</w:t>
            </w:r>
          </w:p>
        </w:tc>
      </w:tr>
      <w:tr w:rsidR="008902B1" w:rsidRPr="002E0C7E" w:rsidTr="000B23D3">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24</w:t>
            </w:r>
          </w:p>
        </w:tc>
        <w:tc>
          <w:tcPr>
            <w:tcW w:w="469" w:type="dxa"/>
            <w:tcBorders>
              <w:top w:val="double" w:sz="6"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30</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902B1" w:rsidRPr="002E0C7E" w:rsidRDefault="008902B1" w:rsidP="000B23D3">
            <w:pPr>
              <w:widowControl w:val="0"/>
              <w:jc w:val="center"/>
              <w:rPr>
                <w:rFonts w:ascii="Arial" w:hAnsi="Arial"/>
                <w:sz w:val="14"/>
              </w:rPr>
            </w:pPr>
          </w:p>
          <w:p w:rsidR="008902B1" w:rsidRPr="002E0C7E" w:rsidRDefault="008902B1" w:rsidP="000B23D3">
            <w:pPr>
              <w:widowControl w:val="0"/>
              <w:jc w:val="center"/>
              <w:rPr>
                <w:rFonts w:ascii="Arial" w:hAnsi="Arial"/>
                <w:sz w:val="14"/>
              </w:rPr>
            </w:pPr>
          </w:p>
        </w:tc>
      </w:tr>
    </w:tbl>
    <w:p w:rsidR="008902B1" w:rsidRPr="002E0C7E" w:rsidRDefault="008902B1" w:rsidP="008902B1">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710"/>
        <w:gridCol w:w="540"/>
        <w:gridCol w:w="8370"/>
      </w:tblGrid>
      <w:tr w:rsidR="008902B1" w:rsidRPr="002E0C7E" w:rsidTr="000B23D3">
        <w:trPr>
          <w:cantSplit/>
        </w:trPr>
        <w:tc>
          <w:tcPr>
            <w:tcW w:w="1710" w:type="dxa"/>
            <w:tcBorders>
              <w:top w:val="nil"/>
              <w:left w:val="nil"/>
              <w:bottom w:val="nil"/>
              <w:right w:val="nil"/>
            </w:tcBorders>
            <w:tcMar>
              <w:top w:w="43" w:type="dxa"/>
              <w:left w:w="120" w:type="dxa"/>
              <w:bottom w:w="29" w:type="dxa"/>
              <w:right w:w="120" w:type="dxa"/>
            </w:tcMar>
          </w:tcPr>
          <w:p w:rsidR="008902B1" w:rsidRPr="002E0C7E" w:rsidRDefault="008902B1" w:rsidP="000B23D3">
            <w:pPr>
              <w:widowControl w:val="0"/>
              <w:rPr>
                <w:rFonts w:ascii="Arial" w:hAnsi="Arial"/>
                <w:sz w:val="16"/>
              </w:rPr>
            </w:pPr>
            <w:r w:rsidRPr="002E0C7E">
              <w:rPr>
                <w:rFonts w:ascii="Arial" w:hAnsi="Arial"/>
                <w:sz w:val="16"/>
              </w:rPr>
              <w:t>Sittings of the court:</w:t>
            </w:r>
          </w:p>
          <w:p w:rsidR="008902B1" w:rsidRPr="002E0C7E" w:rsidRDefault="008902B1" w:rsidP="000B23D3">
            <w:pPr>
              <w:widowControl w:val="0"/>
              <w:rPr>
                <w:rFonts w:ascii="Arial" w:hAnsi="Arial"/>
                <w:sz w:val="16"/>
              </w:rPr>
            </w:pPr>
            <w:r w:rsidRPr="002E0C7E">
              <w:rPr>
                <w:rFonts w:ascii="Arial" w:hAnsi="Arial"/>
                <w:sz w:val="16"/>
              </w:rPr>
              <w:t xml:space="preserve">Séances de la </w:t>
            </w:r>
            <w:proofErr w:type="spellStart"/>
            <w:r w:rsidRPr="002E0C7E">
              <w:rPr>
                <w:rFonts w:ascii="Arial" w:hAnsi="Arial"/>
                <w:sz w:val="16"/>
              </w:rPr>
              <w:t>cour</w:t>
            </w:r>
            <w:proofErr w:type="spellEnd"/>
            <w:r w:rsidRPr="002E0C7E">
              <w:rPr>
                <w:rFonts w:ascii="Arial" w:hAnsi="Arial"/>
                <w:sz w:val="16"/>
              </w:rPr>
              <w:t xml:space="preserve">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8902B1" w:rsidRPr="002E0C7E" w:rsidRDefault="008902B1" w:rsidP="000B23D3">
            <w:pPr>
              <w:widowControl w:val="0"/>
              <w:rPr>
                <w:rFonts w:ascii="Arial" w:hAnsi="Arial"/>
                <w:sz w:val="16"/>
              </w:rPr>
            </w:pPr>
          </w:p>
          <w:p w:rsidR="008902B1" w:rsidRPr="002E0C7E" w:rsidRDefault="008902B1" w:rsidP="000B23D3">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8902B1" w:rsidRPr="00B058C3"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 xml:space="preserve">18  </w:t>
            </w:r>
            <w:proofErr w:type="spellStart"/>
            <w:r w:rsidRPr="00B058C3">
              <w:rPr>
                <w:rFonts w:ascii="Arial" w:hAnsi="Arial"/>
                <w:b/>
                <w:sz w:val="16"/>
                <w:lang w:val="fr-CA"/>
              </w:rPr>
              <w:t>sitting</w:t>
            </w:r>
            <w:proofErr w:type="spellEnd"/>
            <w:r w:rsidRPr="00B058C3">
              <w:rPr>
                <w:rFonts w:ascii="Arial" w:hAnsi="Arial"/>
                <w:b/>
                <w:sz w:val="16"/>
                <w:lang w:val="fr-CA"/>
              </w:rPr>
              <w:t xml:space="preserve"> </w:t>
            </w:r>
            <w:proofErr w:type="spellStart"/>
            <w:r w:rsidRPr="00B058C3">
              <w:rPr>
                <w:rFonts w:ascii="Arial" w:hAnsi="Arial"/>
                <w:b/>
                <w:sz w:val="16"/>
                <w:lang w:val="fr-CA"/>
              </w:rPr>
              <w:t>weeks</w:t>
            </w:r>
            <w:proofErr w:type="spellEnd"/>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semaines séances de la cour</w:t>
            </w:r>
          </w:p>
          <w:p w:rsidR="008902B1" w:rsidRPr="00B058C3"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w:t>
            </w:r>
            <w:r>
              <w:rPr>
                <w:rFonts w:ascii="Arial" w:hAnsi="Arial"/>
                <w:b/>
                <w:sz w:val="16"/>
                <w:lang w:val="fr-CA"/>
              </w:rPr>
              <w:t>5</w:t>
            </w:r>
            <w:r w:rsidRPr="00B058C3">
              <w:rPr>
                <w:rFonts w:ascii="Arial" w:hAnsi="Arial"/>
                <w:b/>
                <w:sz w:val="16"/>
                <w:lang w:val="fr-CA"/>
              </w:rPr>
              <w:t xml:space="preserve">  </w:t>
            </w:r>
            <w:proofErr w:type="spellStart"/>
            <w:r w:rsidRPr="00B058C3">
              <w:rPr>
                <w:rFonts w:ascii="Arial" w:hAnsi="Arial"/>
                <w:b/>
                <w:sz w:val="16"/>
                <w:lang w:val="fr-CA"/>
              </w:rPr>
              <w:t>sitting</w:t>
            </w:r>
            <w:proofErr w:type="spellEnd"/>
            <w:r w:rsidRPr="00B058C3">
              <w:rPr>
                <w:rFonts w:ascii="Arial" w:hAnsi="Arial"/>
                <w:b/>
                <w:sz w:val="16"/>
                <w:lang w:val="fr-CA"/>
              </w:rPr>
              <w:t xml:space="preserve"> </w:t>
            </w:r>
            <w:proofErr w:type="spellStart"/>
            <w:r w:rsidRPr="00B058C3">
              <w:rPr>
                <w:rFonts w:ascii="Arial" w:hAnsi="Arial"/>
                <w:b/>
                <w:sz w:val="16"/>
                <w:lang w:val="fr-CA"/>
              </w:rPr>
              <w:t>days</w:t>
            </w:r>
            <w:proofErr w:type="spellEnd"/>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journées séances de la cour</w:t>
            </w:r>
          </w:p>
          <w:p w:rsidR="008902B1" w:rsidRPr="00B058C3"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 xml:space="preserve">9    motion and </w:t>
            </w:r>
            <w:proofErr w:type="spellStart"/>
            <w:r w:rsidRPr="00B058C3">
              <w:rPr>
                <w:rFonts w:ascii="Arial" w:hAnsi="Arial"/>
                <w:b/>
                <w:sz w:val="16"/>
                <w:lang w:val="fr-CA"/>
              </w:rPr>
              <w:t>conference</w:t>
            </w:r>
            <w:proofErr w:type="spellEnd"/>
            <w:r w:rsidRPr="00B058C3">
              <w:rPr>
                <w:rFonts w:ascii="Arial" w:hAnsi="Arial"/>
                <w:b/>
                <w:sz w:val="16"/>
                <w:lang w:val="fr-CA"/>
              </w:rPr>
              <w:t xml:space="preserve"> </w:t>
            </w:r>
            <w:proofErr w:type="spellStart"/>
            <w:r w:rsidRPr="00B058C3">
              <w:rPr>
                <w:rFonts w:ascii="Arial" w:hAnsi="Arial"/>
                <w:b/>
                <w:sz w:val="16"/>
                <w:lang w:val="fr-CA"/>
              </w:rPr>
              <w:t>days</w:t>
            </w:r>
            <w:proofErr w:type="spellEnd"/>
            <w:r>
              <w:rPr>
                <w:rFonts w:ascii="Arial" w:hAnsi="Arial"/>
                <w:b/>
                <w:sz w:val="16"/>
                <w:lang w:val="fr-CA"/>
              </w:rPr>
              <w:t xml:space="preserve"> </w:t>
            </w:r>
            <w:r w:rsidRPr="00B058C3">
              <w:rPr>
                <w:rFonts w:ascii="Arial" w:hAnsi="Arial"/>
                <w:b/>
                <w:sz w:val="16"/>
                <w:lang w:val="fr-CA"/>
              </w:rPr>
              <w:t>/ journées des requêtes et des conférences</w:t>
            </w:r>
          </w:p>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Pr>
                <w:rFonts w:ascii="Arial" w:hAnsi="Arial"/>
                <w:b/>
                <w:sz w:val="16"/>
                <w:lang w:val="fr-CA"/>
              </w:rPr>
              <w:t>5</w:t>
            </w:r>
            <w:r w:rsidRPr="002E0C7E">
              <w:rPr>
                <w:rFonts w:ascii="Arial" w:hAnsi="Arial"/>
                <w:b/>
                <w:sz w:val="16"/>
              </w:rPr>
              <w:t xml:space="preserve">    holidays during sitting days</w:t>
            </w:r>
            <w:r>
              <w:rPr>
                <w:rFonts w:ascii="Arial" w:hAnsi="Arial"/>
                <w:b/>
                <w:sz w:val="16"/>
              </w:rPr>
              <w:t xml:space="preserve"> </w:t>
            </w:r>
            <w:r w:rsidRPr="002E0C7E">
              <w:rPr>
                <w:rFonts w:ascii="Arial" w:hAnsi="Arial"/>
                <w:b/>
                <w:sz w:val="16"/>
              </w:rPr>
              <w:t xml:space="preserve">/ </w:t>
            </w:r>
            <w:proofErr w:type="spellStart"/>
            <w:r w:rsidRPr="002E0C7E">
              <w:rPr>
                <w:rFonts w:ascii="Arial" w:hAnsi="Arial"/>
                <w:b/>
                <w:sz w:val="16"/>
              </w:rPr>
              <w:t>jours</w:t>
            </w:r>
            <w:proofErr w:type="spellEnd"/>
            <w:r w:rsidRPr="002E0C7E">
              <w:rPr>
                <w:rFonts w:ascii="Arial" w:hAnsi="Arial"/>
                <w:b/>
                <w:sz w:val="16"/>
              </w:rPr>
              <w:t xml:space="preserve"> </w:t>
            </w:r>
            <w:proofErr w:type="spellStart"/>
            <w:r w:rsidRPr="002E0C7E">
              <w:rPr>
                <w:rFonts w:ascii="Arial" w:hAnsi="Arial"/>
                <w:b/>
                <w:sz w:val="16"/>
              </w:rPr>
              <w:t>fériés</w:t>
            </w:r>
            <w:proofErr w:type="spellEnd"/>
            <w:r w:rsidRPr="002E0C7E">
              <w:rPr>
                <w:rFonts w:ascii="Arial" w:hAnsi="Arial"/>
                <w:b/>
                <w:sz w:val="16"/>
              </w:rPr>
              <w:t xml:space="preserve"> </w:t>
            </w:r>
            <w:proofErr w:type="spellStart"/>
            <w:r w:rsidRPr="002E0C7E">
              <w:rPr>
                <w:rFonts w:ascii="Arial" w:hAnsi="Arial"/>
                <w:b/>
                <w:sz w:val="16"/>
              </w:rPr>
              <w:t>durant</w:t>
            </w:r>
            <w:proofErr w:type="spellEnd"/>
            <w:r w:rsidRPr="002E0C7E">
              <w:rPr>
                <w:rFonts w:ascii="Arial" w:hAnsi="Arial"/>
                <w:b/>
                <w:sz w:val="16"/>
              </w:rPr>
              <w:t xml:space="preserve"> les sessions</w:t>
            </w:r>
          </w:p>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902B1" w:rsidRPr="002E0C7E" w:rsidTr="000B23D3">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roofErr w:type="spellStart"/>
            <w:r w:rsidRPr="002E0C7E">
              <w:rPr>
                <w:rFonts w:ascii="Arial" w:hAnsi="Arial"/>
                <w:sz w:val="16"/>
              </w:rPr>
              <w:t>Requêtes</w:t>
            </w:r>
            <w:proofErr w:type="spellEnd"/>
            <w:r w:rsidRPr="002E0C7E">
              <w:rPr>
                <w:rFonts w:ascii="Arial" w:hAnsi="Arial"/>
                <w:sz w:val="16"/>
              </w:rPr>
              <w:t xml:space="preserve">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902B1" w:rsidRPr="002E0C7E" w:rsidTr="000B23D3">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8902B1" w:rsidRPr="002E0C7E" w:rsidRDefault="008902B1" w:rsidP="000B23D3">
            <w:pPr>
              <w:widowControl w:val="0"/>
              <w:tabs>
                <w:tab w:val="center" w:pos="150"/>
              </w:tabs>
              <w:rPr>
                <w:rFonts w:ascii="Arial" w:hAnsi="Arial"/>
                <w:sz w:val="16"/>
              </w:rPr>
            </w:pPr>
            <w:r w:rsidRPr="002E0C7E">
              <w:rPr>
                <w:rFonts w:ascii="Arial" w:hAnsi="Arial"/>
                <w:b/>
                <w:sz w:val="16"/>
              </w:rPr>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8902B1" w:rsidRPr="002E0C7E" w:rsidRDefault="008902B1" w:rsidP="000B23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8902B1" w:rsidRPr="002E0C7E" w:rsidRDefault="008902B1" w:rsidP="008902B1">
      <w:pPr>
        <w:widowControl w:val="0"/>
        <w:rPr>
          <w:rFonts w:ascii="Arial" w:hAnsi="Arial"/>
          <w:sz w:val="16"/>
        </w:rPr>
      </w:pPr>
    </w:p>
    <w:p w:rsidR="002410B8" w:rsidRPr="0022323B" w:rsidRDefault="002410B8" w:rsidP="0081610A">
      <w:pPr>
        <w:widowControl w:val="0"/>
        <w:spacing w:line="180" w:lineRule="auto"/>
        <w:jc w:val="center"/>
        <w:rPr>
          <w:lang w:val="fr-CA"/>
        </w:rPr>
      </w:pPr>
    </w:p>
    <w:sectPr w:rsidR="002410B8" w:rsidRPr="0022323B" w:rsidSect="00924065">
      <w:headerReference w:type="default" r:id="rId110"/>
      <w:footerReference w:type="default" r:id="rId111"/>
      <w:pgSz w:w="12240" w:h="15840" w:code="1"/>
      <w:pgMar w:top="720" w:right="720" w:bottom="1110" w:left="108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4D" w:rsidRDefault="0041394D" w:rsidP="00A87207">
      <w:r>
        <w:separator/>
      </w:r>
    </w:p>
  </w:endnote>
  <w:endnote w:type="continuationSeparator" w:id="0">
    <w:p w:rsidR="0041394D" w:rsidRDefault="0041394D"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pStyle w:val="Footer"/>
    </w:pPr>
    <w:r>
      <w:pict>
        <v:rect id="_x0000_i1034" style="width:480.95pt;height:1pt" o:hralign="center" o:hrstd="t" o:hrnoshade="t" o:hr="t" fillcolor="black [3213]" stroked="f"/>
      </w:pict>
    </w:r>
  </w:p>
  <w:p w:rsidR="0041394D" w:rsidRPr="00D7601D" w:rsidRDefault="0041394D" w:rsidP="00432989">
    <w:pPr>
      <w:tabs>
        <w:tab w:val="center" w:pos="4680"/>
      </w:tabs>
    </w:pPr>
    <w:r>
      <w:tab/>
      <w:t xml:space="preserve">- </w:t>
    </w:r>
    <w:r>
      <w:fldChar w:fldCharType="begin"/>
    </w:r>
    <w:r>
      <w:instrText xml:space="preserve"> PAGE   \* MERGEFORMAT </w:instrText>
    </w:r>
    <w:r>
      <w:fldChar w:fldCharType="separate"/>
    </w:r>
    <w:r w:rsidR="00B150CF">
      <w:rPr>
        <w:noProof/>
      </w:rPr>
      <w:t>1805</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394D" w:rsidRDefault="0041394D">
    <w:pPr>
      <w:tabs>
        <w:tab w:val="center" w:pos="4740"/>
      </w:tabs>
    </w:pPr>
    <w:r>
      <w:tab/>
      <w:t xml:space="preserve">- </w:t>
    </w:r>
    <w:r>
      <w:pgNum/>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3" style="width:480.95pt;height:1pt" o:hralign="center" o:hrstd="t" o:hrnoshade="t" o:hr="t" fillcolor="black [3213]" stroked="f"/>
      </w:pict>
    </w:r>
  </w:p>
  <w:p w:rsidR="0041394D" w:rsidRPr="0009648D" w:rsidRDefault="0041394D" w:rsidP="00ED7E83">
    <w:pPr>
      <w:tabs>
        <w:tab w:val="center" w:pos="4680"/>
      </w:tabs>
    </w:pPr>
    <w:r>
      <w:tab/>
    </w:r>
    <w:r w:rsidRPr="0009648D">
      <w:t xml:space="preserve">- </w:t>
    </w:r>
    <w:r>
      <w:fldChar w:fldCharType="begin"/>
    </w:r>
    <w:r>
      <w:instrText xml:space="preserve"> PAGE   \* MERGEFORMAT </w:instrText>
    </w:r>
    <w:r>
      <w:fldChar w:fldCharType="separate"/>
    </w:r>
    <w:r w:rsidR="00B150CF">
      <w:rPr>
        <w:noProof/>
      </w:rPr>
      <w:t>1823</w:t>
    </w:r>
    <w:r>
      <w:rPr>
        <w:noProof/>
      </w:rPr>
      <w:fldChar w:fldCharType="end"/>
    </w:r>
    <w:r w:rsidRPr="0009648D">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pStyle w:val="Footer"/>
      <w:rPr>
        <w:lang w:val="fr-CA"/>
      </w:rPr>
    </w:pPr>
    <w:r>
      <w:rPr>
        <w:lang w:val="fr-CA"/>
      </w:rPr>
      <w:pict>
        <v:rect id="_x0000_i1054" style="width:480.95pt;height:1pt" o:hralign="center" o:hrstd="t" o:hrnoshade="t" o:hr="t" fillcolor="black [3213]" stroked="f"/>
      </w:pict>
    </w:r>
  </w:p>
  <w:p w:rsidR="0041394D" w:rsidRDefault="0041394D" w:rsidP="00245129">
    <w:pPr>
      <w:tabs>
        <w:tab w:val="center" w:pos="4680"/>
      </w:tabs>
    </w:pPr>
    <w:r>
      <w:tab/>
    </w:r>
    <w:r w:rsidRPr="0009648D">
      <w:t xml:space="preserve">- </w:t>
    </w:r>
    <w:r>
      <w:fldChar w:fldCharType="begin"/>
    </w:r>
    <w:r>
      <w:instrText xml:space="preserve"> PAGE   \* MERGEFORMAT </w:instrText>
    </w:r>
    <w:r>
      <w:fldChar w:fldCharType="separate"/>
    </w:r>
    <w:r w:rsidR="00B150CF">
      <w:rPr>
        <w:noProof/>
      </w:rPr>
      <w:t>1807</w:t>
    </w:r>
    <w:r>
      <w:rPr>
        <w:noProof/>
      </w:rPr>
      <w:fldChar w:fldCharType="end"/>
    </w:r>
    <w:r w:rsidRPr="0009648D">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394D" w:rsidRDefault="0041394D">
    <w:pPr>
      <w:tabs>
        <w:tab w:val="center" w:pos="4740"/>
      </w:tabs>
    </w:pPr>
    <w:r>
      <w:tab/>
      <w:t xml:space="preserve">- </w:t>
    </w:r>
    <w:r>
      <w:pgNum/>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755F22">
    <w:pPr>
      <w:tabs>
        <w:tab w:val="left" w:pos="-1440"/>
        <w:tab w:val="left" w:pos="-720"/>
      </w:tabs>
    </w:pPr>
    <w:r>
      <w:pict>
        <v:rect id="_x0000_i1058" style="width:480.95pt;height:1pt" o:hralign="center" o:hrstd="t" o:hrnoshade="t" o:hr="t" fillcolor="black [3213]" stroked="f"/>
      </w:pict>
    </w:r>
  </w:p>
  <w:p w:rsidR="0041394D" w:rsidRDefault="0041394D" w:rsidP="00EB2B90">
    <w:pPr>
      <w:tabs>
        <w:tab w:val="center" w:pos="4680"/>
      </w:tabs>
    </w:pPr>
    <w:r>
      <w:tab/>
      <w:t xml:space="preserve">- </w:t>
    </w:r>
    <w:r>
      <w:fldChar w:fldCharType="begin"/>
    </w:r>
    <w:r>
      <w:instrText xml:space="preserve"> PAGE   \* MERGEFORMAT </w:instrText>
    </w:r>
    <w:r>
      <w:fldChar w:fldCharType="separate"/>
    </w:r>
    <w:r w:rsidR="00B150CF">
      <w:rPr>
        <w:noProof/>
      </w:rPr>
      <w:t>1827</w:t>
    </w:r>
    <w:r>
      <w:rPr>
        <w:noProof/>
      </w:rP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EB2B90">
    <w:pPr>
      <w:tabs>
        <w:tab w:val="center" w:pos="4680"/>
      </w:tabs>
    </w:pPr>
    <w:r>
      <w:pict>
        <v:rect id="_x0000_i1059" style="width:480.95pt;height:1pt" o:hralign="center" o:hrstd="t" o:hrnoshade="t" o:hr="t" fillcolor="black [3213]" stroked="f"/>
      </w:pict>
    </w:r>
  </w:p>
  <w:p w:rsidR="0041394D" w:rsidRPr="0031432F" w:rsidRDefault="0041394D" w:rsidP="00EB2B90">
    <w:pPr>
      <w:tabs>
        <w:tab w:val="center" w:pos="4680"/>
      </w:tabs>
    </w:pPr>
    <w:r>
      <w:tab/>
      <w:t xml:space="preserve">- </w:t>
    </w:r>
    <w:r>
      <w:fldChar w:fldCharType="begin"/>
    </w:r>
    <w:r>
      <w:instrText xml:space="preserve"> PAGE   \* MERGEFORMAT </w:instrText>
    </w:r>
    <w:r>
      <w:fldChar w:fldCharType="separate"/>
    </w:r>
    <w:r w:rsidR="00B150CF">
      <w:rPr>
        <w:noProof/>
      </w:rPr>
      <w:t>1824</w:t>
    </w:r>
    <w:r>
      <w:rPr>
        <w:noProof/>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394D" w:rsidRDefault="0041394D">
    <w:pPr>
      <w:tabs>
        <w:tab w:val="center" w:pos="4740"/>
      </w:tabs>
    </w:pPr>
    <w:r>
      <w:tab/>
      <w:t xml:space="preserve">- </w:t>
    </w:r>
    <w:r>
      <w:pgNum/>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1" style="width:480.95pt;height:1pt" o:hralign="center" o:hrstd="t" o:hrnoshade="t" o:hr="t" fillcolor="black [3213]" stroked="f"/>
      </w:pict>
    </w:r>
  </w:p>
  <w:p w:rsidR="0041394D" w:rsidRDefault="0041394D"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pStyle w:val="Footer"/>
      <w:rPr>
        <w:lang w:val="fr-CA"/>
      </w:rPr>
    </w:pPr>
    <w:r>
      <w:rPr>
        <w:lang w:val="fr-CA"/>
      </w:rPr>
      <w:pict>
        <v:rect id="_x0000_i1062" style="width:480.95pt;height:1pt" o:hralign="center" o:hrstd="t" o:hrnoshade="t" o:hr="t" fillcolor="black [3213]" stroked="f"/>
      </w:pict>
    </w:r>
  </w:p>
  <w:p w:rsidR="0041394D" w:rsidRDefault="0041394D" w:rsidP="00EB2B90">
    <w:pPr>
      <w:tabs>
        <w:tab w:val="center" w:pos="4680"/>
      </w:tabs>
    </w:pPr>
    <w:r>
      <w:tab/>
      <w:t xml:space="preserve">- </w:t>
    </w:r>
    <w:r>
      <w:fldChar w:fldCharType="begin"/>
    </w:r>
    <w:r>
      <w:instrText xml:space="preserve"> PAGE   \* MERGEFORMAT </w:instrText>
    </w:r>
    <w:r>
      <w:fldChar w:fldCharType="separate"/>
    </w:r>
    <w:r w:rsidR="00B150CF">
      <w:rPr>
        <w:noProof/>
      </w:rPr>
      <w:t>1828</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394D" w:rsidRDefault="004139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394D" w:rsidRDefault="0041394D">
    <w:pPr>
      <w:widowControl w:val="0"/>
      <w:tabs>
        <w:tab w:val="center" w:pos="4740"/>
      </w:tabs>
    </w:pPr>
    <w:r>
      <w:tab/>
      <w:t xml:space="preserve">- </w:t>
    </w:r>
    <w:r>
      <w:pgNum/>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64" style="width:480.95pt;height:1pt" o:hralign="center" o:hrstd="t" o:hrnoshade="t" o:hr="t" fillcolor="black [3213]" stroked="f"/>
      </w:pict>
    </w:r>
  </w:p>
  <w:p w:rsidR="0041394D" w:rsidRDefault="0041394D"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Pr>
        <w:noProof/>
        <w:szCs w:val="24"/>
      </w:rPr>
      <w:t>528</w:t>
    </w:r>
    <w:r w:rsidRPr="00B74FED">
      <w:rPr>
        <w:szCs w:val="24"/>
      </w:rPr>
      <w:fldChar w:fldCharType="end"/>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802863">
    <w:pPr>
      <w:widowControl w:val="0"/>
      <w:tabs>
        <w:tab w:val="left" w:pos="-1440"/>
        <w:tab w:val="left" w:pos="-720"/>
      </w:tabs>
    </w:pPr>
    <w:r>
      <w:rPr>
        <w:lang w:val="fr-CA"/>
      </w:rPr>
      <w:pict>
        <v:rect id="_x0000_i1065" style="width:480.95pt;height:1pt" o:hralign="center" o:hrstd="t" o:hrnoshade="t" o:hr="t" fillcolor="black [3213]" stroked="f"/>
      </w:pict>
    </w:r>
  </w:p>
  <w:p w:rsidR="0041394D" w:rsidRPr="00180897" w:rsidRDefault="0041394D"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sidR="00B150CF">
      <w:rPr>
        <w:noProof/>
        <w:szCs w:val="24"/>
      </w:rPr>
      <w:t>1829</w:t>
    </w:r>
    <w:r w:rsidRPr="00B74FED">
      <w:rPr>
        <w:szCs w:val="24"/>
      </w:rPr>
      <w:fldChar w:fldCharType="end"/>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394D" w:rsidRDefault="0041394D">
    <w:pPr>
      <w:tabs>
        <w:tab w:val="center" w:pos="4740"/>
      </w:tabs>
    </w:pPr>
    <w:r>
      <w:tab/>
      <w:t xml:space="preserve">- </w:t>
    </w:r>
    <w:r>
      <w:pgNum/>
    </w: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732DB7">
    <w:r>
      <w:pict>
        <v:rect id="_x0000_i1069" style="width:480.95pt;height:1pt" o:hralign="center" o:hrstd="t" o:hrnoshade="t" o:hr="t" fillcolor="black" stroked="f"/>
      </w:pict>
    </w:r>
  </w:p>
  <w:p w:rsidR="0041394D" w:rsidRDefault="0041394D">
    <w:pPr>
      <w:tabs>
        <w:tab w:val="center" w:pos="4740"/>
      </w:tabs>
      <w:spacing w:line="0" w:lineRule="atLeast"/>
    </w:pPr>
    <w:r>
      <w:tab/>
      <w:t xml:space="preserve">- </w:t>
    </w:r>
    <w:r>
      <w:pgNum/>
    </w:r>
    <w: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pStyle w:val="Footer"/>
    </w:pPr>
    <w:r>
      <w:pict>
        <v:rect id="_x0000_i1070" style="width:480.95pt;height:1pt" o:hralign="center" o:hrstd="t" o:hrnoshade="t" o:hr="t" fillcolor="black" stroked="f"/>
      </w:pict>
    </w:r>
  </w:p>
  <w:p w:rsidR="0041394D" w:rsidRPr="00283C52" w:rsidRDefault="0041394D">
    <w:pPr>
      <w:pStyle w:val="Footer"/>
    </w:pPr>
    <w:r>
      <w:tab/>
    </w:r>
    <w:r w:rsidRPr="00283C52">
      <w:t xml:space="preserve">- </w:t>
    </w:r>
    <w:r w:rsidRPr="00283C52">
      <w:pgNum/>
    </w:r>
    <w:r w:rsidRPr="00283C52">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394D" w:rsidRDefault="0041394D">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732DB7">
    <w:r>
      <w:pict>
        <v:rect id="_x0000_i1074" style="width:480.95pt;height:1pt" o:hralign="center" o:hrstd="t" o:hrnoshade="t" o:hr="t" fillcolor="black" stroked="f"/>
      </w:pict>
    </w:r>
  </w:p>
  <w:p w:rsidR="0041394D" w:rsidRDefault="0041394D">
    <w:pPr>
      <w:tabs>
        <w:tab w:val="center" w:pos="4740"/>
      </w:tabs>
      <w:spacing w:line="0" w:lineRule="atLeast"/>
    </w:pPr>
    <w:r>
      <w:tab/>
      <w:t xml:space="preserve">- </w:t>
    </w:r>
    <w:r>
      <w:pgNum/>
    </w:r>
    <w: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pPr>
      <w:pStyle w:val="Footer"/>
    </w:pPr>
    <w:r>
      <w:pict>
        <v:rect id="_x0000_i1075" style="width:480.95pt;height:1pt" o:hralign="center" o:hrstd="t" o:hrnoshade="t" o:hr="t" fillcolor="black [3213]" stroked="f"/>
      </w:pict>
    </w:r>
  </w:p>
  <w:p w:rsidR="0041394D" w:rsidRPr="003C2C0F" w:rsidRDefault="0041394D" w:rsidP="00697C62">
    <w:pPr>
      <w:tabs>
        <w:tab w:val="center" w:pos="4680"/>
      </w:tabs>
    </w:pPr>
    <w:r>
      <w:tab/>
      <w:t xml:space="preserve">- </w:t>
    </w:r>
    <w:r>
      <w:fldChar w:fldCharType="begin"/>
    </w:r>
    <w:r>
      <w:instrText xml:space="preserve"> PAGE   \* MERGEFORMAT </w:instrText>
    </w:r>
    <w:r>
      <w:fldChar w:fldCharType="separate"/>
    </w:r>
    <w:r w:rsidR="00B150CF">
      <w:rPr>
        <w:noProof/>
      </w:rPr>
      <w:t>1833</w:t>
    </w:r>
    <w:r>
      <w:rPr>
        <w:noProof/>
      </w:rPr>
      <w:fldChar w:fldCharType="end"/>
    </w:r>
    <w: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41394D" w:rsidRDefault="0041394D">
    <w:pPr>
      <w:tabs>
        <w:tab w:val="center" w:pos="4740"/>
      </w:tabs>
    </w:pPr>
    <w:r>
      <w:tab/>
      <w:t xml:space="preserve">- </w:t>
    </w:r>
    <w:r>
      <w:pgNum/>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41394D" w:rsidRDefault="00B150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78" style="width:480.95pt;height:1pt" o:hralign="center" o:hrstd="t" o:hrnoshade="t" o:hr="t" fillcolor="black [3213]" stroked="f"/>
      </w:pict>
    </w:r>
  </w:p>
  <w:p w:rsidR="0041394D" w:rsidRDefault="0041394D"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B150CF">
      <w:rPr>
        <w:noProof/>
        <w:szCs w:val="24"/>
      </w:rPr>
      <w:t>1849</w:t>
    </w:r>
    <w:r w:rsidRPr="001775C1">
      <w:rPr>
        <w:szCs w:val="24"/>
      </w:rPr>
      <w:fldChar w:fldCharType="end"/>
    </w:r>
    <w: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782AE4">
    <w:pPr>
      <w:tabs>
        <w:tab w:val="center" w:pos="4680"/>
      </w:tabs>
    </w:pPr>
    <w:r>
      <w:pict>
        <v:rect id="_x0000_i1079" style="width:480.95pt;height:1pt" o:hralign="center" o:hrstd="t" o:hrnoshade="t" o:hr="t" fillcolor="black [3213]" stroked="f"/>
      </w:pict>
    </w:r>
  </w:p>
  <w:p w:rsidR="0041394D" w:rsidRDefault="0041394D"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B150CF">
      <w:rPr>
        <w:noProof/>
        <w:szCs w:val="24"/>
      </w:rPr>
      <w:t>1835</w:t>
    </w:r>
    <w:r w:rsidRPr="001775C1">
      <w:rPr>
        <w:szCs w:val="24"/>
      </w:rPr>
      <w:fldChar w:fldCharType="end"/>
    </w:r>
    <w: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Pr="00924065" w:rsidRDefault="0041394D" w:rsidP="00924065">
    <w:pPr>
      <w:pStyle w:val="Footer"/>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A87207">
    <w:pPr>
      <w:pStyle w:val="Footer"/>
    </w:pPr>
    <w:r>
      <w:pict>
        <v:rect id="_x0000_i1026" style="width:480.95pt;height:1pt" o:hralign="center" o:hrstd="t" o:hrnoshade="t" o:hr="t" fillcolor="black [3213]" stroked="f"/>
      </w:pict>
    </w:r>
  </w:p>
  <w:p w:rsidR="0041394D" w:rsidRPr="00B7374B" w:rsidRDefault="0041394D"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1804</w:t>
    </w:r>
    <w:r w:rsidRPr="00954D22">
      <w:rPr>
        <w:szCs w:val="24"/>
      </w:rPr>
      <w:fldChar w:fldCharType="end"/>
    </w:r>
    <w:r w:rsidRPr="00954D22">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755F22">
    <w:pPr>
      <w:tabs>
        <w:tab w:val="left" w:pos="-1440"/>
        <w:tab w:val="left" w:pos="-720"/>
      </w:tabs>
    </w:pPr>
    <w:r>
      <w:pict>
        <v:rect id="_x0000_i1027" style="width:480.95pt;height:1pt" o:hralign="center" o:hrstd="t" o:hrnoshade="t" o:hr="t" fillcolor="black [3213]" stroked="f"/>
      </w:pict>
    </w:r>
  </w:p>
  <w:p w:rsidR="0041394D" w:rsidRPr="00954D22" w:rsidRDefault="0041394D"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B150CF">
      <w:rPr>
        <w:noProof/>
        <w:szCs w:val="24"/>
      </w:rPr>
      <w:t>1803</w:t>
    </w:r>
    <w:r>
      <w:rPr>
        <w:szCs w:val="24"/>
      </w:rPr>
      <w:fldChar w:fldCharType="end"/>
    </w:r>
    <w:r w:rsidRPr="00954D22">
      <w:rPr>
        <w:szCs w:val="24"/>
      </w:rPr>
      <w:t xml:space="preserve"> -</w:t>
    </w:r>
  </w:p>
  <w:p w:rsidR="0041394D" w:rsidRDefault="004139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A87207">
    <w:pPr>
      <w:pStyle w:val="Footer"/>
    </w:pPr>
    <w:r>
      <w:pict>
        <v:rect id="_x0000_i1029" style="width:480.95pt;height:1pt" o:hralign="center" o:hrstd="t" o:hrnoshade="t" o:hr="t" fillcolor="black [3213]" stroked="f"/>
      </w:pict>
    </w:r>
  </w:p>
  <w:p w:rsidR="0041394D" w:rsidRPr="00B7374B" w:rsidRDefault="0041394D"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503</w:t>
    </w:r>
    <w:r w:rsidRPr="00954D22">
      <w:rPr>
        <w:szCs w:val="24"/>
      </w:rPr>
      <w:fldChar w:fldCharType="end"/>
    </w:r>
    <w:r>
      <w:rPr>
        <w:szCs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B150CF"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30" style="width:480.95pt;height:1pt" o:hralign="center" o:hrstd="t" o:hrnoshade="t" o:hr="t" fillcolor="black [3213]" stroked="f"/>
      </w:pict>
    </w:r>
  </w:p>
  <w:p w:rsidR="0041394D" w:rsidRPr="00954D22" w:rsidRDefault="0041394D"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B150CF">
      <w:rPr>
        <w:noProof/>
        <w:szCs w:val="24"/>
      </w:rPr>
      <w:t>1804</w:t>
    </w:r>
    <w:r w:rsidRPr="00954D22">
      <w:rPr>
        <w:szCs w:val="24"/>
      </w:rPr>
      <w:fldChar w:fldCharType="end"/>
    </w:r>
    <w:r w:rsidRPr="00954D22">
      <w:rPr>
        <w:szCs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pPr>
  </w:p>
  <w:p w:rsidR="0041394D" w:rsidRDefault="0041394D">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0" w:lineRule="atLeast"/>
    </w:pPr>
  </w:p>
  <w:p w:rsidR="0041394D" w:rsidRDefault="0041394D">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pPr>
  </w:p>
  <w:p w:rsidR="0041394D" w:rsidRDefault="00B150CF">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pPr>
    <w:r>
      <w:pict>
        <v:rect id="_x0000_i1033" style="width:480.95pt;height:1pt" o:hralign="center" o:hrstd="t" o:hrnoshade="t" o:hr="t" fillcolor="black [3213]" stroked="f"/>
      </w:pict>
    </w:r>
  </w:p>
  <w:p w:rsidR="0041394D" w:rsidRDefault="0041394D" w:rsidP="00432989">
    <w:pPr>
      <w:tabs>
        <w:tab w:val="center" w:pos="4680"/>
      </w:tabs>
    </w:pPr>
    <w:r>
      <w:tab/>
      <w:t xml:space="preserve">- </w:t>
    </w:r>
    <w:r>
      <w:fldChar w:fldCharType="begin"/>
    </w:r>
    <w:r>
      <w:instrText xml:space="preserve"> PAGE   \* MERGEFORMAT </w:instrText>
    </w:r>
    <w:r>
      <w:fldChar w:fldCharType="separate"/>
    </w:r>
    <w:r w:rsidR="00B150CF">
      <w:rPr>
        <w:noProof/>
      </w:rPr>
      <w:t>1806</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4D" w:rsidRDefault="0041394D" w:rsidP="00A87207">
      <w:r>
        <w:separator/>
      </w:r>
    </w:p>
  </w:footnote>
  <w:footnote w:type="continuationSeparator" w:id="0">
    <w:p w:rsidR="0041394D" w:rsidRDefault="0041394D"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tc>
        <w:tcPr>
          <w:tcW w:w="420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41394D"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394D" w:rsidRPr="00FF6BA5"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41394D" w:rsidRPr="00FF6BA5"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41394D" w:rsidRPr="00FF6BA5"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41394D" w:rsidRPr="00FF6BA5"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rsidTr="00245129">
      <w:tc>
        <w:tcPr>
          <w:tcW w:w="4200" w:type="dxa"/>
          <w:tcMar>
            <w:left w:w="0" w:type="dxa"/>
            <w:right w:w="0" w:type="dxa"/>
          </w:tcMar>
        </w:tcPr>
        <w:p w:rsidR="0041394D" w:rsidRPr="00755F22"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41394D" w:rsidRPr="00755F22"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41394D" w:rsidRPr="00755F22" w:rsidRDefault="0041394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41394D" w:rsidRPr="00755F22" w:rsidRDefault="0041394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41394D" w:rsidRPr="00755F22" w:rsidRDefault="0041394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41394D" w:rsidRPr="00755F22"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41394D" w:rsidRPr="00FF6BA5" w:rsidRDefault="0041394D" w:rsidP="00755F22">
    <w:pPr>
      <w:tabs>
        <w:tab w:val="left" w:pos="-1440"/>
        <w:tab w:val="left" w:pos="-720"/>
      </w:tabs>
      <w:rPr>
        <w:lang w:val="fr-C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41394D">
      <w:tc>
        <w:tcPr>
          <w:tcW w:w="423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41394D"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394D"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41394D">
      <w:trPr>
        <w:gridAfter w:val="2"/>
        <w:wAfter w:w="5250" w:type="dxa"/>
      </w:trPr>
      <w:tc>
        <w:tcPr>
          <w:tcW w:w="4230" w:type="dxa"/>
          <w:tcMar>
            <w:left w:w="0" w:type="dxa"/>
            <w:right w:w="0" w:type="dxa"/>
          </w:tcMar>
        </w:tcPr>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41394D" w:rsidRPr="00755F22" w:rsidTr="00245129">
      <w:tc>
        <w:tcPr>
          <w:tcW w:w="4230" w:type="dxa"/>
          <w:tcMar>
            <w:left w:w="0" w:type="dxa"/>
            <w:right w:w="0" w:type="dxa"/>
          </w:tcMar>
        </w:tcPr>
        <w:p w:rsidR="0041394D" w:rsidRPr="00755F22" w:rsidRDefault="0041394D" w:rsidP="00831CA9">
          <w:pPr>
            <w:keepNext/>
            <w:keepLines/>
            <w:rPr>
              <w:sz w:val="20"/>
              <w:szCs w:val="20"/>
            </w:rPr>
          </w:pPr>
          <w:r w:rsidRPr="00755F22">
            <w:rPr>
              <w:sz w:val="20"/>
              <w:szCs w:val="20"/>
            </w:rPr>
            <w:t>MOTIONS</w:t>
          </w:r>
        </w:p>
      </w:tc>
      <w:tc>
        <w:tcPr>
          <w:tcW w:w="1170" w:type="dxa"/>
          <w:tcMar>
            <w:left w:w="0" w:type="dxa"/>
            <w:right w:w="0" w:type="dxa"/>
          </w:tcMar>
        </w:tcPr>
        <w:p w:rsidR="0041394D" w:rsidRPr="00755F22" w:rsidRDefault="0041394D" w:rsidP="00831CA9">
          <w:pPr>
            <w:keepLines/>
            <w:jc w:val="center"/>
            <w:rPr>
              <w:sz w:val="20"/>
              <w:szCs w:val="20"/>
            </w:rPr>
          </w:pPr>
        </w:p>
        <w:p w:rsidR="0041394D" w:rsidRPr="00755F22" w:rsidRDefault="0041394D" w:rsidP="00831CA9">
          <w:pPr>
            <w:keepLines/>
            <w:tabs>
              <w:tab w:val="left" w:pos="-1440"/>
              <w:tab w:val="left" w:pos="-720"/>
            </w:tabs>
            <w:jc w:val="center"/>
            <w:rPr>
              <w:sz w:val="20"/>
              <w:szCs w:val="20"/>
            </w:rPr>
          </w:pPr>
        </w:p>
      </w:tc>
      <w:tc>
        <w:tcPr>
          <w:tcW w:w="4080" w:type="dxa"/>
          <w:tcMar>
            <w:left w:w="0" w:type="dxa"/>
            <w:right w:w="0" w:type="dxa"/>
          </w:tcMar>
        </w:tcPr>
        <w:p w:rsidR="0041394D" w:rsidRPr="00BA6468" w:rsidRDefault="0041394D" w:rsidP="00BA6468">
          <w:pPr>
            <w:keepLines/>
            <w:rPr>
              <w:sz w:val="20"/>
              <w:szCs w:val="20"/>
              <w:lang w:val="fr-CA"/>
            </w:rPr>
          </w:pPr>
          <w:r w:rsidRPr="00BA6468">
            <w:rPr>
              <w:sz w:val="20"/>
              <w:szCs w:val="20"/>
              <w:lang w:val="fr-CA"/>
            </w:rPr>
            <w:t>REQUÊTES</w:t>
          </w:r>
        </w:p>
      </w:tc>
    </w:tr>
  </w:tbl>
  <w:p w:rsidR="0041394D" w:rsidRDefault="0041394D" w:rsidP="00831CA9">
    <w:pP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tc>
        <w:tcPr>
          <w:tcW w:w="420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394D" w:rsidRPr="00B01A03"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41394D" w:rsidRPr="00B01A03"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1394D" w:rsidRPr="00B01A03"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41394D" w:rsidRPr="00FB4A2E" w:rsidTr="00245129">
      <w:tc>
        <w:tcPr>
          <w:tcW w:w="4200" w:type="dxa"/>
          <w:tcMar>
            <w:left w:w="0" w:type="dxa"/>
            <w:right w:w="0" w:type="dxa"/>
          </w:tcMar>
        </w:tcPr>
        <w:p w:rsidR="0041394D" w:rsidRPr="00F40249" w:rsidRDefault="0041394D"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41394D" w:rsidRDefault="0041394D" w:rsidP="00102926">
          <w:pPr>
            <w:keepNext/>
            <w:keepLines/>
            <w:tabs>
              <w:tab w:val="left" w:pos="-1440"/>
              <w:tab w:val="left" w:pos="-720"/>
            </w:tabs>
            <w:jc w:val="center"/>
            <w:rPr>
              <w:sz w:val="20"/>
              <w:szCs w:val="20"/>
            </w:rPr>
          </w:pPr>
        </w:p>
        <w:p w:rsidR="0041394D" w:rsidRDefault="0041394D" w:rsidP="00102926">
          <w:pPr>
            <w:keepNext/>
            <w:keepLines/>
            <w:tabs>
              <w:tab w:val="left" w:pos="-1440"/>
              <w:tab w:val="left" w:pos="-720"/>
            </w:tabs>
            <w:jc w:val="center"/>
            <w:rPr>
              <w:sz w:val="20"/>
              <w:szCs w:val="20"/>
            </w:rPr>
          </w:pPr>
        </w:p>
        <w:p w:rsidR="0041394D" w:rsidRPr="00F40249" w:rsidRDefault="0041394D" w:rsidP="00102926">
          <w:pPr>
            <w:keepNext/>
            <w:keepLines/>
            <w:tabs>
              <w:tab w:val="left" w:pos="-1440"/>
              <w:tab w:val="left" w:pos="-720"/>
            </w:tabs>
            <w:jc w:val="center"/>
            <w:rPr>
              <w:sz w:val="20"/>
              <w:szCs w:val="20"/>
            </w:rPr>
          </w:pPr>
        </w:p>
      </w:tc>
      <w:tc>
        <w:tcPr>
          <w:tcW w:w="4230" w:type="dxa"/>
          <w:tcMar>
            <w:left w:w="0" w:type="dxa"/>
            <w:right w:w="0" w:type="dxa"/>
          </w:tcMar>
        </w:tcPr>
        <w:p w:rsidR="0041394D" w:rsidRPr="00F40249" w:rsidRDefault="0041394D"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41394D" w:rsidRPr="00B01A03" w:rsidRDefault="0041394D"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tc>
        <w:tcPr>
          <w:tcW w:w="4200" w:type="dxa"/>
          <w:tcMar>
            <w:left w:w="0" w:type="dxa"/>
            <w:right w:w="0" w:type="dxa"/>
          </w:tcMar>
        </w:tcPr>
        <w:p w:rsidR="0041394D" w:rsidRDefault="0041394D">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DISCONTINUANCE FILED SINCE LAST ISSUE</w:t>
          </w:r>
        </w:p>
        <w:p w:rsidR="0041394D" w:rsidRDefault="0041394D">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200" w:type="dxa"/>
          <w:tcMar>
            <w:left w:w="0" w:type="dxa"/>
            <w:right w:w="0" w:type="dxa"/>
          </w:tcMar>
        </w:tcPr>
        <w:p w:rsidR="0041394D" w:rsidRDefault="0041394D">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394D" w:rsidRPr="009256DC" w:rsidRDefault="0041394D">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9256DC">
            <w:rPr>
              <w:lang w:val="fr-CA"/>
            </w:rPr>
            <w:t>AVIS DE DÉSISTEMENT DÉPOSÉS DEPUIS LA DERNIÈRE PARUTION</w:t>
          </w:r>
        </w:p>
        <w:p w:rsidR="0041394D" w:rsidRPr="009256DC" w:rsidRDefault="004139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1394D" w:rsidRPr="009256DC" w:rsidRDefault="0041394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rPr>
        <w:lang w:val="fr-CA"/>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rsidTr="00245129">
      <w:tc>
        <w:tcPr>
          <w:tcW w:w="4200" w:type="dxa"/>
          <w:tcMar>
            <w:left w:w="0" w:type="dxa"/>
            <w:right w:w="0" w:type="dxa"/>
          </w:tcMar>
        </w:tcPr>
        <w:p w:rsidR="0041394D" w:rsidRPr="00802863" w:rsidRDefault="0041394D" w:rsidP="00697C6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02863">
            <w:rPr>
              <w:sz w:val="20"/>
              <w:szCs w:val="20"/>
            </w:rPr>
            <w:t>NOTICE OF DISCONTINUANCE FILED SINCE LAST ISSUE</w:t>
          </w:r>
        </w:p>
      </w:tc>
      <w:tc>
        <w:tcPr>
          <w:tcW w:w="1200" w:type="dxa"/>
          <w:tcMar>
            <w:left w:w="0" w:type="dxa"/>
            <w:right w:w="0" w:type="dxa"/>
          </w:tcMar>
        </w:tcPr>
        <w:p w:rsidR="0041394D" w:rsidRPr="00802863" w:rsidRDefault="0041394D" w:rsidP="00802863">
          <w:pPr>
            <w:keepNext/>
            <w:keepLines/>
            <w:widowControl w:val="0"/>
            <w:tabs>
              <w:tab w:val="left" w:pos="-1440"/>
              <w:tab w:val="left" w:pos="-720"/>
            </w:tabs>
            <w:jc w:val="center"/>
            <w:rPr>
              <w:sz w:val="20"/>
              <w:szCs w:val="20"/>
            </w:rPr>
          </w:pPr>
        </w:p>
        <w:p w:rsidR="0041394D" w:rsidRPr="00802863" w:rsidRDefault="0041394D" w:rsidP="00802863">
          <w:pPr>
            <w:keepNext/>
            <w:keepLines/>
            <w:widowControl w:val="0"/>
            <w:tabs>
              <w:tab w:val="left" w:pos="-1440"/>
              <w:tab w:val="left" w:pos="-720"/>
            </w:tabs>
            <w:jc w:val="center"/>
            <w:rPr>
              <w:sz w:val="20"/>
              <w:szCs w:val="20"/>
            </w:rPr>
          </w:pPr>
        </w:p>
        <w:p w:rsidR="0041394D" w:rsidRPr="00802863" w:rsidRDefault="0041394D" w:rsidP="00802863">
          <w:pPr>
            <w:keepNext/>
            <w:keepLines/>
            <w:widowControl w:val="0"/>
            <w:tabs>
              <w:tab w:val="left" w:pos="-1440"/>
              <w:tab w:val="left" w:pos="-720"/>
            </w:tabs>
            <w:jc w:val="center"/>
            <w:rPr>
              <w:sz w:val="20"/>
              <w:szCs w:val="20"/>
            </w:rPr>
          </w:pPr>
        </w:p>
      </w:tc>
      <w:tc>
        <w:tcPr>
          <w:tcW w:w="4080" w:type="dxa"/>
          <w:tcMar>
            <w:left w:w="0" w:type="dxa"/>
            <w:right w:w="0" w:type="dxa"/>
          </w:tcMar>
        </w:tcPr>
        <w:p w:rsidR="0041394D" w:rsidRPr="00802863" w:rsidRDefault="0041394D" w:rsidP="00697C62">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802863">
            <w:rPr>
              <w:sz w:val="20"/>
              <w:szCs w:val="20"/>
              <w:lang w:val="fr-CA"/>
            </w:rPr>
            <w:t>AVIS DE DÉSISTEMENT DÉPOSÉS DEPUIS LA DERNIÈRE PARUTION</w:t>
          </w:r>
        </w:p>
      </w:tc>
    </w:tr>
  </w:tbl>
  <w:p w:rsidR="0041394D" w:rsidRPr="009256DC" w:rsidRDefault="0041394D" w:rsidP="00697C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fr-C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tc>
        <w:tcPr>
          <w:tcW w:w="420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394D" w:rsidRPr="00283C52"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41394D" w:rsidRPr="00283C52"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41394D" w:rsidRPr="00283C52"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rsidTr="00245129">
      <w:tc>
        <w:tcPr>
          <w:tcW w:w="4200" w:type="dxa"/>
          <w:tcMar>
            <w:left w:w="0" w:type="dxa"/>
            <w:right w:w="0" w:type="dxa"/>
          </w:tcMar>
        </w:tcPr>
        <w:p w:rsidR="0041394D" w:rsidRPr="00732DB7" w:rsidRDefault="0041394D" w:rsidP="00732DB7">
          <w:pPr>
            <w:keepNext/>
            <w:keepLines/>
            <w:tabs>
              <w:tab w:val="left" w:pos="-1440"/>
              <w:tab w:val="left" w:pos="-720"/>
            </w:tabs>
            <w:rPr>
              <w:sz w:val="20"/>
              <w:szCs w:val="20"/>
            </w:rPr>
          </w:pPr>
          <w:r w:rsidRPr="00732DB7">
            <w:rPr>
              <w:sz w:val="20"/>
              <w:szCs w:val="20"/>
            </w:rPr>
            <w:t>APPEALS HEARD SINCE LAST ISSUE AND DISPOSITION</w:t>
          </w:r>
        </w:p>
      </w:tc>
      <w:tc>
        <w:tcPr>
          <w:tcW w:w="1200" w:type="dxa"/>
          <w:tcMar>
            <w:left w:w="0" w:type="dxa"/>
            <w:right w:w="0" w:type="dxa"/>
          </w:tcMar>
        </w:tcPr>
        <w:p w:rsidR="0041394D" w:rsidRPr="00732DB7" w:rsidRDefault="0041394D" w:rsidP="00732DB7">
          <w:pPr>
            <w:keepNext/>
            <w:keepLines/>
            <w:tabs>
              <w:tab w:val="left" w:pos="-1440"/>
              <w:tab w:val="left" w:pos="-720"/>
            </w:tabs>
            <w:jc w:val="center"/>
            <w:rPr>
              <w:sz w:val="20"/>
              <w:szCs w:val="20"/>
            </w:rPr>
          </w:pPr>
        </w:p>
        <w:p w:rsidR="0041394D" w:rsidRPr="00732DB7" w:rsidRDefault="0041394D" w:rsidP="00732DB7">
          <w:pPr>
            <w:keepNext/>
            <w:keepLines/>
            <w:tabs>
              <w:tab w:val="left" w:pos="-1440"/>
              <w:tab w:val="left" w:pos="-720"/>
            </w:tabs>
            <w:jc w:val="center"/>
            <w:rPr>
              <w:sz w:val="20"/>
              <w:szCs w:val="20"/>
            </w:rPr>
          </w:pPr>
        </w:p>
        <w:p w:rsidR="0041394D" w:rsidRPr="00732DB7" w:rsidRDefault="0041394D" w:rsidP="00732DB7">
          <w:pPr>
            <w:keepNext/>
            <w:keepLines/>
            <w:tabs>
              <w:tab w:val="left" w:pos="-1440"/>
              <w:tab w:val="left" w:pos="-720"/>
            </w:tabs>
            <w:jc w:val="center"/>
            <w:rPr>
              <w:sz w:val="20"/>
              <w:szCs w:val="20"/>
            </w:rPr>
          </w:pPr>
        </w:p>
      </w:tc>
      <w:tc>
        <w:tcPr>
          <w:tcW w:w="4080" w:type="dxa"/>
          <w:tcMar>
            <w:left w:w="0" w:type="dxa"/>
            <w:right w:w="0" w:type="dxa"/>
          </w:tcMar>
        </w:tcPr>
        <w:p w:rsidR="0041394D" w:rsidRPr="00732DB7" w:rsidRDefault="0041394D"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41394D" w:rsidRPr="00283C52" w:rsidRDefault="0041394D"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tc>
        <w:tcPr>
          <w:tcW w:w="420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41394D" w:rsidRPr="003C2C0F"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41394D" w:rsidRPr="003C2C0F"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41394D" w:rsidRPr="003C2C0F"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rsidTr="00245129">
      <w:tc>
        <w:tcPr>
          <w:tcW w:w="4200" w:type="dxa"/>
          <w:tcMar>
            <w:left w:w="0" w:type="dxa"/>
            <w:right w:w="0" w:type="dxa"/>
          </w:tcMar>
        </w:tcPr>
        <w:p w:rsidR="0041394D" w:rsidRPr="00FF6EEC" w:rsidRDefault="0041394D" w:rsidP="00FF6EEC">
          <w:pPr>
            <w:rPr>
              <w:sz w:val="20"/>
              <w:szCs w:val="20"/>
            </w:rPr>
          </w:pPr>
          <w:r w:rsidRPr="00FF6EEC">
            <w:rPr>
              <w:sz w:val="20"/>
              <w:szCs w:val="20"/>
            </w:rPr>
            <w:t>PRONOUNCEMENTS OF APPEALS RESERVED</w:t>
          </w:r>
        </w:p>
      </w:tc>
      <w:tc>
        <w:tcPr>
          <w:tcW w:w="1200" w:type="dxa"/>
          <w:tcMar>
            <w:left w:w="0" w:type="dxa"/>
            <w:right w:w="0" w:type="dxa"/>
          </w:tcMar>
        </w:tcPr>
        <w:p w:rsidR="0041394D" w:rsidRPr="00FF6EEC" w:rsidRDefault="0041394D" w:rsidP="00FF6EEC">
          <w:pPr>
            <w:jc w:val="center"/>
            <w:rPr>
              <w:sz w:val="20"/>
              <w:szCs w:val="20"/>
            </w:rPr>
          </w:pPr>
        </w:p>
        <w:p w:rsidR="0041394D" w:rsidRPr="00FF6EEC" w:rsidRDefault="0041394D" w:rsidP="00FF6EEC">
          <w:pPr>
            <w:jc w:val="center"/>
            <w:rPr>
              <w:sz w:val="20"/>
              <w:szCs w:val="20"/>
            </w:rPr>
          </w:pPr>
        </w:p>
        <w:p w:rsidR="0041394D" w:rsidRPr="00FF6EEC" w:rsidRDefault="0041394D" w:rsidP="00FF6EEC">
          <w:pPr>
            <w:jc w:val="center"/>
            <w:rPr>
              <w:sz w:val="20"/>
              <w:szCs w:val="20"/>
            </w:rPr>
          </w:pPr>
        </w:p>
      </w:tc>
      <w:tc>
        <w:tcPr>
          <w:tcW w:w="4080" w:type="dxa"/>
          <w:tcMar>
            <w:left w:w="0" w:type="dxa"/>
            <w:right w:w="0" w:type="dxa"/>
          </w:tcMar>
        </w:tcPr>
        <w:p w:rsidR="0041394D" w:rsidRPr="00FF6EEC" w:rsidRDefault="0041394D" w:rsidP="00FF6EEC">
          <w:pPr>
            <w:rPr>
              <w:sz w:val="20"/>
              <w:szCs w:val="20"/>
              <w:lang w:val="fr-CA"/>
            </w:rPr>
          </w:pPr>
          <w:r w:rsidRPr="00FF6EEC">
            <w:rPr>
              <w:sz w:val="20"/>
              <w:szCs w:val="20"/>
              <w:lang w:val="fr-CA"/>
            </w:rPr>
            <w:t>JUGEMENTS RENDUS SUR LES APPELS EN DÉLIBÉRÉ</w:t>
          </w:r>
        </w:p>
      </w:tc>
    </w:tr>
  </w:tbl>
  <w:p w:rsidR="0041394D" w:rsidRPr="003C2C0F" w:rsidRDefault="0041394D"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41394D">
      <w:tc>
        <w:tcPr>
          <w:tcW w:w="423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41394D"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41394D" w:rsidRDefault="0041394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41394D" w:rsidRDefault="004139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41394D" w:rsidRPr="00782AE4" w:rsidTr="00245129">
      <w:tc>
        <w:tcPr>
          <w:tcW w:w="4230" w:type="dxa"/>
          <w:tcMar>
            <w:left w:w="0" w:type="dxa"/>
            <w:right w:w="0" w:type="dxa"/>
          </w:tcMar>
        </w:tcPr>
        <w:p w:rsidR="0041394D" w:rsidRPr="00782AE4" w:rsidRDefault="0041394D" w:rsidP="00102926">
          <w:pPr>
            <w:keepNext/>
            <w:keepLines/>
            <w:tabs>
              <w:tab w:val="left" w:pos="-1440"/>
              <w:tab w:val="left" w:pos="-720"/>
            </w:tabs>
            <w:rPr>
              <w:sz w:val="20"/>
              <w:szCs w:val="20"/>
            </w:rPr>
          </w:pPr>
          <w:r w:rsidRPr="00782AE4">
            <w:rPr>
              <w:sz w:val="20"/>
              <w:szCs w:val="20"/>
            </w:rPr>
            <w:t xml:space="preserve">HEADNOTES OF RECENT </w:t>
          </w:r>
        </w:p>
        <w:p w:rsidR="0041394D" w:rsidRPr="00782AE4"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41394D" w:rsidRDefault="0041394D" w:rsidP="00102926">
          <w:pPr>
            <w:keepNext/>
            <w:keepLines/>
            <w:tabs>
              <w:tab w:val="left" w:pos="-1440"/>
              <w:tab w:val="left" w:pos="-720"/>
            </w:tabs>
            <w:jc w:val="center"/>
            <w:rPr>
              <w:sz w:val="20"/>
              <w:szCs w:val="20"/>
            </w:rPr>
          </w:pPr>
        </w:p>
        <w:p w:rsidR="0041394D" w:rsidRDefault="0041394D" w:rsidP="00102926">
          <w:pPr>
            <w:keepNext/>
            <w:keepLines/>
            <w:tabs>
              <w:tab w:val="left" w:pos="-1440"/>
              <w:tab w:val="left" w:pos="-720"/>
            </w:tabs>
            <w:jc w:val="center"/>
            <w:rPr>
              <w:sz w:val="20"/>
              <w:szCs w:val="20"/>
            </w:rPr>
          </w:pPr>
        </w:p>
        <w:p w:rsidR="0041394D" w:rsidRPr="00782AE4" w:rsidRDefault="0041394D" w:rsidP="00102926">
          <w:pPr>
            <w:keepNext/>
            <w:keepLines/>
            <w:tabs>
              <w:tab w:val="left" w:pos="-1440"/>
              <w:tab w:val="left" w:pos="-720"/>
            </w:tabs>
            <w:jc w:val="center"/>
            <w:rPr>
              <w:sz w:val="20"/>
              <w:szCs w:val="20"/>
            </w:rPr>
          </w:pPr>
        </w:p>
      </w:tc>
      <w:tc>
        <w:tcPr>
          <w:tcW w:w="4080" w:type="dxa"/>
          <w:tcMar>
            <w:left w:w="0" w:type="dxa"/>
            <w:right w:w="0" w:type="dxa"/>
          </w:tcMar>
        </w:tcPr>
        <w:p w:rsidR="0041394D" w:rsidRPr="00102926" w:rsidRDefault="0041394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41394D" w:rsidRPr="00782AE4" w:rsidRDefault="0041394D" w:rsidP="00102926">
          <w:pPr>
            <w:keepLines/>
            <w:tabs>
              <w:tab w:val="left" w:pos="-1440"/>
              <w:tab w:val="left" w:pos="-720"/>
            </w:tabs>
            <w:rPr>
              <w:sz w:val="20"/>
              <w:szCs w:val="20"/>
            </w:rPr>
          </w:pPr>
          <w:r w:rsidRPr="00102926">
            <w:rPr>
              <w:sz w:val="20"/>
              <w:szCs w:val="20"/>
              <w:lang w:val="fr-CA"/>
            </w:rPr>
            <w:t>RÉCENTS</w:t>
          </w:r>
        </w:p>
      </w:tc>
    </w:tr>
  </w:tbl>
  <w:p w:rsidR="0041394D" w:rsidRDefault="0041394D"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41394D" w:rsidRPr="0044776A" w:rsidTr="00245129">
      <w:tc>
        <w:tcPr>
          <w:tcW w:w="4290" w:type="dxa"/>
          <w:tcMar>
            <w:left w:w="0" w:type="dxa"/>
            <w:right w:w="0" w:type="dxa"/>
          </w:tcMar>
        </w:tcPr>
        <w:p w:rsidR="0041394D" w:rsidRPr="0044776A" w:rsidRDefault="0041394D"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41394D" w:rsidRPr="0044776A" w:rsidRDefault="0041394D" w:rsidP="002E2327">
          <w:pPr>
            <w:keepNext/>
            <w:keepLines/>
            <w:tabs>
              <w:tab w:val="left" w:pos="-1440"/>
              <w:tab w:val="left" w:pos="-720"/>
            </w:tabs>
            <w:jc w:val="center"/>
            <w:rPr>
              <w:sz w:val="20"/>
              <w:szCs w:val="20"/>
            </w:rPr>
          </w:pPr>
        </w:p>
        <w:p w:rsidR="0041394D" w:rsidRPr="0044776A" w:rsidRDefault="0041394D" w:rsidP="002E2327">
          <w:pPr>
            <w:keepNext/>
            <w:keepLines/>
            <w:tabs>
              <w:tab w:val="left" w:pos="-1440"/>
              <w:tab w:val="left" w:pos="-720"/>
            </w:tabs>
            <w:jc w:val="center"/>
            <w:rPr>
              <w:sz w:val="20"/>
              <w:szCs w:val="20"/>
            </w:rPr>
          </w:pPr>
        </w:p>
        <w:p w:rsidR="0041394D" w:rsidRPr="0044776A" w:rsidRDefault="0041394D" w:rsidP="002E2327">
          <w:pPr>
            <w:keepNext/>
            <w:keepLines/>
            <w:tabs>
              <w:tab w:val="left" w:pos="-1440"/>
              <w:tab w:val="left" w:pos="-720"/>
            </w:tabs>
            <w:jc w:val="center"/>
            <w:rPr>
              <w:sz w:val="20"/>
              <w:szCs w:val="20"/>
            </w:rPr>
          </w:pPr>
        </w:p>
      </w:tc>
      <w:tc>
        <w:tcPr>
          <w:tcW w:w="4320" w:type="dxa"/>
          <w:tcMar>
            <w:left w:w="0" w:type="dxa"/>
            <w:right w:w="0" w:type="dxa"/>
          </w:tcMar>
        </w:tcPr>
        <w:p w:rsidR="0041394D" w:rsidRPr="0044776A" w:rsidRDefault="0041394D" w:rsidP="002E2327">
          <w:pPr>
            <w:keepLines/>
            <w:rPr>
              <w:sz w:val="20"/>
              <w:szCs w:val="20"/>
              <w:lang w:val="fr-CA"/>
            </w:rPr>
          </w:pPr>
          <w:r w:rsidRPr="0044776A">
            <w:rPr>
              <w:sz w:val="20"/>
              <w:szCs w:val="20"/>
              <w:lang w:val="fr-CA"/>
            </w:rPr>
            <w:t>DEMANDES D'AUTORISATION D'APPEL DÉPOSÉES</w:t>
          </w:r>
        </w:p>
      </w:tc>
    </w:tr>
  </w:tbl>
  <w:p w:rsidR="0041394D" w:rsidRDefault="004139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rsidTr="00245129">
      <w:tc>
        <w:tcPr>
          <w:tcW w:w="4200" w:type="dxa"/>
          <w:tcMar>
            <w:left w:w="0" w:type="dxa"/>
            <w:right w:w="0" w:type="dxa"/>
          </w:tcMar>
        </w:tcPr>
        <w:p w:rsidR="0041394D" w:rsidRPr="0044776A" w:rsidRDefault="0041394D" w:rsidP="0044776A">
          <w:pPr>
            <w:keepNext/>
            <w:keepLines/>
            <w:widowControl w:val="0"/>
            <w:rPr>
              <w:sz w:val="20"/>
              <w:szCs w:val="20"/>
            </w:rPr>
          </w:pPr>
          <w:r>
            <w:rPr>
              <w:sz w:val="20"/>
              <w:szCs w:val="20"/>
            </w:rPr>
            <w:t>APPLICATIONS FOR LEAVE</w:t>
          </w:r>
        </w:p>
        <w:p w:rsidR="0041394D" w:rsidRPr="0044776A" w:rsidRDefault="0041394D"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41394D" w:rsidRPr="0044776A" w:rsidRDefault="0041394D" w:rsidP="0044776A">
          <w:pPr>
            <w:keepNext/>
            <w:keepLines/>
            <w:widowControl w:val="0"/>
            <w:jc w:val="center"/>
            <w:rPr>
              <w:sz w:val="20"/>
              <w:szCs w:val="20"/>
            </w:rPr>
          </w:pPr>
        </w:p>
        <w:p w:rsidR="0041394D" w:rsidRPr="0044776A" w:rsidRDefault="0041394D" w:rsidP="0044776A">
          <w:pPr>
            <w:keepNext/>
            <w:keepLines/>
            <w:widowControl w:val="0"/>
            <w:jc w:val="center"/>
            <w:rPr>
              <w:sz w:val="20"/>
              <w:szCs w:val="20"/>
            </w:rPr>
          </w:pPr>
        </w:p>
        <w:p w:rsidR="0041394D" w:rsidRPr="0044776A" w:rsidRDefault="0041394D" w:rsidP="0044776A">
          <w:pPr>
            <w:keepNext/>
            <w:keepLines/>
            <w:widowControl w:val="0"/>
            <w:jc w:val="center"/>
            <w:rPr>
              <w:sz w:val="20"/>
              <w:szCs w:val="20"/>
            </w:rPr>
          </w:pPr>
        </w:p>
      </w:tc>
      <w:tc>
        <w:tcPr>
          <w:tcW w:w="4080" w:type="dxa"/>
          <w:tcMar>
            <w:left w:w="0" w:type="dxa"/>
            <w:right w:w="0" w:type="dxa"/>
          </w:tcMar>
        </w:tcPr>
        <w:p w:rsidR="0041394D" w:rsidRPr="0044776A" w:rsidRDefault="0041394D" w:rsidP="0044776A">
          <w:pPr>
            <w:keepLines/>
            <w:widowControl w:val="0"/>
            <w:rPr>
              <w:sz w:val="20"/>
              <w:szCs w:val="20"/>
              <w:lang w:val="fr-CA"/>
            </w:rPr>
          </w:pPr>
          <w:r w:rsidRPr="0044776A">
            <w:rPr>
              <w:sz w:val="20"/>
              <w:szCs w:val="20"/>
              <w:lang w:val="fr-CA"/>
            </w:rPr>
            <w:t>DEMANDES SOUMISES À LA COUR DEPUIS LA DERNIÈRE PARUTION</w:t>
          </w:r>
        </w:p>
        <w:p w:rsidR="0041394D" w:rsidRPr="0044776A" w:rsidRDefault="0041394D" w:rsidP="0044776A">
          <w:pPr>
            <w:widowControl w:val="0"/>
            <w:rPr>
              <w:sz w:val="20"/>
              <w:szCs w:val="20"/>
              <w:lang w:val="fr-CA"/>
            </w:rPr>
          </w:pPr>
        </w:p>
      </w:tc>
    </w:tr>
  </w:tbl>
  <w:p w:rsidR="0041394D" w:rsidRPr="002E2327" w:rsidRDefault="0041394D">
    <w:pPr>
      <w:pStyle w:val="Header"/>
      <w:rPr>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D" w:rsidRDefault="004139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tc>
        <w:tcPr>
          <w:tcW w:w="4200" w:type="dxa"/>
          <w:tcMar>
            <w:left w:w="0" w:type="dxa"/>
            <w:right w:w="0" w:type="dxa"/>
          </w:tcMar>
        </w:tcPr>
        <w:p w:rsidR="0041394D" w:rsidRDefault="0041394D">
          <w:pPr>
            <w:keepNext/>
            <w:keepLines/>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rPr>
              <w:rFonts w:ascii="Times New" w:hAnsi="Times New"/>
            </w:rPr>
          </w:pPr>
          <w:r>
            <w:rPr>
              <w:rFonts w:ascii="Times New" w:hAnsi="Times New"/>
            </w:rPr>
            <w:t>ORAL HEARING ON APPLICATIONS FOR LEAVE</w:t>
          </w:r>
        </w:p>
      </w:tc>
      <w:tc>
        <w:tcPr>
          <w:tcW w:w="1200" w:type="dxa"/>
          <w:tcMar>
            <w:left w:w="0" w:type="dxa"/>
            <w:right w:w="0" w:type="dxa"/>
          </w:tcMar>
        </w:tcPr>
        <w:p w:rsidR="0041394D" w:rsidRDefault="0041394D">
          <w:pPr>
            <w:keepLines/>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rPr>
              <w:rFonts w:ascii="Times New" w:hAnsi="Times New"/>
            </w:rPr>
          </w:pPr>
        </w:p>
      </w:tc>
      <w:tc>
        <w:tcPr>
          <w:tcW w:w="4080" w:type="dxa"/>
          <w:tcMar>
            <w:left w:w="0" w:type="dxa"/>
            <w:right w:w="0" w:type="dxa"/>
          </w:tcMar>
        </w:tcPr>
        <w:p w:rsidR="0041394D" w:rsidRPr="008D6812" w:rsidRDefault="0041394D">
          <w:pPr>
            <w:keepLines/>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rPr>
              <w:rFonts w:ascii="Times New" w:hAnsi="Times New"/>
              <w:lang w:val="fr-CA"/>
            </w:rPr>
          </w:pPr>
          <w:r w:rsidRPr="008D6812">
            <w:rPr>
              <w:rFonts w:ascii="Times New" w:hAnsi="Times New"/>
              <w:lang w:val="fr-CA"/>
            </w:rPr>
            <w:t xml:space="preserve">AUDIENCE SUR LES DEMANDES D’AUTORISATION </w:t>
          </w:r>
        </w:p>
      </w:tc>
    </w:tr>
  </w:tbl>
  <w:p w:rsidR="0041394D" w:rsidRPr="008D6812" w:rsidRDefault="0041394D">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0" w:lineRule="atLeast"/>
      <w:rPr>
        <w:rFonts w:ascii="Times New" w:hAnsi="Times New"/>
        <w:lang w:val="fr-CA"/>
      </w:rPr>
    </w:pPr>
  </w:p>
  <w:p w:rsidR="0041394D" w:rsidRPr="008D6812" w:rsidRDefault="0041394D">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rPr>
        <w:rFonts w:ascii="Times New" w:hAnsi="Times New"/>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41394D" w:rsidRPr="00FB4A2E" w:rsidTr="00245129">
      <w:tc>
        <w:tcPr>
          <w:tcW w:w="4200" w:type="dxa"/>
          <w:tcMar>
            <w:left w:w="0" w:type="dxa"/>
            <w:right w:w="0" w:type="dxa"/>
          </w:tcMar>
        </w:tcPr>
        <w:p w:rsidR="0041394D" w:rsidRPr="00755F22" w:rsidRDefault="0041394D" w:rsidP="00432989">
          <w:pPr>
            <w:rPr>
              <w:sz w:val="20"/>
              <w:szCs w:val="20"/>
            </w:rPr>
          </w:pPr>
          <w:r w:rsidRPr="00755F22">
            <w:rPr>
              <w:sz w:val="20"/>
              <w:szCs w:val="20"/>
            </w:rPr>
            <w:t>ORAL HEARING ON APPLICATIONS FOR LEAVE</w:t>
          </w:r>
        </w:p>
      </w:tc>
      <w:tc>
        <w:tcPr>
          <w:tcW w:w="1200" w:type="dxa"/>
          <w:tcMar>
            <w:left w:w="0" w:type="dxa"/>
            <w:right w:w="0" w:type="dxa"/>
          </w:tcMar>
        </w:tcPr>
        <w:p w:rsidR="0041394D" w:rsidRDefault="0041394D" w:rsidP="008D292F">
          <w:pPr>
            <w:jc w:val="center"/>
            <w:rPr>
              <w:sz w:val="20"/>
              <w:szCs w:val="20"/>
            </w:rPr>
          </w:pPr>
        </w:p>
        <w:p w:rsidR="0041394D" w:rsidRDefault="0041394D" w:rsidP="008D292F">
          <w:pPr>
            <w:jc w:val="center"/>
            <w:rPr>
              <w:sz w:val="20"/>
              <w:szCs w:val="20"/>
            </w:rPr>
          </w:pPr>
        </w:p>
        <w:p w:rsidR="0041394D" w:rsidRPr="00755F22" w:rsidRDefault="0041394D" w:rsidP="008D292F">
          <w:pPr>
            <w:jc w:val="center"/>
            <w:rPr>
              <w:sz w:val="20"/>
              <w:szCs w:val="20"/>
            </w:rPr>
          </w:pPr>
        </w:p>
      </w:tc>
      <w:tc>
        <w:tcPr>
          <w:tcW w:w="4080" w:type="dxa"/>
          <w:tcMar>
            <w:left w:w="0" w:type="dxa"/>
            <w:right w:w="0" w:type="dxa"/>
          </w:tcMar>
        </w:tcPr>
        <w:p w:rsidR="0041394D" w:rsidRPr="00755F22" w:rsidRDefault="0041394D" w:rsidP="00432989">
          <w:pPr>
            <w:rPr>
              <w:sz w:val="20"/>
              <w:szCs w:val="20"/>
              <w:lang w:val="fr-CA"/>
            </w:rPr>
          </w:pPr>
          <w:r w:rsidRPr="00755F22">
            <w:rPr>
              <w:sz w:val="20"/>
              <w:szCs w:val="20"/>
              <w:lang w:val="fr-CA"/>
            </w:rPr>
            <w:t xml:space="preserve">AUDIENCE SUR LES DEMANDES D’AUTORISATION </w:t>
          </w:r>
        </w:p>
      </w:tc>
    </w:tr>
  </w:tbl>
  <w:p w:rsidR="0041394D" w:rsidRPr="008D6812" w:rsidRDefault="0041394D">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0" w:lineRule="atLeast"/>
      <w:rPr>
        <w:rFonts w:ascii="Times New" w:hAnsi="Times New"/>
        <w:lang w:val="fr-CA"/>
      </w:rPr>
    </w:pPr>
  </w:p>
  <w:p w:rsidR="0041394D" w:rsidRPr="008D6812" w:rsidRDefault="0041394D">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rPr>
        <w:rFonts w:ascii="Times New" w:hAnsi="Times New"/>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AD19B5"/>
    <w:multiLevelType w:val="hybridMultilevel"/>
    <w:tmpl w:val="1C6E1592"/>
    <w:lvl w:ilvl="0" w:tplc="8D80FD32">
      <w:start w:val="5"/>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F617FB1"/>
    <w:multiLevelType w:val="hybridMultilevel"/>
    <w:tmpl w:val="9E187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E446820"/>
    <w:multiLevelType w:val="hybridMultilevel"/>
    <w:tmpl w:val="F03CBD68"/>
    <w:lvl w:ilvl="0" w:tplc="394ED646">
      <w:start w:val="5"/>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C7B46C1"/>
    <w:multiLevelType w:val="hybridMultilevel"/>
    <w:tmpl w:val="ED7A2330"/>
    <w:lvl w:ilvl="0" w:tplc="285239C0">
      <w:start w:val="5"/>
      <w:numFmt w:val="bullet"/>
      <w:lvlText w:val="-"/>
      <w:lvlJc w:val="left"/>
      <w:pPr>
        <w:ind w:left="360" w:hanging="360"/>
      </w:pPr>
      <w:rPr>
        <w:rFonts w:ascii="Times New Roman" w:eastAsia="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43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F2"/>
    <w:rsid w:val="00002704"/>
    <w:rsid w:val="000029A8"/>
    <w:rsid w:val="0001331B"/>
    <w:rsid w:val="000149AE"/>
    <w:rsid w:val="00020DC3"/>
    <w:rsid w:val="00024FDE"/>
    <w:rsid w:val="00030069"/>
    <w:rsid w:val="0003223B"/>
    <w:rsid w:val="000327B2"/>
    <w:rsid w:val="000447E6"/>
    <w:rsid w:val="0004528B"/>
    <w:rsid w:val="000542E5"/>
    <w:rsid w:val="00055F15"/>
    <w:rsid w:val="000622B6"/>
    <w:rsid w:val="00063EA2"/>
    <w:rsid w:val="000642A2"/>
    <w:rsid w:val="00064FBA"/>
    <w:rsid w:val="00065595"/>
    <w:rsid w:val="00082F43"/>
    <w:rsid w:val="00091FA6"/>
    <w:rsid w:val="00095785"/>
    <w:rsid w:val="00096BD9"/>
    <w:rsid w:val="00096FD9"/>
    <w:rsid w:val="000A72B6"/>
    <w:rsid w:val="000B23D3"/>
    <w:rsid w:val="000B39EF"/>
    <w:rsid w:val="000B3C9A"/>
    <w:rsid w:val="000B40A2"/>
    <w:rsid w:val="000B447A"/>
    <w:rsid w:val="000B4624"/>
    <w:rsid w:val="000B6DBB"/>
    <w:rsid w:val="000C0ACD"/>
    <w:rsid w:val="000C0D2A"/>
    <w:rsid w:val="000C36D9"/>
    <w:rsid w:val="000C533B"/>
    <w:rsid w:val="000C5CE8"/>
    <w:rsid w:val="000D0E5B"/>
    <w:rsid w:val="000D1CAF"/>
    <w:rsid w:val="000D3112"/>
    <w:rsid w:val="000E27A5"/>
    <w:rsid w:val="000E2959"/>
    <w:rsid w:val="000E3F59"/>
    <w:rsid w:val="000E5B31"/>
    <w:rsid w:val="000E6368"/>
    <w:rsid w:val="000F0B60"/>
    <w:rsid w:val="000F23F2"/>
    <w:rsid w:val="000F5958"/>
    <w:rsid w:val="00101C2C"/>
    <w:rsid w:val="00102926"/>
    <w:rsid w:val="00102FDD"/>
    <w:rsid w:val="00104254"/>
    <w:rsid w:val="0010587F"/>
    <w:rsid w:val="00106464"/>
    <w:rsid w:val="00111C6B"/>
    <w:rsid w:val="001124E4"/>
    <w:rsid w:val="00120E94"/>
    <w:rsid w:val="0012102B"/>
    <w:rsid w:val="001311EC"/>
    <w:rsid w:val="0013369E"/>
    <w:rsid w:val="001337BB"/>
    <w:rsid w:val="00141EF2"/>
    <w:rsid w:val="001459B9"/>
    <w:rsid w:val="001459EF"/>
    <w:rsid w:val="00152454"/>
    <w:rsid w:val="00164E6D"/>
    <w:rsid w:val="0017197F"/>
    <w:rsid w:val="00177DAF"/>
    <w:rsid w:val="00183454"/>
    <w:rsid w:val="00184A87"/>
    <w:rsid w:val="001913E6"/>
    <w:rsid w:val="00194827"/>
    <w:rsid w:val="001A735E"/>
    <w:rsid w:val="001B157C"/>
    <w:rsid w:val="001B4006"/>
    <w:rsid w:val="001B5C23"/>
    <w:rsid w:val="001B72C6"/>
    <w:rsid w:val="001B7B4B"/>
    <w:rsid w:val="001D0D5F"/>
    <w:rsid w:val="001D409C"/>
    <w:rsid w:val="001D6B8C"/>
    <w:rsid w:val="001D7032"/>
    <w:rsid w:val="001E0827"/>
    <w:rsid w:val="001E2B39"/>
    <w:rsid w:val="001E5998"/>
    <w:rsid w:val="001F1B15"/>
    <w:rsid w:val="001F1F83"/>
    <w:rsid w:val="001F311C"/>
    <w:rsid w:val="001F3B51"/>
    <w:rsid w:val="001F40DF"/>
    <w:rsid w:val="001F67BC"/>
    <w:rsid w:val="001F6B2D"/>
    <w:rsid w:val="001F795D"/>
    <w:rsid w:val="00200E47"/>
    <w:rsid w:val="002021A9"/>
    <w:rsid w:val="00202313"/>
    <w:rsid w:val="002032D0"/>
    <w:rsid w:val="00210DCA"/>
    <w:rsid w:val="002139A7"/>
    <w:rsid w:val="00215F7C"/>
    <w:rsid w:val="002170F1"/>
    <w:rsid w:val="0021796F"/>
    <w:rsid w:val="0022323B"/>
    <w:rsid w:val="00234CDB"/>
    <w:rsid w:val="002410B8"/>
    <w:rsid w:val="00242AEE"/>
    <w:rsid w:val="00245129"/>
    <w:rsid w:val="00245879"/>
    <w:rsid w:val="00260B94"/>
    <w:rsid w:val="00265E83"/>
    <w:rsid w:val="00267FD5"/>
    <w:rsid w:val="00272ADC"/>
    <w:rsid w:val="002747F0"/>
    <w:rsid w:val="00274D34"/>
    <w:rsid w:val="00283ED8"/>
    <w:rsid w:val="0028560A"/>
    <w:rsid w:val="002862D1"/>
    <w:rsid w:val="002868D0"/>
    <w:rsid w:val="002877BB"/>
    <w:rsid w:val="002A008C"/>
    <w:rsid w:val="002A27D1"/>
    <w:rsid w:val="002A38F6"/>
    <w:rsid w:val="002A4AFA"/>
    <w:rsid w:val="002A6755"/>
    <w:rsid w:val="002B516C"/>
    <w:rsid w:val="002C1142"/>
    <w:rsid w:val="002C4F01"/>
    <w:rsid w:val="002D72EB"/>
    <w:rsid w:val="002E2327"/>
    <w:rsid w:val="002E3583"/>
    <w:rsid w:val="002E3993"/>
    <w:rsid w:val="002E3F55"/>
    <w:rsid w:val="002E5576"/>
    <w:rsid w:val="002E64A0"/>
    <w:rsid w:val="002F7593"/>
    <w:rsid w:val="00300675"/>
    <w:rsid w:val="00303ADD"/>
    <w:rsid w:val="00322C8D"/>
    <w:rsid w:val="00326115"/>
    <w:rsid w:val="00331B52"/>
    <w:rsid w:val="00334822"/>
    <w:rsid w:val="003359D3"/>
    <w:rsid w:val="003369F2"/>
    <w:rsid w:val="00336E31"/>
    <w:rsid w:val="00341B4F"/>
    <w:rsid w:val="00353D6D"/>
    <w:rsid w:val="00355967"/>
    <w:rsid w:val="0035662F"/>
    <w:rsid w:val="00356A48"/>
    <w:rsid w:val="00361E1F"/>
    <w:rsid w:val="00370A4C"/>
    <w:rsid w:val="00372AB3"/>
    <w:rsid w:val="00372E67"/>
    <w:rsid w:val="00372EA8"/>
    <w:rsid w:val="00373255"/>
    <w:rsid w:val="00373F95"/>
    <w:rsid w:val="00380DA0"/>
    <w:rsid w:val="00382C47"/>
    <w:rsid w:val="00384384"/>
    <w:rsid w:val="00384938"/>
    <w:rsid w:val="003866AE"/>
    <w:rsid w:val="003A69A7"/>
    <w:rsid w:val="003B3977"/>
    <w:rsid w:val="003B5461"/>
    <w:rsid w:val="003B56FD"/>
    <w:rsid w:val="003C07E4"/>
    <w:rsid w:val="003C54EB"/>
    <w:rsid w:val="003C692B"/>
    <w:rsid w:val="003D4504"/>
    <w:rsid w:val="003D6561"/>
    <w:rsid w:val="003E1D4C"/>
    <w:rsid w:val="00403F4C"/>
    <w:rsid w:val="004137A0"/>
    <w:rsid w:val="0041394D"/>
    <w:rsid w:val="0041396C"/>
    <w:rsid w:val="00422BE4"/>
    <w:rsid w:val="00422D9A"/>
    <w:rsid w:val="00432989"/>
    <w:rsid w:val="00440E24"/>
    <w:rsid w:val="00443162"/>
    <w:rsid w:val="00445556"/>
    <w:rsid w:val="00446556"/>
    <w:rsid w:val="0044776A"/>
    <w:rsid w:val="00453237"/>
    <w:rsid w:val="00460AFC"/>
    <w:rsid w:val="00464DC0"/>
    <w:rsid w:val="004678EB"/>
    <w:rsid w:val="0047471F"/>
    <w:rsid w:val="004804B7"/>
    <w:rsid w:val="00480F87"/>
    <w:rsid w:val="004B195E"/>
    <w:rsid w:val="004B66B4"/>
    <w:rsid w:val="004B7F60"/>
    <w:rsid w:val="004C1AAC"/>
    <w:rsid w:val="004C2925"/>
    <w:rsid w:val="004C45DB"/>
    <w:rsid w:val="004C653C"/>
    <w:rsid w:val="004E1E0A"/>
    <w:rsid w:val="004E5CF9"/>
    <w:rsid w:val="004F090E"/>
    <w:rsid w:val="004F1246"/>
    <w:rsid w:val="00501F3C"/>
    <w:rsid w:val="00504775"/>
    <w:rsid w:val="00510393"/>
    <w:rsid w:val="0052229C"/>
    <w:rsid w:val="00527CC7"/>
    <w:rsid w:val="0054491D"/>
    <w:rsid w:val="0054498E"/>
    <w:rsid w:val="00562B12"/>
    <w:rsid w:val="00564431"/>
    <w:rsid w:val="00571CA4"/>
    <w:rsid w:val="00575329"/>
    <w:rsid w:val="005774EA"/>
    <w:rsid w:val="00577ABD"/>
    <w:rsid w:val="00582136"/>
    <w:rsid w:val="005A1DF4"/>
    <w:rsid w:val="005A54E0"/>
    <w:rsid w:val="005A6C05"/>
    <w:rsid w:val="005B2F43"/>
    <w:rsid w:val="005B3725"/>
    <w:rsid w:val="005C02B5"/>
    <w:rsid w:val="005C54EB"/>
    <w:rsid w:val="005C6840"/>
    <w:rsid w:val="005C7580"/>
    <w:rsid w:val="005D6CC9"/>
    <w:rsid w:val="005D7674"/>
    <w:rsid w:val="005E1C19"/>
    <w:rsid w:val="005E2A1D"/>
    <w:rsid w:val="005F001D"/>
    <w:rsid w:val="005F1ED8"/>
    <w:rsid w:val="005F263E"/>
    <w:rsid w:val="00600252"/>
    <w:rsid w:val="00612A40"/>
    <w:rsid w:val="0061510E"/>
    <w:rsid w:val="00621A9F"/>
    <w:rsid w:val="0062714A"/>
    <w:rsid w:val="006349C5"/>
    <w:rsid w:val="00635C6B"/>
    <w:rsid w:val="00641045"/>
    <w:rsid w:val="00647EB2"/>
    <w:rsid w:val="006611A5"/>
    <w:rsid w:val="00675479"/>
    <w:rsid w:val="0068063D"/>
    <w:rsid w:val="00680709"/>
    <w:rsid w:val="00681F61"/>
    <w:rsid w:val="006842CA"/>
    <w:rsid w:val="00696BF9"/>
    <w:rsid w:val="00697C62"/>
    <w:rsid w:val="006A329B"/>
    <w:rsid w:val="006A752C"/>
    <w:rsid w:val="006A7EB8"/>
    <w:rsid w:val="006B6926"/>
    <w:rsid w:val="006C1C53"/>
    <w:rsid w:val="006C3F47"/>
    <w:rsid w:val="006C5A64"/>
    <w:rsid w:val="006C5F7A"/>
    <w:rsid w:val="006C7848"/>
    <w:rsid w:val="006E06AF"/>
    <w:rsid w:val="006E7D66"/>
    <w:rsid w:val="006F350F"/>
    <w:rsid w:val="00730500"/>
    <w:rsid w:val="00732DB7"/>
    <w:rsid w:val="007412FF"/>
    <w:rsid w:val="00741C31"/>
    <w:rsid w:val="0074238B"/>
    <w:rsid w:val="00745EF7"/>
    <w:rsid w:val="007514CD"/>
    <w:rsid w:val="0075252B"/>
    <w:rsid w:val="00752933"/>
    <w:rsid w:val="00755F22"/>
    <w:rsid w:val="00756B71"/>
    <w:rsid w:val="007641A0"/>
    <w:rsid w:val="00765BDE"/>
    <w:rsid w:val="00766E4A"/>
    <w:rsid w:val="00767865"/>
    <w:rsid w:val="00777465"/>
    <w:rsid w:val="007820CE"/>
    <w:rsid w:val="00782AE4"/>
    <w:rsid w:val="0079724F"/>
    <w:rsid w:val="007A1279"/>
    <w:rsid w:val="007A3BA1"/>
    <w:rsid w:val="007A3EAE"/>
    <w:rsid w:val="007A43B8"/>
    <w:rsid w:val="007B33B4"/>
    <w:rsid w:val="007C04FC"/>
    <w:rsid w:val="007C1078"/>
    <w:rsid w:val="007C3DB0"/>
    <w:rsid w:val="007C47C2"/>
    <w:rsid w:val="007C5DBE"/>
    <w:rsid w:val="007D22FD"/>
    <w:rsid w:val="007D3E0F"/>
    <w:rsid w:val="007E4282"/>
    <w:rsid w:val="007F1BD6"/>
    <w:rsid w:val="007F387B"/>
    <w:rsid w:val="00801E91"/>
    <w:rsid w:val="00802863"/>
    <w:rsid w:val="00804233"/>
    <w:rsid w:val="008112A9"/>
    <w:rsid w:val="0081473A"/>
    <w:rsid w:val="00815B3C"/>
    <w:rsid w:val="0081610A"/>
    <w:rsid w:val="0082783A"/>
    <w:rsid w:val="00831CA9"/>
    <w:rsid w:val="00844250"/>
    <w:rsid w:val="00850E1F"/>
    <w:rsid w:val="00853420"/>
    <w:rsid w:val="008545EF"/>
    <w:rsid w:val="0085476B"/>
    <w:rsid w:val="00856319"/>
    <w:rsid w:val="008610C1"/>
    <w:rsid w:val="0086340B"/>
    <w:rsid w:val="0086568A"/>
    <w:rsid w:val="00866F6E"/>
    <w:rsid w:val="008806E3"/>
    <w:rsid w:val="008902B1"/>
    <w:rsid w:val="00890AC2"/>
    <w:rsid w:val="00890FEB"/>
    <w:rsid w:val="00895E7E"/>
    <w:rsid w:val="008A5C1A"/>
    <w:rsid w:val="008C3CB8"/>
    <w:rsid w:val="008D292F"/>
    <w:rsid w:val="008D5C5E"/>
    <w:rsid w:val="008D7A85"/>
    <w:rsid w:val="008E03DC"/>
    <w:rsid w:val="008E7441"/>
    <w:rsid w:val="008F4D4C"/>
    <w:rsid w:val="00902E51"/>
    <w:rsid w:val="00915A02"/>
    <w:rsid w:val="009179FE"/>
    <w:rsid w:val="00924065"/>
    <w:rsid w:val="00930D68"/>
    <w:rsid w:val="00932DB4"/>
    <w:rsid w:val="00935CF2"/>
    <w:rsid w:val="0093617E"/>
    <w:rsid w:val="00936D11"/>
    <w:rsid w:val="00941A4B"/>
    <w:rsid w:val="00942AC5"/>
    <w:rsid w:val="00943712"/>
    <w:rsid w:val="00946242"/>
    <w:rsid w:val="0094794D"/>
    <w:rsid w:val="0095096B"/>
    <w:rsid w:val="00957C80"/>
    <w:rsid w:val="009638B9"/>
    <w:rsid w:val="00970CD3"/>
    <w:rsid w:val="009723FA"/>
    <w:rsid w:val="0097518F"/>
    <w:rsid w:val="00984546"/>
    <w:rsid w:val="00991953"/>
    <w:rsid w:val="009950FF"/>
    <w:rsid w:val="00996510"/>
    <w:rsid w:val="009A4992"/>
    <w:rsid w:val="009B15E6"/>
    <w:rsid w:val="009B63A5"/>
    <w:rsid w:val="009D1374"/>
    <w:rsid w:val="009D1F15"/>
    <w:rsid w:val="009D319D"/>
    <w:rsid w:val="009D555E"/>
    <w:rsid w:val="009D736E"/>
    <w:rsid w:val="009E66F0"/>
    <w:rsid w:val="009F1DE2"/>
    <w:rsid w:val="009F3024"/>
    <w:rsid w:val="009F39BA"/>
    <w:rsid w:val="009F3D7C"/>
    <w:rsid w:val="00A0012C"/>
    <w:rsid w:val="00A0181C"/>
    <w:rsid w:val="00A0355E"/>
    <w:rsid w:val="00A10C4C"/>
    <w:rsid w:val="00A127BC"/>
    <w:rsid w:val="00A12D17"/>
    <w:rsid w:val="00A22323"/>
    <w:rsid w:val="00A226F9"/>
    <w:rsid w:val="00A375D1"/>
    <w:rsid w:val="00A42B44"/>
    <w:rsid w:val="00A479E9"/>
    <w:rsid w:val="00A51D10"/>
    <w:rsid w:val="00A52A83"/>
    <w:rsid w:val="00A6552C"/>
    <w:rsid w:val="00A702A1"/>
    <w:rsid w:val="00A70C60"/>
    <w:rsid w:val="00A74669"/>
    <w:rsid w:val="00A75B38"/>
    <w:rsid w:val="00A836E5"/>
    <w:rsid w:val="00A87207"/>
    <w:rsid w:val="00A872FA"/>
    <w:rsid w:val="00A935AA"/>
    <w:rsid w:val="00A956D3"/>
    <w:rsid w:val="00AA27B3"/>
    <w:rsid w:val="00AB2201"/>
    <w:rsid w:val="00AD11E1"/>
    <w:rsid w:val="00AD15F3"/>
    <w:rsid w:val="00AD1D34"/>
    <w:rsid w:val="00AD2226"/>
    <w:rsid w:val="00AD3259"/>
    <w:rsid w:val="00AF1715"/>
    <w:rsid w:val="00AF3904"/>
    <w:rsid w:val="00B010C0"/>
    <w:rsid w:val="00B0450E"/>
    <w:rsid w:val="00B150CF"/>
    <w:rsid w:val="00B25862"/>
    <w:rsid w:val="00B30FCF"/>
    <w:rsid w:val="00B35739"/>
    <w:rsid w:val="00B41560"/>
    <w:rsid w:val="00B4289B"/>
    <w:rsid w:val="00B4740D"/>
    <w:rsid w:val="00B5085F"/>
    <w:rsid w:val="00B529BB"/>
    <w:rsid w:val="00B61629"/>
    <w:rsid w:val="00B7374B"/>
    <w:rsid w:val="00B739E6"/>
    <w:rsid w:val="00B76660"/>
    <w:rsid w:val="00B81409"/>
    <w:rsid w:val="00B82E9C"/>
    <w:rsid w:val="00B90DC0"/>
    <w:rsid w:val="00B94435"/>
    <w:rsid w:val="00B97932"/>
    <w:rsid w:val="00BA116A"/>
    <w:rsid w:val="00BA5582"/>
    <w:rsid w:val="00BA6468"/>
    <w:rsid w:val="00BB10D5"/>
    <w:rsid w:val="00BB1D44"/>
    <w:rsid w:val="00BC0893"/>
    <w:rsid w:val="00BD06DA"/>
    <w:rsid w:val="00BD0F9C"/>
    <w:rsid w:val="00BD4217"/>
    <w:rsid w:val="00BF25F3"/>
    <w:rsid w:val="00BF5990"/>
    <w:rsid w:val="00C020E6"/>
    <w:rsid w:val="00C149C5"/>
    <w:rsid w:val="00C16861"/>
    <w:rsid w:val="00C1697B"/>
    <w:rsid w:val="00C21644"/>
    <w:rsid w:val="00C21CB5"/>
    <w:rsid w:val="00C2640B"/>
    <w:rsid w:val="00C42F42"/>
    <w:rsid w:val="00C46376"/>
    <w:rsid w:val="00C50A5C"/>
    <w:rsid w:val="00C50FDF"/>
    <w:rsid w:val="00C579AB"/>
    <w:rsid w:val="00C629B5"/>
    <w:rsid w:val="00C62C81"/>
    <w:rsid w:val="00C63381"/>
    <w:rsid w:val="00C639D1"/>
    <w:rsid w:val="00C65377"/>
    <w:rsid w:val="00C66058"/>
    <w:rsid w:val="00C73D06"/>
    <w:rsid w:val="00C73E1B"/>
    <w:rsid w:val="00C75888"/>
    <w:rsid w:val="00C759B4"/>
    <w:rsid w:val="00C76C61"/>
    <w:rsid w:val="00C77713"/>
    <w:rsid w:val="00C80EA8"/>
    <w:rsid w:val="00C85BB7"/>
    <w:rsid w:val="00C942CE"/>
    <w:rsid w:val="00CA2DEA"/>
    <w:rsid w:val="00CB1024"/>
    <w:rsid w:val="00CB3520"/>
    <w:rsid w:val="00CB43D5"/>
    <w:rsid w:val="00CC4D84"/>
    <w:rsid w:val="00CD345E"/>
    <w:rsid w:val="00CD3A2D"/>
    <w:rsid w:val="00CE198A"/>
    <w:rsid w:val="00CF08C8"/>
    <w:rsid w:val="00CF3485"/>
    <w:rsid w:val="00CF3915"/>
    <w:rsid w:val="00CF684D"/>
    <w:rsid w:val="00D004FC"/>
    <w:rsid w:val="00D15E09"/>
    <w:rsid w:val="00D24E11"/>
    <w:rsid w:val="00D377B8"/>
    <w:rsid w:val="00D40D13"/>
    <w:rsid w:val="00D418EA"/>
    <w:rsid w:val="00D433EE"/>
    <w:rsid w:val="00D46CA6"/>
    <w:rsid w:val="00D47DC5"/>
    <w:rsid w:val="00D52CC8"/>
    <w:rsid w:val="00D55C6B"/>
    <w:rsid w:val="00D619C6"/>
    <w:rsid w:val="00D64901"/>
    <w:rsid w:val="00D76BDF"/>
    <w:rsid w:val="00D818B6"/>
    <w:rsid w:val="00D84B33"/>
    <w:rsid w:val="00D862C1"/>
    <w:rsid w:val="00D91FAB"/>
    <w:rsid w:val="00D93B50"/>
    <w:rsid w:val="00D94028"/>
    <w:rsid w:val="00D94670"/>
    <w:rsid w:val="00D95483"/>
    <w:rsid w:val="00DA46F6"/>
    <w:rsid w:val="00DB327F"/>
    <w:rsid w:val="00DC3AF6"/>
    <w:rsid w:val="00DC4A4B"/>
    <w:rsid w:val="00DD0B49"/>
    <w:rsid w:val="00DE0502"/>
    <w:rsid w:val="00DE0FCB"/>
    <w:rsid w:val="00DE349D"/>
    <w:rsid w:val="00DF6AB4"/>
    <w:rsid w:val="00E02145"/>
    <w:rsid w:val="00E06DFA"/>
    <w:rsid w:val="00E10FC0"/>
    <w:rsid w:val="00E142AF"/>
    <w:rsid w:val="00E14855"/>
    <w:rsid w:val="00E16FC8"/>
    <w:rsid w:val="00E20A0A"/>
    <w:rsid w:val="00E22B1C"/>
    <w:rsid w:val="00E240C2"/>
    <w:rsid w:val="00E347DF"/>
    <w:rsid w:val="00E356C7"/>
    <w:rsid w:val="00E414CA"/>
    <w:rsid w:val="00E41A5A"/>
    <w:rsid w:val="00E45FE4"/>
    <w:rsid w:val="00E53215"/>
    <w:rsid w:val="00E54434"/>
    <w:rsid w:val="00E574EB"/>
    <w:rsid w:val="00E611E1"/>
    <w:rsid w:val="00E64FA7"/>
    <w:rsid w:val="00E770CB"/>
    <w:rsid w:val="00E849A1"/>
    <w:rsid w:val="00E872CA"/>
    <w:rsid w:val="00E90233"/>
    <w:rsid w:val="00E903A1"/>
    <w:rsid w:val="00E940EB"/>
    <w:rsid w:val="00E9703F"/>
    <w:rsid w:val="00EA6E3E"/>
    <w:rsid w:val="00EB2B90"/>
    <w:rsid w:val="00EB3F67"/>
    <w:rsid w:val="00EB6607"/>
    <w:rsid w:val="00EC5171"/>
    <w:rsid w:val="00ED7E83"/>
    <w:rsid w:val="00EE091F"/>
    <w:rsid w:val="00EF062F"/>
    <w:rsid w:val="00EF4B63"/>
    <w:rsid w:val="00EF4BC1"/>
    <w:rsid w:val="00F0068D"/>
    <w:rsid w:val="00F0576D"/>
    <w:rsid w:val="00F14E6D"/>
    <w:rsid w:val="00F15EA8"/>
    <w:rsid w:val="00F16C8D"/>
    <w:rsid w:val="00F21162"/>
    <w:rsid w:val="00F26C61"/>
    <w:rsid w:val="00F33CCE"/>
    <w:rsid w:val="00F40249"/>
    <w:rsid w:val="00F40C1A"/>
    <w:rsid w:val="00F41F25"/>
    <w:rsid w:val="00F51D44"/>
    <w:rsid w:val="00F526C8"/>
    <w:rsid w:val="00F742FA"/>
    <w:rsid w:val="00F761A3"/>
    <w:rsid w:val="00F7678D"/>
    <w:rsid w:val="00F8267E"/>
    <w:rsid w:val="00F83F63"/>
    <w:rsid w:val="00F87FEB"/>
    <w:rsid w:val="00F90CD6"/>
    <w:rsid w:val="00F9272D"/>
    <w:rsid w:val="00F93AAB"/>
    <w:rsid w:val="00F9518C"/>
    <w:rsid w:val="00FA316E"/>
    <w:rsid w:val="00FA32CD"/>
    <w:rsid w:val="00FA3373"/>
    <w:rsid w:val="00FA58DA"/>
    <w:rsid w:val="00FA59EF"/>
    <w:rsid w:val="00FA72CE"/>
    <w:rsid w:val="00FB0A1F"/>
    <w:rsid w:val="00FB19A2"/>
    <w:rsid w:val="00FB4A2E"/>
    <w:rsid w:val="00FB7B65"/>
    <w:rsid w:val="00FC21D9"/>
    <w:rsid w:val="00FC42EF"/>
    <w:rsid w:val="00FC6F08"/>
    <w:rsid w:val="00FD39B8"/>
    <w:rsid w:val="00FF58F0"/>
    <w:rsid w:val="00FF63E3"/>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table" w:customStyle="1" w:styleId="TableGrid2">
    <w:name w:val="Table Grid2"/>
    <w:basedOn w:val="TableNormal"/>
    <w:next w:val="TableGrid"/>
    <w:uiPriority w:val="59"/>
    <w:rsid w:val="00102FDD"/>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5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FD"/>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296">
      <w:bodyDiv w:val="1"/>
      <w:marLeft w:val="0"/>
      <w:marRight w:val="0"/>
      <w:marTop w:val="0"/>
      <w:marBottom w:val="0"/>
      <w:divBdr>
        <w:top w:val="none" w:sz="0" w:space="0" w:color="auto"/>
        <w:left w:val="none" w:sz="0" w:space="0" w:color="auto"/>
        <w:bottom w:val="none" w:sz="0" w:space="0" w:color="auto"/>
        <w:right w:val="none" w:sz="0" w:space="0" w:color="auto"/>
      </w:divBdr>
    </w:div>
    <w:div w:id="34933833">
      <w:bodyDiv w:val="1"/>
      <w:marLeft w:val="0"/>
      <w:marRight w:val="0"/>
      <w:marTop w:val="0"/>
      <w:marBottom w:val="0"/>
      <w:divBdr>
        <w:top w:val="none" w:sz="0" w:space="0" w:color="auto"/>
        <w:left w:val="none" w:sz="0" w:space="0" w:color="auto"/>
        <w:bottom w:val="none" w:sz="0" w:space="0" w:color="auto"/>
        <w:right w:val="none" w:sz="0" w:space="0" w:color="auto"/>
      </w:divBdr>
    </w:div>
    <w:div w:id="76291709">
      <w:bodyDiv w:val="1"/>
      <w:marLeft w:val="0"/>
      <w:marRight w:val="0"/>
      <w:marTop w:val="0"/>
      <w:marBottom w:val="0"/>
      <w:divBdr>
        <w:top w:val="none" w:sz="0" w:space="0" w:color="auto"/>
        <w:left w:val="none" w:sz="0" w:space="0" w:color="auto"/>
        <w:bottom w:val="none" w:sz="0" w:space="0" w:color="auto"/>
        <w:right w:val="none" w:sz="0" w:space="0" w:color="auto"/>
      </w:divBdr>
    </w:div>
    <w:div w:id="77792144">
      <w:bodyDiv w:val="1"/>
      <w:marLeft w:val="0"/>
      <w:marRight w:val="0"/>
      <w:marTop w:val="0"/>
      <w:marBottom w:val="0"/>
      <w:divBdr>
        <w:top w:val="none" w:sz="0" w:space="0" w:color="auto"/>
        <w:left w:val="none" w:sz="0" w:space="0" w:color="auto"/>
        <w:bottom w:val="none" w:sz="0" w:space="0" w:color="auto"/>
        <w:right w:val="none" w:sz="0" w:space="0" w:color="auto"/>
      </w:divBdr>
    </w:div>
    <w:div w:id="103350957">
      <w:bodyDiv w:val="1"/>
      <w:marLeft w:val="0"/>
      <w:marRight w:val="0"/>
      <w:marTop w:val="0"/>
      <w:marBottom w:val="0"/>
      <w:divBdr>
        <w:top w:val="none" w:sz="0" w:space="0" w:color="auto"/>
        <w:left w:val="none" w:sz="0" w:space="0" w:color="auto"/>
        <w:bottom w:val="none" w:sz="0" w:space="0" w:color="auto"/>
        <w:right w:val="none" w:sz="0" w:space="0" w:color="auto"/>
      </w:divBdr>
    </w:div>
    <w:div w:id="125240429">
      <w:bodyDiv w:val="1"/>
      <w:marLeft w:val="0"/>
      <w:marRight w:val="0"/>
      <w:marTop w:val="0"/>
      <w:marBottom w:val="0"/>
      <w:divBdr>
        <w:top w:val="none" w:sz="0" w:space="0" w:color="auto"/>
        <w:left w:val="none" w:sz="0" w:space="0" w:color="auto"/>
        <w:bottom w:val="none" w:sz="0" w:space="0" w:color="auto"/>
        <w:right w:val="none" w:sz="0" w:space="0" w:color="auto"/>
      </w:divBdr>
    </w:div>
    <w:div w:id="165294505">
      <w:bodyDiv w:val="1"/>
      <w:marLeft w:val="0"/>
      <w:marRight w:val="0"/>
      <w:marTop w:val="0"/>
      <w:marBottom w:val="0"/>
      <w:divBdr>
        <w:top w:val="none" w:sz="0" w:space="0" w:color="auto"/>
        <w:left w:val="none" w:sz="0" w:space="0" w:color="auto"/>
        <w:bottom w:val="none" w:sz="0" w:space="0" w:color="auto"/>
        <w:right w:val="none" w:sz="0" w:space="0" w:color="auto"/>
      </w:divBdr>
    </w:div>
    <w:div w:id="165559210">
      <w:bodyDiv w:val="1"/>
      <w:marLeft w:val="0"/>
      <w:marRight w:val="0"/>
      <w:marTop w:val="0"/>
      <w:marBottom w:val="0"/>
      <w:divBdr>
        <w:top w:val="none" w:sz="0" w:space="0" w:color="auto"/>
        <w:left w:val="none" w:sz="0" w:space="0" w:color="auto"/>
        <w:bottom w:val="none" w:sz="0" w:space="0" w:color="auto"/>
        <w:right w:val="none" w:sz="0" w:space="0" w:color="auto"/>
      </w:divBdr>
    </w:div>
    <w:div w:id="182549189">
      <w:bodyDiv w:val="1"/>
      <w:marLeft w:val="0"/>
      <w:marRight w:val="0"/>
      <w:marTop w:val="0"/>
      <w:marBottom w:val="0"/>
      <w:divBdr>
        <w:top w:val="none" w:sz="0" w:space="0" w:color="auto"/>
        <w:left w:val="none" w:sz="0" w:space="0" w:color="auto"/>
        <w:bottom w:val="none" w:sz="0" w:space="0" w:color="auto"/>
        <w:right w:val="none" w:sz="0" w:space="0" w:color="auto"/>
      </w:divBdr>
    </w:div>
    <w:div w:id="189995265">
      <w:bodyDiv w:val="1"/>
      <w:marLeft w:val="0"/>
      <w:marRight w:val="0"/>
      <w:marTop w:val="0"/>
      <w:marBottom w:val="0"/>
      <w:divBdr>
        <w:top w:val="none" w:sz="0" w:space="0" w:color="auto"/>
        <w:left w:val="none" w:sz="0" w:space="0" w:color="auto"/>
        <w:bottom w:val="none" w:sz="0" w:space="0" w:color="auto"/>
        <w:right w:val="none" w:sz="0" w:space="0" w:color="auto"/>
      </w:divBdr>
    </w:div>
    <w:div w:id="199979665">
      <w:bodyDiv w:val="1"/>
      <w:marLeft w:val="0"/>
      <w:marRight w:val="0"/>
      <w:marTop w:val="0"/>
      <w:marBottom w:val="0"/>
      <w:divBdr>
        <w:top w:val="none" w:sz="0" w:space="0" w:color="auto"/>
        <w:left w:val="none" w:sz="0" w:space="0" w:color="auto"/>
        <w:bottom w:val="none" w:sz="0" w:space="0" w:color="auto"/>
        <w:right w:val="none" w:sz="0" w:space="0" w:color="auto"/>
      </w:divBdr>
    </w:div>
    <w:div w:id="208884691">
      <w:bodyDiv w:val="1"/>
      <w:marLeft w:val="0"/>
      <w:marRight w:val="0"/>
      <w:marTop w:val="0"/>
      <w:marBottom w:val="0"/>
      <w:divBdr>
        <w:top w:val="none" w:sz="0" w:space="0" w:color="auto"/>
        <w:left w:val="none" w:sz="0" w:space="0" w:color="auto"/>
        <w:bottom w:val="none" w:sz="0" w:space="0" w:color="auto"/>
        <w:right w:val="none" w:sz="0" w:space="0" w:color="auto"/>
      </w:divBdr>
    </w:div>
    <w:div w:id="215749202">
      <w:bodyDiv w:val="1"/>
      <w:marLeft w:val="0"/>
      <w:marRight w:val="0"/>
      <w:marTop w:val="0"/>
      <w:marBottom w:val="0"/>
      <w:divBdr>
        <w:top w:val="none" w:sz="0" w:space="0" w:color="auto"/>
        <w:left w:val="none" w:sz="0" w:space="0" w:color="auto"/>
        <w:bottom w:val="none" w:sz="0" w:space="0" w:color="auto"/>
        <w:right w:val="none" w:sz="0" w:space="0" w:color="auto"/>
      </w:divBdr>
    </w:div>
    <w:div w:id="276835937">
      <w:bodyDiv w:val="1"/>
      <w:marLeft w:val="0"/>
      <w:marRight w:val="0"/>
      <w:marTop w:val="0"/>
      <w:marBottom w:val="0"/>
      <w:divBdr>
        <w:top w:val="none" w:sz="0" w:space="0" w:color="auto"/>
        <w:left w:val="none" w:sz="0" w:space="0" w:color="auto"/>
        <w:bottom w:val="none" w:sz="0" w:space="0" w:color="auto"/>
        <w:right w:val="none" w:sz="0" w:space="0" w:color="auto"/>
      </w:divBdr>
    </w:div>
    <w:div w:id="297272113">
      <w:bodyDiv w:val="1"/>
      <w:marLeft w:val="0"/>
      <w:marRight w:val="0"/>
      <w:marTop w:val="0"/>
      <w:marBottom w:val="0"/>
      <w:divBdr>
        <w:top w:val="none" w:sz="0" w:space="0" w:color="auto"/>
        <w:left w:val="none" w:sz="0" w:space="0" w:color="auto"/>
        <w:bottom w:val="none" w:sz="0" w:space="0" w:color="auto"/>
        <w:right w:val="none" w:sz="0" w:space="0" w:color="auto"/>
      </w:divBdr>
    </w:div>
    <w:div w:id="317271090">
      <w:bodyDiv w:val="1"/>
      <w:marLeft w:val="0"/>
      <w:marRight w:val="0"/>
      <w:marTop w:val="0"/>
      <w:marBottom w:val="0"/>
      <w:divBdr>
        <w:top w:val="none" w:sz="0" w:space="0" w:color="auto"/>
        <w:left w:val="none" w:sz="0" w:space="0" w:color="auto"/>
        <w:bottom w:val="none" w:sz="0" w:space="0" w:color="auto"/>
        <w:right w:val="none" w:sz="0" w:space="0" w:color="auto"/>
      </w:divBdr>
    </w:div>
    <w:div w:id="348222428">
      <w:bodyDiv w:val="1"/>
      <w:marLeft w:val="0"/>
      <w:marRight w:val="0"/>
      <w:marTop w:val="0"/>
      <w:marBottom w:val="0"/>
      <w:divBdr>
        <w:top w:val="none" w:sz="0" w:space="0" w:color="auto"/>
        <w:left w:val="none" w:sz="0" w:space="0" w:color="auto"/>
        <w:bottom w:val="none" w:sz="0" w:space="0" w:color="auto"/>
        <w:right w:val="none" w:sz="0" w:space="0" w:color="auto"/>
      </w:divBdr>
    </w:div>
    <w:div w:id="348918381">
      <w:bodyDiv w:val="1"/>
      <w:marLeft w:val="0"/>
      <w:marRight w:val="0"/>
      <w:marTop w:val="0"/>
      <w:marBottom w:val="0"/>
      <w:divBdr>
        <w:top w:val="none" w:sz="0" w:space="0" w:color="auto"/>
        <w:left w:val="none" w:sz="0" w:space="0" w:color="auto"/>
        <w:bottom w:val="none" w:sz="0" w:space="0" w:color="auto"/>
        <w:right w:val="none" w:sz="0" w:space="0" w:color="auto"/>
      </w:divBdr>
    </w:div>
    <w:div w:id="378627631">
      <w:bodyDiv w:val="1"/>
      <w:marLeft w:val="0"/>
      <w:marRight w:val="0"/>
      <w:marTop w:val="0"/>
      <w:marBottom w:val="0"/>
      <w:divBdr>
        <w:top w:val="none" w:sz="0" w:space="0" w:color="auto"/>
        <w:left w:val="none" w:sz="0" w:space="0" w:color="auto"/>
        <w:bottom w:val="none" w:sz="0" w:space="0" w:color="auto"/>
        <w:right w:val="none" w:sz="0" w:space="0" w:color="auto"/>
      </w:divBdr>
    </w:div>
    <w:div w:id="384989927">
      <w:bodyDiv w:val="1"/>
      <w:marLeft w:val="0"/>
      <w:marRight w:val="0"/>
      <w:marTop w:val="0"/>
      <w:marBottom w:val="0"/>
      <w:divBdr>
        <w:top w:val="none" w:sz="0" w:space="0" w:color="auto"/>
        <w:left w:val="none" w:sz="0" w:space="0" w:color="auto"/>
        <w:bottom w:val="none" w:sz="0" w:space="0" w:color="auto"/>
        <w:right w:val="none" w:sz="0" w:space="0" w:color="auto"/>
      </w:divBdr>
    </w:div>
    <w:div w:id="420102448">
      <w:bodyDiv w:val="1"/>
      <w:marLeft w:val="0"/>
      <w:marRight w:val="0"/>
      <w:marTop w:val="0"/>
      <w:marBottom w:val="0"/>
      <w:divBdr>
        <w:top w:val="none" w:sz="0" w:space="0" w:color="auto"/>
        <w:left w:val="none" w:sz="0" w:space="0" w:color="auto"/>
        <w:bottom w:val="none" w:sz="0" w:space="0" w:color="auto"/>
        <w:right w:val="none" w:sz="0" w:space="0" w:color="auto"/>
      </w:divBdr>
    </w:div>
    <w:div w:id="423066412">
      <w:bodyDiv w:val="1"/>
      <w:marLeft w:val="0"/>
      <w:marRight w:val="0"/>
      <w:marTop w:val="0"/>
      <w:marBottom w:val="0"/>
      <w:divBdr>
        <w:top w:val="none" w:sz="0" w:space="0" w:color="auto"/>
        <w:left w:val="none" w:sz="0" w:space="0" w:color="auto"/>
        <w:bottom w:val="none" w:sz="0" w:space="0" w:color="auto"/>
        <w:right w:val="none" w:sz="0" w:space="0" w:color="auto"/>
      </w:divBdr>
    </w:div>
    <w:div w:id="451438516">
      <w:bodyDiv w:val="1"/>
      <w:marLeft w:val="0"/>
      <w:marRight w:val="0"/>
      <w:marTop w:val="0"/>
      <w:marBottom w:val="0"/>
      <w:divBdr>
        <w:top w:val="none" w:sz="0" w:space="0" w:color="auto"/>
        <w:left w:val="none" w:sz="0" w:space="0" w:color="auto"/>
        <w:bottom w:val="none" w:sz="0" w:space="0" w:color="auto"/>
        <w:right w:val="none" w:sz="0" w:space="0" w:color="auto"/>
      </w:divBdr>
    </w:div>
    <w:div w:id="461509428">
      <w:bodyDiv w:val="1"/>
      <w:marLeft w:val="0"/>
      <w:marRight w:val="0"/>
      <w:marTop w:val="0"/>
      <w:marBottom w:val="0"/>
      <w:divBdr>
        <w:top w:val="none" w:sz="0" w:space="0" w:color="auto"/>
        <w:left w:val="none" w:sz="0" w:space="0" w:color="auto"/>
        <w:bottom w:val="none" w:sz="0" w:space="0" w:color="auto"/>
        <w:right w:val="none" w:sz="0" w:space="0" w:color="auto"/>
      </w:divBdr>
    </w:div>
    <w:div w:id="466625171">
      <w:bodyDiv w:val="1"/>
      <w:marLeft w:val="0"/>
      <w:marRight w:val="0"/>
      <w:marTop w:val="0"/>
      <w:marBottom w:val="0"/>
      <w:divBdr>
        <w:top w:val="none" w:sz="0" w:space="0" w:color="auto"/>
        <w:left w:val="none" w:sz="0" w:space="0" w:color="auto"/>
        <w:bottom w:val="none" w:sz="0" w:space="0" w:color="auto"/>
        <w:right w:val="none" w:sz="0" w:space="0" w:color="auto"/>
      </w:divBdr>
    </w:div>
    <w:div w:id="487668808">
      <w:bodyDiv w:val="1"/>
      <w:marLeft w:val="0"/>
      <w:marRight w:val="0"/>
      <w:marTop w:val="0"/>
      <w:marBottom w:val="0"/>
      <w:divBdr>
        <w:top w:val="none" w:sz="0" w:space="0" w:color="auto"/>
        <w:left w:val="none" w:sz="0" w:space="0" w:color="auto"/>
        <w:bottom w:val="none" w:sz="0" w:space="0" w:color="auto"/>
        <w:right w:val="none" w:sz="0" w:space="0" w:color="auto"/>
      </w:divBdr>
    </w:div>
    <w:div w:id="508519528">
      <w:bodyDiv w:val="1"/>
      <w:marLeft w:val="0"/>
      <w:marRight w:val="0"/>
      <w:marTop w:val="0"/>
      <w:marBottom w:val="0"/>
      <w:divBdr>
        <w:top w:val="none" w:sz="0" w:space="0" w:color="auto"/>
        <w:left w:val="none" w:sz="0" w:space="0" w:color="auto"/>
        <w:bottom w:val="none" w:sz="0" w:space="0" w:color="auto"/>
        <w:right w:val="none" w:sz="0" w:space="0" w:color="auto"/>
      </w:divBdr>
    </w:div>
    <w:div w:id="568274652">
      <w:bodyDiv w:val="1"/>
      <w:marLeft w:val="0"/>
      <w:marRight w:val="0"/>
      <w:marTop w:val="0"/>
      <w:marBottom w:val="0"/>
      <w:divBdr>
        <w:top w:val="none" w:sz="0" w:space="0" w:color="auto"/>
        <w:left w:val="none" w:sz="0" w:space="0" w:color="auto"/>
        <w:bottom w:val="none" w:sz="0" w:space="0" w:color="auto"/>
        <w:right w:val="none" w:sz="0" w:space="0" w:color="auto"/>
      </w:divBdr>
    </w:div>
    <w:div w:id="575820965">
      <w:bodyDiv w:val="1"/>
      <w:marLeft w:val="0"/>
      <w:marRight w:val="0"/>
      <w:marTop w:val="0"/>
      <w:marBottom w:val="0"/>
      <w:divBdr>
        <w:top w:val="none" w:sz="0" w:space="0" w:color="auto"/>
        <w:left w:val="none" w:sz="0" w:space="0" w:color="auto"/>
        <w:bottom w:val="none" w:sz="0" w:space="0" w:color="auto"/>
        <w:right w:val="none" w:sz="0" w:space="0" w:color="auto"/>
      </w:divBdr>
    </w:div>
    <w:div w:id="595361358">
      <w:bodyDiv w:val="1"/>
      <w:marLeft w:val="0"/>
      <w:marRight w:val="0"/>
      <w:marTop w:val="0"/>
      <w:marBottom w:val="0"/>
      <w:divBdr>
        <w:top w:val="none" w:sz="0" w:space="0" w:color="auto"/>
        <w:left w:val="none" w:sz="0" w:space="0" w:color="auto"/>
        <w:bottom w:val="none" w:sz="0" w:space="0" w:color="auto"/>
        <w:right w:val="none" w:sz="0" w:space="0" w:color="auto"/>
      </w:divBdr>
    </w:div>
    <w:div w:id="620305565">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99431469">
      <w:bodyDiv w:val="1"/>
      <w:marLeft w:val="0"/>
      <w:marRight w:val="0"/>
      <w:marTop w:val="0"/>
      <w:marBottom w:val="0"/>
      <w:divBdr>
        <w:top w:val="none" w:sz="0" w:space="0" w:color="auto"/>
        <w:left w:val="none" w:sz="0" w:space="0" w:color="auto"/>
        <w:bottom w:val="none" w:sz="0" w:space="0" w:color="auto"/>
        <w:right w:val="none" w:sz="0" w:space="0" w:color="auto"/>
      </w:divBdr>
    </w:div>
    <w:div w:id="723286799">
      <w:bodyDiv w:val="1"/>
      <w:marLeft w:val="0"/>
      <w:marRight w:val="0"/>
      <w:marTop w:val="0"/>
      <w:marBottom w:val="0"/>
      <w:divBdr>
        <w:top w:val="none" w:sz="0" w:space="0" w:color="auto"/>
        <w:left w:val="none" w:sz="0" w:space="0" w:color="auto"/>
        <w:bottom w:val="none" w:sz="0" w:space="0" w:color="auto"/>
        <w:right w:val="none" w:sz="0" w:space="0" w:color="auto"/>
      </w:divBdr>
    </w:div>
    <w:div w:id="751967973">
      <w:bodyDiv w:val="1"/>
      <w:marLeft w:val="0"/>
      <w:marRight w:val="0"/>
      <w:marTop w:val="0"/>
      <w:marBottom w:val="0"/>
      <w:divBdr>
        <w:top w:val="none" w:sz="0" w:space="0" w:color="auto"/>
        <w:left w:val="none" w:sz="0" w:space="0" w:color="auto"/>
        <w:bottom w:val="none" w:sz="0" w:space="0" w:color="auto"/>
        <w:right w:val="none" w:sz="0" w:space="0" w:color="auto"/>
      </w:divBdr>
    </w:div>
    <w:div w:id="797914868">
      <w:bodyDiv w:val="1"/>
      <w:marLeft w:val="0"/>
      <w:marRight w:val="0"/>
      <w:marTop w:val="0"/>
      <w:marBottom w:val="0"/>
      <w:divBdr>
        <w:top w:val="none" w:sz="0" w:space="0" w:color="auto"/>
        <w:left w:val="none" w:sz="0" w:space="0" w:color="auto"/>
        <w:bottom w:val="none" w:sz="0" w:space="0" w:color="auto"/>
        <w:right w:val="none" w:sz="0" w:space="0" w:color="auto"/>
      </w:divBdr>
    </w:div>
    <w:div w:id="822236946">
      <w:bodyDiv w:val="1"/>
      <w:marLeft w:val="0"/>
      <w:marRight w:val="0"/>
      <w:marTop w:val="0"/>
      <w:marBottom w:val="0"/>
      <w:divBdr>
        <w:top w:val="none" w:sz="0" w:space="0" w:color="auto"/>
        <w:left w:val="none" w:sz="0" w:space="0" w:color="auto"/>
        <w:bottom w:val="none" w:sz="0" w:space="0" w:color="auto"/>
        <w:right w:val="none" w:sz="0" w:space="0" w:color="auto"/>
      </w:divBdr>
    </w:div>
    <w:div w:id="846672597">
      <w:bodyDiv w:val="1"/>
      <w:marLeft w:val="0"/>
      <w:marRight w:val="0"/>
      <w:marTop w:val="0"/>
      <w:marBottom w:val="0"/>
      <w:divBdr>
        <w:top w:val="none" w:sz="0" w:space="0" w:color="auto"/>
        <w:left w:val="none" w:sz="0" w:space="0" w:color="auto"/>
        <w:bottom w:val="none" w:sz="0" w:space="0" w:color="auto"/>
        <w:right w:val="none" w:sz="0" w:space="0" w:color="auto"/>
      </w:divBdr>
    </w:div>
    <w:div w:id="871839208">
      <w:bodyDiv w:val="1"/>
      <w:marLeft w:val="0"/>
      <w:marRight w:val="0"/>
      <w:marTop w:val="0"/>
      <w:marBottom w:val="0"/>
      <w:divBdr>
        <w:top w:val="none" w:sz="0" w:space="0" w:color="auto"/>
        <w:left w:val="none" w:sz="0" w:space="0" w:color="auto"/>
        <w:bottom w:val="none" w:sz="0" w:space="0" w:color="auto"/>
        <w:right w:val="none" w:sz="0" w:space="0" w:color="auto"/>
      </w:divBdr>
    </w:div>
    <w:div w:id="888759272">
      <w:bodyDiv w:val="1"/>
      <w:marLeft w:val="0"/>
      <w:marRight w:val="0"/>
      <w:marTop w:val="0"/>
      <w:marBottom w:val="0"/>
      <w:divBdr>
        <w:top w:val="none" w:sz="0" w:space="0" w:color="auto"/>
        <w:left w:val="none" w:sz="0" w:space="0" w:color="auto"/>
        <w:bottom w:val="none" w:sz="0" w:space="0" w:color="auto"/>
        <w:right w:val="none" w:sz="0" w:space="0" w:color="auto"/>
      </w:divBdr>
    </w:div>
    <w:div w:id="900793857">
      <w:bodyDiv w:val="1"/>
      <w:marLeft w:val="0"/>
      <w:marRight w:val="0"/>
      <w:marTop w:val="0"/>
      <w:marBottom w:val="0"/>
      <w:divBdr>
        <w:top w:val="none" w:sz="0" w:space="0" w:color="auto"/>
        <w:left w:val="none" w:sz="0" w:space="0" w:color="auto"/>
        <w:bottom w:val="none" w:sz="0" w:space="0" w:color="auto"/>
        <w:right w:val="none" w:sz="0" w:space="0" w:color="auto"/>
      </w:divBdr>
    </w:div>
    <w:div w:id="906379250">
      <w:bodyDiv w:val="1"/>
      <w:marLeft w:val="0"/>
      <w:marRight w:val="0"/>
      <w:marTop w:val="0"/>
      <w:marBottom w:val="0"/>
      <w:divBdr>
        <w:top w:val="none" w:sz="0" w:space="0" w:color="auto"/>
        <w:left w:val="none" w:sz="0" w:space="0" w:color="auto"/>
        <w:bottom w:val="none" w:sz="0" w:space="0" w:color="auto"/>
        <w:right w:val="none" w:sz="0" w:space="0" w:color="auto"/>
      </w:divBdr>
    </w:div>
    <w:div w:id="917984622">
      <w:bodyDiv w:val="1"/>
      <w:marLeft w:val="0"/>
      <w:marRight w:val="0"/>
      <w:marTop w:val="0"/>
      <w:marBottom w:val="0"/>
      <w:divBdr>
        <w:top w:val="none" w:sz="0" w:space="0" w:color="auto"/>
        <w:left w:val="none" w:sz="0" w:space="0" w:color="auto"/>
        <w:bottom w:val="none" w:sz="0" w:space="0" w:color="auto"/>
        <w:right w:val="none" w:sz="0" w:space="0" w:color="auto"/>
      </w:divBdr>
    </w:div>
    <w:div w:id="934479775">
      <w:bodyDiv w:val="1"/>
      <w:marLeft w:val="0"/>
      <w:marRight w:val="0"/>
      <w:marTop w:val="0"/>
      <w:marBottom w:val="0"/>
      <w:divBdr>
        <w:top w:val="none" w:sz="0" w:space="0" w:color="auto"/>
        <w:left w:val="none" w:sz="0" w:space="0" w:color="auto"/>
        <w:bottom w:val="none" w:sz="0" w:space="0" w:color="auto"/>
        <w:right w:val="none" w:sz="0" w:space="0" w:color="auto"/>
      </w:divBdr>
    </w:div>
    <w:div w:id="985203989">
      <w:bodyDiv w:val="1"/>
      <w:marLeft w:val="0"/>
      <w:marRight w:val="0"/>
      <w:marTop w:val="0"/>
      <w:marBottom w:val="0"/>
      <w:divBdr>
        <w:top w:val="none" w:sz="0" w:space="0" w:color="auto"/>
        <w:left w:val="none" w:sz="0" w:space="0" w:color="auto"/>
        <w:bottom w:val="none" w:sz="0" w:space="0" w:color="auto"/>
        <w:right w:val="none" w:sz="0" w:space="0" w:color="auto"/>
      </w:divBdr>
    </w:div>
    <w:div w:id="1038434782">
      <w:bodyDiv w:val="1"/>
      <w:marLeft w:val="0"/>
      <w:marRight w:val="0"/>
      <w:marTop w:val="0"/>
      <w:marBottom w:val="0"/>
      <w:divBdr>
        <w:top w:val="none" w:sz="0" w:space="0" w:color="auto"/>
        <w:left w:val="none" w:sz="0" w:space="0" w:color="auto"/>
        <w:bottom w:val="none" w:sz="0" w:space="0" w:color="auto"/>
        <w:right w:val="none" w:sz="0" w:space="0" w:color="auto"/>
      </w:divBdr>
    </w:div>
    <w:div w:id="1067536203">
      <w:bodyDiv w:val="1"/>
      <w:marLeft w:val="0"/>
      <w:marRight w:val="0"/>
      <w:marTop w:val="0"/>
      <w:marBottom w:val="0"/>
      <w:divBdr>
        <w:top w:val="none" w:sz="0" w:space="0" w:color="auto"/>
        <w:left w:val="none" w:sz="0" w:space="0" w:color="auto"/>
        <w:bottom w:val="none" w:sz="0" w:space="0" w:color="auto"/>
        <w:right w:val="none" w:sz="0" w:space="0" w:color="auto"/>
      </w:divBdr>
    </w:div>
    <w:div w:id="1081491049">
      <w:bodyDiv w:val="1"/>
      <w:marLeft w:val="0"/>
      <w:marRight w:val="0"/>
      <w:marTop w:val="0"/>
      <w:marBottom w:val="0"/>
      <w:divBdr>
        <w:top w:val="none" w:sz="0" w:space="0" w:color="auto"/>
        <w:left w:val="none" w:sz="0" w:space="0" w:color="auto"/>
        <w:bottom w:val="none" w:sz="0" w:space="0" w:color="auto"/>
        <w:right w:val="none" w:sz="0" w:space="0" w:color="auto"/>
      </w:divBdr>
    </w:div>
    <w:div w:id="1083602941">
      <w:bodyDiv w:val="1"/>
      <w:marLeft w:val="0"/>
      <w:marRight w:val="0"/>
      <w:marTop w:val="0"/>
      <w:marBottom w:val="0"/>
      <w:divBdr>
        <w:top w:val="none" w:sz="0" w:space="0" w:color="auto"/>
        <w:left w:val="none" w:sz="0" w:space="0" w:color="auto"/>
        <w:bottom w:val="none" w:sz="0" w:space="0" w:color="auto"/>
        <w:right w:val="none" w:sz="0" w:space="0" w:color="auto"/>
      </w:divBdr>
    </w:div>
    <w:div w:id="1088574530">
      <w:bodyDiv w:val="1"/>
      <w:marLeft w:val="0"/>
      <w:marRight w:val="0"/>
      <w:marTop w:val="0"/>
      <w:marBottom w:val="0"/>
      <w:divBdr>
        <w:top w:val="none" w:sz="0" w:space="0" w:color="auto"/>
        <w:left w:val="none" w:sz="0" w:space="0" w:color="auto"/>
        <w:bottom w:val="none" w:sz="0" w:space="0" w:color="auto"/>
        <w:right w:val="none" w:sz="0" w:space="0" w:color="auto"/>
      </w:divBdr>
    </w:div>
    <w:div w:id="1144007295">
      <w:bodyDiv w:val="1"/>
      <w:marLeft w:val="0"/>
      <w:marRight w:val="0"/>
      <w:marTop w:val="0"/>
      <w:marBottom w:val="0"/>
      <w:divBdr>
        <w:top w:val="none" w:sz="0" w:space="0" w:color="auto"/>
        <w:left w:val="none" w:sz="0" w:space="0" w:color="auto"/>
        <w:bottom w:val="none" w:sz="0" w:space="0" w:color="auto"/>
        <w:right w:val="none" w:sz="0" w:space="0" w:color="auto"/>
      </w:divBdr>
    </w:div>
    <w:div w:id="1154297397">
      <w:bodyDiv w:val="1"/>
      <w:marLeft w:val="0"/>
      <w:marRight w:val="0"/>
      <w:marTop w:val="0"/>
      <w:marBottom w:val="0"/>
      <w:divBdr>
        <w:top w:val="none" w:sz="0" w:space="0" w:color="auto"/>
        <w:left w:val="none" w:sz="0" w:space="0" w:color="auto"/>
        <w:bottom w:val="none" w:sz="0" w:space="0" w:color="auto"/>
        <w:right w:val="none" w:sz="0" w:space="0" w:color="auto"/>
      </w:divBdr>
    </w:div>
    <w:div w:id="1171605950">
      <w:bodyDiv w:val="1"/>
      <w:marLeft w:val="0"/>
      <w:marRight w:val="0"/>
      <w:marTop w:val="0"/>
      <w:marBottom w:val="0"/>
      <w:divBdr>
        <w:top w:val="none" w:sz="0" w:space="0" w:color="auto"/>
        <w:left w:val="none" w:sz="0" w:space="0" w:color="auto"/>
        <w:bottom w:val="none" w:sz="0" w:space="0" w:color="auto"/>
        <w:right w:val="none" w:sz="0" w:space="0" w:color="auto"/>
      </w:divBdr>
    </w:div>
    <w:div w:id="1177424459">
      <w:bodyDiv w:val="1"/>
      <w:marLeft w:val="0"/>
      <w:marRight w:val="0"/>
      <w:marTop w:val="0"/>
      <w:marBottom w:val="0"/>
      <w:divBdr>
        <w:top w:val="none" w:sz="0" w:space="0" w:color="auto"/>
        <w:left w:val="none" w:sz="0" w:space="0" w:color="auto"/>
        <w:bottom w:val="none" w:sz="0" w:space="0" w:color="auto"/>
        <w:right w:val="none" w:sz="0" w:space="0" w:color="auto"/>
      </w:divBdr>
    </w:div>
    <w:div w:id="1182664939">
      <w:bodyDiv w:val="1"/>
      <w:marLeft w:val="0"/>
      <w:marRight w:val="0"/>
      <w:marTop w:val="0"/>
      <w:marBottom w:val="0"/>
      <w:divBdr>
        <w:top w:val="none" w:sz="0" w:space="0" w:color="auto"/>
        <w:left w:val="none" w:sz="0" w:space="0" w:color="auto"/>
        <w:bottom w:val="none" w:sz="0" w:space="0" w:color="auto"/>
        <w:right w:val="none" w:sz="0" w:space="0" w:color="auto"/>
      </w:divBdr>
    </w:div>
    <w:div w:id="1206256872">
      <w:bodyDiv w:val="1"/>
      <w:marLeft w:val="0"/>
      <w:marRight w:val="0"/>
      <w:marTop w:val="0"/>
      <w:marBottom w:val="0"/>
      <w:divBdr>
        <w:top w:val="none" w:sz="0" w:space="0" w:color="auto"/>
        <w:left w:val="none" w:sz="0" w:space="0" w:color="auto"/>
        <w:bottom w:val="none" w:sz="0" w:space="0" w:color="auto"/>
        <w:right w:val="none" w:sz="0" w:space="0" w:color="auto"/>
      </w:divBdr>
    </w:div>
    <w:div w:id="1266303922">
      <w:bodyDiv w:val="1"/>
      <w:marLeft w:val="0"/>
      <w:marRight w:val="0"/>
      <w:marTop w:val="0"/>
      <w:marBottom w:val="0"/>
      <w:divBdr>
        <w:top w:val="none" w:sz="0" w:space="0" w:color="auto"/>
        <w:left w:val="none" w:sz="0" w:space="0" w:color="auto"/>
        <w:bottom w:val="none" w:sz="0" w:space="0" w:color="auto"/>
        <w:right w:val="none" w:sz="0" w:space="0" w:color="auto"/>
      </w:divBdr>
    </w:div>
    <w:div w:id="1278442161">
      <w:bodyDiv w:val="1"/>
      <w:marLeft w:val="0"/>
      <w:marRight w:val="0"/>
      <w:marTop w:val="0"/>
      <w:marBottom w:val="0"/>
      <w:divBdr>
        <w:top w:val="none" w:sz="0" w:space="0" w:color="auto"/>
        <w:left w:val="none" w:sz="0" w:space="0" w:color="auto"/>
        <w:bottom w:val="none" w:sz="0" w:space="0" w:color="auto"/>
        <w:right w:val="none" w:sz="0" w:space="0" w:color="auto"/>
      </w:divBdr>
    </w:div>
    <w:div w:id="1292250464">
      <w:bodyDiv w:val="1"/>
      <w:marLeft w:val="0"/>
      <w:marRight w:val="0"/>
      <w:marTop w:val="0"/>
      <w:marBottom w:val="0"/>
      <w:divBdr>
        <w:top w:val="none" w:sz="0" w:space="0" w:color="auto"/>
        <w:left w:val="none" w:sz="0" w:space="0" w:color="auto"/>
        <w:bottom w:val="none" w:sz="0" w:space="0" w:color="auto"/>
        <w:right w:val="none" w:sz="0" w:space="0" w:color="auto"/>
      </w:divBdr>
    </w:div>
    <w:div w:id="1359576582">
      <w:bodyDiv w:val="1"/>
      <w:marLeft w:val="0"/>
      <w:marRight w:val="0"/>
      <w:marTop w:val="0"/>
      <w:marBottom w:val="0"/>
      <w:divBdr>
        <w:top w:val="none" w:sz="0" w:space="0" w:color="auto"/>
        <w:left w:val="none" w:sz="0" w:space="0" w:color="auto"/>
        <w:bottom w:val="none" w:sz="0" w:space="0" w:color="auto"/>
        <w:right w:val="none" w:sz="0" w:space="0" w:color="auto"/>
      </w:divBdr>
    </w:div>
    <w:div w:id="1363019765">
      <w:bodyDiv w:val="1"/>
      <w:marLeft w:val="0"/>
      <w:marRight w:val="0"/>
      <w:marTop w:val="0"/>
      <w:marBottom w:val="0"/>
      <w:divBdr>
        <w:top w:val="none" w:sz="0" w:space="0" w:color="auto"/>
        <w:left w:val="none" w:sz="0" w:space="0" w:color="auto"/>
        <w:bottom w:val="none" w:sz="0" w:space="0" w:color="auto"/>
        <w:right w:val="none" w:sz="0" w:space="0" w:color="auto"/>
      </w:divBdr>
    </w:div>
    <w:div w:id="1413507750">
      <w:bodyDiv w:val="1"/>
      <w:marLeft w:val="0"/>
      <w:marRight w:val="0"/>
      <w:marTop w:val="0"/>
      <w:marBottom w:val="0"/>
      <w:divBdr>
        <w:top w:val="none" w:sz="0" w:space="0" w:color="auto"/>
        <w:left w:val="none" w:sz="0" w:space="0" w:color="auto"/>
        <w:bottom w:val="none" w:sz="0" w:space="0" w:color="auto"/>
        <w:right w:val="none" w:sz="0" w:space="0" w:color="auto"/>
      </w:divBdr>
    </w:div>
    <w:div w:id="1474564102">
      <w:bodyDiv w:val="1"/>
      <w:marLeft w:val="0"/>
      <w:marRight w:val="0"/>
      <w:marTop w:val="0"/>
      <w:marBottom w:val="0"/>
      <w:divBdr>
        <w:top w:val="none" w:sz="0" w:space="0" w:color="auto"/>
        <w:left w:val="none" w:sz="0" w:space="0" w:color="auto"/>
        <w:bottom w:val="none" w:sz="0" w:space="0" w:color="auto"/>
        <w:right w:val="none" w:sz="0" w:space="0" w:color="auto"/>
      </w:divBdr>
    </w:div>
    <w:div w:id="1474906794">
      <w:bodyDiv w:val="1"/>
      <w:marLeft w:val="0"/>
      <w:marRight w:val="0"/>
      <w:marTop w:val="0"/>
      <w:marBottom w:val="0"/>
      <w:divBdr>
        <w:top w:val="none" w:sz="0" w:space="0" w:color="auto"/>
        <w:left w:val="none" w:sz="0" w:space="0" w:color="auto"/>
        <w:bottom w:val="none" w:sz="0" w:space="0" w:color="auto"/>
        <w:right w:val="none" w:sz="0" w:space="0" w:color="auto"/>
      </w:divBdr>
    </w:div>
    <w:div w:id="1482965271">
      <w:bodyDiv w:val="1"/>
      <w:marLeft w:val="0"/>
      <w:marRight w:val="0"/>
      <w:marTop w:val="0"/>
      <w:marBottom w:val="0"/>
      <w:divBdr>
        <w:top w:val="none" w:sz="0" w:space="0" w:color="auto"/>
        <w:left w:val="none" w:sz="0" w:space="0" w:color="auto"/>
        <w:bottom w:val="none" w:sz="0" w:space="0" w:color="auto"/>
        <w:right w:val="none" w:sz="0" w:space="0" w:color="auto"/>
      </w:divBdr>
    </w:div>
    <w:div w:id="1493523655">
      <w:bodyDiv w:val="1"/>
      <w:marLeft w:val="0"/>
      <w:marRight w:val="0"/>
      <w:marTop w:val="0"/>
      <w:marBottom w:val="0"/>
      <w:divBdr>
        <w:top w:val="none" w:sz="0" w:space="0" w:color="auto"/>
        <w:left w:val="none" w:sz="0" w:space="0" w:color="auto"/>
        <w:bottom w:val="none" w:sz="0" w:space="0" w:color="auto"/>
        <w:right w:val="none" w:sz="0" w:space="0" w:color="auto"/>
      </w:divBdr>
    </w:div>
    <w:div w:id="1551764904">
      <w:bodyDiv w:val="1"/>
      <w:marLeft w:val="0"/>
      <w:marRight w:val="0"/>
      <w:marTop w:val="0"/>
      <w:marBottom w:val="0"/>
      <w:divBdr>
        <w:top w:val="none" w:sz="0" w:space="0" w:color="auto"/>
        <w:left w:val="none" w:sz="0" w:space="0" w:color="auto"/>
        <w:bottom w:val="none" w:sz="0" w:space="0" w:color="auto"/>
        <w:right w:val="none" w:sz="0" w:space="0" w:color="auto"/>
      </w:divBdr>
    </w:div>
    <w:div w:id="1567837968">
      <w:bodyDiv w:val="1"/>
      <w:marLeft w:val="0"/>
      <w:marRight w:val="0"/>
      <w:marTop w:val="0"/>
      <w:marBottom w:val="0"/>
      <w:divBdr>
        <w:top w:val="none" w:sz="0" w:space="0" w:color="auto"/>
        <w:left w:val="none" w:sz="0" w:space="0" w:color="auto"/>
        <w:bottom w:val="none" w:sz="0" w:space="0" w:color="auto"/>
        <w:right w:val="none" w:sz="0" w:space="0" w:color="auto"/>
      </w:divBdr>
    </w:div>
    <w:div w:id="1572155974">
      <w:bodyDiv w:val="1"/>
      <w:marLeft w:val="0"/>
      <w:marRight w:val="0"/>
      <w:marTop w:val="0"/>
      <w:marBottom w:val="0"/>
      <w:divBdr>
        <w:top w:val="none" w:sz="0" w:space="0" w:color="auto"/>
        <w:left w:val="none" w:sz="0" w:space="0" w:color="auto"/>
        <w:bottom w:val="none" w:sz="0" w:space="0" w:color="auto"/>
        <w:right w:val="none" w:sz="0" w:space="0" w:color="auto"/>
      </w:divBdr>
    </w:div>
    <w:div w:id="1586382126">
      <w:bodyDiv w:val="1"/>
      <w:marLeft w:val="0"/>
      <w:marRight w:val="0"/>
      <w:marTop w:val="0"/>
      <w:marBottom w:val="0"/>
      <w:divBdr>
        <w:top w:val="none" w:sz="0" w:space="0" w:color="auto"/>
        <w:left w:val="none" w:sz="0" w:space="0" w:color="auto"/>
        <w:bottom w:val="none" w:sz="0" w:space="0" w:color="auto"/>
        <w:right w:val="none" w:sz="0" w:space="0" w:color="auto"/>
      </w:divBdr>
    </w:div>
    <w:div w:id="1588611938">
      <w:bodyDiv w:val="1"/>
      <w:marLeft w:val="0"/>
      <w:marRight w:val="0"/>
      <w:marTop w:val="0"/>
      <w:marBottom w:val="0"/>
      <w:divBdr>
        <w:top w:val="none" w:sz="0" w:space="0" w:color="auto"/>
        <w:left w:val="none" w:sz="0" w:space="0" w:color="auto"/>
        <w:bottom w:val="none" w:sz="0" w:space="0" w:color="auto"/>
        <w:right w:val="none" w:sz="0" w:space="0" w:color="auto"/>
      </w:divBdr>
    </w:div>
    <w:div w:id="1596285599">
      <w:bodyDiv w:val="1"/>
      <w:marLeft w:val="0"/>
      <w:marRight w:val="0"/>
      <w:marTop w:val="0"/>
      <w:marBottom w:val="0"/>
      <w:divBdr>
        <w:top w:val="none" w:sz="0" w:space="0" w:color="auto"/>
        <w:left w:val="none" w:sz="0" w:space="0" w:color="auto"/>
        <w:bottom w:val="none" w:sz="0" w:space="0" w:color="auto"/>
        <w:right w:val="none" w:sz="0" w:space="0" w:color="auto"/>
      </w:divBdr>
    </w:div>
    <w:div w:id="1599751367">
      <w:bodyDiv w:val="1"/>
      <w:marLeft w:val="0"/>
      <w:marRight w:val="0"/>
      <w:marTop w:val="0"/>
      <w:marBottom w:val="0"/>
      <w:divBdr>
        <w:top w:val="none" w:sz="0" w:space="0" w:color="auto"/>
        <w:left w:val="none" w:sz="0" w:space="0" w:color="auto"/>
        <w:bottom w:val="none" w:sz="0" w:space="0" w:color="auto"/>
        <w:right w:val="none" w:sz="0" w:space="0" w:color="auto"/>
      </w:divBdr>
    </w:div>
    <w:div w:id="1622492863">
      <w:bodyDiv w:val="1"/>
      <w:marLeft w:val="0"/>
      <w:marRight w:val="0"/>
      <w:marTop w:val="0"/>
      <w:marBottom w:val="0"/>
      <w:divBdr>
        <w:top w:val="none" w:sz="0" w:space="0" w:color="auto"/>
        <w:left w:val="none" w:sz="0" w:space="0" w:color="auto"/>
        <w:bottom w:val="none" w:sz="0" w:space="0" w:color="auto"/>
        <w:right w:val="none" w:sz="0" w:space="0" w:color="auto"/>
      </w:divBdr>
    </w:div>
    <w:div w:id="1627662949">
      <w:bodyDiv w:val="1"/>
      <w:marLeft w:val="0"/>
      <w:marRight w:val="0"/>
      <w:marTop w:val="0"/>
      <w:marBottom w:val="0"/>
      <w:divBdr>
        <w:top w:val="none" w:sz="0" w:space="0" w:color="auto"/>
        <w:left w:val="none" w:sz="0" w:space="0" w:color="auto"/>
        <w:bottom w:val="none" w:sz="0" w:space="0" w:color="auto"/>
        <w:right w:val="none" w:sz="0" w:space="0" w:color="auto"/>
      </w:divBdr>
    </w:div>
    <w:div w:id="1636062867">
      <w:bodyDiv w:val="1"/>
      <w:marLeft w:val="0"/>
      <w:marRight w:val="0"/>
      <w:marTop w:val="0"/>
      <w:marBottom w:val="0"/>
      <w:divBdr>
        <w:top w:val="none" w:sz="0" w:space="0" w:color="auto"/>
        <w:left w:val="none" w:sz="0" w:space="0" w:color="auto"/>
        <w:bottom w:val="none" w:sz="0" w:space="0" w:color="auto"/>
        <w:right w:val="none" w:sz="0" w:space="0" w:color="auto"/>
      </w:divBdr>
    </w:div>
    <w:div w:id="1652103023">
      <w:bodyDiv w:val="1"/>
      <w:marLeft w:val="0"/>
      <w:marRight w:val="0"/>
      <w:marTop w:val="0"/>
      <w:marBottom w:val="0"/>
      <w:divBdr>
        <w:top w:val="none" w:sz="0" w:space="0" w:color="auto"/>
        <w:left w:val="none" w:sz="0" w:space="0" w:color="auto"/>
        <w:bottom w:val="none" w:sz="0" w:space="0" w:color="auto"/>
        <w:right w:val="none" w:sz="0" w:space="0" w:color="auto"/>
      </w:divBdr>
    </w:div>
    <w:div w:id="1676037507">
      <w:bodyDiv w:val="1"/>
      <w:marLeft w:val="0"/>
      <w:marRight w:val="0"/>
      <w:marTop w:val="0"/>
      <w:marBottom w:val="0"/>
      <w:divBdr>
        <w:top w:val="none" w:sz="0" w:space="0" w:color="auto"/>
        <w:left w:val="none" w:sz="0" w:space="0" w:color="auto"/>
        <w:bottom w:val="none" w:sz="0" w:space="0" w:color="auto"/>
        <w:right w:val="none" w:sz="0" w:space="0" w:color="auto"/>
      </w:divBdr>
    </w:div>
    <w:div w:id="1713580580">
      <w:bodyDiv w:val="1"/>
      <w:marLeft w:val="0"/>
      <w:marRight w:val="0"/>
      <w:marTop w:val="0"/>
      <w:marBottom w:val="0"/>
      <w:divBdr>
        <w:top w:val="none" w:sz="0" w:space="0" w:color="auto"/>
        <w:left w:val="none" w:sz="0" w:space="0" w:color="auto"/>
        <w:bottom w:val="none" w:sz="0" w:space="0" w:color="auto"/>
        <w:right w:val="none" w:sz="0" w:space="0" w:color="auto"/>
      </w:divBdr>
    </w:div>
    <w:div w:id="1721053078">
      <w:bodyDiv w:val="1"/>
      <w:marLeft w:val="0"/>
      <w:marRight w:val="0"/>
      <w:marTop w:val="0"/>
      <w:marBottom w:val="0"/>
      <w:divBdr>
        <w:top w:val="none" w:sz="0" w:space="0" w:color="auto"/>
        <w:left w:val="none" w:sz="0" w:space="0" w:color="auto"/>
        <w:bottom w:val="none" w:sz="0" w:space="0" w:color="auto"/>
        <w:right w:val="none" w:sz="0" w:space="0" w:color="auto"/>
      </w:divBdr>
    </w:div>
    <w:div w:id="1726297827">
      <w:bodyDiv w:val="1"/>
      <w:marLeft w:val="0"/>
      <w:marRight w:val="0"/>
      <w:marTop w:val="0"/>
      <w:marBottom w:val="0"/>
      <w:divBdr>
        <w:top w:val="none" w:sz="0" w:space="0" w:color="auto"/>
        <w:left w:val="none" w:sz="0" w:space="0" w:color="auto"/>
        <w:bottom w:val="none" w:sz="0" w:space="0" w:color="auto"/>
        <w:right w:val="none" w:sz="0" w:space="0" w:color="auto"/>
      </w:divBdr>
    </w:div>
    <w:div w:id="1807966618">
      <w:bodyDiv w:val="1"/>
      <w:marLeft w:val="0"/>
      <w:marRight w:val="0"/>
      <w:marTop w:val="0"/>
      <w:marBottom w:val="0"/>
      <w:divBdr>
        <w:top w:val="none" w:sz="0" w:space="0" w:color="auto"/>
        <w:left w:val="none" w:sz="0" w:space="0" w:color="auto"/>
        <w:bottom w:val="none" w:sz="0" w:space="0" w:color="auto"/>
        <w:right w:val="none" w:sz="0" w:space="0" w:color="auto"/>
      </w:divBdr>
    </w:div>
    <w:div w:id="1855610603">
      <w:bodyDiv w:val="1"/>
      <w:marLeft w:val="0"/>
      <w:marRight w:val="0"/>
      <w:marTop w:val="0"/>
      <w:marBottom w:val="0"/>
      <w:divBdr>
        <w:top w:val="none" w:sz="0" w:space="0" w:color="auto"/>
        <w:left w:val="none" w:sz="0" w:space="0" w:color="auto"/>
        <w:bottom w:val="none" w:sz="0" w:space="0" w:color="auto"/>
        <w:right w:val="none" w:sz="0" w:space="0" w:color="auto"/>
      </w:divBdr>
    </w:div>
    <w:div w:id="1856457776">
      <w:bodyDiv w:val="1"/>
      <w:marLeft w:val="0"/>
      <w:marRight w:val="0"/>
      <w:marTop w:val="0"/>
      <w:marBottom w:val="0"/>
      <w:divBdr>
        <w:top w:val="none" w:sz="0" w:space="0" w:color="auto"/>
        <w:left w:val="none" w:sz="0" w:space="0" w:color="auto"/>
        <w:bottom w:val="none" w:sz="0" w:space="0" w:color="auto"/>
        <w:right w:val="none" w:sz="0" w:space="0" w:color="auto"/>
      </w:divBdr>
    </w:div>
    <w:div w:id="1864975400">
      <w:bodyDiv w:val="1"/>
      <w:marLeft w:val="0"/>
      <w:marRight w:val="0"/>
      <w:marTop w:val="0"/>
      <w:marBottom w:val="0"/>
      <w:divBdr>
        <w:top w:val="none" w:sz="0" w:space="0" w:color="auto"/>
        <w:left w:val="none" w:sz="0" w:space="0" w:color="auto"/>
        <w:bottom w:val="none" w:sz="0" w:space="0" w:color="auto"/>
        <w:right w:val="none" w:sz="0" w:space="0" w:color="auto"/>
      </w:divBdr>
    </w:div>
    <w:div w:id="1877816126">
      <w:bodyDiv w:val="1"/>
      <w:marLeft w:val="0"/>
      <w:marRight w:val="0"/>
      <w:marTop w:val="0"/>
      <w:marBottom w:val="0"/>
      <w:divBdr>
        <w:top w:val="none" w:sz="0" w:space="0" w:color="auto"/>
        <w:left w:val="none" w:sz="0" w:space="0" w:color="auto"/>
        <w:bottom w:val="none" w:sz="0" w:space="0" w:color="auto"/>
        <w:right w:val="none" w:sz="0" w:space="0" w:color="auto"/>
      </w:divBdr>
    </w:div>
    <w:div w:id="1900020393">
      <w:bodyDiv w:val="1"/>
      <w:marLeft w:val="0"/>
      <w:marRight w:val="0"/>
      <w:marTop w:val="0"/>
      <w:marBottom w:val="0"/>
      <w:divBdr>
        <w:top w:val="none" w:sz="0" w:space="0" w:color="auto"/>
        <w:left w:val="none" w:sz="0" w:space="0" w:color="auto"/>
        <w:bottom w:val="none" w:sz="0" w:space="0" w:color="auto"/>
        <w:right w:val="none" w:sz="0" w:space="0" w:color="auto"/>
      </w:divBdr>
    </w:div>
    <w:div w:id="1917981074">
      <w:bodyDiv w:val="1"/>
      <w:marLeft w:val="0"/>
      <w:marRight w:val="0"/>
      <w:marTop w:val="0"/>
      <w:marBottom w:val="0"/>
      <w:divBdr>
        <w:top w:val="none" w:sz="0" w:space="0" w:color="auto"/>
        <w:left w:val="none" w:sz="0" w:space="0" w:color="auto"/>
        <w:bottom w:val="none" w:sz="0" w:space="0" w:color="auto"/>
        <w:right w:val="none" w:sz="0" w:space="0" w:color="auto"/>
      </w:divBdr>
    </w:div>
    <w:div w:id="1972787580">
      <w:bodyDiv w:val="1"/>
      <w:marLeft w:val="0"/>
      <w:marRight w:val="0"/>
      <w:marTop w:val="0"/>
      <w:marBottom w:val="0"/>
      <w:divBdr>
        <w:top w:val="none" w:sz="0" w:space="0" w:color="auto"/>
        <w:left w:val="none" w:sz="0" w:space="0" w:color="auto"/>
        <w:bottom w:val="none" w:sz="0" w:space="0" w:color="auto"/>
        <w:right w:val="none" w:sz="0" w:space="0" w:color="auto"/>
      </w:divBdr>
    </w:div>
    <w:div w:id="2043239655">
      <w:bodyDiv w:val="1"/>
      <w:marLeft w:val="0"/>
      <w:marRight w:val="0"/>
      <w:marTop w:val="0"/>
      <w:marBottom w:val="0"/>
      <w:divBdr>
        <w:top w:val="none" w:sz="0" w:space="0" w:color="auto"/>
        <w:left w:val="none" w:sz="0" w:space="0" w:color="auto"/>
        <w:bottom w:val="none" w:sz="0" w:space="0" w:color="auto"/>
        <w:right w:val="none" w:sz="0" w:space="0" w:color="auto"/>
      </w:divBdr>
    </w:div>
    <w:div w:id="2052268464">
      <w:bodyDiv w:val="1"/>
      <w:marLeft w:val="0"/>
      <w:marRight w:val="0"/>
      <w:marTop w:val="0"/>
      <w:marBottom w:val="0"/>
      <w:divBdr>
        <w:top w:val="none" w:sz="0" w:space="0" w:color="auto"/>
        <w:left w:val="none" w:sz="0" w:space="0" w:color="auto"/>
        <w:bottom w:val="none" w:sz="0" w:space="0" w:color="auto"/>
        <w:right w:val="none" w:sz="0" w:space="0" w:color="auto"/>
      </w:divBdr>
    </w:div>
    <w:div w:id="2110158185">
      <w:bodyDiv w:val="1"/>
      <w:marLeft w:val="0"/>
      <w:marRight w:val="0"/>
      <w:marTop w:val="0"/>
      <w:marBottom w:val="0"/>
      <w:divBdr>
        <w:top w:val="none" w:sz="0" w:space="0" w:color="auto"/>
        <w:left w:val="none" w:sz="0" w:space="0" w:color="auto"/>
        <w:bottom w:val="none" w:sz="0" w:space="0" w:color="auto"/>
        <w:right w:val="none" w:sz="0" w:space="0" w:color="auto"/>
      </w:divBdr>
    </w:div>
    <w:div w:id="2114856404">
      <w:bodyDiv w:val="1"/>
      <w:marLeft w:val="0"/>
      <w:marRight w:val="0"/>
      <w:marTop w:val="0"/>
      <w:marBottom w:val="0"/>
      <w:divBdr>
        <w:top w:val="none" w:sz="0" w:space="0" w:color="auto"/>
        <w:left w:val="none" w:sz="0" w:space="0" w:color="auto"/>
        <w:bottom w:val="none" w:sz="0" w:space="0" w:color="auto"/>
        <w:right w:val="none" w:sz="0" w:space="0" w:color="auto"/>
      </w:divBdr>
    </w:div>
    <w:div w:id="2136018816">
      <w:bodyDiv w:val="1"/>
      <w:marLeft w:val="0"/>
      <w:marRight w:val="0"/>
      <w:marTop w:val="0"/>
      <w:marBottom w:val="0"/>
      <w:divBdr>
        <w:top w:val="none" w:sz="0" w:space="0" w:color="auto"/>
        <w:left w:val="none" w:sz="0" w:space="0" w:color="auto"/>
        <w:bottom w:val="none" w:sz="0" w:space="0" w:color="auto"/>
        <w:right w:val="none" w:sz="0" w:space="0" w:color="auto"/>
      </w:divBdr>
    </w:div>
    <w:div w:id="21384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hyperlink" Target="http://www.canlii.org/en/ab/abqb/doc/2014/2014abqb218/2014abqb218.html?searchUrlHash=AAAAAQANMjAxNCBBQlFCIDIxOAAAAAAB&amp;resultIndex=1" TargetMode="External"/><Relationship Id="rId47" Type="http://schemas.openxmlformats.org/officeDocument/2006/relationships/hyperlink" Target="http://canlii.ca/t/g8r24" TargetMode="External"/><Relationship Id="rId63" Type="http://schemas.openxmlformats.org/officeDocument/2006/relationships/header" Target="header12.xml"/><Relationship Id="rId68" Type="http://schemas.openxmlformats.org/officeDocument/2006/relationships/header" Target="header14.xml"/><Relationship Id="rId84" Type="http://schemas.openxmlformats.org/officeDocument/2006/relationships/header" Target="header22.xml"/><Relationship Id="rId89" Type="http://schemas.openxmlformats.org/officeDocument/2006/relationships/header" Target="header23.xm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0.xml"/><Relationship Id="rId107" Type="http://schemas.openxmlformats.org/officeDocument/2006/relationships/footer" Target="footer3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www.canlii.org/fr/qc/qcca/doc/2014/2014qcca1176/2014qcca1176.html" TargetMode="External"/><Relationship Id="rId37" Type="http://schemas.openxmlformats.org/officeDocument/2006/relationships/hyperlink" Target="http://www.canlii.org/fr/qc/qcca/doc/2015/2015qcca397/2015qcca397.html?resultIndex=1" TargetMode="External"/><Relationship Id="rId40" Type="http://schemas.openxmlformats.org/officeDocument/2006/relationships/hyperlink" Target="http://www.canlii.org/en/ab/abqb/doc/2014/2014abqb218/2014abqb218.html?searchUrlHash=AAAAAQANMjAxNCBBQlFCIDIxOAAAAAAB&amp;resultIndex=1" TargetMode="External"/><Relationship Id="rId45" Type="http://schemas.openxmlformats.org/officeDocument/2006/relationships/hyperlink" Target="http://www.canlii.org/fr/qc/qcca/doc/2015/2015qcca" TargetMode="External"/><Relationship Id="rId53" Type="http://schemas.openxmlformats.org/officeDocument/2006/relationships/hyperlink" Target="http://canlii.ca/t/gjfw6" TargetMode="External"/><Relationship Id="rId58" Type="http://schemas.openxmlformats.org/officeDocument/2006/relationships/hyperlink" Target="http://canlii.ca/t/ggc7v" TargetMode="External"/><Relationship Id="rId66" Type="http://schemas.openxmlformats.org/officeDocument/2006/relationships/header" Target="header13.xml"/><Relationship Id="rId74" Type="http://schemas.openxmlformats.org/officeDocument/2006/relationships/header" Target="header17.xml"/><Relationship Id="rId79" Type="http://schemas.openxmlformats.org/officeDocument/2006/relationships/footer" Target="footer19.xml"/><Relationship Id="rId87" Type="http://schemas.openxmlformats.org/officeDocument/2006/relationships/hyperlink" Target="http://www.scc-csc.ca/case-dossier/info/sum-som-eng.aspx?cas=36200" TargetMode="External"/><Relationship Id="rId102" Type="http://schemas.openxmlformats.org/officeDocument/2006/relationships/hyperlink" Target="http://www.scc-csc.ca/case-dossier/info/sum-som-eng.aspx?cas=35811" TargetMode="External"/><Relationship Id="rId110" Type="http://schemas.openxmlformats.org/officeDocument/2006/relationships/header" Target="header32.xml"/><Relationship Id="rId5" Type="http://schemas.openxmlformats.org/officeDocument/2006/relationships/footnotes" Target="footnotes.xml"/><Relationship Id="rId61" Type="http://schemas.openxmlformats.org/officeDocument/2006/relationships/hyperlink" Target="https://www.canlii.org/en/on/onca/doc/2015/2015onca551/2015onca551.html?autocompleteStr=Qumsyeh&amp;autocompletePos=2" TargetMode="External"/><Relationship Id="rId82" Type="http://schemas.openxmlformats.org/officeDocument/2006/relationships/footer" Target="footer20.xml"/><Relationship Id="rId90" Type="http://schemas.openxmlformats.org/officeDocument/2006/relationships/header" Target="header24.xml"/><Relationship Id="rId95" Type="http://schemas.openxmlformats.org/officeDocument/2006/relationships/header" Target="header2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www.canlii.org/fr/qc/qccq/doc/2010/2010qccq3619/2010qccq3619.html?autocompleteStr=540-80-000744-042&amp;autocompletePos=1" TargetMode="External"/><Relationship Id="rId35" Type="http://schemas.openxmlformats.org/officeDocument/2006/relationships/hyperlink" Target="http://www.canlii.org/fr/qc/qcca/doc/2014/2014qcca1176/2014qcca1176.html" TargetMode="External"/><Relationship Id="rId43" Type="http://schemas.openxmlformats.org/officeDocument/2006/relationships/hyperlink" Target="http://www.canlii.org/en/ab/abca/doc/2015/2015abca150/2015abca150.html?autocompleteStr=2015%20ABCA%20150&amp;autocompletePos=1" TargetMode="External"/><Relationship Id="rId48" Type="http://schemas.openxmlformats.org/officeDocument/2006/relationships/hyperlink" Target="http://canlii.ca/t/g9145" TargetMode="External"/><Relationship Id="rId56" Type="http://schemas.openxmlformats.org/officeDocument/2006/relationships/hyperlink" Target="%3chttp:/canlii.ca/t/gh97k" TargetMode="External"/><Relationship Id="rId64" Type="http://schemas.openxmlformats.org/officeDocument/2006/relationships/footer" Target="footer11.xml"/><Relationship Id="rId69" Type="http://schemas.openxmlformats.org/officeDocument/2006/relationships/header" Target="header15.xml"/><Relationship Id="rId77" Type="http://schemas.openxmlformats.org/officeDocument/2006/relationships/footer" Target="footer18.xml"/><Relationship Id="rId100" Type="http://schemas.openxmlformats.org/officeDocument/2006/relationships/footer" Target="footer28.xml"/><Relationship Id="rId105" Type="http://schemas.openxmlformats.org/officeDocument/2006/relationships/header" Target="header30.xml"/><Relationship Id="rId113" Type="http://schemas.openxmlformats.org/officeDocument/2006/relationships/theme" Target="theme/theme1.xml"/><Relationship Id="rId8" Type="http://schemas.openxmlformats.org/officeDocument/2006/relationships/hyperlink" Target="http://www.scc-csc.ca" TargetMode="External"/><Relationship Id="rId51" Type="http://schemas.openxmlformats.org/officeDocument/2006/relationships/hyperlink" Target="http://canlii.ca/t/g8r24" TargetMode="External"/><Relationship Id="rId72" Type="http://schemas.openxmlformats.org/officeDocument/2006/relationships/header" Target="header16.xml"/><Relationship Id="rId80" Type="http://schemas.openxmlformats.org/officeDocument/2006/relationships/header" Target="header20.xml"/><Relationship Id="rId85" Type="http://schemas.openxmlformats.org/officeDocument/2006/relationships/footer" Target="footer22.xml"/><Relationship Id="rId93" Type="http://schemas.openxmlformats.org/officeDocument/2006/relationships/header" Target="header25.xml"/><Relationship Id="rId98" Type="http://schemas.openxmlformats.org/officeDocument/2006/relationships/footer" Target="footer27.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www.canlii.org/fr/qc/qccq/doc/2010/2010qccq3619/2010qccq3619.html?autocompleteStr=540-80-000744-042&amp;autocompletePos=1" TargetMode="External"/><Relationship Id="rId38" Type="http://schemas.openxmlformats.org/officeDocument/2006/relationships/hyperlink" Target="http://www.canlii.org/fr/qc/qccs/doc/2012/2012qccs6698/2012qccs6698.html?resultIndex=1" TargetMode="External"/><Relationship Id="rId46" Type="http://schemas.openxmlformats.org/officeDocument/2006/relationships/hyperlink" Target="http://canlii.ca/t/g7kkz" TargetMode="External"/><Relationship Id="rId59" Type="http://schemas.openxmlformats.org/officeDocument/2006/relationships/hyperlink" Target="file:///C:\Users\Roger%20Caron\Documents\Documents%20Word\Traduction%20juridique%20(clients)\Cour%20supr&#234;me%20du%20Canada\Mandat%20151029-3\%3chttp:\canlii.ca\t\gh97k" TargetMode="External"/><Relationship Id="rId67" Type="http://schemas.openxmlformats.org/officeDocument/2006/relationships/footer" Target="footer13.xml"/><Relationship Id="rId103" Type="http://schemas.openxmlformats.org/officeDocument/2006/relationships/hyperlink" Target="http://www.scc-csc.ca/case-dossier/info/sum-som-eng.aspx?cas=35813" TargetMode="External"/><Relationship Id="rId108" Type="http://schemas.openxmlformats.org/officeDocument/2006/relationships/header" Target="header31.xml"/><Relationship Id="rId20" Type="http://schemas.openxmlformats.org/officeDocument/2006/relationships/header" Target="header6.xml"/><Relationship Id="rId41" Type="http://schemas.openxmlformats.org/officeDocument/2006/relationships/hyperlink" Target="http://www.canlii.org/en/ab/abca/doc/2015/2015abca150/2015abca150.html?autocompleteStr=2015%20ABCA%20150&amp;autocompletePos=1" TargetMode="External"/><Relationship Id="rId54" Type="http://schemas.openxmlformats.org/officeDocument/2006/relationships/hyperlink" Target="http://canlii.ca/t/g7l9d" TargetMode="External"/><Relationship Id="rId62" Type="http://schemas.openxmlformats.org/officeDocument/2006/relationships/header" Target="header11.xml"/><Relationship Id="rId70" Type="http://schemas.openxmlformats.org/officeDocument/2006/relationships/footer" Target="footer14.xml"/><Relationship Id="rId75" Type="http://schemas.openxmlformats.org/officeDocument/2006/relationships/header" Target="header18.xml"/><Relationship Id="rId83" Type="http://schemas.openxmlformats.org/officeDocument/2006/relationships/footer" Target="footer21.xml"/><Relationship Id="rId88" Type="http://schemas.openxmlformats.org/officeDocument/2006/relationships/hyperlink" Target="http://www.scc-csc.ca/case-dossier/info/sum-som-fra.aspx?cas=36087" TargetMode="External"/><Relationship Id="rId91" Type="http://schemas.openxmlformats.org/officeDocument/2006/relationships/footer" Target="footer23.xml"/><Relationship Id="rId96" Type="http://schemas.openxmlformats.org/officeDocument/2006/relationships/header" Target="header27.xml"/><Relationship Id="rId111"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www.canlii.org/fr/qc/qccs/doc/2012/2012qccs6698/2012qccs6698.html?resultIndex=1" TargetMode="External"/><Relationship Id="rId49" Type="http://schemas.openxmlformats.org/officeDocument/2006/relationships/hyperlink" Target="http://canlii.ca/t/gjfw6" TargetMode="External"/><Relationship Id="rId57" Type="http://schemas.openxmlformats.org/officeDocument/2006/relationships/hyperlink" Target="http://canlii.ca/t/g7l9d" TargetMode="External"/><Relationship Id="rId106" Type="http://schemas.openxmlformats.org/officeDocument/2006/relationships/footer" Target="footer29.xml"/><Relationship Id="rId10" Type="http://schemas.openxmlformats.org/officeDocument/2006/relationships/header" Target="header1.xml"/><Relationship Id="rId31" Type="http://schemas.openxmlformats.org/officeDocument/2006/relationships/hyperlink" Target="http://www.canlii.org/fr/qc/qccs/doc/2013/2013qccs2031/2013qccs2031.html" TargetMode="External"/><Relationship Id="rId44" Type="http://schemas.openxmlformats.org/officeDocument/2006/relationships/hyperlink" Target="http://www.canlii.org/fr/qc/qcca/doc/2015/2015qcca" TargetMode="External"/><Relationship Id="rId52" Type="http://schemas.openxmlformats.org/officeDocument/2006/relationships/hyperlink" Target="http://canlii.ca/t/g9145" TargetMode="External"/><Relationship Id="rId60" Type="http://schemas.openxmlformats.org/officeDocument/2006/relationships/hyperlink" Target="https://www.canlii.org/en/on/onca/doc/2015/2015onca551/2015onca551.html?autocompleteStr=Qumsyeh&amp;autocompletePos=2" TargetMode="External"/><Relationship Id="rId65" Type="http://schemas.openxmlformats.org/officeDocument/2006/relationships/footer" Target="footer12.xml"/><Relationship Id="rId73" Type="http://schemas.openxmlformats.org/officeDocument/2006/relationships/footer" Target="footer16.xml"/><Relationship Id="rId78" Type="http://schemas.openxmlformats.org/officeDocument/2006/relationships/header" Target="header19.xml"/><Relationship Id="rId81" Type="http://schemas.openxmlformats.org/officeDocument/2006/relationships/header" Target="header21.xml"/><Relationship Id="rId86" Type="http://schemas.openxmlformats.org/officeDocument/2006/relationships/hyperlink" Target="http://www.scc-csc.ca/case-dossier/info/sum-som-eng.aspx?cas=36328" TargetMode="External"/><Relationship Id="rId94" Type="http://schemas.openxmlformats.org/officeDocument/2006/relationships/footer" Target="footer25.xml"/><Relationship Id="rId99" Type="http://schemas.openxmlformats.org/officeDocument/2006/relationships/header" Target="header28.xml"/><Relationship Id="rId101" Type="http://schemas.openxmlformats.org/officeDocument/2006/relationships/hyperlink" Target="http://www.scc-csc.ca/case-dossier/info/sum-som-eng.aspx?cas=35807" TargetMode="External"/><Relationship Id="rId4" Type="http://schemas.openxmlformats.org/officeDocument/2006/relationships/webSettings" Target="webSettings.xml"/><Relationship Id="rId9" Type="http://schemas.openxmlformats.org/officeDocument/2006/relationships/hyperlink" Target="http://www.scc-csc.ca" TargetMode="Externa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yperlink" Target="http://www.canlii.org/fr/qc/qcca/doc/2015/2015qcca397/2015qcca397.html?resultIndex=1" TargetMode="External"/><Relationship Id="rId109" Type="http://schemas.openxmlformats.org/officeDocument/2006/relationships/footer" Target="footer31.xml"/><Relationship Id="rId34" Type="http://schemas.openxmlformats.org/officeDocument/2006/relationships/hyperlink" Target="http://www.canlii.org/fr/qc/qccs/doc/2013/2013qccs2031/2013qccs2031.html" TargetMode="External"/><Relationship Id="rId50" Type="http://schemas.openxmlformats.org/officeDocument/2006/relationships/hyperlink" Target="http://canlii.ca/t/g7kkz" TargetMode="External"/><Relationship Id="rId55" Type="http://schemas.openxmlformats.org/officeDocument/2006/relationships/hyperlink" Target="http://canlii.ca/t/ggc7v" TargetMode="External"/><Relationship Id="rId76" Type="http://schemas.openxmlformats.org/officeDocument/2006/relationships/footer" Target="footer17.xml"/><Relationship Id="rId97" Type="http://schemas.openxmlformats.org/officeDocument/2006/relationships/footer" Target="footer26.xml"/><Relationship Id="rId104" Type="http://schemas.openxmlformats.org/officeDocument/2006/relationships/header" Target="header29.xml"/><Relationship Id="rId7" Type="http://schemas.openxmlformats.org/officeDocument/2006/relationships/image" Target="media/image1.wmf"/><Relationship Id="rId71" Type="http://schemas.openxmlformats.org/officeDocument/2006/relationships/footer" Target="footer15.xml"/><Relationship Id="rId92"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22429</Words>
  <Characters>127849</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2015-11-27T14:18:00Z</dcterms:created>
  <dcterms:modified xsi:type="dcterms:W3CDTF">2015-12-04T18:20:00Z</dcterms:modified>
</cp:coreProperties>
</file>