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7A5455" w:rsidRDefault="00382C47">
      <w:r w:rsidRPr="007A5455">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7A5455" w:rsidRDefault="00BF25F3" w:rsidP="00BF25F3"/>
    <w:p w:rsidR="00BF25F3" w:rsidRPr="007A5455" w:rsidRDefault="00BF25F3" w:rsidP="00BF25F3"/>
    <w:p w:rsidR="00BF25F3" w:rsidRPr="007A5455" w:rsidRDefault="00BF25F3" w:rsidP="00BF25F3"/>
    <w:p w:rsidR="00BF25F3" w:rsidRPr="007A5455" w:rsidRDefault="00BF25F3" w:rsidP="00BF25F3"/>
    <w:p w:rsidR="00BF25F3" w:rsidRPr="007A5455" w:rsidRDefault="00BF25F3" w:rsidP="00BF25F3"/>
    <w:p w:rsidR="00BF25F3" w:rsidRPr="007A5455" w:rsidRDefault="00BF25F3" w:rsidP="00BF25F3"/>
    <w:p w:rsidR="00BF25F3" w:rsidRPr="007A5455" w:rsidRDefault="00BF25F3" w:rsidP="00BF25F3"/>
    <w:p w:rsidR="00BF25F3" w:rsidRPr="007A5455" w:rsidRDefault="00BF25F3" w:rsidP="00BF25F3"/>
    <w:p w:rsidR="00BF25F3" w:rsidRPr="007A5455" w:rsidRDefault="00BF25F3" w:rsidP="00BF25F3"/>
    <w:p w:rsidR="00384384" w:rsidRPr="007A545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7A5455" w:rsidTr="002E5576">
        <w:tc>
          <w:tcPr>
            <w:tcW w:w="4518" w:type="dxa"/>
          </w:tcPr>
          <w:p w:rsidR="00BF25F3" w:rsidRPr="007A5455" w:rsidRDefault="00BF25F3" w:rsidP="00BF25F3">
            <w:pPr>
              <w:tabs>
                <w:tab w:val="left" w:pos="6075"/>
              </w:tabs>
              <w:jc w:val="center"/>
              <w:rPr>
                <w:b/>
                <w:sz w:val="32"/>
                <w:szCs w:val="32"/>
              </w:rPr>
            </w:pPr>
            <w:r w:rsidRPr="007A5455">
              <w:rPr>
                <w:b/>
                <w:sz w:val="32"/>
                <w:szCs w:val="32"/>
              </w:rPr>
              <w:t>SUPREME COURT OF CANADA</w:t>
            </w:r>
          </w:p>
        </w:tc>
        <w:tc>
          <w:tcPr>
            <w:tcW w:w="630" w:type="dxa"/>
          </w:tcPr>
          <w:p w:rsidR="00BF25F3" w:rsidRPr="007A5455" w:rsidRDefault="00BF25F3" w:rsidP="00BF25F3">
            <w:pPr>
              <w:tabs>
                <w:tab w:val="left" w:pos="6075"/>
              </w:tabs>
              <w:jc w:val="center"/>
              <w:rPr>
                <w:sz w:val="32"/>
                <w:szCs w:val="32"/>
              </w:rPr>
            </w:pPr>
          </w:p>
        </w:tc>
        <w:tc>
          <w:tcPr>
            <w:tcW w:w="4428" w:type="dxa"/>
          </w:tcPr>
          <w:p w:rsidR="00BF25F3" w:rsidRPr="007A5455" w:rsidRDefault="00BF25F3" w:rsidP="00BF25F3">
            <w:pPr>
              <w:tabs>
                <w:tab w:val="left" w:pos="6075"/>
              </w:tabs>
              <w:jc w:val="center"/>
              <w:rPr>
                <w:b/>
                <w:sz w:val="32"/>
                <w:szCs w:val="32"/>
                <w:lang w:val="fr-CA"/>
              </w:rPr>
            </w:pPr>
            <w:r w:rsidRPr="007A5455">
              <w:rPr>
                <w:b/>
                <w:sz w:val="32"/>
                <w:szCs w:val="32"/>
                <w:lang w:val="fr-CA"/>
              </w:rPr>
              <w:t>COUR SUPRÊME DU CANADA</w:t>
            </w:r>
          </w:p>
        </w:tc>
      </w:tr>
      <w:tr w:rsidR="00BF25F3" w:rsidRPr="007A5455" w:rsidTr="002E5576">
        <w:tc>
          <w:tcPr>
            <w:tcW w:w="4518" w:type="dxa"/>
          </w:tcPr>
          <w:p w:rsidR="00BF25F3" w:rsidRPr="007A5455" w:rsidRDefault="00BF25F3" w:rsidP="00BF25F3">
            <w:pPr>
              <w:tabs>
                <w:tab w:val="left" w:pos="6075"/>
              </w:tabs>
            </w:pPr>
          </w:p>
          <w:p w:rsidR="001B5C23" w:rsidRPr="007A5455" w:rsidRDefault="001B5C23" w:rsidP="00BF25F3">
            <w:pPr>
              <w:tabs>
                <w:tab w:val="left" w:pos="6075"/>
              </w:tabs>
            </w:pPr>
          </w:p>
          <w:p w:rsidR="001B5C23" w:rsidRPr="007A5455" w:rsidRDefault="001B5C23" w:rsidP="00BF25F3">
            <w:pPr>
              <w:tabs>
                <w:tab w:val="left" w:pos="6075"/>
              </w:tabs>
            </w:pPr>
          </w:p>
        </w:tc>
        <w:tc>
          <w:tcPr>
            <w:tcW w:w="630" w:type="dxa"/>
          </w:tcPr>
          <w:p w:rsidR="00BF25F3" w:rsidRPr="007A5455" w:rsidRDefault="00BF25F3" w:rsidP="00BF25F3">
            <w:pPr>
              <w:tabs>
                <w:tab w:val="left" w:pos="6075"/>
              </w:tabs>
            </w:pPr>
          </w:p>
        </w:tc>
        <w:tc>
          <w:tcPr>
            <w:tcW w:w="4428" w:type="dxa"/>
          </w:tcPr>
          <w:p w:rsidR="00BF25F3" w:rsidRPr="007A5455" w:rsidRDefault="00BF25F3" w:rsidP="00BF25F3">
            <w:pPr>
              <w:tabs>
                <w:tab w:val="left" w:pos="6075"/>
              </w:tabs>
              <w:rPr>
                <w:lang w:val="fr-CA"/>
              </w:rPr>
            </w:pPr>
          </w:p>
        </w:tc>
      </w:tr>
      <w:tr w:rsidR="00BF25F3" w:rsidRPr="007A5455" w:rsidTr="002E5576">
        <w:tc>
          <w:tcPr>
            <w:tcW w:w="4518" w:type="dxa"/>
          </w:tcPr>
          <w:p w:rsidR="001B5C23" w:rsidRPr="007A5455" w:rsidRDefault="00BF25F3" w:rsidP="00BF25F3">
            <w:pPr>
              <w:tabs>
                <w:tab w:val="left" w:pos="6075"/>
              </w:tabs>
              <w:jc w:val="center"/>
              <w:rPr>
                <w:sz w:val="28"/>
                <w:szCs w:val="28"/>
              </w:rPr>
            </w:pPr>
            <w:r w:rsidRPr="007A5455">
              <w:rPr>
                <w:sz w:val="28"/>
                <w:szCs w:val="28"/>
              </w:rPr>
              <w:t>BULLETIN OF</w:t>
            </w:r>
          </w:p>
          <w:p w:rsidR="00BF25F3" w:rsidRPr="007A5455" w:rsidRDefault="00BF25F3" w:rsidP="00BF25F3">
            <w:pPr>
              <w:tabs>
                <w:tab w:val="left" w:pos="6075"/>
              </w:tabs>
              <w:jc w:val="center"/>
              <w:rPr>
                <w:sz w:val="28"/>
                <w:szCs w:val="28"/>
              </w:rPr>
            </w:pPr>
            <w:r w:rsidRPr="007A5455">
              <w:rPr>
                <w:sz w:val="28"/>
                <w:szCs w:val="28"/>
              </w:rPr>
              <w:t xml:space="preserve"> PROCEEDINGS</w:t>
            </w:r>
          </w:p>
        </w:tc>
        <w:tc>
          <w:tcPr>
            <w:tcW w:w="630" w:type="dxa"/>
          </w:tcPr>
          <w:p w:rsidR="00BF25F3" w:rsidRPr="007A5455" w:rsidRDefault="00BF25F3" w:rsidP="00BF25F3">
            <w:pPr>
              <w:tabs>
                <w:tab w:val="left" w:pos="6075"/>
              </w:tabs>
            </w:pPr>
          </w:p>
        </w:tc>
        <w:tc>
          <w:tcPr>
            <w:tcW w:w="4428" w:type="dxa"/>
          </w:tcPr>
          <w:p w:rsidR="001B5C23" w:rsidRPr="007A5455" w:rsidRDefault="00BF25F3" w:rsidP="00BF25F3">
            <w:pPr>
              <w:tabs>
                <w:tab w:val="left" w:pos="6075"/>
              </w:tabs>
              <w:jc w:val="center"/>
              <w:rPr>
                <w:sz w:val="28"/>
                <w:szCs w:val="28"/>
                <w:lang w:val="fr-CA"/>
              </w:rPr>
            </w:pPr>
            <w:r w:rsidRPr="007A5455">
              <w:rPr>
                <w:sz w:val="28"/>
                <w:szCs w:val="28"/>
                <w:lang w:val="fr-CA"/>
              </w:rPr>
              <w:t>BULLETIN DES</w:t>
            </w:r>
          </w:p>
          <w:p w:rsidR="00BF25F3" w:rsidRPr="007A5455" w:rsidRDefault="00BF25F3" w:rsidP="00BF25F3">
            <w:pPr>
              <w:tabs>
                <w:tab w:val="left" w:pos="6075"/>
              </w:tabs>
              <w:jc w:val="center"/>
              <w:rPr>
                <w:sz w:val="28"/>
                <w:szCs w:val="28"/>
                <w:lang w:val="fr-CA"/>
              </w:rPr>
            </w:pPr>
            <w:r w:rsidRPr="007A5455">
              <w:rPr>
                <w:sz w:val="28"/>
                <w:szCs w:val="28"/>
                <w:lang w:val="fr-CA"/>
              </w:rPr>
              <w:t xml:space="preserve"> PROCÉDURES</w:t>
            </w:r>
          </w:p>
        </w:tc>
      </w:tr>
      <w:tr w:rsidR="00BF25F3" w:rsidRPr="007A5455" w:rsidTr="002E5576">
        <w:tc>
          <w:tcPr>
            <w:tcW w:w="4518" w:type="dxa"/>
          </w:tcPr>
          <w:p w:rsidR="00BF25F3" w:rsidRPr="007A5455" w:rsidRDefault="00BF25F3" w:rsidP="00BF25F3">
            <w:pPr>
              <w:tabs>
                <w:tab w:val="left" w:pos="6075"/>
              </w:tabs>
            </w:pPr>
          </w:p>
          <w:p w:rsidR="001B5C23" w:rsidRPr="007A5455" w:rsidRDefault="001B5C23" w:rsidP="00BF25F3">
            <w:pPr>
              <w:tabs>
                <w:tab w:val="left" w:pos="6075"/>
              </w:tabs>
            </w:pPr>
          </w:p>
        </w:tc>
        <w:tc>
          <w:tcPr>
            <w:tcW w:w="630" w:type="dxa"/>
          </w:tcPr>
          <w:p w:rsidR="00BF25F3" w:rsidRPr="007A5455" w:rsidRDefault="00BF25F3" w:rsidP="00BF25F3">
            <w:pPr>
              <w:tabs>
                <w:tab w:val="left" w:pos="6075"/>
              </w:tabs>
            </w:pPr>
          </w:p>
        </w:tc>
        <w:tc>
          <w:tcPr>
            <w:tcW w:w="4428" w:type="dxa"/>
          </w:tcPr>
          <w:p w:rsidR="00BF25F3" w:rsidRPr="007A5455" w:rsidRDefault="00BF25F3" w:rsidP="00BF25F3">
            <w:pPr>
              <w:tabs>
                <w:tab w:val="left" w:pos="6075"/>
              </w:tabs>
              <w:rPr>
                <w:lang w:val="fr-CA"/>
              </w:rPr>
            </w:pPr>
          </w:p>
        </w:tc>
      </w:tr>
      <w:tr w:rsidR="00BF25F3" w:rsidRPr="007A5455" w:rsidTr="002E5576">
        <w:tc>
          <w:tcPr>
            <w:tcW w:w="4518" w:type="dxa"/>
          </w:tcPr>
          <w:p w:rsidR="00BF25F3" w:rsidRPr="007A5455" w:rsidRDefault="00BF25F3" w:rsidP="00BF25F3">
            <w:pPr>
              <w:tabs>
                <w:tab w:val="left" w:pos="6075"/>
              </w:tabs>
              <w:jc w:val="both"/>
              <w:rPr>
                <w:rFonts w:ascii="Arial" w:hAnsi="Arial" w:cs="Arial"/>
                <w:i/>
                <w:sz w:val="20"/>
                <w:szCs w:val="20"/>
              </w:rPr>
            </w:pPr>
            <w:r w:rsidRPr="007A545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A5455" w:rsidRDefault="00BF25F3" w:rsidP="00BF25F3">
            <w:pPr>
              <w:tabs>
                <w:tab w:val="left" w:pos="6075"/>
              </w:tabs>
              <w:jc w:val="both"/>
              <w:rPr>
                <w:rFonts w:ascii="Arial" w:hAnsi="Arial" w:cs="Arial"/>
                <w:i/>
                <w:sz w:val="20"/>
                <w:szCs w:val="20"/>
              </w:rPr>
            </w:pPr>
          </w:p>
        </w:tc>
        <w:tc>
          <w:tcPr>
            <w:tcW w:w="4428" w:type="dxa"/>
          </w:tcPr>
          <w:p w:rsidR="00BF25F3" w:rsidRPr="007A5455" w:rsidRDefault="00BF25F3" w:rsidP="00BF25F3">
            <w:pPr>
              <w:tabs>
                <w:tab w:val="left" w:pos="6075"/>
              </w:tabs>
              <w:jc w:val="both"/>
              <w:rPr>
                <w:rFonts w:ascii="Arial" w:hAnsi="Arial" w:cs="Arial"/>
                <w:i/>
                <w:sz w:val="20"/>
                <w:szCs w:val="20"/>
                <w:lang w:val="fr-CA"/>
              </w:rPr>
            </w:pPr>
            <w:r w:rsidRPr="007A545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A5455" w:rsidTr="002E5576">
        <w:tc>
          <w:tcPr>
            <w:tcW w:w="4518" w:type="dxa"/>
          </w:tcPr>
          <w:p w:rsidR="00BF25F3" w:rsidRPr="007A5455" w:rsidRDefault="00BF25F3" w:rsidP="00BF25F3">
            <w:pPr>
              <w:tabs>
                <w:tab w:val="left" w:pos="6075"/>
              </w:tabs>
              <w:rPr>
                <w:lang w:val="fr-CA"/>
              </w:rPr>
            </w:pPr>
          </w:p>
          <w:p w:rsidR="00D862C1" w:rsidRPr="007A5455" w:rsidRDefault="00D862C1" w:rsidP="00BF25F3">
            <w:pPr>
              <w:tabs>
                <w:tab w:val="left" w:pos="6075"/>
              </w:tabs>
              <w:rPr>
                <w:lang w:val="fr-CA"/>
              </w:rPr>
            </w:pPr>
          </w:p>
        </w:tc>
        <w:tc>
          <w:tcPr>
            <w:tcW w:w="630" w:type="dxa"/>
          </w:tcPr>
          <w:p w:rsidR="00BF25F3" w:rsidRPr="007A5455" w:rsidRDefault="00BF25F3" w:rsidP="00BF25F3">
            <w:pPr>
              <w:tabs>
                <w:tab w:val="left" w:pos="6075"/>
              </w:tabs>
              <w:rPr>
                <w:lang w:val="fr-CA"/>
              </w:rPr>
            </w:pPr>
          </w:p>
        </w:tc>
        <w:tc>
          <w:tcPr>
            <w:tcW w:w="4428" w:type="dxa"/>
          </w:tcPr>
          <w:p w:rsidR="00BF25F3" w:rsidRPr="007A5455" w:rsidRDefault="00BF25F3" w:rsidP="00BF25F3">
            <w:pPr>
              <w:tabs>
                <w:tab w:val="left" w:pos="6075"/>
              </w:tabs>
              <w:rPr>
                <w:lang w:val="fr-CA"/>
              </w:rPr>
            </w:pPr>
          </w:p>
        </w:tc>
      </w:tr>
      <w:tr w:rsidR="00BF25F3" w:rsidRPr="007A5455" w:rsidTr="002E5576">
        <w:tc>
          <w:tcPr>
            <w:tcW w:w="4518" w:type="dxa"/>
          </w:tcPr>
          <w:p w:rsidR="00BF25F3" w:rsidRPr="007A5455" w:rsidRDefault="00BF25F3" w:rsidP="009F3024">
            <w:pPr>
              <w:tabs>
                <w:tab w:val="left" w:pos="6075"/>
              </w:tabs>
              <w:jc w:val="both"/>
              <w:rPr>
                <w:rFonts w:ascii="Arial" w:hAnsi="Arial" w:cs="Arial"/>
                <w:i/>
                <w:sz w:val="20"/>
                <w:szCs w:val="20"/>
              </w:rPr>
            </w:pPr>
            <w:r w:rsidRPr="007A5455">
              <w:rPr>
                <w:rFonts w:ascii="Arial" w:hAnsi="Arial" w:cs="Arial"/>
                <w:i/>
                <w:sz w:val="20"/>
                <w:szCs w:val="20"/>
              </w:rPr>
              <w:t xml:space="preserve">During Court sessions </w:t>
            </w:r>
            <w:r w:rsidR="009F3024" w:rsidRPr="007A5455">
              <w:rPr>
                <w:rFonts w:ascii="Arial" w:hAnsi="Arial" w:cs="Arial"/>
                <w:i/>
                <w:sz w:val="20"/>
                <w:szCs w:val="20"/>
              </w:rPr>
              <w:t xml:space="preserve">the Bulletin </w:t>
            </w:r>
            <w:r w:rsidRPr="007A5455">
              <w:rPr>
                <w:rFonts w:ascii="Arial" w:hAnsi="Arial" w:cs="Arial"/>
                <w:i/>
                <w:sz w:val="20"/>
                <w:szCs w:val="20"/>
              </w:rPr>
              <w:t>is usually issued weekly.</w:t>
            </w:r>
          </w:p>
        </w:tc>
        <w:tc>
          <w:tcPr>
            <w:tcW w:w="630" w:type="dxa"/>
          </w:tcPr>
          <w:p w:rsidR="00BF25F3" w:rsidRPr="007A5455" w:rsidRDefault="00BF25F3" w:rsidP="00BF25F3">
            <w:pPr>
              <w:tabs>
                <w:tab w:val="left" w:pos="6075"/>
              </w:tabs>
              <w:jc w:val="both"/>
              <w:rPr>
                <w:rFonts w:ascii="Arial" w:hAnsi="Arial" w:cs="Arial"/>
                <w:i/>
                <w:sz w:val="20"/>
                <w:szCs w:val="20"/>
              </w:rPr>
            </w:pPr>
          </w:p>
        </w:tc>
        <w:tc>
          <w:tcPr>
            <w:tcW w:w="4428" w:type="dxa"/>
          </w:tcPr>
          <w:p w:rsidR="00BF25F3" w:rsidRPr="007A5455" w:rsidRDefault="00BF25F3" w:rsidP="00BF25F3">
            <w:pPr>
              <w:tabs>
                <w:tab w:val="left" w:pos="6075"/>
              </w:tabs>
              <w:jc w:val="both"/>
              <w:rPr>
                <w:rFonts w:ascii="Arial" w:hAnsi="Arial" w:cs="Arial"/>
                <w:i/>
                <w:sz w:val="20"/>
                <w:szCs w:val="20"/>
                <w:lang w:val="fr-CA"/>
              </w:rPr>
            </w:pPr>
            <w:r w:rsidRPr="007A5455">
              <w:rPr>
                <w:rFonts w:ascii="Arial" w:hAnsi="Arial" w:cs="Arial"/>
                <w:i/>
                <w:sz w:val="20"/>
                <w:szCs w:val="20"/>
                <w:lang w:val="fr-CA"/>
              </w:rPr>
              <w:t>Le Bulletin paraît en principe toutes les semaines pendant les sessions de la Cour.</w:t>
            </w:r>
          </w:p>
        </w:tc>
      </w:tr>
      <w:tr w:rsidR="00BF25F3" w:rsidRPr="007A5455" w:rsidTr="002E5576">
        <w:tc>
          <w:tcPr>
            <w:tcW w:w="4518" w:type="dxa"/>
          </w:tcPr>
          <w:p w:rsidR="00BF25F3" w:rsidRPr="007A5455" w:rsidRDefault="00BF25F3" w:rsidP="00BF25F3">
            <w:pPr>
              <w:tabs>
                <w:tab w:val="left" w:pos="6075"/>
              </w:tabs>
              <w:rPr>
                <w:lang w:val="fr-CA"/>
              </w:rPr>
            </w:pPr>
          </w:p>
          <w:p w:rsidR="00D862C1" w:rsidRPr="007A5455" w:rsidRDefault="00D862C1" w:rsidP="00BF25F3">
            <w:pPr>
              <w:tabs>
                <w:tab w:val="left" w:pos="6075"/>
              </w:tabs>
              <w:rPr>
                <w:lang w:val="fr-CA"/>
              </w:rPr>
            </w:pPr>
          </w:p>
        </w:tc>
        <w:tc>
          <w:tcPr>
            <w:tcW w:w="630" w:type="dxa"/>
          </w:tcPr>
          <w:p w:rsidR="00BF25F3" w:rsidRPr="007A5455" w:rsidRDefault="00BF25F3" w:rsidP="00BF25F3">
            <w:pPr>
              <w:tabs>
                <w:tab w:val="left" w:pos="6075"/>
              </w:tabs>
              <w:rPr>
                <w:lang w:val="fr-CA"/>
              </w:rPr>
            </w:pPr>
          </w:p>
        </w:tc>
        <w:tc>
          <w:tcPr>
            <w:tcW w:w="4428" w:type="dxa"/>
          </w:tcPr>
          <w:p w:rsidR="00BF25F3" w:rsidRPr="007A5455" w:rsidRDefault="00BF25F3" w:rsidP="00BF25F3">
            <w:pPr>
              <w:tabs>
                <w:tab w:val="left" w:pos="6075"/>
              </w:tabs>
              <w:rPr>
                <w:lang w:val="fr-CA"/>
              </w:rPr>
            </w:pPr>
          </w:p>
        </w:tc>
      </w:tr>
      <w:tr w:rsidR="00BF25F3" w:rsidRPr="007A5455" w:rsidTr="002E5576">
        <w:tc>
          <w:tcPr>
            <w:tcW w:w="4518" w:type="dxa"/>
          </w:tcPr>
          <w:p w:rsidR="00BF25F3" w:rsidRPr="007A5455" w:rsidRDefault="000E27A5" w:rsidP="00BF25F3">
            <w:pPr>
              <w:tabs>
                <w:tab w:val="left" w:pos="6075"/>
              </w:tabs>
              <w:jc w:val="both"/>
              <w:rPr>
                <w:rFonts w:ascii="Arial" w:hAnsi="Arial" w:cs="Arial"/>
                <w:i/>
                <w:sz w:val="20"/>
                <w:szCs w:val="20"/>
              </w:rPr>
            </w:pPr>
            <w:r w:rsidRPr="007A5455">
              <w:rPr>
                <w:rFonts w:ascii="Arial" w:hAnsi="Arial" w:cs="Arial"/>
                <w:i/>
                <w:sz w:val="20"/>
                <w:szCs w:val="20"/>
              </w:rPr>
              <w:fldChar w:fldCharType="begin"/>
            </w:r>
            <w:r w:rsidR="00BF25F3" w:rsidRPr="007A5455">
              <w:rPr>
                <w:rFonts w:ascii="Arial" w:hAnsi="Arial" w:cs="Arial"/>
                <w:i/>
                <w:sz w:val="20"/>
                <w:szCs w:val="20"/>
              </w:rPr>
              <w:instrText xml:space="preserve"> SEQ CHAPTER \h \r 1</w:instrText>
            </w:r>
            <w:r w:rsidRPr="007A5455">
              <w:rPr>
                <w:rFonts w:ascii="Arial" w:hAnsi="Arial" w:cs="Arial"/>
                <w:i/>
                <w:sz w:val="20"/>
                <w:szCs w:val="20"/>
              </w:rPr>
              <w:fldChar w:fldCharType="end"/>
            </w:r>
            <w:r w:rsidR="00BF25F3" w:rsidRPr="007A545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A5455" w:rsidRDefault="00BF25F3" w:rsidP="00BF25F3">
            <w:pPr>
              <w:tabs>
                <w:tab w:val="left" w:pos="6075"/>
              </w:tabs>
              <w:jc w:val="both"/>
              <w:rPr>
                <w:rFonts w:ascii="Arial" w:hAnsi="Arial" w:cs="Arial"/>
                <w:i/>
                <w:sz w:val="20"/>
                <w:szCs w:val="20"/>
              </w:rPr>
            </w:pPr>
          </w:p>
        </w:tc>
        <w:tc>
          <w:tcPr>
            <w:tcW w:w="4428" w:type="dxa"/>
          </w:tcPr>
          <w:p w:rsidR="00BF25F3" w:rsidRPr="007A5455" w:rsidRDefault="000E27A5" w:rsidP="00BF25F3">
            <w:pPr>
              <w:tabs>
                <w:tab w:val="left" w:pos="6075"/>
              </w:tabs>
              <w:jc w:val="both"/>
              <w:rPr>
                <w:rFonts w:ascii="Arial" w:hAnsi="Arial" w:cs="Arial"/>
                <w:i/>
                <w:sz w:val="20"/>
                <w:szCs w:val="20"/>
                <w:lang w:val="fr-CA"/>
              </w:rPr>
            </w:pPr>
            <w:r w:rsidRPr="007A5455">
              <w:rPr>
                <w:rFonts w:ascii="Arial" w:hAnsi="Arial" w:cs="Arial"/>
                <w:i/>
                <w:sz w:val="20"/>
                <w:szCs w:val="20"/>
                <w:lang w:val="fr-CA"/>
              </w:rPr>
              <w:fldChar w:fldCharType="begin"/>
            </w:r>
            <w:r w:rsidR="00BF25F3" w:rsidRPr="007A5455">
              <w:rPr>
                <w:rFonts w:ascii="Arial" w:hAnsi="Arial" w:cs="Arial"/>
                <w:i/>
                <w:sz w:val="20"/>
                <w:szCs w:val="20"/>
                <w:lang w:val="fr-CA"/>
              </w:rPr>
              <w:instrText xml:space="preserve"> SEQ CHAPTER \h \r 1</w:instrText>
            </w:r>
            <w:r w:rsidRPr="007A5455">
              <w:rPr>
                <w:rFonts w:ascii="Arial" w:hAnsi="Arial" w:cs="Arial"/>
                <w:i/>
                <w:sz w:val="20"/>
                <w:szCs w:val="20"/>
                <w:lang w:val="fr-CA"/>
              </w:rPr>
              <w:fldChar w:fldCharType="end"/>
            </w:r>
            <w:r w:rsidR="00BF25F3" w:rsidRPr="007A545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A5455" w:rsidTr="002E5576">
        <w:tc>
          <w:tcPr>
            <w:tcW w:w="4518" w:type="dxa"/>
          </w:tcPr>
          <w:p w:rsidR="009F3024" w:rsidRPr="007A5455" w:rsidRDefault="009F3024" w:rsidP="009F3024">
            <w:pPr>
              <w:tabs>
                <w:tab w:val="left" w:pos="6075"/>
              </w:tabs>
              <w:rPr>
                <w:rFonts w:cs="Times New Roman"/>
                <w:szCs w:val="24"/>
                <w:lang w:val="fr-CA"/>
              </w:rPr>
            </w:pPr>
          </w:p>
          <w:p w:rsidR="009F3024" w:rsidRPr="007A5455" w:rsidRDefault="009F3024" w:rsidP="009F3024">
            <w:pPr>
              <w:tabs>
                <w:tab w:val="left" w:pos="6075"/>
              </w:tabs>
              <w:rPr>
                <w:rFonts w:cs="Times New Roman"/>
                <w:szCs w:val="24"/>
                <w:lang w:val="fr-CA"/>
              </w:rPr>
            </w:pPr>
          </w:p>
        </w:tc>
        <w:tc>
          <w:tcPr>
            <w:tcW w:w="630" w:type="dxa"/>
          </w:tcPr>
          <w:p w:rsidR="009F3024" w:rsidRPr="007A5455" w:rsidRDefault="009F3024" w:rsidP="009F3024">
            <w:pPr>
              <w:tabs>
                <w:tab w:val="left" w:pos="6075"/>
              </w:tabs>
              <w:rPr>
                <w:rFonts w:cs="Times New Roman"/>
                <w:szCs w:val="24"/>
                <w:lang w:val="fr-CA"/>
              </w:rPr>
            </w:pPr>
          </w:p>
        </w:tc>
        <w:tc>
          <w:tcPr>
            <w:tcW w:w="4428" w:type="dxa"/>
          </w:tcPr>
          <w:p w:rsidR="009F3024" w:rsidRPr="007A5455" w:rsidRDefault="009F3024" w:rsidP="009F3024">
            <w:pPr>
              <w:tabs>
                <w:tab w:val="left" w:pos="6075"/>
              </w:tabs>
              <w:rPr>
                <w:rFonts w:cs="Times New Roman"/>
                <w:szCs w:val="24"/>
                <w:lang w:val="fr-CA"/>
              </w:rPr>
            </w:pPr>
          </w:p>
        </w:tc>
      </w:tr>
      <w:tr w:rsidR="009F3024" w:rsidRPr="007A5455" w:rsidTr="002E5576">
        <w:tc>
          <w:tcPr>
            <w:tcW w:w="4518" w:type="dxa"/>
          </w:tcPr>
          <w:p w:rsidR="009F3024" w:rsidRPr="007A5455" w:rsidRDefault="009F3024" w:rsidP="00E414CA">
            <w:pPr>
              <w:tabs>
                <w:tab w:val="left" w:pos="6075"/>
              </w:tabs>
              <w:jc w:val="both"/>
              <w:rPr>
                <w:rFonts w:ascii="Arial" w:hAnsi="Arial" w:cs="Arial"/>
                <w:i/>
                <w:sz w:val="20"/>
                <w:szCs w:val="20"/>
              </w:rPr>
            </w:pPr>
            <w:r w:rsidRPr="007A5455">
              <w:rPr>
                <w:rFonts w:ascii="Arial" w:hAnsi="Arial" w:cs="Arial"/>
                <w:i/>
                <w:sz w:val="20"/>
                <w:szCs w:val="20"/>
              </w:rPr>
              <w:t xml:space="preserve">Consult the Supreme Court of Canada website at </w:t>
            </w:r>
            <w:hyperlink r:id="rId8" w:history="1">
              <w:r w:rsidR="00E414CA" w:rsidRPr="007A5455">
                <w:rPr>
                  <w:rStyle w:val="Hyperlink"/>
                  <w:rFonts w:ascii="Arial" w:hAnsi="Arial" w:cs="Arial"/>
                  <w:i/>
                  <w:sz w:val="20"/>
                  <w:szCs w:val="20"/>
                </w:rPr>
                <w:t>www.scc-csc.ca</w:t>
              </w:r>
            </w:hyperlink>
            <w:r w:rsidRPr="007A5455">
              <w:rPr>
                <w:rFonts w:ascii="Arial" w:hAnsi="Arial" w:cs="Arial"/>
                <w:i/>
                <w:sz w:val="20"/>
                <w:szCs w:val="20"/>
              </w:rPr>
              <w:t xml:space="preserve"> for more information.</w:t>
            </w:r>
          </w:p>
        </w:tc>
        <w:tc>
          <w:tcPr>
            <w:tcW w:w="630" w:type="dxa"/>
          </w:tcPr>
          <w:p w:rsidR="009F3024" w:rsidRPr="007A5455" w:rsidRDefault="009F3024" w:rsidP="00BF25F3">
            <w:pPr>
              <w:tabs>
                <w:tab w:val="left" w:pos="6075"/>
              </w:tabs>
              <w:jc w:val="both"/>
              <w:rPr>
                <w:rFonts w:ascii="Arial" w:hAnsi="Arial" w:cs="Arial"/>
                <w:i/>
                <w:sz w:val="20"/>
                <w:szCs w:val="20"/>
              </w:rPr>
            </w:pPr>
          </w:p>
        </w:tc>
        <w:tc>
          <w:tcPr>
            <w:tcW w:w="4428" w:type="dxa"/>
          </w:tcPr>
          <w:p w:rsidR="009F3024" w:rsidRPr="007A5455" w:rsidRDefault="009F3024" w:rsidP="00E414CA">
            <w:pPr>
              <w:tabs>
                <w:tab w:val="left" w:pos="6075"/>
              </w:tabs>
              <w:jc w:val="both"/>
              <w:rPr>
                <w:rFonts w:ascii="Arial" w:hAnsi="Arial" w:cs="Arial"/>
                <w:i/>
                <w:sz w:val="20"/>
                <w:szCs w:val="20"/>
                <w:lang w:val="fr-CA"/>
              </w:rPr>
            </w:pPr>
            <w:r w:rsidRPr="007A5455">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7A5455">
                <w:rPr>
                  <w:rStyle w:val="Hyperlink"/>
                  <w:rFonts w:ascii="Arial" w:hAnsi="Arial" w:cs="Arial"/>
                  <w:i/>
                  <w:sz w:val="20"/>
                  <w:szCs w:val="20"/>
                  <w:lang w:val="fr-CA"/>
                </w:rPr>
                <w:t>www.scc-csc.ca</w:t>
              </w:r>
            </w:hyperlink>
            <w:r w:rsidRPr="007A5455">
              <w:rPr>
                <w:rFonts w:ascii="Arial" w:hAnsi="Arial" w:cs="Arial"/>
                <w:i/>
                <w:sz w:val="20"/>
                <w:szCs w:val="20"/>
                <w:lang w:val="fr-CA"/>
              </w:rPr>
              <w:t xml:space="preserve"> </w:t>
            </w:r>
          </w:p>
        </w:tc>
      </w:tr>
    </w:tbl>
    <w:p w:rsidR="00BF25F3" w:rsidRPr="007A5455" w:rsidRDefault="00BF25F3" w:rsidP="00BF25F3">
      <w:pPr>
        <w:tabs>
          <w:tab w:val="left" w:pos="6075"/>
        </w:tabs>
        <w:rPr>
          <w:lang w:val="fr-CA"/>
        </w:rPr>
      </w:pPr>
    </w:p>
    <w:p w:rsidR="00440E24" w:rsidRPr="007A5455" w:rsidRDefault="00440E24" w:rsidP="00440E24">
      <w:pPr>
        <w:pBdr>
          <w:bottom w:val="single" w:sz="6" w:space="1" w:color="auto"/>
        </w:pBdr>
        <w:tabs>
          <w:tab w:val="left" w:pos="6075"/>
        </w:tabs>
        <w:rPr>
          <w:lang w:val="fr-CA"/>
        </w:rPr>
      </w:pPr>
    </w:p>
    <w:p w:rsidR="00440E24" w:rsidRPr="007A5455" w:rsidRDefault="00440E24" w:rsidP="00440E24">
      <w:pPr>
        <w:rPr>
          <w:lang w:val="fr-CA"/>
        </w:rPr>
      </w:pPr>
    </w:p>
    <w:p w:rsidR="00600252" w:rsidRPr="007A5455" w:rsidRDefault="00CD58BE" w:rsidP="00F0068D">
      <w:pPr>
        <w:pBdr>
          <w:bottom w:val="single" w:sz="6" w:space="1" w:color="auto"/>
        </w:pBdr>
        <w:tabs>
          <w:tab w:val="center" w:pos="4680"/>
          <w:tab w:val="right" w:pos="9360"/>
        </w:tabs>
        <w:rPr>
          <w:lang w:val="fr-CA"/>
        </w:rPr>
      </w:pPr>
      <w:proofErr w:type="spellStart"/>
      <w:r w:rsidRPr="007A5455">
        <w:rPr>
          <w:lang w:val="fr-CA"/>
        </w:rPr>
        <w:t>December</w:t>
      </w:r>
      <w:proofErr w:type="spellEnd"/>
      <w:r w:rsidR="00440E24" w:rsidRPr="007A5455">
        <w:rPr>
          <w:lang w:val="fr-CA"/>
        </w:rPr>
        <w:t xml:space="preserve"> </w:t>
      </w:r>
      <w:r w:rsidRPr="007A5455">
        <w:rPr>
          <w:lang w:val="fr-CA"/>
        </w:rPr>
        <w:t>11</w:t>
      </w:r>
      <w:r w:rsidR="00440E24" w:rsidRPr="007A5455">
        <w:rPr>
          <w:lang w:val="fr-CA"/>
        </w:rPr>
        <w:t>, 201</w:t>
      </w:r>
      <w:r w:rsidR="00020DC3" w:rsidRPr="007A5455">
        <w:rPr>
          <w:lang w:val="fr-CA"/>
        </w:rPr>
        <w:t>5</w:t>
      </w:r>
      <w:r w:rsidR="00F0068D" w:rsidRPr="007A5455">
        <w:rPr>
          <w:lang w:val="fr-CA"/>
        </w:rPr>
        <w:tab/>
        <w:t>1</w:t>
      </w:r>
      <w:r w:rsidRPr="007A5455">
        <w:rPr>
          <w:lang w:val="fr-CA"/>
        </w:rPr>
        <w:t>850</w:t>
      </w:r>
      <w:r w:rsidR="00F0068D" w:rsidRPr="007A5455">
        <w:rPr>
          <w:lang w:val="fr-CA"/>
        </w:rPr>
        <w:t xml:space="preserve"> - </w:t>
      </w:r>
      <w:r w:rsidR="00100DA0" w:rsidRPr="007A5455">
        <w:rPr>
          <w:lang w:val="fr-CA"/>
        </w:rPr>
        <w:t>19</w:t>
      </w:r>
      <w:r w:rsidR="008532A4" w:rsidRPr="007A5455">
        <w:rPr>
          <w:lang w:val="fr-CA"/>
        </w:rPr>
        <w:t>03</w:t>
      </w:r>
      <w:r w:rsidR="00440E24" w:rsidRPr="007A5455">
        <w:rPr>
          <w:lang w:val="fr-CA"/>
        </w:rPr>
        <w:tab/>
        <w:t>Le</w:t>
      </w:r>
      <w:r w:rsidR="00C73D06" w:rsidRPr="007A5455">
        <w:rPr>
          <w:lang w:val="fr-CA"/>
        </w:rPr>
        <w:t xml:space="preserve"> </w:t>
      </w:r>
      <w:r w:rsidRPr="007A5455">
        <w:rPr>
          <w:lang w:val="fr-CA"/>
        </w:rPr>
        <w:t>11</w:t>
      </w:r>
      <w:r w:rsidR="00C73D06" w:rsidRPr="007A5455">
        <w:rPr>
          <w:lang w:val="fr-CA"/>
        </w:rPr>
        <w:t xml:space="preserve"> </w:t>
      </w:r>
      <w:r w:rsidRPr="007A5455">
        <w:rPr>
          <w:lang w:val="fr-CA"/>
        </w:rPr>
        <w:t>décembre</w:t>
      </w:r>
      <w:r w:rsidR="00440E24" w:rsidRPr="007A5455">
        <w:rPr>
          <w:lang w:val="fr-CA"/>
        </w:rPr>
        <w:t xml:space="preserve"> 201</w:t>
      </w:r>
      <w:r w:rsidR="00020DC3" w:rsidRPr="007A5455">
        <w:rPr>
          <w:lang w:val="fr-CA"/>
        </w:rPr>
        <w:t>5</w:t>
      </w:r>
    </w:p>
    <w:p w:rsidR="00440E24" w:rsidRPr="007A5455" w:rsidRDefault="00440E24" w:rsidP="00440E24">
      <w:pPr>
        <w:pBdr>
          <w:bottom w:val="single" w:sz="6" w:space="1" w:color="auto"/>
        </w:pBdr>
        <w:tabs>
          <w:tab w:val="right" w:pos="9360"/>
        </w:tabs>
        <w:rPr>
          <w:lang w:val="fr-CA"/>
        </w:rPr>
      </w:pPr>
    </w:p>
    <w:p w:rsidR="00440E24" w:rsidRPr="007A5455" w:rsidRDefault="00440E24" w:rsidP="00440E24">
      <w:pPr>
        <w:pBdr>
          <w:bottom w:val="single" w:sz="6" w:space="1" w:color="auto"/>
        </w:pBdr>
        <w:tabs>
          <w:tab w:val="right" w:pos="9360"/>
        </w:tabs>
        <w:rPr>
          <w:sz w:val="18"/>
          <w:szCs w:val="18"/>
        </w:rPr>
      </w:pPr>
      <w:r w:rsidRPr="007A5455">
        <w:rPr>
          <w:sz w:val="18"/>
          <w:szCs w:val="18"/>
        </w:rPr>
        <w:t>© Supreme Court of Canada (201</w:t>
      </w:r>
      <w:r w:rsidR="00020DC3" w:rsidRPr="007A5455">
        <w:rPr>
          <w:sz w:val="18"/>
          <w:szCs w:val="18"/>
        </w:rPr>
        <w:t>5</w:t>
      </w:r>
      <w:r w:rsidRPr="007A5455">
        <w:rPr>
          <w:sz w:val="18"/>
          <w:szCs w:val="18"/>
        </w:rPr>
        <w:t>)</w:t>
      </w:r>
      <w:r w:rsidRPr="007A5455">
        <w:rPr>
          <w:sz w:val="18"/>
          <w:szCs w:val="18"/>
        </w:rPr>
        <w:tab/>
        <w:t xml:space="preserve">© </w:t>
      </w:r>
      <w:proofErr w:type="spellStart"/>
      <w:r w:rsidRPr="007A5455">
        <w:rPr>
          <w:sz w:val="18"/>
          <w:szCs w:val="18"/>
        </w:rPr>
        <w:t>Cour</w:t>
      </w:r>
      <w:proofErr w:type="spellEnd"/>
      <w:r w:rsidRPr="007A5455">
        <w:rPr>
          <w:sz w:val="18"/>
          <w:szCs w:val="18"/>
        </w:rPr>
        <w:t xml:space="preserve"> </w:t>
      </w:r>
      <w:proofErr w:type="spellStart"/>
      <w:r w:rsidRPr="007A5455">
        <w:rPr>
          <w:sz w:val="18"/>
          <w:szCs w:val="18"/>
        </w:rPr>
        <w:t>suprême</w:t>
      </w:r>
      <w:proofErr w:type="spellEnd"/>
      <w:r w:rsidRPr="007A5455">
        <w:rPr>
          <w:sz w:val="18"/>
          <w:szCs w:val="18"/>
        </w:rPr>
        <w:t xml:space="preserve"> du Canada (201</w:t>
      </w:r>
      <w:r w:rsidR="00020DC3" w:rsidRPr="007A5455">
        <w:rPr>
          <w:sz w:val="18"/>
          <w:szCs w:val="18"/>
        </w:rPr>
        <w:t>5</w:t>
      </w:r>
      <w:r w:rsidRPr="007A5455">
        <w:rPr>
          <w:sz w:val="18"/>
          <w:szCs w:val="18"/>
        </w:rPr>
        <w:t>)</w:t>
      </w:r>
    </w:p>
    <w:p w:rsidR="00440E24" w:rsidRPr="007A5455" w:rsidRDefault="00440E24" w:rsidP="00440E24">
      <w:pPr>
        <w:pBdr>
          <w:bottom w:val="single" w:sz="6" w:space="1" w:color="auto"/>
        </w:pBdr>
        <w:tabs>
          <w:tab w:val="right" w:pos="9360"/>
        </w:tabs>
        <w:rPr>
          <w:sz w:val="18"/>
          <w:szCs w:val="18"/>
          <w:lang w:val="fr-CA"/>
        </w:rPr>
      </w:pPr>
      <w:r w:rsidRPr="007A5455">
        <w:rPr>
          <w:sz w:val="18"/>
          <w:szCs w:val="18"/>
          <w:lang w:val="fr-CA"/>
        </w:rPr>
        <w:t>ISSN 1918-8358 (Online)</w:t>
      </w:r>
      <w:r w:rsidRPr="007A5455">
        <w:rPr>
          <w:sz w:val="18"/>
          <w:szCs w:val="18"/>
          <w:lang w:val="fr-CA"/>
        </w:rPr>
        <w:tab/>
        <w:t>ISSN 1918-8358 (En ligne)</w:t>
      </w:r>
    </w:p>
    <w:p w:rsidR="00600252" w:rsidRPr="007A5455"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7A5455" w:rsidTr="00245129">
        <w:tc>
          <w:tcPr>
            <w:tcW w:w="4290" w:type="dxa"/>
            <w:shd w:val="clear" w:color="auto" w:fill="auto"/>
            <w:tcMar>
              <w:left w:w="0" w:type="dxa"/>
              <w:right w:w="0" w:type="dxa"/>
            </w:tcMar>
          </w:tcPr>
          <w:p w:rsidR="00245129" w:rsidRPr="007A5455" w:rsidRDefault="00245129" w:rsidP="00245129">
            <w:pPr>
              <w:jc w:val="both"/>
              <w:rPr>
                <w:rFonts w:eastAsia="Times New Roman" w:cs="Times New Roman"/>
                <w:b/>
                <w:sz w:val="20"/>
                <w:szCs w:val="20"/>
                <w:lang w:eastAsia="en-CA"/>
              </w:rPr>
            </w:pPr>
            <w:r w:rsidRPr="007A5455">
              <w:rPr>
                <w:b/>
              </w:rPr>
              <w:lastRenderedPageBreak/>
              <w:t>CONTENTS</w:t>
            </w:r>
          </w:p>
        </w:tc>
        <w:tc>
          <w:tcPr>
            <w:tcW w:w="1200" w:type="dxa"/>
            <w:shd w:val="clear" w:color="auto" w:fill="auto"/>
            <w:tcMar>
              <w:left w:w="0" w:type="dxa"/>
              <w:right w:w="0" w:type="dxa"/>
            </w:tcMar>
          </w:tcPr>
          <w:p w:rsidR="00245129" w:rsidRPr="007A5455" w:rsidRDefault="00245129" w:rsidP="00245129">
            <w:pPr>
              <w:jc w:val="center"/>
              <w:rPr>
                <w:rFonts w:eastAsia="Times New Roman" w:cs="Times New Roman"/>
                <w:b/>
                <w:sz w:val="20"/>
                <w:szCs w:val="20"/>
                <w:lang w:eastAsia="en-CA"/>
              </w:rPr>
            </w:pPr>
          </w:p>
          <w:p w:rsidR="00245129" w:rsidRPr="007A5455"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7A5455" w:rsidRDefault="00245129" w:rsidP="00245129">
            <w:pPr>
              <w:rPr>
                <w:rFonts w:eastAsia="Times New Roman" w:cs="Times New Roman"/>
                <w:b/>
                <w:sz w:val="20"/>
                <w:szCs w:val="20"/>
                <w:lang w:val="fr-CA" w:eastAsia="en-CA"/>
              </w:rPr>
            </w:pPr>
            <w:r w:rsidRPr="007A5455">
              <w:rPr>
                <w:b/>
                <w:lang w:val="fr-CA"/>
              </w:rPr>
              <w:t>TABLE DES MATIÈRES</w:t>
            </w:r>
          </w:p>
        </w:tc>
      </w:tr>
    </w:tbl>
    <w:p w:rsidR="0095096B" w:rsidRPr="007A5455"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A5455" w:rsidTr="00164E6D">
        <w:tc>
          <w:tcPr>
            <w:tcW w:w="3708" w:type="dxa"/>
          </w:tcPr>
          <w:p w:rsidR="0095096B" w:rsidRPr="007A5455" w:rsidRDefault="0095096B" w:rsidP="0095096B">
            <w:pPr>
              <w:tabs>
                <w:tab w:val="right" w:pos="9360"/>
              </w:tabs>
              <w:rPr>
                <w:rFonts w:cs="Times New Roman"/>
                <w:sz w:val="20"/>
                <w:szCs w:val="20"/>
              </w:rPr>
            </w:pPr>
            <w:r w:rsidRPr="007A5455">
              <w:rPr>
                <w:rFonts w:cs="Times New Roman"/>
                <w:sz w:val="20"/>
                <w:szCs w:val="20"/>
              </w:rPr>
              <w:t xml:space="preserve">Applications for leave to appeal </w:t>
            </w:r>
          </w:p>
          <w:p w:rsidR="0095096B" w:rsidRPr="007A5455" w:rsidRDefault="0095096B" w:rsidP="0095096B">
            <w:pPr>
              <w:tabs>
                <w:tab w:val="right" w:pos="9360"/>
              </w:tabs>
              <w:rPr>
                <w:rFonts w:cs="Times New Roman"/>
                <w:sz w:val="20"/>
                <w:szCs w:val="20"/>
              </w:rPr>
            </w:pPr>
            <w:r w:rsidRPr="007A5455">
              <w:rPr>
                <w:rFonts w:cs="Times New Roman"/>
                <w:sz w:val="20"/>
                <w:szCs w:val="20"/>
              </w:rPr>
              <w:t>filed</w:t>
            </w: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r w:rsidRPr="007A5455">
              <w:rPr>
                <w:rFonts w:cs="Times New Roman"/>
                <w:sz w:val="20"/>
                <w:szCs w:val="20"/>
              </w:rPr>
              <w:t xml:space="preserve">Applications for leave submitted </w:t>
            </w:r>
          </w:p>
          <w:p w:rsidR="0095096B" w:rsidRPr="007A5455" w:rsidRDefault="0095096B" w:rsidP="0095096B">
            <w:pPr>
              <w:tabs>
                <w:tab w:val="right" w:pos="9360"/>
              </w:tabs>
              <w:rPr>
                <w:rFonts w:cs="Times New Roman"/>
                <w:sz w:val="20"/>
                <w:szCs w:val="20"/>
              </w:rPr>
            </w:pPr>
            <w:r w:rsidRPr="007A5455">
              <w:rPr>
                <w:rFonts w:cs="Times New Roman"/>
                <w:sz w:val="20"/>
                <w:szCs w:val="20"/>
              </w:rPr>
              <w:t>to Court since last issue</w:t>
            </w: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r w:rsidRPr="007A5455">
              <w:rPr>
                <w:rFonts w:cs="Times New Roman"/>
                <w:sz w:val="20"/>
                <w:szCs w:val="20"/>
              </w:rPr>
              <w:t xml:space="preserve">Judgments on applications for </w:t>
            </w:r>
          </w:p>
          <w:p w:rsidR="0095096B" w:rsidRPr="007A5455" w:rsidRDefault="0095096B" w:rsidP="0095096B">
            <w:pPr>
              <w:tabs>
                <w:tab w:val="right" w:pos="9360"/>
              </w:tabs>
              <w:rPr>
                <w:rFonts w:cs="Times New Roman"/>
                <w:sz w:val="20"/>
                <w:szCs w:val="20"/>
              </w:rPr>
            </w:pPr>
            <w:r w:rsidRPr="007A5455">
              <w:rPr>
                <w:rFonts w:cs="Times New Roman"/>
                <w:sz w:val="20"/>
                <w:szCs w:val="20"/>
              </w:rPr>
              <w:t>leave</w:t>
            </w: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r w:rsidRPr="007A5455">
              <w:rPr>
                <w:rFonts w:cs="Times New Roman"/>
                <w:sz w:val="20"/>
                <w:szCs w:val="20"/>
              </w:rPr>
              <w:t>Motions</w:t>
            </w: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r w:rsidRPr="007A5455">
              <w:rPr>
                <w:rFonts w:cs="Times New Roman"/>
                <w:sz w:val="20"/>
                <w:szCs w:val="20"/>
              </w:rPr>
              <w:t xml:space="preserve">Notices of appeal filed since last </w:t>
            </w:r>
          </w:p>
          <w:p w:rsidR="0095096B" w:rsidRPr="007A5455" w:rsidRDefault="0095096B" w:rsidP="0095096B">
            <w:pPr>
              <w:tabs>
                <w:tab w:val="right" w:pos="9360"/>
              </w:tabs>
              <w:rPr>
                <w:rFonts w:cs="Times New Roman"/>
                <w:sz w:val="20"/>
                <w:szCs w:val="20"/>
              </w:rPr>
            </w:pPr>
            <w:r w:rsidRPr="007A5455">
              <w:rPr>
                <w:rFonts w:cs="Times New Roman"/>
                <w:sz w:val="20"/>
                <w:szCs w:val="20"/>
              </w:rPr>
              <w:t>issue</w:t>
            </w: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r w:rsidRPr="007A5455">
              <w:rPr>
                <w:rFonts w:cs="Times New Roman"/>
                <w:sz w:val="20"/>
                <w:szCs w:val="20"/>
              </w:rPr>
              <w:t xml:space="preserve">Notices of discontinuance filed since </w:t>
            </w:r>
          </w:p>
          <w:p w:rsidR="0095096B" w:rsidRPr="007A5455" w:rsidRDefault="0095096B" w:rsidP="0095096B">
            <w:pPr>
              <w:tabs>
                <w:tab w:val="right" w:pos="9360"/>
              </w:tabs>
              <w:rPr>
                <w:rFonts w:cs="Times New Roman"/>
                <w:sz w:val="20"/>
                <w:szCs w:val="20"/>
              </w:rPr>
            </w:pPr>
            <w:r w:rsidRPr="007A5455">
              <w:rPr>
                <w:rFonts w:cs="Times New Roman"/>
                <w:sz w:val="20"/>
                <w:szCs w:val="20"/>
              </w:rPr>
              <w:t>last issue</w:t>
            </w: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r w:rsidRPr="007A5455">
              <w:rPr>
                <w:rFonts w:cs="Times New Roman"/>
                <w:sz w:val="20"/>
                <w:szCs w:val="20"/>
              </w:rPr>
              <w:t>Appeals heard since last issue and disposition</w:t>
            </w: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r w:rsidRPr="007A5455">
              <w:rPr>
                <w:rFonts w:cs="Times New Roman"/>
                <w:sz w:val="20"/>
                <w:szCs w:val="20"/>
              </w:rPr>
              <w:t>Pronouncements of appeals reserved</w:t>
            </w: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p>
          <w:p w:rsidR="0095096B" w:rsidRPr="007A5455" w:rsidRDefault="0095096B" w:rsidP="0095096B">
            <w:pPr>
              <w:tabs>
                <w:tab w:val="right" w:pos="9360"/>
              </w:tabs>
              <w:rPr>
                <w:rFonts w:cs="Times New Roman"/>
                <w:sz w:val="20"/>
                <w:szCs w:val="20"/>
              </w:rPr>
            </w:pPr>
            <w:r w:rsidRPr="007A5455">
              <w:rPr>
                <w:rFonts w:cs="Times New Roman"/>
                <w:sz w:val="20"/>
                <w:szCs w:val="20"/>
              </w:rPr>
              <w:t>Headnotes of recent judgments</w:t>
            </w:r>
          </w:p>
          <w:p w:rsidR="00A87207" w:rsidRPr="007A5455" w:rsidRDefault="00A87207" w:rsidP="00BB7272">
            <w:pPr>
              <w:tabs>
                <w:tab w:val="right" w:pos="9360"/>
              </w:tabs>
              <w:rPr>
                <w:rFonts w:cs="Times New Roman"/>
                <w:sz w:val="20"/>
                <w:szCs w:val="20"/>
              </w:rPr>
            </w:pPr>
          </w:p>
        </w:tc>
        <w:tc>
          <w:tcPr>
            <w:tcW w:w="1980" w:type="dxa"/>
          </w:tcPr>
          <w:p w:rsidR="0095096B" w:rsidRPr="007A5455" w:rsidRDefault="00981ACA" w:rsidP="0095096B">
            <w:pPr>
              <w:jc w:val="center"/>
              <w:rPr>
                <w:rFonts w:cs="Times New Roman"/>
                <w:sz w:val="20"/>
                <w:szCs w:val="20"/>
              </w:rPr>
            </w:pPr>
            <w:r w:rsidRPr="007A5455">
              <w:rPr>
                <w:rFonts w:cs="Times New Roman"/>
                <w:sz w:val="20"/>
                <w:szCs w:val="20"/>
              </w:rPr>
              <w:t xml:space="preserve">1850 </w:t>
            </w:r>
            <w:r w:rsidR="000E27A5" w:rsidRPr="007A5455">
              <w:rPr>
                <w:rFonts w:cs="Times New Roman"/>
                <w:sz w:val="20"/>
                <w:szCs w:val="20"/>
              </w:rPr>
              <w:fldChar w:fldCharType="begin"/>
            </w:r>
            <w:r w:rsidR="0095096B" w:rsidRPr="007A5455">
              <w:rPr>
                <w:rFonts w:cs="Times New Roman"/>
                <w:sz w:val="20"/>
                <w:szCs w:val="20"/>
              </w:rPr>
              <w:instrText xml:space="preserve"> SEQ CHAPTER \h \r 1</w:instrText>
            </w:r>
            <w:r w:rsidR="000E27A5" w:rsidRPr="007A5455">
              <w:rPr>
                <w:rFonts w:cs="Times New Roman"/>
                <w:sz w:val="20"/>
                <w:szCs w:val="20"/>
              </w:rPr>
              <w:fldChar w:fldCharType="end"/>
            </w:r>
            <w:r w:rsidR="0095096B" w:rsidRPr="007A5455">
              <w:rPr>
                <w:rFonts w:cs="Times New Roman"/>
                <w:sz w:val="20"/>
                <w:szCs w:val="20"/>
              </w:rPr>
              <w:t>-</w:t>
            </w:r>
            <w:r w:rsidRPr="007A5455">
              <w:rPr>
                <w:rFonts w:cs="Times New Roman"/>
                <w:sz w:val="20"/>
                <w:szCs w:val="20"/>
              </w:rPr>
              <w:t xml:space="preserve"> 1851</w:t>
            </w:r>
          </w:p>
          <w:p w:rsidR="0095096B" w:rsidRPr="007A5455" w:rsidRDefault="0095096B" w:rsidP="0095096B">
            <w:pPr>
              <w:jc w:val="center"/>
              <w:rPr>
                <w:rFonts w:cs="Times New Roman"/>
                <w:sz w:val="20"/>
                <w:szCs w:val="20"/>
              </w:rPr>
            </w:pPr>
          </w:p>
          <w:p w:rsidR="0095096B" w:rsidRPr="007A5455" w:rsidRDefault="0095096B" w:rsidP="0095096B">
            <w:pPr>
              <w:jc w:val="center"/>
              <w:rPr>
                <w:rFonts w:cs="Times New Roman"/>
                <w:sz w:val="20"/>
                <w:szCs w:val="20"/>
              </w:rPr>
            </w:pPr>
          </w:p>
          <w:p w:rsidR="0095096B" w:rsidRPr="007A5455" w:rsidRDefault="00981ACA" w:rsidP="0095096B">
            <w:pPr>
              <w:jc w:val="center"/>
              <w:rPr>
                <w:rFonts w:cs="Times New Roman"/>
                <w:sz w:val="20"/>
                <w:szCs w:val="20"/>
              </w:rPr>
            </w:pPr>
            <w:r w:rsidRPr="007A5455">
              <w:rPr>
                <w:rFonts w:cs="Times New Roman"/>
                <w:sz w:val="20"/>
                <w:szCs w:val="20"/>
              </w:rPr>
              <w:t>1852</w:t>
            </w:r>
          </w:p>
          <w:p w:rsidR="0095096B" w:rsidRPr="007A5455" w:rsidRDefault="0095096B" w:rsidP="0095096B">
            <w:pPr>
              <w:jc w:val="center"/>
              <w:rPr>
                <w:rFonts w:cs="Times New Roman"/>
                <w:sz w:val="20"/>
                <w:szCs w:val="20"/>
              </w:rPr>
            </w:pPr>
          </w:p>
          <w:p w:rsidR="0095096B" w:rsidRPr="007A5455" w:rsidRDefault="0095096B" w:rsidP="0095096B">
            <w:pPr>
              <w:jc w:val="center"/>
              <w:rPr>
                <w:rFonts w:cs="Times New Roman"/>
                <w:sz w:val="20"/>
                <w:szCs w:val="20"/>
              </w:rPr>
            </w:pPr>
          </w:p>
          <w:p w:rsidR="0095096B" w:rsidRPr="007A5455" w:rsidRDefault="00981ACA" w:rsidP="0095096B">
            <w:pPr>
              <w:jc w:val="center"/>
              <w:rPr>
                <w:rFonts w:cs="Times New Roman"/>
                <w:sz w:val="20"/>
                <w:szCs w:val="20"/>
              </w:rPr>
            </w:pPr>
            <w:r w:rsidRPr="007A5455">
              <w:rPr>
                <w:rFonts w:cs="Times New Roman"/>
                <w:sz w:val="20"/>
                <w:szCs w:val="20"/>
              </w:rPr>
              <w:t xml:space="preserve">1853 </w:t>
            </w:r>
            <w:r w:rsidR="0095096B" w:rsidRPr="007A5455">
              <w:rPr>
                <w:rFonts w:cs="Times New Roman"/>
                <w:sz w:val="20"/>
                <w:szCs w:val="20"/>
              </w:rPr>
              <w:t>-</w:t>
            </w:r>
            <w:r w:rsidRPr="007A5455">
              <w:rPr>
                <w:rFonts w:cs="Times New Roman"/>
                <w:sz w:val="20"/>
                <w:szCs w:val="20"/>
              </w:rPr>
              <w:t xml:space="preserve"> 1874</w:t>
            </w:r>
          </w:p>
          <w:p w:rsidR="0095096B" w:rsidRPr="007A5455" w:rsidRDefault="0095096B" w:rsidP="0095096B">
            <w:pPr>
              <w:jc w:val="center"/>
              <w:rPr>
                <w:rFonts w:cs="Times New Roman"/>
                <w:sz w:val="20"/>
                <w:szCs w:val="20"/>
              </w:rPr>
            </w:pPr>
          </w:p>
          <w:p w:rsidR="00A62665" w:rsidRPr="007A5455" w:rsidRDefault="00A62665" w:rsidP="0095096B">
            <w:pPr>
              <w:jc w:val="center"/>
              <w:rPr>
                <w:rFonts w:cs="Times New Roman"/>
                <w:sz w:val="20"/>
                <w:szCs w:val="20"/>
              </w:rPr>
            </w:pPr>
          </w:p>
          <w:p w:rsidR="0095096B" w:rsidRPr="007A5455" w:rsidRDefault="00981ACA" w:rsidP="0095096B">
            <w:pPr>
              <w:jc w:val="center"/>
              <w:rPr>
                <w:rFonts w:cs="Times New Roman"/>
                <w:sz w:val="20"/>
                <w:szCs w:val="20"/>
              </w:rPr>
            </w:pPr>
            <w:r w:rsidRPr="007A5455">
              <w:rPr>
                <w:rFonts w:cs="Times New Roman"/>
                <w:sz w:val="20"/>
                <w:szCs w:val="20"/>
              </w:rPr>
              <w:t xml:space="preserve">1875 </w:t>
            </w:r>
            <w:r w:rsidR="0095096B" w:rsidRPr="007A5455">
              <w:rPr>
                <w:rFonts w:cs="Times New Roman"/>
                <w:sz w:val="20"/>
                <w:szCs w:val="20"/>
              </w:rPr>
              <w:t>-</w:t>
            </w:r>
            <w:r w:rsidRPr="007A5455">
              <w:rPr>
                <w:rFonts w:cs="Times New Roman"/>
                <w:sz w:val="20"/>
                <w:szCs w:val="20"/>
              </w:rPr>
              <w:t xml:space="preserve"> 1876</w:t>
            </w:r>
          </w:p>
          <w:p w:rsidR="0095096B" w:rsidRPr="007A5455" w:rsidRDefault="0095096B" w:rsidP="0095096B">
            <w:pPr>
              <w:jc w:val="center"/>
              <w:rPr>
                <w:rFonts w:cs="Times New Roman"/>
                <w:sz w:val="20"/>
                <w:szCs w:val="20"/>
              </w:rPr>
            </w:pPr>
          </w:p>
          <w:p w:rsidR="0095096B" w:rsidRPr="007A5455" w:rsidRDefault="00981ACA" w:rsidP="0095096B">
            <w:pPr>
              <w:jc w:val="center"/>
              <w:rPr>
                <w:rFonts w:cs="Times New Roman"/>
                <w:sz w:val="20"/>
                <w:szCs w:val="20"/>
              </w:rPr>
            </w:pPr>
            <w:r w:rsidRPr="007A5455">
              <w:rPr>
                <w:rFonts w:cs="Times New Roman"/>
                <w:sz w:val="20"/>
                <w:szCs w:val="20"/>
              </w:rPr>
              <w:t>1877</w:t>
            </w:r>
          </w:p>
          <w:p w:rsidR="0095096B" w:rsidRPr="007A5455" w:rsidRDefault="0095096B" w:rsidP="0095096B">
            <w:pPr>
              <w:jc w:val="center"/>
              <w:rPr>
                <w:rFonts w:cs="Times New Roman"/>
                <w:sz w:val="20"/>
                <w:szCs w:val="20"/>
              </w:rPr>
            </w:pPr>
          </w:p>
          <w:p w:rsidR="0095096B" w:rsidRPr="007A5455" w:rsidRDefault="0095096B" w:rsidP="0095096B">
            <w:pPr>
              <w:jc w:val="center"/>
              <w:rPr>
                <w:rFonts w:cs="Times New Roman"/>
                <w:sz w:val="20"/>
                <w:szCs w:val="20"/>
              </w:rPr>
            </w:pPr>
          </w:p>
          <w:p w:rsidR="0095096B" w:rsidRPr="007A5455" w:rsidRDefault="00981ACA" w:rsidP="0095096B">
            <w:pPr>
              <w:jc w:val="center"/>
              <w:rPr>
                <w:rFonts w:cs="Times New Roman"/>
                <w:sz w:val="20"/>
                <w:szCs w:val="20"/>
              </w:rPr>
            </w:pPr>
            <w:r w:rsidRPr="007A5455">
              <w:rPr>
                <w:rFonts w:cs="Times New Roman"/>
                <w:sz w:val="20"/>
                <w:szCs w:val="20"/>
              </w:rPr>
              <w:t>1878</w:t>
            </w:r>
          </w:p>
          <w:p w:rsidR="0095096B" w:rsidRPr="007A5455" w:rsidRDefault="0095096B" w:rsidP="0095096B">
            <w:pPr>
              <w:jc w:val="center"/>
              <w:rPr>
                <w:rFonts w:cs="Times New Roman"/>
                <w:sz w:val="20"/>
                <w:szCs w:val="20"/>
              </w:rPr>
            </w:pPr>
          </w:p>
          <w:p w:rsidR="00A62665" w:rsidRPr="007A5455" w:rsidRDefault="00A62665" w:rsidP="0095096B">
            <w:pPr>
              <w:jc w:val="center"/>
              <w:rPr>
                <w:rFonts w:cs="Times New Roman"/>
                <w:sz w:val="20"/>
                <w:szCs w:val="20"/>
              </w:rPr>
            </w:pPr>
          </w:p>
          <w:p w:rsidR="0095096B" w:rsidRPr="007A5455" w:rsidRDefault="00BB7272" w:rsidP="0095096B">
            <w:pPr>
              <w:jc w:val="center"/>
              <w:rPr>
                <w:rFonts w:cs="Times New Roman"/>
                <w:sz w:val="20"/>
                <w:szCs w:val="20"/>
              </w:rPr>
            </w:pPr>
            <w:r w:rsidRPr="007A5455">
              <w:rPr>
                <w:rFonts w:cs="Times New Roman"/>
                <w:sz w:val="20"/>
                <w:szCs w:val="20"/>
              </w:rPr>
              <w:t xml:space="preserve">1879 </w:t>
            </w:r>
            <w:r w:rsidR="0095096B" w:rsidRPr="007A5455">
              <w:rPr>
                <w:rFonts w:cs="Times New Roman"/>
                <w:sz w:val="20"/>
                <w:szCs w:val="20"/>
              </w:rPr>
              <w:t>-</w:t>
            </w:r>
            <w:r w:rsidRPr="007A5455">
              <w:rPr>
                <w:rFonts w:cs="Times New Roman"/>
                <w:sz w:val="20"/>
                <w:szCs w:val="20"/>
              </w:rPr>
              <w:t xml:space="preserve"> 1881</w:t>
            </w:r>
          </w:p>
          <w:p w:rsidR="0095096B" w:rsidRPr="007A5455" w:rsidRDefault="0095096B" w:rsidP="0095096B">
            <w:pPr>
              <w:jc w:val="center"/>
              <w:rPr>
                <w:rFonts w:cs="Times New Roman"/>
                <w:sz w:val="20"/>
                <w:szCs w:val="20"/>
              </w:rPr>
            </w:pPr>
          </w:p>
          <w:p w:rsidR="00A62665" w:rsidRPr="007A5455" w:rsidRDefault="00A62665" w:rsidP="0095096B">
            <w:pPr>
              <w:jc w:val="center"/>
              <w:rPr>
                <w:rFonts w:cs="Times New Roman"/>
                <w:sz w:val="20"/>
                <w:szCs w:val="20"/>
              </w:rPr>
            </w:pPr>
          </w:p>
          <w:p w:rsidR="0095096B" w:rsidRPr="007A5455" w:rsidRDefault="00BB7272" w:rsidP="0095096B">
            <w:pPr>
              <w:jc w:val="center"/>
              <w:rPr>
                <w:rFonts w:cs="Times New Roman"/>
                <w:sz w:val="20"/>
                <w:szCs w:val="20"/>
              </w:rPr>
            </w:pPr>
            <w:r w:rsidRPr="007A5455">
              <w:rPr>
                <w:rFonts w:cs="Times New Roman"/>
                <w:sz w:val="20"/>
                <w:szCs w:val="20"/>
              </w:rPr>
              <w:t>1882</w:t>
            </w:r>
          </w:p>
          <w:p w:rsidR="0095096B" w:rsidRPr="007A5455" w:rsidRDefault="0095096B" w:rsidP="0095096B">
            <w:pPr>
              <w:jc w:val="center"/>
              <w:rPr>
                <w:rFonts w:cs="Times New Roman"/>
                <w:sz w:val="20"/>
                <w:szCs w:val="20"/>
              </w:rPr>
            </w:pPr>
          </w:p>
          <w:p w:rsidR="00A62665" w:rsidRPr="007A5455" w:rsidRDefault="00A62665" w:rsidP="0095096B">
            <w:pPr>
              <w:jc w:val="center"/>
              <w:rPr>
                <w:rFonts w:cs="Times New Roman"/>
                <w:sz w:val="20"/>
                <w:szCs w:val="20"/>
              </w:rPr>
            </w:pPr>
          </w:p>
          <w:p w:rsidR="0095096B" w:rsidRPr="007A5455" w:rsidRDefault="00BB7272" w:rsidP="0095096B">
            <w:pPr>
              <w:jc w:val="center"/>
              <w:rPr>
                <w:rFonts w:cs="Times New Roman"/>
                <w:sz w:val="20"/>
                <w:szCs w:val="20"/>
              </w:rPr>
            </w:pPr>
            <w:r w:rsidRPr="007A5455">
              <w:rPr>
                <w:rFonts w:cs="Times New Roman"/>
                <w:sz w:val="20"/>
                <w:szCs w:val="20"/>
              </w:rPr>
              <w:t xml:space="preserve">1883 </w:t>
            </w:r>
            <w:r w:rsidR="0095096B" w:rsidRPr="007A5455">
              <w:rPr>
                <w:rFonts w:cs="Times New Roman"/>
                <w:sz w:val="20"/>
                <w:szCs w:val="20"/>
              </w:rPr>
              <w:t>-</w:t>
            </w:r>
            <w:r w:rsidRPr="007A5455">
              <w:rPr>
                <w:rFonts w:cs="Times New Roman"/>
                <w:sz w:val="20"/>
                <w:szCs w:val="20"/>
              </w:rPr>
              <w:t xml:space="preserve"> 19</w:t>
            </w:r>
            <w:r w:rsidR="009A4281" w:rsidRPr="007A5455">
              <w:rPr>
                <w:rFonts w:cs="Times New Roman"/>
                <w:sz w:val="20"/>
                <w:szCs w:val="20"/>
              </w:rPr>
              <w:t>03</w:t>
            </w:r>
          </w:p>
          <w:p w:rsidR="00A87207" w:rsidRPr="007A5455" w:rsidRDefault="00A87207" w:rsidP="00BB7272">
            <w:pPr>
              <w:rPr>
                <w:rFonts w:cs="Times New Roman"/>
                <w:sz w:val="20"/>
                <w:szCs w:val="20"/>
              </w:rPr>
            </w:pPr>
          </w:p>
        </w:tc>
        <w:tc>
          <w:tcPr>
            <w:tcW w:w="3888" w:type="dxa"/>
          </w:tcPr>
          <w:p w:rsidR="0095096B" w:rsidRPr="007A5455" w:rsidRDefault="000E27A5" w:rsidP="0095096B">
            <w:pPr>
              <w:rPr>
                <w:rFonts w:cs="Times New Roman"/>
                <w:sz w:val="20"/>
                <w:szCs w:val="20"/>
                <w:lang w:val="fr-CA"/>
              </w:rPr>
            </w:pPr>
            <w:r w:rsidRPr="007A5455">
              <w:rPr>
                <w:rFonts w:cs="Times New Roman"/>
                <w:sz w:val="20"/>
                <w:szCs w:val="20"/>
                <w:lang w:val="fr-CA"/>
              </w:rPr>
              <w:fldChar w:fldCharType="begin"/>
            </w:r>
            <w:r w:rsidR="0095096B" w:rsidRPr="007A5455">
              <w:rPr>
                <w:rFonts w:cs="Times New Roman"/>
                <w:sz w:val="20"/>
                <w:szCs w:val="20"/>
                <w:lang w:val="fr-CA"/>
              </w:rPr>
              <w:instrText xml:space="preserve"> SEQ CHAPTER \h \r 1</w:instrText>
            </w:r>
            <w:r w:rsidRPr="007A5455">
              <w:rPr>
                <w:rFonts w:cs="Times New Roman"/>
                <w:sz w:val="20"/>
                <w:szCs w:val="20"/>
                <w:lang w:val="fr-CA"/>
              </w:rPr>
              <w:fldChar w:fldCharType="end"/>
            </w:r>
            <w:r w:rsidR="0095096B" w:rsidRPr="007A5455">
              <w:rPr>
                <w:rFonts w:cs="Times New Roman"/>
                <w:sz w:val="20"/>
                <w:szCs w:val="20"/>
                <w:lang w:val="fr-CA"/>
              </w:rPr>
              <w:t>Demandes d</w:t>
            </w:r>
            <w:r w:rsidR="004137A0" w:rsidRPr="007A5455">
              <w:rPr>
                <w:rFonts w:cs="Times New Roman"/>
                <w:sz w:val="20"/>
                <w:szCs w:val="20"/>
                <w:lang w:val="fr-CA"/>
              </w:rPr>
              <w:t>’</w:t>
            </w:r>
            <w:r w:rsidR="0095096B" w:rsidRPr="007A5455">
              <w:rPr>
                <w:rFonts w:cs="Times New Roman"/>
                <w:sz w:val="20"/>
                <w:szCs w:val="20"/>
                <w:lang w:val="fr-CA"/>
              </w:rPr>
              <w:t>autorisation d</w:t>
            </w:r>
            <w:r w:rsidR="004137A0" w:rsidRPr="007A5455">
              <w:rPr>
                <w:rFonts w:cs="Times New Roman"/>
                <w:sz w:val="20"/>
                <w:szCs w:val="20"/>
                <w:lang w:val="fr-CA"/>
              </w:rPr>
              <w:t>’</w:t>
            </w:r>
            <w:r w:rsidR="0095096B" w:rsidRPr="007A5455">
              <w:rPr>
                <w:rFonts w:cs="Times New Roman"/>
                <w:sz w:val="20"/>
                <w:szCs w:val="20"/>
                <w:lang w:val="fr-CA"/>
              </w:rPr>
              <w:t xml:space="preserve">appel </w:t>
            </w:r>
          </w:p>
          <w:p w:rsidR="0095096B" w:rsidRPr="007A5455" w:rsidRDefault="0095096B" w:rsidP="0095096B">
            <w:pPr>
              <w:rPr>
                <w:rFonts w:cs="Times New Roman"/>
                <w:sz w:val="20"/>
                <w:szCs w:val="20"/>
                <w:lang w:val="fr-CA"/>
              </w:rPr>
            </w:pPr>
            <w:r w:rsidRPr="007A5455">
              <w:rPr>
                <w:rFonts w:cs="Times New Roman"/>
                <w:sz w:val="20"/>
                <w:szCs w:val="20"/>
                <w:lang w:val="fr-CA"/>
              </w:rPr>
              <w:t>déposées</w:t>
            </w:r>
          </w:p>
          <w:p w:rsidR="0095096B" w:rsidRPr="007A5455" w:rsidRDefault="0095096B" w:rsidP="0095096B">
            <w:pPr>
              <w:rPr>
                <w:rFonts w:cs="Times New Roman"/>
                <w:sz w:val="20"/>
                <w:szCs w:val="20"/>
                <w:lang w:val="fr-CA"/>
              </w:rPr>
            </w:pPr>
          </w:p>
          <w:p w:rsidR="0095096B" w:rsidRPr="007A5455" w:rsidRDefault="0095096B" w:rsidP="0095096B">
            <w:pPr>
              <w:rPr>
                <w:rFonts w:cs="Times New Roman"/>
                <w:sz w:val="20"/>
                <w:szCs w:val="20"/>
                <w:lang w:val="fr-CA"/>
              </w:rPr>
            </w:pPr>
            <w:r w:rsidRPr="007A5455">
              <w:rPr>
                <w:rFonts w:cs="Times New Roman"/>
                <w:sz w:val="20"/>
                <w:szCs w:val="20"/>
                <w:lang w:val="fr-CA"/>
              </w:rPr>
              <w:t xml:space="preserve">Demandes soumises à la Cour depuis la </w:t>
            </w:r>
          </w:p>
          <w:p w:rsidR="0095096B" w:rsidRPr="007A5455" w:rsidRDefault="0095096B" w:rsidP="0095096B">
            <w:pPr>
              <w:rPr>
                <w:rFonts w:cs="Times New Roman"/>
                <w:sz w:val="20"/>
                <w:szCs w:val="20"/>
                <w:lang w:val="fr-CA"/>
              </w:rPr>
            </w:pPr>
            <w:r w:rsidRPr="007A5455">
              <w:rPr>
                <w:rFonts w:cs="Times New Roman"/>
                <w:sz w:val="20"/>
                <w:szCs w:val="20"/>
                <w:lang w:val="fr-CA"/>
              </w:rPr>
              <w:t>dernière parution</w:t>
            </w:r>
          </w:p>
          <w:p w:rsidR="0095096B" w:rsidRPr="007A5455" w:rsidRDefault="0095096B" w:rsidP="0095096B">
            <w:pPr>
              <w:rPr>
                <w:rFonts w:cs="Times New Roman"/>
                <w:sz w:val="20"/>
                <w:szCs w:val="20"/>
                <w:lang w:val="fr-CA"/>
              </w:rPr>
            </w:pPr>
          </w:p>
          <w:p w:rsidR="0095096B" w:rsidRPr="007A5455" w:rsidRDefault="0095096B" w:rsidP="0095096B">
            <w:pPr>
              <w:rPr>
                <w:rFonts w:cs="Times New Roman"/>
                <w:sz w:val="20"/>
                <w:szCs w:val="20"/>
                <w:lang w:val="fr-CA"/>
              </w:rPr>
            </w:pPr>
            <w:r w:rsidRPr="007A5455">
              <w:rPr>
                <w:rFonts w:cs="Times New Roman"/>
                <w:sz w:val="20"/>
                <w:szCs w:val="20"/>
                <w:lang w:val="fr-CA"/>
              </w:rPr>
              <w:t xml:space="preserve">Jugements rendus sur les demandes </w:t>
            </w:r>
          </w:p>
          <w:p w:rsidR="0095096B" w:rsidRPr="007A5455" w:rsidRDefault="004137A0" w:rsidP="0095096B">
            <w:pPr>
              <w:rPr>
                <w:rFonts w:cs="Times New Roman"/>
                <w:sz w:val="20"/>
                <w:szCs w:val="20"/>
                <w:lang w:val="fr-CA"/>
              </w:rPr>
            </w:pPr>
            <w:r w:rsidRPr="007A5455">
              <w:rPr>
                <w:rFonts w:cs="Times New Roman"/>
                <w:sz w:val="20"/>
                <w:szCs w:val="20"/>
                <w:lang w:val="fr-CA"/>
              </w:rPr>
              <w:t>d’</w:t>
            </w:r>
            <w:r w:rsidR="0095096B" w:rsidRPr="007A5455">
              <w:rPr>
                <w:rFonts w:cs="Times New Roman"/>
                <w:sz w:val="20"/>
                <w:szCs w:val="20"/>
                <w:lang w:val="fr-CA"/>
              </w:rPr>
              <w:t>autorisation</w:t>
            </w:r>
          </w:p>
          <w:p w:rsidR="0095096B" w:rsidRPr="007A5455" w:rsidRDefault="0095096B" w:rsidP="0095096B">
            <w:pPr>
              <w:rPr>
                <w:rFonts w:cs="Times New Roman"/>
                <w:sz w:val="20"/>
                <w:szCs w:val="20"/>
                <w:lang w:val="fr-CA"/>
              </w:rPr>
            </w:pPr>
          </w:p>
          <w:p w:rsidR="0095096B" w:rsidRPr="007A5455" w:rsidRDefault="0095096B" w:rsidP="0095096B">
            <w:pPr>
              <w:rPr>
                <w:rFonts w:cs="Times New Roman"/>
                <w:sz w:val="20"/>
                <w:szCs w:val="20"/>
                <w:lang w:val="fr-CA"/>
              </w:rPr>
            </w:pPr>
            <w:r w:rsidRPr="007A5455">
              <w:rPr>
                <w:rFonts w:cs="Times New Roman"/>
                <w:sz w:val="20"/>
                <w:szCs w:val="20"/>
                <w:lang w:val="fr-CA"/>
              </w:rPr>
              <w:t>Requêtes</w:t>
            </w:r>
          </w:p>
          <w:p w:rsidR="0095096B" w:rsidRPr="007A5455" w:rsidRDefault="0095096B" w:rsidP="0095096B">
            <w:pPr>
              <w:rPr>
                <w:rFonts w:cs="Times New Roman"/>
                <w:sz w:val="20"/>
                <w:szCs w:val="20"/>
                <w:lang w:val="fr-CA"/>
              </w:rPr>
            </w:pPr>
          </w:p>
          <w:p w:rsidR="0095096B" w:rsidRPr="007A5455" w:rsidRDefault="0095096B" w:rsidP="0095096B">
            <w:pPr>
              <w:rPr>
                <w:rFonts w:cs="Times New Roman"/>
                <w:sz w:val="20"/>
                <w:szCs w:val="20"/>
                <w:lang w:val="fr-CA"/>
              </w:rPr>
            </w:pPr>
            <w:r w:rsidRPr="007A5455">
              <w:rPr>
                <w:rFonts w:cs="Times New Roman"/>
                <w:sz w:val="20"/>
                <w:szCs w:val="20"/>
                <w:lang w:val="fr-CA"/>
              </w:rPr>
              <w:t>Avis d</w:t>
            </w:r>
            <w:r w:rsidR="004137A0" w:rsidRPr="007A5455">
              <w:rPr>
                <w:rFonts w:cs="Times New Roman"/>
                <w:sz w:val="20"/>
                <w:szCs w:val="20"/>
                <w:lang w:val="fr-CA"/>
              </w:rPr>
              <w:t>’</w:t>
            </w:r>
            <w:r w:rsidRPr="007A5455">
              <w:rPr>
                <w:rFonts w:cs="Times New Roman"/>
                <w:sz w:val="20"/>
                <w:szCs w:val="20"/>
                <w:lang w:val="fr-CA"/>
              </w:rPr>
              <w:t xml:space="preserve">appel déposés depuis la dernière </w:t>
            </w:r>
          </w:p>
          <w:p w:rsidR="0095096B" w:rsidRPr="007A5455" w:rsidRDefault="0095096B" w:rsidP="0095096B">
            <w:pPr>
              <w:rPr>
                <w:rFonts w:cs="Times New Roman"/>
                <w:sz w:val="20"/>
                <w:szCs w:val="20"/>
                <w:lang w:val="fr-CA"/>
              </w:rPr>
            </w:pPr>
            <w:r w:rsidRPr="007A5455">
              <w:rPr>
                <w:rFonts w:cs="Times New Roman"/>
                <w:sz w:val="20"/>
                <w:szCs w:val="20"/>
                <w:lang w:val="fr-CA"/>
              </w:rPr>
              <w:t>parution</w:t>
            </w:r>
          </w:p>
          <w:p w:rsidR="0095096B" w:rsidRPr="007A5455" w:rsidRDefault="0095096B" w:rsidP="0095096B">
            <w:pPr>
              <w:rPr>
                <w:rFonts w:cs="Times New Roman"/>
                <w:sz w:val="20"/>
                <w:szCs w:val="20"/>
                <w:lang w:val="fr-CA"/>
              </w:rPr>
            </w:pPr>
          </w:p>
          <w:p w:rsidR="0095096B" w:rsidRPr="007A5455" w:rsidRDefault="0095096B" w:rsidP="0095096B">
            <w:pPr>
              <w:rPr>
                <w:rFonts w:cs="Times New Roman"/>
                <w:sz w:val="20"/>
                <w:szCs w:val="20"/>
                <w:lang w:val="fr-CA"/>
              </w:rPr>
            </w:pPr>
            <w:r w:rsidRPr="007A5455">
              <w:rPr>
                <w:rFonts w:cs="Times New Roman"/>
                <w:sz w:val="20"/>
                <w:szCs w:val="20"/>
                <w:lang w:val="fr-CA"/>
              </w:rPr>
              <w:t>Avis de désistement déposés depuis la dernière parution</w:t>
            </w:r>
          </w:p>
          <w:p w:rsidR="0095096B" w:rsidRPr="007A5455" w:rsidRDefault="0095096B" w:rsidP="0095096B">
            <w:pPr>
              <w:rPr>
                <w:rFonts w:cs="Times New Roman"/>
                <w:sz w:val="20"/>
                <w:szCs w:val="20"/>
                <w:lang w:val="fr-CA"/>
              </w:rPr>
            </w:pPr>
          </w:p>
          <w:p w:rsidR="0095096B" w:rsidRPr="007A5455" w:rsidRDefault="0095096B" w:rsidP="0095096B">
            <w:pPr>
              <w:rPr>
                <w:rFonts w:cs="Times New Roman"/>
                <w:sz w:val="20"/>
                <w:szCs w:val="20"/>
                <w:lang w:val="fr-CA"/>
              </w:rPr>
            </w:pPr>
            <w:r w:rsidRPr="007A5455">
              <w:rPr>
                <w:rFonts w:cs="Times New Roman"/>
                <w:sz w:val="20"/>
                <w:szCs w:val="20"/>
                <w:lang w:val="fr-CA"/>
              </w:rPr>
              <w:t xml:space="preserve">Appels entendus depuis la dernière </w:t>
            </w:r>
          </w:p>
          <w:p w:rsidR="0095096B" w:rsidRPr="007A5455" w:rsidRDefault="0095096B" w:rsidP="0095096B">
            <w:pPr>
              <w:rPr>
                <w:rFonts w:cs="Times New Roman"/>
                <w:sz w:val="20"/>
                <w:szCs w:val="20"/>
                <w:lang w:val="fr-CA"/>
              </w:rPr>
            </w:pPr>
            <w:r w:rsidRPr="007A5455">
              <w:rPr>
                <w:rFonts w:cs="Times New Roman"/>
                <w:sz w:val="20"/>
                <w:szCs w:val="20"/>
                <w:lang w:val="fr-CA"/>
              </w:rPr>
              <w:t>parution et résultat</w:t>
            </w:r>
          </w:p>
          <w:p w:rsidR="0095096B" w:rsidRPr="007A5455" w:rsidRDefault="0095096B" w:rsidP="0095096B">
            <w:pPr>
              <w:rPr>
                <w:rFonts w:cs="Times New Roman"/>
                <w:sz w:val="20"/>
                <w:szCs w:val="20"/>
                <w:lang w:val="fr-CA"/>
              </w:rPr>
            </w:pPr>
          </w:p>
          <w:p w:rsidR="0095096B" w:rsidRPr="007A5455" w:rsidRDefault="0095096B" w:rsidP="0095096B">
            <w:pPr>
              <w:rPr>
                <w:rFonts w:cs="Times New Roman"/>
                <w:sz w:val="20"/>
                <w:szCs w:val="20"/>
                <w:lang w:val="fr-CA"/>
              </w:rPr>
            </w:pPr>
            <w:r w:rsidRPr="007A5455">
              <w:rPr>
                <w:rFonts w:cs="Times New Roman"/>
                <w:sz w:val="20"/>
                <w:szCs w:val="20"/>
                <w:lang w:val="fr-CA"/>
              </w:rPr>
              <w:t xml:space="preserve">Jugements rendus sur les appels en </w:t>
            </w:r>
          </w:p>
          <w:p w:rsidR="0095096B" w:rsidRPr="007A5455" w:rsidRDefault="0095096B" w:rsidP="0095096B">
            <w:pPr>
              <w:rPr>
                <w:rFonts w:cs="Times New Roman"/>
                <w:sz w:val="20"/>
                <w:szCs w:val="20"/>
                <w:lang w:val="fr-CA"/>
              </w:rPr>
            </w:pPr>
            <w:r w:rsidRPr="007A5455">
              <w:rPr>
                <w:rFonts w:cs="Times New Roman"/>
                <w:sz w:val="20"/>
                <w:szCs w:val="20"/>
                <w:lang w:val="fr-CA"/>
              </w:rPr>
              <w:t>délibéré</w:t>
            </w:r>
          </w:p>
          <w:p w:rsidR="0095096B" w:rsidRPr="007A5455" w:rsidRDefault="0095096B" w:rsidP="0095096B">
            <w:pPr>
              <w:rPr>
                <w:rFonts w:cs="Times New Roman"/>
                <w:sz w:val="20"/>
                <w:szCs w:val="20"/>
                <w:lang w:val="fr-CA"/>
              </w:rPr>
            </w:pPr>
          </w:p>
          <w:p w:rsidR="0095096B" w:rsidRPr="007A5455" w:rsidRDefault="0095096B" w:rsidP="0095096B">
            <w:pPr>
              <w:rPr>
                <w:rFonts w:cs="Times New Roman"/>
                <w:sz w:val="20"/>
                <w:szCs w:val="20"/>
                <w:lang w:val="fr-CA"/>
              </w:rPr>
            </w:pPr>
            <w:r w:rsidRPr="007A5455">
              <w:rPr>
                <w:rFonts w:cs="Times New Roman"/>
                <w:sz w:val="20"/>
                <w:szCs w:val="20"/>
                <w:lang w:val="fr-CA"/>
              </w:rPr>
              <w:t xml:space="preserve">Sommaires de </w:t>
            </w:r>
            <w:r w:rsidR="00C50A5C" w:rsidRPr="007A5455">
              <w:rPr>
                <w:rFonts w:cs="Times New Roman"/>
                <w:sz w:val="20"/>
                <w:szCs w:val="20"/>
                <w:lang w:val="fr-CA"/>
              </w:rPr>
              <w:t>jugements récents</w:t>
            </w:r>
          </w:p>
          <w:p w:rsidR="00A87207" w:rsidRPr="007A5455" w:rsidRDefault="00A87207" w:rsidP="00BB7272">
            <w:pPr>
              <w:tabs>
                <w:tab w:val="right" w:pos="9360"/>
              </w:tabs>
              <w:rPr>
                <w:rFonts w:cs="Times New Roman"/>
                <w:sz w:val="20"/>
                <w:szCs w:val="20"/>
                <w:lang w:val="fr-CA"/>
              </w:rPr>
            </w:pPr>
          </w:p>
        </w:tc>
      </w:tr>
    </w:tbl>
    <w:p w:rsidR="0095096B" w:rsidRPr="007A5455"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A5455" w:rsidTr="0079724F">
        <w:tc>
          <w:tcPr>
            <w:tcW w:w="9576" w:type="dxa"/>
          </w:tcPr>
          <w:p w:rsidR="0079724F" w:rsidRPr="007A5455" w:rsidRDefault="0079724F" w:rsidP="00215F7C">
            <w:pPr>
              <w:keepNext/>
              <w:tabs>
                <w:tab w:val="right" w:pos="9360"/>
              </w:tabs>
              <w:jc w:val="center"/>
              <w:rPr>
                <w:szCs w:val="24"/>
              </w:rPr>
            </w:pPr>
            <w:r w:rsidRPr="007A5455">
              <w:rPr>
                <w:szCs w:val="24"/>
              </w:rPr>
              <w:t>NOTICE</w:t>
            </w:r>
          </w:p>
          <w:p w:rsidR="0079724F" w:rsidRPr="007A5455" w:rsidRDefault="0079724F" w:rsidP="00215F7C">
            <w:pPr>
              <w:keepNext/>
              <w:tabs>
                <w:tab w:val="right" w:pos="9360"/>
              </w:tabs>
              <w:rPr>
                <w:szCs w:val="24"/>
              </w:rPr>
            </w:pPr>
          </w:p>
          <w:p w:rsidR="0079724F" w:rsidRPr="007A5455" w:rsidRDefault="0079724F" w:rsidP="00215F7C">
            <w:pPr>
              <w:keepNext/>
              <w:tabs>
                <w:tab w:val="right" w:pos="9360"/>
              </w:tabs>
              <w:jc w:val="both"/>
              <w:rPr>
                <w:szCs w:val="24"/>
              </w:rPr>
            </w:pPr>
            <w:r w:rsidRPr="007A5455">
              <w:rPr>
                <w:szCs w:val="24"/>
              </w:rPr>
              <w:t>Case summaries included in the Bulletin are prepared by the Office of the Registrar of the Supreme Court of Canada (Law Branch) for information purposes only.</w:t>
            </w:r>
          </w:p>
          <w:p w:rsidR="0079724F" w:rsidRPr="007A5455" w:rsidRDefault="0079724F" w:rsidP="00215F7C">
            <w:pPr>
              <w:keepNext/>
              <w:tabs>
                <w:tab w:val="right" w:pos="9360"/>
              </w:tabs>
              <w:rPr>
                <w:szCs w:val="24"/>
              </w:rPr>
            </w:pPr>
          </w:p>
          <w:p w:rsidR="0079724F" w:rsidRPr="007A5455" w:rsidRDefault="0079724F" w:rsidP="00215F7C">
            <w:pPr>
              <w:keepNext/>
              <w:tabs>
                <w:tab w:val="right" w:pos="9360"/>
              </w:tabs>
              <w:rPr>
                <w:szCs w:val="24"/>
              </w:rPr>
            </w:pPr>
          </w:p>
          <w:p w:rsidR="0079724F" w:rsidRPr="007A5455" w:rsidRDefault="0079724F" w:rsidP="00215F7C">
            <w:pPr>
              <w:keepNext/>
              <w:tabs>
                <w:tab w:val="right" w:pos="9360"/>
              </w:tabs>
              <w:jc w:val="center"/>
              <w:rPr>
                <w:szCs w:val="24"/>
                <w:lang w:val="fr-CA"/>
              </w:rPr>
            </w:pPr>
            <w:r w:rsidRPr="007A5455">
              <w:rPr>
                <w:szCs w:val="24"/>
                <w:lang w:val="fr-CA"/>
              </w:rPr>
              <w:t>AVIS</w:t>
            </w:r>
          </w:p>
          <w:p w:rsidR="0079724F" w:rsidRPr="007A5455" w:rsidRDefault="0079724F" w:rsidP="00215F7C">
            <w:pPr>
              <w:keepNext/>
              <w:tabs>
                <w:tab w:val="right" w:pos="9360"/>
              </w:tabs>
              <w:rPr>
                <w:szCs w:val="24"/>
                <w:lang w:val="fr-CA"/>
              </w:rPr>
            </w:pPr>
          </w:p>
          <w:p w:rsidR="0079724F" w:rsidRPr="007A5455" w:rsidRDefault="0079724F" w:rsidP="00215F7C">
            <w:pPr>
              <w:keepNext/>
              <w:tabs>
                <w:tab w:val="right" w:pos="9360"/>
              </w:tabs>
              <w:jc w:val="both"/>
              <w:rPr>
                <w:sz w:val="20"/>
                <w:szCs w:val="20"/>
                <w:lang w:val="fr-CA"/>
              </w:rPr>
            </w:pPr>
            <w:r w:rsidRPr="007A5455">
              <w:rPr>
                <w:szCs w:val="24"/>
                <w:lang w:val="fr-CA"/>
              </w:rPr>
              <w:t>Les résumés de dossiers publiés dans le bulletin sont préparés par le Bureau du registraire (Direction générale du droit) uniquement à titre d’information.</w:t>
            </w:r>
          </w:p>
        </w:tc>
      </w:tr>
    </w:tbl>
    <w:p w:rsidR="0095096B" w:rsidRPr="007A5455" w:rsidRDefault="0095096B" w:rsidP="0095096B">
      <w:pPr>
        <w:tabs>
          <w:tab w:val="right" w:pos="9360"/>
        </w:tabs>
        <w:rPr>
          <w:lang w:val="fr-CA"/>
        </w:rPr>
      </w:pPr>
    </w:p>
    <w:p w:rsidR="00A87207" w:rsidRPr="007A5455" w:rsidRDefault="00A87207" w:rsidP="0095096B">
      <w:pPr>
        <w:tabs>
          <w:tab w:val="right" w:pos="9360"/>
        </w:tabs>
        <w:rPr>
          <w:lang w:val="fr-CA"/>
        </w:rPr>
        <w:sectPr w:rsidR="00A87207" w:rsidRPr="007A5455"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7A5455" w:rsidTr="00245129">
        <w:tc>
          <w:tcPr>
            <w:tcW w:w="4200" w:type="dxa"/>
            <w:shd w:val="clear" w:color="auto" w:fill="auto"/>
            <w:tcMar>
              <w:left w:w="0" w:type="dxa"/>
              <w:right w:w="0" w:type="dxa"/>
            </w:tcMar>
          </w:tcPr>
          <w:p w:rsidR="00A87207" w:rsidRPr="007A5455" w:rsidRDefault="00A87207" w:rsidP="00BA6468">
            <w:pPr>
              <w:rPr>
                <w:rFonts w:eastAsia="Times New Roman" w:cs="Times New Roman"/>
                <w:b/>
                <w:sz w:val="20"/>
                <w:szCs w:val="20"/>
                <w:lang w:eastAsia="en-CA"/>
              </w:rPr>
            </w:pPr>
            <w:r w:rsidRPr="007A5455">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7A5455" w:rsidRDefault="00A87207" w:rsidP="002E2327">
            <w:pPr>
              <w:jc w:val="center"/>
              <w:rPr>
                <w:rFonts w:eastAsia="Times New Roman" w:cs="Times New Roman"/>
                <w:b/>
                <w:sz w:val="20"/>
                <w:szCs w:val="20"/>
                <w:lang w:eastAsia="en-CA"/>
              </w:rPr>
            </w:pPr>
          </w:p>
          <w:p w:rsidR="00A87207" w:rsidRPr="007A5455" w:rsidRDefault="00A87207" w:rsidP="002E2327">
            <w:pPr>
              <w:jc w:val="center"/>
              <w:rPr>
                <w:rFonts w:eastAsia="Times New Roman" w:cs="Times New Roman"/>
                <w:b/>
                <w:sz w:val="20"/>
                <w:szCs w:val="20"/>
                <w:lang w:eastAsia="en-CA"/>
              </w:rPr>
            </w:pPr>
          </w:p>
          <w:p w:rsidR="00A87207" w:rsidRPr="007A5455"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7A5455" w:rsidRDefault="00A87207" w:rsidP="00A87207">
            <w:pPr>
              <w:rPr>
                <w:rFonts w:eastAsia="Times New Roman" w:cs="Times New Roman"/>
                <w:b/>
                <w:sz w:val="20"/>
                <w:szCs w:val="20"/>
                <w:lang w:val="fr-CA" w:eastAsia="en-CA"/>
              </w:rPr>
            </w:pPr>
            <w:r w:rsidRPr="007A5455">
              <w:rPr>
                <w:rFonts w:eastAsia="Times New Roman" w:cs="Times New Roman"/>
                <w:b/>
                <w:szCs w:val="20"/>
                <w:lang w:val="fr-CA" w:eastAsia="en-CA"/>
              </w:rPr>
              <w:t>DEMANDES D’AUTORISATION D’APPEL DÉPOSÉES</w:t>
            </w:r>
          </w:p>
        </w:tc>
      </w:tr>
    </w:tbl>
    <w:p w:rsidR="00A87207" w:rsidRPr="007A5455"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7A5455" w:rsidTr="003B3977">
        <w:tc>
          <w:tcPr>
            <w:tcW w:w="4320" w:type="dxa"/>
            <w:shd w:val="clear" w:color="auto" w:fill="auto"/>
          </w:tcPr>
          <w:p w:rsidR="00C21644" w:rsidRPr="007A5455" w:rsidRDefault="00C65022" w:rsidP="005F1ED8">
            <w:pPr>
              <w:rPr>
                <w:b/>
                <w:sz w:val="20"/>
                <w:szCs w:val="20"/>
              </w:rPr>
            </w:pPr>
            <w:r w:rsidRPr="007A5455">
              <w:rPr>
                <w:b/>
                <w:sz w:val="20"/>
                <w:szCs w:val="20"/>
              </w:rPr>
              <w:t>X.M.V.</w:t>
            </w:r>
          </w:p>
          <w:p w:rsidR="00C21644" w:rsidRPr="007A5455" w:rsidRDefault="00C21644" w:rsidP="005F1ED8">
            <w:pPr>
              <w:tabs>
                <w:tab w:val="left" w:pos="-1440"/>
                <w:tab w:val="left" w:pos="-720"/>
              </w:tabs>
              <w:rPr>
                <w:sz w:val="20"/>
                <w:szCs w:val="20"/>
              </w:rPr>
            </w:pPr>
            <w:r w:rsidRPr="007A5455">
              <w:rPr>
                <w:sz w:val="20"/>
                <w:szCs w:val="20"/>
              </w:rPr>
              <w:tab/>
            </w:r>
            <w:r w:rsidR="00C65022" w:rsidRPr="007A5455">
              <w:rPr>
                <w:sz w:val="20"/>
                <w:szCs w:val="20"/>
              </w:rPr>
              <w:t>Guillaume Benoit-Gagné</w:t>
            </w:r>
          </w:p>
          <w:p w:rsidR="00C21644" w:rsidRPr="007A5455" w:rsidRDefault="00C21644" w:rsidP="005F1ED8">
            <w:pPr>
              <w:tabs>
                <w:tab w:val="left" w:pos="-1440"/>
                <w:tab w:val="left" w:pos="-720"/>
              </w:tabs>
              <w:rPr>
                <w:sz w:val="20"/>
                <w:szCs w:val="20"/>
                <w:lang w:val="fr-CA"/>
              </w:rPr>
            </w:pPr>
            <w:r w:rsidRPr="007A5455">
              <w:rPr>
                <w:sz w:val="20"/>
                <w:szCs w:val="20"/>
              </w:rPr>
              <w:tab/>
            </w:r>
            <w:r w:rsidR="00C65022" w:rsidRPr="007A5455">
              <w:rPr>
                <w:sz w:val="20"/>
                <w:szCs w:val="20"/>
              </w:rPr>
              <w:t xml:space="preserve">Gauthier &amp; </w:t>
            </w:r>
            <w:proofErr w:type="spellStart"/>
            <w:r w:rsidR="00C65022" w:rsidRPr="007A5455">
              <w:rPr>
                <w:sz w:val="20"/>
                <w:szCs w:val="20"/>
              </w:rPr>
              <w:t>Cordeau</w:t>
            </w:r>
            <w:proofErr w:type="spellEnd"/>
          </w:p>
          <w:p w:rsidR="00C21644" w:rsidRPr="007A5455" w:rsidRDefault="00C21644" w:rsidP="005F1ED8">
            <w:pPr>
              <w:tabs>
                <w:tab w:val="left" w:pos="-1440"/>
                <w:tab w:val="left" w:pos="-720"/>
              </w:tabs>
              <w:rPr>
                <w:sz w:val="20"/>
                <w:szCs w:val="20"/>
                <w:lang w:val="fr-CA"/>
              </w:rPr>
            </w:pPr>
          </w:p>
          <w:p w:rsidR="00C21644" w:rsidRPr="007A5455" w:rsidRDefault="00C21644" w:rsidP="005F1ED8">
            <w:pPr>
              <w:tabs>
                <w:tab w:val="left" w:pos="-1440"/>
                <w:tab w:val="left" w:pos="-720"/>
              </w:tabs>
              <w:rPr>
                <w:sz w:val="20"/>
                <w:szCs w:val="20"/>
                <w:lang w:val="fr-CA"/>
              </w:rPr>
            </w:pPr>
            <w:r w:rsidRPr="007A5455">
              <w:rPr>
                <w:sz w:val="20"/>
                <w:szCs w:val="20"/>
                <w:lang w:val="fr-CA"/>
              </w:rPr>
              <w:tab/>
            </w:r>
            <w:r w:rsidR="00C65022" w:rsidRPr="007A5455">
              <w:rPr>
                <w:sz w:val="20"/>
                <w:szCs w:val="20"/>
                <w:lang w:val="fr-CA"/>
              </w:rPr>
              <w:t>c</w:t>
            </w:r>
            <w:r w:rsidRPr="007A5455">
              <w:rPr>
                <w:sz w:val="20"/>
                <w:szCs w:val="20"/>
                <w:lang w:val="fr-CA"/>
              </w:rPr>
              <w:t>. (3</w:t>
            </w:r>
            <w:r w:rsidR="00C65022" w:rsidRPr="007A5455">
              <w:rPr>
                <w:sz w:val="20"/>
                <w:szCs w:val="20"/>
                <w:lang w:val="fr-CA"/>
              </w:rPr>
              <w:t>6709</w:t>
            </w:r>
            <w:r w:rsidRPr="007A5455">
              <w:rPr>
                <w:sz w:val="20"/>
                <w:szCs w:val="20"/>
                <w:lang w:val="fr-CA"/>
              </w:rPr>
              <w:t>)</w:t>
            </w:r>
          </w:p>
          <w:p w:rsidR="00C21644" w:rsidRPr="007A5455" w:rsidRDefault="00C21644" w:rsidP="005F1ED8">
            <w:pPr>
              <w:tabs>
                <w:tab w:val="left" w:pos="-1440"/>
                <w:tab w:val="left" w:pos="-720"/>
              </w:tabs>
              <w:rPr>
                <w:sz w:val="20"/>
                <w:szCs w:val="20"/>
                <w:lang w:val="fr-CA"/>
              </w:rPr>
            </w:pPr>
          </w:p>
          <w:p w:rsidR="00C21644" w:rsidRPr="007A5455" w:rsidRDefault="00C65022" w:rsidP="005F1ED8">
            <w:pPr>
              <w:tabs>
                <w:tab w:val="left" w:pos="-1440"/>
                <w:tab w:val="left" w:pos="-720"/>
              </w:tabs>
              <w:rPr>
                <w:b/>
                <w:sz w:val="20"/>
                <w:szCs w:val="20"/>
              </w:rPr>
            </w:pPr>
            <w:r w:rsidRPr="007A5455">
              <w:rPr>
                <w:b/>
                <w:sz w:val="20"/>
                <w:szCs w:val="20"/>
                <w:lang w:val="fr-CA"/>
              </w:rPr>
              <w:t>F.V.</w:t>
            </w:r>
            <w:r w:rsidR="00C21644" w:rsidRPr="007A5455">
              <w:rPr>
                <w:sz w:val="20"/>
                <w:szCs w:val="20"/>
                <w:lang w:val="fr-CA"/>
              </w:rPr>
              <w:t xml:space="preserve"> </w:t>
            </w:r>
            <w:r w:rsidR="00C21644" w:rsidRPr="007A5455">
              <w:rPr>
                <w:b/>
                <w:sz w:val="20"/>
                <w:szCs w:val="20"/>
              </w:rPr>
              <w:t>(</w:t>
            </w:r>
            <w:r w:rsidRPr="007A5455">
              <w:rPr>
                <w:b/>
                <w:sz w:val="20"/>
                <w:szCs w:val="20"/>
              </w:rPr>
              <w:t>Qc</w:t>
            </w:r>
            <w:r w:rsidR="00C21644" w:rsidRPr="007A5455">
              <w:rPr>
                <w:b/>
                <w:sz w:val="20"/>
                <w:szCs w:val="20"/>
              </w:rPr>
              <w:t>)</w:t>
            </w:r>
          </w:p>
          <w:p w:rsidR="00C21644" w:rsidRPr="007A5455" w:rsidRDefault="00C21644" w:rsidP="005F1ED8">
            <w:pPr>
              <w:tabs>
                <w:tab w:val="left" w:pos="-1440"/>
                <w:tab w:val="left" w:pos="-720"/>
              </w:tabs>
              <w:rPr>
                <w:sz w:val="20"/>
                <w:szCs w:val="20"/>
              </w:rPr>
            </w:pPr>
            <w:r w:rsidRPr="007A5455">
              <w:rPr>
                <w:sz w:val="20"/>
                <w:szCs w:val="20"/>
              </w:rPr>
              <w:tab/>
            </w:r>
            <w:r w:rsidR="00C65022" w:rsidRPr="007A5455">
              <w:rPr>
                <w:sz w:val="20"/>
                <w:szCs w:val="20"/>
              </w:rPr>
              <w:t xml:space="preserve">Sheena </w:t>
            </w:r>
            <w:proofErr w:type="spellStart"/>
            <w:r w:rsidR="00C65022" w:rsidRPr="007A5455">
              <w:rPr>
                <w:sz w:val="20"/>
                <w:szCs w:val="20"/>
              </w:rPr>
              <w:t>Epa</w:t>
            </w:r>
            <w:proofErr w:type="spellEnd"/>
            <w:r w:rsidR="00C65022" w:rsidRPr="007A5455">
              <w:rPr>
                <w:sz w:val="20"/>
                <w:szCs w:val="20"/>
              </w:rPr>
              <w:t xml:space="preserve"> </w:t>
            </w:r>
            <w:proofErr w:type="spellStart"/>
            <w:r w:rsidR="00C65022" w:rsidRPr="007A5455">
              <w:rPr>
                <w:sz w:val="20"/>
                <w:szCs w:val="20"/>
              </w:rPr>
              <w:t>Ngalle</w:t>
            </w:r>
            <w:proofErr w:type="spellEnd"/>
            <w:r w:rsidR="00C65022" w:rsidRPr="007A5455">
              <w:rPr>
                <w:sz w:val="20"/>
                <w:szCs w:val="20"/>
              </w:rPr>
              <w:t xml:space="preserve"> </w:t>
            </w:r>
            <w:proofErr w:type="spellStart"/>
            <w:r w:rsidR="00C65022" w:rsidRPr="007A5455">
              <w:rPr>
                <w:sz w:val="20"/>
                <w:szCs w:val="20"/>
              </w:rPr>
              <w:t>Miano</w:t>
            </w:r>
            <w:proofErr w:type="spellEnd"/>
          </w:p>
          <w:p w:rsidR="00C65022" w:rsidRPr="007A5455" w:rsidRDefault="00C65022" w:rsidP="005F1ED8">
            <w:pPr>
              <w:tabs>
                <w:tab w:val="left" w:pos="-1440"/>
                <w:tab w:val="left" w:pos="-720"/>
              </w:tabs>
              <w:rPr>
                <w:sz w:val="20"/>
                <w:szCs w:val="20"/>
              </w:rPr>
            </w:pPr>
            <w:r w:rsidRPr="007A5455">
              <w:rPr>
                <w:sz w:val="20"/>
                <w:szCs w:val="20"/>
              </w:rPr>
              <w:tab/>
              <w:t xml:space="preserve">Vanna </w:t>
            </w:r>
            <w:proofErr w:type="spellStart"/>
            <w:r w:rsidRPr="007A5455">
              <w:rPr>
                <w:sz w:val="20"/>
                <w:szCs w:val="20"/>
              </w:rPr>
              <w:t>Vong</w:t>
            </w:r>
            <w:proofErr w:type="spellEnd"/>
            <w:r w:rsidRPr="007A5455">
              <w:rPr>
                <w:sz w:val="20"/>
                <w:szCs w:val="20"/>
              </w:rPr>
              <w:t xml:space="preserve"> </w:t>
            </w:r>
            <w:proofErr w:type="spellStart"/>
            <w:r w:rsidRPr="007A5455">
              <w:rPr>
                <w:sz w:val="20"/>
                <w:szCs w:val="20"/>
              </w:rPr>
              <w:t>Avocat</w:t>
            </w:r>
            <w:proofErr w:type="spellEnd"/>
          </w:p>
          <w:p w:rsidR="00C21644" w:rsidRPr="007A5455" w:rsidRDefault="00C21644" w:rsidP="005F1ED8">
            <w:pPr>
              <w:tabs>
                <w:tab w:val="left" w:pos="-1440"/>
                <w:tab w:val="left" w:pos="-720"/>
              </w:tabs>
              <w:rPr>
                <w:sz w:val="20"/>
                <w:szCs w:val="20"/>
              </w:rPr>
            </w:pPr>
          </w:p>
          <w:p w:rsidR="00C21644" w:rsidRPr="007A5455" w:rsidRDefault="00C65022" w:rsidP="005F1ED8">
            <w:pPr>
              <w:rPr>
                <w:sz w:val="20"/>
                <w:szCs w:val="20"/>
              </w:rPr>
            </w:pPr>
            <w:r w:rsidRPr="007A5455">
              <w:rPr>
                <w:sz w:val="20"/>
                <w:szCs w:val="20"/>
              </w:rPr>
              <w:t>DATE DE PRODUCTION</w:t>
            </w:r>
            <w:r w:rsidR="00C21644" w:rsidRPr="007A5455">
              <w:rPr>
                <w:sz w:val="20"/>
                <w:szCs w:val="20"/>
              </w:rPr>
              <w:t xml:space="preserve">: </w:t>
            </w:r>
            <w:r w:rsidRPr="007A5455">
              <w:rPr>
                <w:sz w:val="20"/>
                <w:szCs w:val="20"/>
              </w:rPr>
              <w:t>03</w:t>
            </w:r>
            <w:r w:rsidR="00C21644" w:rsidRPr="007A5455">
              <w:rPr>
                <w:sz w:val="20"/>
                <w:szCs w:val="20"/>
              </w:rPr>
              <w:t>.1</w:t>
            </w:r>
            <w:r w:rsidR="00C138E8" w:rsidRPr="007A5455">
              <w:rPr>
                <w:sz w:val="20"/>
                <w:szCs w:val="20"/>
              </w:rPr>
              <w:t>1</w:t>
            </w:r>
            <w:r w:rsidR="00C21644" w:rsidRPr="007A5455">
              <w:rPr>
                <w:sz w:val="20"/>
                <w:szCs w:val="20"/>
              </w:rPr>
              <w:t>.201</w:t>
            </w:r>
            <w:r w:rsidR="00C138E8" w:rsidRPr="007A5455">
              <w:rPr>
                <w:sz w:val="20"/>
                <w:szCs w:val="20"/>
              </w:rPr>
              <w:t>5</w:t>
            </w:r>
          </w:p>
          <w:p w:rsidR="00C21644" w:rsidRPr="007A5455" w:rsidRDefault="001F68BE"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445298" w:rsidRPr="007A5455" w:rsidRDefault="00445298"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tc>
        <w:tc>
          <w:tcPr>
            <w:tcW w:w="4320" w:type="dxa"/>
            <w:shd w:val="clear" w:color="auto" w:fill="auto"/>
          </w:tcPr>
          <w:p w:rsidR="00C21644" w:rsidRPr="007A5455" w:rsidRDefault="00231209" w:rsidP="005F1ED8">
            <w:pPr>
              <w:keepNext/>
              <w:keepLines/>
              <w:tabs>
                <w:tab w:val="left" w:pos="-1440"/>
                <w:tab w:val="left" w:pos="-720"/>
              </w:tabs>
              <w:rPr>
                <w:b/>
                <w:sz w:val="20"/>
                <w:szCs w:val="20"/>
                <w:lang w:val="fr-CA"/>
              </w:rPr>
            </w:pPr>
            <w:proofErr w:type="spellStart"/>
            <w:r w:rsidRPr="007A5455">
              <w:rPr>
                <w:b/>
                <w:sz w:val="20"/>
                <w:szCs w:val="20"/>
                <w:lang w:val="fr-CA"/>
              </w:rPr>
              <w:t>Lovejeet</w:t>
            </w:r>
            <w:proofErr w:type="spellEnd"/>
            <w:r w:rsidRPr="007A5455">
              <w:rPr>
                <w:b/>
                <w:sz w:val="20"/>
                <w:szCs w:val="20"/>
                <w:lang w:val="fr-CA"/>
              </w:rPr>
              <w:t xml:space="preserve"> Bains</w:t>
            </w:r>
          </w:p>
          <w:p w:rsidR="00C21644" w:rsidRPr="007A5455" w:rsidRDefault="00C21644" w:rsidP="005F1ED8">
            <w:pPr>
              <w:keepNext/>
              <w:keepLines/>
              <w:tabs>
                <w:tab w:val="left" w:pos="-1440"/>
                <w:tab w:val="left" w:pos="-720"/>
              </w:tabs>
              <w:rPr>
                <w:sz w:val="20"/>
                <w:szCs w:val="20"/>
                <w:lang w:val="fr-CA"/>
              </w:rPr>
            </w:pPr>
            <w:r w:rsidRPr="007A5455">
              <w:rPr>
                <w:sz w:val="20"/>
                <w:szCs w:val="20"/>
                <w:lang w:val="fr-CA"/>
              </w:rPr>
              <w:tab/>
            </w:r>
            <w:r w:rsidR="00231209" w:rsidRPr="007A5455">
              <w:rPr>
                <w:sz w:val="20"/>
                <w:szCs w:val="20"/>
                <w:lang w:val="fr-CA"/>
              </w:rPr>
              <w:t>Ian M. Carter</w:t>
            </w:r>
          </w:p>
          <w:p w:rsidR="00C21644" w:rsidRPr="007A5455" w:rsidRDefault="00C21644" w:rsidP="005F1ED8">
            <w:pPr>
              <w:keepNext/>
              <w:keepLines/>
              <w:tabs>
                <w:tab w:val="left" w:pos="-1440"/>
                <w:tab w:val="left" w:pos="-720"/>
              </w:tabs>
              <w:rPr>
                <w:sz w:val="20"/>
                <w:szCs w:val="20"/>
                <w:lang w:val="fr-CA"/>
              </w:rPr>
            </w:pPr>
            <w:r w:rsidRPr="007A5455">
              <w:rPr>
                <w:sz w:val="20"/>
                <w:szCs w:val="20"/>
                <w:lang w:val="fr-CA"/>
              </w:rPr>
              <w:tab/>
            </w:r>
            <w:r w:rsidR="00231209" w:rsidRPr="007A5455">
              <w:rPr>
                <w:sz w:val="20"/>
                <w:szCs w:val="20"/>
                <w:lang w:val="fr-CA"/>
              </w:rPr>
              <w:t xml:space="preserve">Bayne, </w:t>
            </w:r>
            <w:proofErr w:type="spellStart"/>
            <w:r w:rsidR="00231209" w:rsidRPr="007A5455">
              <w:rPr>
                <w:sz w:val="20"/>
                <w:szCs w:val="20"/>
                <w:lang w:val="fr-CA"/>
              </w:rPr>
              <w:t>Sellar</w:t>
            </w:r>
            <w:proofErr w:type="spellEnd"/>
            <w:r w:rsidR="00231209" w:rsidRPr="007A5455">
              <w:rPr>
                <w:sz w:val="20"/>
                <w:szCs w:val="20"/>
                <w:lang w:val="fr-CA"/>
              </w:rPr>
              <w:t xml:space="preserve">, </w:t>
            </w:r>
            <w:proofErr w:type="spellStart"/>
            <w:r w:rsidR="00231209" w:rsidRPr="007A5455">
              <w:rPr>
                <w:sz w:val="20"/>
                <w:szCs w:val="20"/>
                <w:lang w:val="fr-CA"/>
              </w:rPr>
              <w:t>Boxall</w:t>
            </w:r>
            <w:proofErr w:type="spellEnd"/>
          </w:p>
          <w:p w:rsidR="00C21644" w:rsidRPr="007A5455" w:rsidRDefault="00C21644" w:rsidP="005F1ED8">
            <w:pPr>
              <w:keepNext/>
              <w:keepLines/>
              <w:tabs>
                <w:tab w:val="left" w:pos="-1440"/>
                <w:tab w:val="left" w:pos="-720"/>
              </w:tabs>
              <w:rPr>
                <w:sz w:val="20"/>
                <w:szCs w:val="20"/>
                <w:lang w:val="fr-CA"/>
              </w:rPr>
            </w:pPr>
          </w:p>
          <w:p w:rsidR="00C21644" w:rsidRPr="007A5455" w:rsidRDefault="00C21644" w:rsidP="005F1ED8">
            <w:pPr>
              <w:keepNext/>
              <w:keepLines/>
              <w:tabs>
                <w:tab w:val="left" w:pos="-1440"/>
                <w:tab w:val="left" w:pos="-720"/>
              </w:tabs>
              <w:rPr>
                <w:sz w:val="20"/>
                <w:szCs w:val="20"/>
                <w:lang w:val="fr-CA"/>
              </w:rPr>
            </w:pPr>
            <w:r w:rsidRPr="007A5455">
              <w:rPr>
                <w:sz w:val="20"/>
                <w:szCs w:val="20"/>
                <w:lang w:val="fr-CA"/>
              </w:rPr>
              <w:tab/>
            </w:r>
            <w:r w:rsidR="00231209" w:rsidRPr="007A5455">
              <w:rPr>
                <w:sz w:val="20"/>
                <w:szCs w:val="20"/>
                <w:lang w:val="fr-CA"/>
              </w:rPr>
              <w:t>v</w:t>
            </w:r>
            <w:r w:rsidRPr="007A5455">
              <w:rPr>
                <w:sz w:val="20"/>
                <w:szCs w:val="20"/>
                <w:lang w:val="fr-CA"/>
              </w:rPr>
              <w:t>. (3</w:t>
            </w:r>
            <w:r w:rsidR="00231209" w:rsidRPr="007A5455">
              <w:rPr>
                <w:sz w:val="20"/>
                <w:szCs w:val="20"/>
                <w:lang w:val="fr-CA"/>
              </w:rPr>
              <w:t>6698</w:t>
            </w:r>
            <w:r w:rsidRPr="007A5455">
              <w:rPr>
                <w:sz w:val="20"/>
                <w:szCs w:val="20"/>
                <w:lang w:val="fr-CA"/>
              </w:rPr>
              <w:t>)</w:t>
            </w:r>
          </w:p>
          <w:p w:rsidR="00C21644" w:rsidRPr="007A5455" w:rsidRDefault="00C21644" w:rsidP="005F1ED8">
            <w:pPr>
              <w:keepNext/>
              <w:keepLines/>
              <w:tabs>
                <w:tab w:val="left" w:pos="-1440"/>
                <w:tab w:val="left" w:pos="-720"/>
              </w:tabs>
              <w:rPr>
                <w:sz w:val="20"/>
                <w:szCs w:val="20"/>
                <w:lang w:val="fr-CA"/>
              </w:rPr>
            </w:pPr>
          </w:p>
          <w:p w:rsidR="00C21644" w:rsidRPr="007A5455" w:rsidRDefault="00231209" w:rsidP="005F1ED8">
            <w:pPr>
              <w:keepNext/>
              <w:keepLines/>
              <w:tabs>
                <w:tab w:val="left" w:pos="-1440"/>
                <w:tab w:val="left" w:pos="-720"/>
              </w:tabs>
              <w:rPr>
                <w:b/>
                <w:sz w:val="20"/>
                <w:szCs w:val="20"/>
                <w:lang w:val="fr-CA"/>
              </w:rPr>
            </w:pPr>
            <w:proofErr w:type="spellStart"/>
            <w:r w:rsidRPr="007A5455">
              <w:rPr>
                <w:b/>
                <w:sz w:val="20"/>
                <w:szCs w:val="20"/>
                <w:lang w:val="fr-CA"/>
              </w:rPr>
              <w:t>Her</w:t>
            </w:r>
            <w:proofErr w:type="spellEnd"/>
            <w:r w:rsidRPr="007A5455">
              <w:rPr>
                <w:b/>
                <w:sz w:val="20"/>
                <w:szCs w:val="20"/>
                <w:lang w:val="fr-CA"/>
              </w:rPr>
              <w:t xml:space="preserve"> </w:t>
            </w:r>
            <w:proofErr w:type="spellStart"/>
            <w:r w:rsidRPr="007A5455">
              <w:rPr>
                <w:b/>
                <w:sz w:val="20"/>
                <w:szCs w:val="20"/>
                <w:lang w:val="fr-CA"/>
              </w:rPr>
              <w:t>Majesty</w:t>
            </w:r>
            <w:proofErr w:type="spellEnd"/>
            <w:r w:rsidRPr="007A5455">
              <w:rPr>
                <w:b/>
                <w:sz w:val="20"/>
                <w:szCs w:val="20"/>
                <w:lang w:val="fr-CA"/>
              </w:rPr>
              <w:t xml:space="preserve"> the </w:t>
            </w:r>
            <w:proofErr w:type="spellStart"/>
            <w:r w:rsidRPr="007A5455">
              <w:rPr>
                <w:b/>
                <w:sz w:val="20"/>
                <w:szCs w:val="20"/>
                <w:lang w:val="fr-CA"/>
              </w:rPr>
              <w:t>Queen</w:t>
            </w:r>
            <w:proofErr w:type="spellEnd"/>
            <w:r w:rsidR="00C21644" w:rsidRPr="007A5455">
              <w:rPr>
                <w:b/>
                <w:sz w:val="20"/>
                <w:szCs w:val="20"/>
                <w:lang w:val="fr-CA"/>
              </w:rPr>
              <w:t xml:space="preserve"> (</w:t>
            </w:r>
            <w:r w:rsidRPr="007A5455">
              <w:rPr>
                <w:b/>
                <w:sz w:val="20"/>
                <w:szCs w:val="20"/>
                <w:lang w:val="fr-CA"/>
              </w:rPr>
              <w:t>Ont.</w:t>
            </w:r>
            <w:r w:rsidR="00C21644" w:rsidRPr="007A5455">
              <w:rPr>
                <w:b/>
                <w:sz w:val="20"/>
                <w:szCs w:val="20"/>
                <w:lang w:val="fr-CA"/>
              </w:rPr>
              <w:t>)</w:t>
            </w:r>
          </w:p>
          <w:p w:rsidR="00C21644" w:rsidRPr="007A5455" w:rsidRDefault="00C21644" w:rsidP="005F1ED8">
            <w:pPr>
              <w:keepNext/>
              <w:keepLines/>
              <w:tabs>
                <w:tab w:val="left" w:pos="-1440"/>
                <w:tab w:val="left" w:pos="-720"/>
              </w:tabs>
              <w:rPr>
                <w:sz w:val="20"/>
                <w:szCs w:val="20"/>
                <w:lang w:val="fr-CA"/>
              </w:rPr>
            </w:pPr>
            <w:r w:rsidRPr="007A5455">
              <w:rPr>
                <w:sz w:val="20"/>
                <w:szCs w:val="20"/>
                <w:lang w:val="fr-CA"/>
              </w:rPr>
              <w:tab/>
            </w:r>
            <w:r w:rsidR="00231209" w:rsidRPr="007A5455">
              <w:rPr>
                <w:sz w:val="20"/>
                <w:szCs w:val="20"/>
                <w:lang w:val="fr-CA"/>
              </w:rPr>
              <w:t xml:space="preserve">Jason J. </w:t>
            </w:r>
            <w:proofErr w:type="spellStart"/>
            <w:r w:rsidR="00231209" w:rsidRPr="007A5455">
              <w:rPr>
                <w:sz w:val="20"/>
                <w:szCs w:val="20"/>
                <w:lang w:val="fr-CA"/>
              </w:rPr>
              <w:t>Wakely</w:t>
            </w:r>
            <w:proofErr w:type="spellEnd"/>
          </w:p>
          <w:p w:rsidR="00C21644" w:rsidRPr="007A5455" w:rsidRDefault="00C21644" w:rsidP="005F1ED8">
            <w:pPr>
              <w:keepNext/>
              <w:keepLines/>
              <w:tabs>
                <w:tab w:val="left" w:pos="-1440"/>
                <w:tab w:val="left" w:pos="-720"/>
              </w:tabs>
              <w:rPr>
                <w:sz w:val="20"/>
                <w:szCs w:val="20"/>
                <w:lang w:val="fr-CA"/>
              </w:rPr>
            </w:pPr>
            <w:r w:rsidRPr="007A5455">
              <w:rPr>
                <w:sz w:val="20"/>
                <w:szCs w:val="20"/>
                <w:lang w:val="fr-CA"/>
              </w:rPr>
              <w:tab/>
              <w:t>P</w:t>
            </w:r>
            <w:r w:rsidR="00231209" w:rsidRPr="007A5455">
              <w:rPr>
                <w:sz w:val="20"/>
                <w:szCs w:val="20"/>
                <w:lang w:val="fr-CA"/>
              </w:rPr>
              <w:t>ublic</w:t>
            </w:r>
            <w:r w:rsidRPr="007A5455">
              <w:rPr>
                <w:sz w:val="20"/>
                <w:szCs w:val="20"/>
                <w:lang w:val="fr-CA"/>
              </w:rPr>
              <w:t xml:space="preserve"> </w:t>
            </w:r>
            <w:proofErr w:type="spellStart"/>
            <w:r w:rsidR="00231209" w:rsidRPr="007A5455">
              <w:rPr>
                <w:sz w:val="20"/>
                <w:szCs w:val="20"/>
                <w:lang w:val="fr-CA"/>
              </w:rPr>
              <w:t>Prosecution</w:t>
            </w:r>
            <w:proofErr w:type="spellEnd"/>
            <w:r w:rsidR="00231209" w:rsidRPr="007A5455">
              <w:rPr>
                <w:sz w:val="20"/>
                <w:szCs w:val="20"/>
                <w:lang w:val="fr-CA"/>
              </w:rPr>
              <w:t xml:space="preserve"> Service of Canada</w:t>
            </w:r>
          </w:p>
          <w:p w:rsidR="00C21644" w:rsidRPr="007A5455" w:rsidRDefault="00C21644" w:rsidP="005F1ED8">
            <w:pPr>
              <w:keepNext/>
              <w:keepLines/>
              <w:tabs>
                <w:tab w:val="left" w:pos="-1440"/>
                <w:tab w:val="left" w:pos="-720"/>
              </w:tabs>
              <w:rPr>
                <w:sz w:val="20"/>
                <w:szCs w:val="20"/>
                <w:lang w:val="fr-CA"/>
              </w:rPr>
            </w:pPr>
          </w:p>
          <w:p w:rsidR="00C21644" w:rsidRPr="007A5455" w:rsidRDefault="00231209" w:rsidP="00231209">
            <w:pPr>
              <w:rPr>
                <w:sz w:val="20"/>
                <w:szCs w:val="20"/>
                <w:lang w:val="fr-CA"/>
              </w:rPr>
            </w:pPr>
            <w:r w:rsidRPr="007A5455">
              <w:rPr>
                <w:sz w:val="20"/>
                <w:szCs w:val="20"/>
                <w:lang w:val="fr-CA"/>
              </w:rPr>
              <w:t xml:space="preserve">FILING </w:t>
            </w:r>
            <w:r w:rsidR="00C21644" w:rsidRPr="007A5455">
              <w:rPr>
                <w:sz w:val="20"/>
                <w:szCs w:val="20"/>
                <w:lang w:val="fr-CA"/>
              </w:rPr>
              <w:t xml:space="preserve">DATE: </w:t>
            </w:r>
            <w:r w:rsidRPr="007A5455">
              <w:rPr>
                <w:sz w:val="20"/>
                <w:szCs w:val="20"/>
                <w:lang w:val="fr-CA"/>
              </w:rPr>
              <w:t>2</w:t>
            </w:r>
            <w:r w:rsidR="00C21644" w:rsidRPr="007A5455">
              <w:rPr>
                <w:sz w:val="20"/>
                <w:szCs w:val="20"/>
                <w:lang w:val="fr-CA"/>
              </w:rPr>
              <w:t>0.</w:t>
            </w:r>
            <w:r w:rsidRPr="007A5455">
              <w:rPr>
                <w:sz w:val="20"/>
                <w:szCs w:val="20"/>
                <w:lang w:val="fr-CA"/>
              </w:rPr>
              <w:t>1</w:t>
            </w:r>
            <w:r w:rsidR="00C21644" w:rsidRPr="007A5455">
              <w:rPr>
                <w:sz w:val="20"/>
                <w:szCs w:val="20"/>
                <w:lang w:val="fr-CA"/>
              </w:rPr>
              <w:t>1.201</w:t>
            </w:r>
            <w:r w:rsidRPr="007A5455">
              <w:rPr>
                <w:sz w:val="20"/>
                <w:szCs w:val="20"/>
                <w:lang w:val="fr-CA"/>
              </w:rPr>
              <w:t>5</w:t>
            </w:r>
            <w:r w:rsidR="001F68BE">
              <w:rPr>
                <w:sz w:val="20"/>
                <w:szCs w:val="20"/>
                <w:lang w:val="fr-CA"/>
              </w:rPr>
              <w:pict>
                <v:rect id="_x0000_i1026" style="width:108pt;height:1pt" o:hrpct="0" o:hralign="center" o:hrstd="t" o:hrnoshade="t" o:hr="t" fillcolor="black [3213]" stroked="f"/>
              </w:pict>
            </w:r>
          </w:p>
        </w:tc>
      </w:tr>
      <w:tr w:rsidR="00C21644" w:rsidRPr="007A5455" w:rsidTr="003B3977">
        <w:tc>
          <w:tcPr>
            <w:tcW w:w="4320" w:type="dxa"/>
            <w:shd w:val="clear" w:color="auto" w:fill="auto"/>
          </w:tcPr>
          <w:p w:rsidR="00C21644" w:rsidRPr="007A5455" w:rsidRDefault="00150E35" w:rsidP="003B3977">
            <w:pPr>
              <w:rPr>
                <w:b/>
                <w:sz w:val="20"/>
                <w:szCs w:val="20"/>
                <w:lang w:val="fr-CA"/>
              </w:rPr>
            </w:pPr>
            <w:r w:rsidRPr="007A5455">
              <w:rPr>
                <w:b/>
                <w:sz w:val="20"/>
                <w:szCs w:val="20"/>
                <w:lang w:val="fr-CA"/>
              </w:rPr>
              <w:t>Sa Majesté la Reine</w:t>
            </w:r>
          </w:p>
          <w:p w:rsidR="00C21644" w:rsidRPr="007A5455" w:rsidRDefault="00C21644" w:rsidP="003B3977">
            <w:pPr>
              <w:tabs>
                <w:tab w:val="left" w:pos="-1440"/>
                <w:tab w:val="left" w:pos="-720"/>
              </w:tabs>
              <w:rPr>
                <w:sz w:val="20"/>
                <w:szCs w:val="20"/>
                <w:lang w:val="fr-CA"/>
              </w:rPr>
            </w:pPr>
            <w:r w:rsidRPr="007A5455">
              <w:rPr>
                <w:sz w:val="20"/>
                <w:szCs w:val="20"/>
                <w:lang w:val="fr-CA"/>
              </w:rPr>
              <w:tab/>
            </w:r>
            <w:r w:rsidR="00150E35" w:rsidRPr="007A5455">
              <w:rPr>
                <w:sz w:val="20"/>
                <w:szCs w:val="20"/>
                <w:lang w:val="fr-CA"/>
              </w:rPr>
              <w:t>Magalie Cimon</w:t>
            </w:r>
          </w:p>
          <w:p w:rsidR="00150E35" w:rsidRPr="007A5455" w:rsidRDefault="00C21644" w:rsidP="003B3977">
            <w:pPr>
              <w:tabs>
                <w:tab w:val="left" w:pos="-1440"/>
                <w:tab w:val="left" w:pos="-720"/>
              </w:tabs>
              <w:rPr>
                <w:sz w:val="20"/>
                <w:szCs w:val="20"/>
                <w:lang w:val="fr-CA"/>
              </w:rPr>
            </w:pPr>
            <w:r w:rsidRPr="007A5455">
              <w:rPr>
                <w:sz w:val="20"/>
                <w:szCs w:val="20"/>
                <w:lang w:val="fr-CA"/>
              </w:rPr>
              <w:tab/>
            </w:r>
            <w:r w:rsidR="00150E35" w:rsidRPr="007A5455">
              <w:rPr>
                <w:sz w:val="20"/>
                <w:szCs w:val="20"/>
                <w:lang w:val="fr-CA"/>
              </w:rPr>
              <w:t>Poursuites criminelles et pénales</w:t>
            </w:r>
          </w:p>
          <w:p w:rsidR="00C21644" w:rsidRPr="007A5455" w:rsidRDefault="00150E35" w:rsidP="003B3977">
            <w:pPr>
              <w:tabs>
                <w:tab w:val="left" w:pos="-1440"/>
                <w:tab w:val="left" w:pos="-720"/>
              </w:tabs>
              <w:rPr>
                <w:sz w:val="20"/>
                <w:szCs w:val="20"/>
                <w:lang w:val="fr-CA"/>
              </w:rPr>
            </w:pPr>
            <w:r w:rsidRPr="007A5455">
              <w:rPr>
                <w:sz w:val="20"/>
                <w:szCs w:val="20"/>
                <w:lang w:val="fr-CA"/>
              </w:rPr>
              <w:tab/>
              <w:t>du Québec</w:t>
            </w:r>
          </w:p>
          <w:p w:rsidR="00C21644" w:rsidRPr="007A5455" w:rsidRDefault="00C21644" w:rsidP="003B3977">
            <w:pPr>
              <w:tabs>
                <w:tab w:val="left" w:pos="-1440"/>
                <w:tab w:val="left" w:pos="-720"/>
              </w:tabs>
              <w:rPr>
                <w:sz w:val="20"/>
                <w:szCs w:val="20"/>
                <w:lang w:val="fr-CA"/>
              </w:rPr>
            </w:pPr>
          </w:p>
          <w:p w:rsidR="00C21644" w:rsidRPr="007A5455" w:rsidRDefault="00C21644" w:rsidP="003B3977">
            <w:pPr>
              <w:tabs>
                <w:tab w:val="left" w:pos="-1440"/>
                <w:tab w:val="left" w:pos="-720"/>
              </w:tabs>
              <w:rPr>
                <w:sz w:val="20"/>
                <w:szCs w:val="20"/>
              </w:rPr>
            </w:pPr>
            <w:r w:rsidRPr="007A5455">
              <w:rPr>
                <w:sz w:val="20"/>
                <w:szCs w:val="20"/>
                <w:lang w:val="fr-CA"/>
              </w:rPr>
              <w:tab/>
            </w:r>
            <w:r w:rsidR="00150E35" w:rsidRPr="007A5455">
              <w:rPr>
                <w:sz w:val="20"/>
                <w:szCs w:val="20"/>
                <w:lang w:val="fr-CA"/>
              </w:rPr>
              <w:t>c</w:t>
            </w:r>
            <w:r w:rsidRPr="007A5455">
              <w:rPr>
                <w:sz w:val="20"/>
                <w:szCs w:val="20"/>
              </w:rPr>
              <w:t>. (3</w:t>
            </w:r>
            <w:r w:rsidR="00150E35" w:rsidRPr="007A5455">
              <w:rPr>
                <w:sz w:val="20"/>
                <w:szCs w:val="20"/>
              </w:rPr>
              <w:t>6731</w:t>
            </w:r>
            <w:r w:rsidRPr="007A5455">
              <w:rPr>
                <w:sz w:val="20"/>
                <w:szCs w:val="20"/>
              </w:rPr>
              <w:t>)</w:t>
            </w:r>
          </w:p>
          <w:p w:rsidR="00C21644" w:rsidRPr="007A5455" w:rsidRDefault="00C21644" w:rsidP="003B3977">
            <w:pPr>
              <w:tabs>
                <w:tab w:val="left" w:pos="-1440"/>
                <w:tab w:val="left" w:pos="-720"/>
              </w:tabs>
              <w:rPr>
                <w:sz w:val="20"/>
                <w:szCs w:val="20"/>
              </w:rPr>
            </w:pPr>
          </w:p>
          <w:p w:rsidR="00C21644" w:rsidRPr="007A5455" w:rsidRDefault="00150E35" w:rsidP="003B3977">
            <w:pPr>
              <w:tabs>
                <w:tab w:val="left" w:pos="-1440"/>
                <w:tab w:val="left" w:pos="-720"/>
              </w:tabs>
              <w:rPr>
                <w:b/>
                <w:sz w:val="20"/>
                <w:szCs w:val="20"/>
              </w:rPr>
            </w:pPr>
            <w:r w:rsidRPr="007A5455">
              <w:rPr>
                <w:b/>
                <w:sz w:val="20"/>
                <w:szCs w:val="20"/>
              </w:rPr>
              <w:t xml:space="preserve">Michel </w:t>
            </w:r>
            <w:proofErr w:type="spellStart"/>
            <w:r w:rsidRPr="007A5455">
              <w:rPr>
                <w:b/>
                <w:sz w:val="20"/>
                <w:szCs w:val="20"/>
              </w:rPr>
              <w:t>Laflamme</w:t>
            </w:r>
            <w:proofErr w:type="spellEnd"/>
            <w:r w:rsidRPr="007A5455">
              <w:rPr>
                <w:b/>
                <w:sz w:val="20"/>
                <w:szCs w:val="20"/>
              </w:rPr>
              <w:t xml:space="preserve"> </w:t>
            </w:r>
            <w:r w:rsidR="00C21644" w:rsidRPr="007A5455">
              <w:rPr>
                <w:b/>
                <w:sz w:val="20"/>
                <w:szCs w:val="20"/>
              </w:rPr>
              <w:t>(</w:t>
            </w:r>
            <w:r w:rsidRPr="007A5455">
              <w:rPr>
                <w:b/>
                <w:sz w:val="20"/>
                <w:szCs w:val="20"/>
              </w:rPr>
              <w:t>Qc</w:t>
            </w:r>
            <w:r w:rsidR="00C21644" w:rsidRPr="007A5455">
              <w:rPr>
                <w:b/>
                <w:sz w:val="20"/>
                <w:szCs w:val="20"/>
              </w:rPr>
              <w:t>)</w:t>
            </w:r>
          </w:p>
          <w:p w:rsidR="00C21644" w:rsidRPr="007A5455" w:rsidRDefault="00C21644" w:rsidP="003B3977">
            <w:pPr>
              <w:tabs>
                <w:tab w:val="left" w:pos="-1440"/>
                <w:tab w:val="left" w:pos="-720"/>
              </w:tabs>
              <w:rPr>
                <w:sz w:val="20"/>
                <w:szCs w:val="20"/>
              </w:rPr>
            </w:pPr>
            <w:r w:rsidRPr="007A5455">
              <w:rPr>
                <w:sz w:val="20"/>
                <w:szCs w:val="20"/>
              </w:rPr>
              <w:tab/>
            </w:r>
            <w:r w:rsidR="00150E35" w:rsidRPr="007A5455">
              <w:rPr>
                <w:sz w:val="20"/>
                <w:szCs w:val="20"/>
              </w:rPr>
              <w:t xml:space="preserve">Anne-Marie </w:t>
            </w:r>
            <w:proofErr w:type="spellStart"/>
            <w:r w:rsidR="00150E35" w:rsidRPr="007A5455">
              <w:rPr>
                <w:sz w:val="20"/>
                <w:szCs w:val="20"/>
              </w:rPr>
              <w:t>Lanctôt</w:t>
            </w:r>
            <w:proofErr w:type="spellEnd"/>
          </w:p>
          <w:p w:rsidR="00C21644" w:rsidRPr="007A5455" w:rsidRDefault="00C21644" w:rsidP="003B3977">
            <w:pPr>
              <w:tabs>
                <w:tab w:val="left" w:pos="-1440"/>
                <w:tab w:val="left" w:pos="-720"/>
              </w:tabs>
              <w:rPr>
                <w:sz w:val="20"/>
                <w:szCs w:val="20"/>
              </w:rPr>
            </w:pPr>
            <w:r w:rsidRPr="007A5455">
              <w:rPr>
                <w:sz w:val="20"/>
                <w:szCs w:val="20"/>
              </w:rPr>
              <w:tab/>
            </w:r>
            <w:r w:rsidR="00150E35" w:rsidRPr="007A5455">
              <w:rPr>
                <w:sz w:val="20"/>
                <w:szCs w:val="20"/>
              </w:rPr>
              <w:t xml:space="preserve">Rock, </w:t>
            </w:r>
            <w:proofErr w:type="spellStart"/>
            <w:r w:rsidR="00150E35" w:rsidRPr="007A5455">
              <w:rPr>
                <w:sz w:val="20"/>
                <w:szCs w:val="20"/>
              </w:rPr>
              <w:t>Vleminckx</w:t>
            </w:r>
            <w:proofErr w:type="spellEnd"/>
            <w:r w:rsidR="00150E35" w:rsidRPr="007A5455">
              <w:rPr>
                <w:sz w:val="20"/>
                <w:szCs w:val="20"/>
              </w:rPr>
              <w:t xml:space="preserve">, </w:t>
            </w:r>
            <w:proofErr w:type="spellStart"/>
            <w:r w:rsidR="00150E35" w:rsidRPr="007A5455">
              <w:rPr>
                <w:sz w:val="20"/>
                <w:szCs w:val="20"/>
              </w:rPr>
              <w:t>Dury</w:t>
            </w:r>
            <w:proofErr w:type="spellEnd"/>
            <w:r w:rsidR="00150E35" w:rsidRPr="007A5455">
              <w:rPr>
                <w:sz w:val="20"/>
                <w:szCs w:val="20"/>
              </w:rPr>
              <w:t xml:space="preserve">, </w:t>
            </w:r>
            <w:proofErr w:type="spellStart"/>
            <w:r w:rsidR="00150E35" w:rsidRPr="007A5455">
              <w:rPr>
                <w:sz w:val="20"/>
                <w:szCs w:val="20"/>
              </w:rPr>
              <w:t>Lanctôt</w:t>
            </w:r>
            <w:proofErr w:type="spellEnd"/>
            <w:r w:rsidR="00150E35" w:rsidRPr="007A5455">
              <w:rPr>
                <w:sz w:val="20"/>
                <w:szCs w:val="20"/>
              </w:rPr>
              <w:t xml:space="preserve"> &amp; </w:t>
            </w:r>
            <w:r w:rsidR="00150E35" w:rsidRPr="007A5455">
              <w:rPr>
                <w:sz w:val="20"/>
                <w:szCs w:val="20"/>
                <w:lang w:val="fr-CA"/>
              </w:rPr>
              <w:tab/>
            </w:r>
            <w:proofErr w:type="spellStart"/>
            <w:r w:rsidR="00150E35" w:rsidRPr="007A5455">
              <w:rPr>
                <w:sz w:val="20"/>
                <w:szCs w:val="20"/>
              </w:rPr>
              <w:t>Associés</w:t>
            </w:r>
            <w:proofErr w:type="spellEnd"/>
          </w:p>
          <w:p w:rsidR="00C21644" w:rsidRPr="007A5455" w:rsidRDefault="00C21644" w:rsidP="003B3977">
            <w:pPr>
              <w:tabs>
                <w:tab w:val="left" w:pos="-1440"/>
                <w:tab w:val="left" w:pos="-720"/>
              </w:tabs>
              <w:rPr>
                <w:sz w:val="20"/>
                <w:szCs w:val="20"/>
              </w:rPr>
            </w:pPr>
          </w:p>
          <w:p w:rsidR="00C21644" w:rsidRPr="007A5455" w:rsidRDefault="00150E35" w:rsidP="003B3977">
            <w:pPr>
              <w:rPr>
                <w:sz w:val="20"/>
                <w:szCs w:val="20"/>
              </w:rPr>
            </w:pPr>
            <w:r w:rsidRPr="007A5455">
              <w:rPr>
                <w:sz w:val="20"/>
                <w:szCs w:val="20"/>
              </w:rPr>
              <w:t>DATE DE PRODUCTION</w:t>
            </w:r>
            <w:r w:rsidR="00C21644" w:rsidRPr="007A5455">
              <w:rPr>
                <w:sz w:val="20"/>
                <w:szCs w:val="20"/>
              </w:rPr>
              <w:t>: 2</w:t>
            </w:r>
            <w:r w:rsidRPr="007A5455">
              <w:rPr>
                <w:sz w:val="20"/>
                <w:szCs w:val="20"/>
              </w:rPr>
              <w:t>0</w:t>
            </w:r>
            <w:r w:rsidR="00C21644" w:rsidRPr="007A5455">
              <w:rPr>
                <w:sz w:val="20"/>
                <w:szCs w:val="20"/>
              </w:rPr>
              <w:t>.</w:t>
            </w:r>
            <w:r w:rsidRPr="007A5455">
              <w:rPr>
                <w:sz w:val="20"/>
                <w:szCs w:val="20"/>
              </w:rPr>
              <w:t>11</w:t>
            </w:r>
            <w:r w:rsidR="00C21644" w:rsidRPr="007A5455">
              <w:rPr>
                <w:sz w:val="20"/>
                <w:szCs w:val="20"/>
              </w:rPr>
              <w:t>.201</w:t>
            </w:r>
            <w:r w:rsidRPr="007A5455">
              <w:rPr>
                <w:sz w:val="20"/>
                <w:szCs w:val="20"/>
              </w:rPr>
              <w:t>5</w:t>
            </w:r>
          </w:p>
          <w:p w:rsidR="00C21644" w:rsidRPr="007A5455" w:rsidRDefault="001F68BE"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8E48E1" w:rsidRPr="007A5455" w:rsidRDefault="008E48E1" w:rsidP="00242AEE">
            <w:pPr>
              <w:jc w:val="center"/>
              <w:rPr>
                <w:sz w:val="20"/>
                <w:szCs w:val="20"/>
              </w:rPr>
            </w:pPr>
          </w:p>
          <w:p w:rsidR="008E48E1" w:rsidRPr="007A5455" w:rsidRDefault="008E48E1" w:rsidP="00242AEE">
            <w:pPr>
              <w:jc w:val="center"/>
              <w:rPr>
                <w:sz w:val="20"/>
                <w:szCs w:val="20"/>
              </w:rPr>
            </w:pPr>
          </w:p>
        </w:tc>
        <w:tc>
          <w:tcPr>
            <w:tcW w:w="4320" w:type="dxa"/>
            <w:shd w:val="clear" w:color="auto" w:fill="auto"/>
          </w:tcPr>
          <w:p w:rsidR="00C21644" w:rsidRPr="007A5455" w:rsidRDefault="008E48E1" w:rsidP="003B3977">
            <w:pPr>
              <w:keepNext/>
              <w:keepLines/>
              <w:tabs>
                <w:tab w:val="left" w:pos="-1440"/>
                <w:tab w:val="left" w:pos="-720"/>
              </w:tabs>
              <w:rPr>
                <w:b/>
                <w:sz w:val="20"/>
                <w:szCs w:val="20"/>
                <w:lang w:val="fr-CA"/>
              </w:rPr>
            </w:pPr>
            <w:r w:rsidRPr="007A5455">
              <w:rPr>
                <w:b/>
                <w:sz w:val="20"/>
                <w:szCs w:val="20"/>
                <w:lang w:val="fr-CA"/>
              </w:rPr>
              <w:t>Kenji Trotter</w:t>
            </w:r>
          </w:p>
          <w:p w:rsidR="00C21644" w:rsidRPr="007A5455" w:rsidRDefault="00C21644" w:rsidP="003B3977">
            <w:pPr>
              <w:keepNext/>
              <w:keepLines/>
              <w:tabs>
                <w:tab w:val="left" w:pos="-1440"/>
                <w:tab w:val="left" w:pos="-720"/>
              </w:tabs>
              <w:rPr>
                <w:sz w:val="20"/>
                <w:szCs w:val="20"/>
                <w:lang w:val="fr-CA"/>
              </w:rPr>
            </w:pPr>
            <w:r w:rsidRPr="007A5455">
              <w:rPr>
                <w:sz w:val="20"/>
                <w:szCs w:val="20"/>
                <w:lang w:val="fr-CA"/>
              </w:rPr>
              <w:tab/>
            </w:r>
            <w:proofErr w:type="spellStart"/>
            <w:r w:rsidR="008E48E1" w:rsidRPr="007A5455">
              <w:rPr>
                <w:sz w:val="20"/>
                <w:szCs w:val="20"/>
                <w:lang w:val="fr-CA"/>
              </w:rPr>
              <w:t>Eric</w:t>
            </w:r>
            <w:proofErr w:type="spellEnd"/>
            <w:r w:rsidR="008E48E1" w:rsidRPr="007A5455">
              <w:rPr>
                <w:sz w:val="20"/>
                <w:szCs w:val="20"/>
                <w:lang w:val="fr-CA"/>
              </w:rPr>
              <w:t xml:space="preserve"> V. </w:t>
            </w:r>
            <w:proofErr w:type="spellStart"/>
            <w:r w:rsidR="008E48E1" w:rsidRPr="007A5455">
              <w:rPr>
                <w:sz w:val="20"/>
                <w:szCs w:val="20"/>
                <w:lang w:val="fr-CA"/>
              </w:rPr>
              <w:t>Gottardi</w:t>
            </w:r>
            <w:proofErr w:type="spellEnd"/>
          </w:p>
          <w:p w:rsidR="00C21644" w:rsidRPr="007A5455" w:rsidRDefault="00C21644" w:rsidP="003B3977">
            <w:pPr>
              <w:keepNext/>
              <w:keepLines/>
              <w:tabs>
                <w:tab w:val="left" w:pos="-1440"/>
                <w:tab w:val="left" w:pos="-720"/>
              </w:tabs>
              <w:rPr>
                <w:sz w:val="20"/>
                <w:szCs w:val="20"/>
              </w:rPr>
            </w:pPr>
            <w:r w:rsidRPr="007A5455">
              <w:rPr>
                <w:sz w:val="20"/>
                <w:szCs w:val="20"/>
                <w:lang w:val="fr-CA"/>
              </w:rPr>
              <w:tab/>
            </w:r>
            <w:r w:rsidR="008E48E1" w:rsidRPr="007A5455">
              <w:rPr>
                <w:sz w:val="20"/>
                <w:szCs w:val="20"/>
                <w:lang w:val="fr-CA"/>
              </w:rPr>
              <w:t xml:space="preserve">Peck and </w:t>
            </w:r>
            <w:proofErr w:type="spellStart"/>
            <w:r w:rsidR="008E48E1" w:rsidRPr="007A5455">
              <w:rPr>
                <w:sz w:val="20"/>
                <w:szCs w:val="20"/>
                <w:lang w:val="fr-CA"/>
              </w:rPr>
              <w:t>Company</w:t>
            </w:r>
            <w:proofErr w:type="spellEnd"/>
          </w:p>
          <w:p w:rsidR="00C21644" w:rsidRPr="007A5455" w:rsidRDefault="00C21644" w:rsidP="003B3977">
            <w:pPr>
              <w:keepNext/>
              <w:keepLines/>
              <w:tabs>
                <w:tab w:val="left" w:pos="-1440"/>
                <w:tab w:val="left" w:pos="-720"/>
              </w:tabs>
              <w:rPr>
                <w:sz w:val="20"/>
                <w:szCs w:val="20"/>
              </w:rPr>
            </w:pPr>
          </w:p>
          <w:p w:rsidR="00C21644" w:rsidRPr="007A5455" w:rsidRDefault="00C21644" w:rsidP="003B3977">
            <w:pPr>
              <w:keepNext/>
              <w:keepLines/>
              <w:tabs>
                <w:tab w:val="left" w:pos="-1440"/>
                <w:tab w:val="left" w:pos="-720"/>
              </w:tabs>
              <w:rPr>
                <w:sz w:val="20"/>
                <w:szCs w:val="20"/>
              </w:rPr>
            </w:pPr>
            <w:r w:rsidRPr="007A5455">
              <w:rPr>
                <w:sz w:val="20"/>
                <w:szCs w:val="20"/>
              </w:rPr>
              <w:tab/>
              <w:t>v. (3</w:t>
            </w:r>
            <w:r w:rsidR="008E48E1" w:rsidRPr="007A5455">
              <w:rPr>
                <w:sz w:val="20"/>
                <w:szCs w:val="20"/>
              </w:rPr>
              <w:t>6665)</w:t>
            </w:r>
          </w:p>
          <w:p w:rsidR="00C21644" w:rsidRPr="007A5455" w:rsidRDefault="00C21644" w:rsidP="003B3977">
            <w:pPr>
              <w:keepNext/>
              <w:keepLines/>
              <w:tabs>
                <w:tab w:val="left" w:pos="-1440"/>
                <w:tab w:val="left" w:pos="-720"/>
              </w:tabs>
              <w:rPr>
                <w:sz w:val="20"/>
                <w:szCs w:val="20"/>
              </w:rPr>
            </w:pPr>
          </w:p>
          <w:p w:rsidR="00C21644" w:rsidRPr="007A5455" w:rsidRDefault="008E48E1" w:rsidP="003B3977">
            <w:pPr>
              <w:keepNext/>
              <w:keepLines/>
              <w:tabs>
                <w:tab w:val="left" w:pos="-1440"/>
                <w:tab w:val="left" w:pos="-720"/>
              </w:tabs>
              <w:rPr>
                <w:b/>
                <w:sz w:val="20"/>
                <w:szCs w:val="20"/>
              </w:rPr>
            </w:pPr>
            <w:r w:rsidRPr="007A5455">
              <w:rPr>
                <w:b/>
                <w:sz w:val="20"/>
                <w:szCs w:val="20"/>
              </w:rPr>
              <w:t xml:space="preserve">Attorney General of Canada on behalf of the United States of America </w:t>
            </w:r>
            <w:r w:rsidR="00C21644" w:rsidRPr="007A5455">
              <w:rPr>
                <w:b/>
                <w:sz w:val="20"/>
                <w:szCs w:val="20"/>
              </w:rPr>
              <w:t>(B.C.)</w:t>
            </w:r>
          </w:p>
          <w:p w:rsidR="00C21644" w:rsidRPr="007A5455" w:rsidRDefault="00C21644" w:rsidP="003B3977">
            <w:pPr>
              <w:keepNext/>
              <w:keepLines/>
              <w:tabs>
                <w:tab w:val="left" w:pos="-1440"/>
                <w:tab w:val="left" w:pos="-720"/>
              </w:tabs>
              <w:rPr>
                <w:sz w:val="20"/>
                <w:szCs w:val="20"/>
              </w:rPr>
            </w:pPr>
            <w:r w:rsidRPr="007A5455">
              <w:rPr>
                <w:sz w:val="20"/>
                <w:szCs w:val="20"/>
              </w:rPr>
              <w:tab/>
            </w:r>
            <w:r w:rsidR="008E48E1" w:rsidRPr="007A5455">
              <w:rPr>
                <w:sz w:val="20"/>
                <w:szCs w:val="20"/>
              </w:rPr>
              <w:t>Amanda Lord</w:t>
            </w:r>
          </w:p>
          <w:p w:rsidR="00C21644" w:rsidRPr="007A5455" w:rsidRDefault="00C21644" w:rsidP="003B3977">
            <w:pPr>
              <w:keepNext/>
              <w:keepLines/>
              <w:tabs>
                <w:tab w:val="left" w:pos="-1440"/>
                <w:tab w:val="left" w:pos="-720"/>
              </w:tabs>
              <w:rPr>
                <w:sz w:val="20"/>
                <w:szCs w:val="20"/>
              </w:rPr>
            </w:pPr>
            <w:r w:rsidRPr="007A5455">
              <w:rPr>
                <w:sz w:val="20"/>
                <w:szCs w:val="20"/>
              </w:rPr>
              <w:tab/>
            </w:r>
            <w:r w:rsidR="008E48E1" w:rsidRPr="007A5455">
              <w:rPr>
                <w:sz w:val="20"/>
                <w:szCs w:val="20"/>
              </w:rPr>
              <w:t>A.G. of Canada</w:t>
            </w:r>
          </w:p>
          <w:p w:rsidR="00C21644" w:rsidRPr="007A5455" w:rsidRDefault="00C21644" w:rsidP="003B3977">
            <w:pPr>
              <w:keepNext/>
              <w:keepLines/>
              <w:tabs>
                <w:tab w:val="left" w:pos="-1440"/>
                <w:tab w:val="left" w:pos="-720"/>
              </w:tabs>
              <w:rPr>
                <w:sz w:val="20"/>
                <w:szCs w:val="20"/>
              </w:rPr>
            </w:pPr>
          </w:p>
          <w:p w:rsidR="00C21644" w:rsidRPr="007A5455" w:rsidRDefault="00C21644" w:rsidP="008E48E1">
            <w:pPr>
              <w:rPr>
                <w:sz w:val="20"/>
                <w:szCs w:val="20"/>
              </w:rPr>
            </w:pPr>
            <w:r w:rsidRPr="007A5455">
              <w:rPr>
                <w:sz w:val="20"/>
                <w:szCs w:val="20"/>
              </w:rPr>
              <w:t>FILING DATE: 2</w:t>
            </w:r>
            <w:r w:rsidR="008E48E1" w:rsidRPr="007A5455">
              <w:rPr>
                <w:sz w:val="20"/>
                <w:szCs w:val="20"/>
              </w:rPr>
              <w:t>4</w:t>
            </w:r>
            <w:r w:rsidRPr="007A5455">
              <w:rPr>
                <w:sz w:val="20"/>
                <w:szCs w:val="20"/>
              </w:rPr>
              <w:t>.</w:t>
            </w:r>
            <w:r w:rsidR="008E48E1" w:rsidRPr="007A5455">
              <w:rPr>
                <w:sz w:val="20"/>
                <w:szCs w:val="20"/>
              </w:rPr>
              <w:t>11</w:t>
            </w:r>
            <w:r w:rsidRPr="007A5455">
              <w:rPr>
                <w:sz w:val="20"/>
                <w:szCs w:val="20"/>
              </w:rPr>
              <w:t>.201</w:t>
            </w:r>
            <w:r w:rsidR="008E48E1" w:rsidRPr="007A5455">
              <w:rPr>
                <w:sz w:val="20"/>
                <w:szCs w:val="20"/>
              </w:rPr>
              <w:t>5</w:t>
            </w:r>
            <w:r w:rsidR="001F68BE">
              <w:rPr>
                <w:sz w:val="20"/>
                <w:szCs w:val="20"/>
                <w:lang w:val="fr-CA"/>
              </w:rPr>
              <w:pict>
                <v:rect id="_x0000_i1028" style="width:108pt;height:1pt" o:hrpct="0" o:hralign="center" o:hrstd="t" o:hrnoshade="t" o:hr="t" fillcolor="black [3213]" stroked="f"/>
              </w:pict>
            </w:r>
          </w:p>
        </w:tc>
      </w:tr>
      <w:tr w:rsidR="00C21644" w:rsidRPr="007A5455" w:rsidTr="003B3977">
        <w:trPr>
          <w:cantSplit/>
        </w:trPr>
        <w:tc>
          <w:tcPr>
            <w:tcW w:w="4320" w:type="dxa"/>
            <w:shd w:val="clear" w:color="auto" w:fill="auto"/>
          </w:tcPr>
          <w:p w:rsidR="000502E1" w:rsidRPr="007A5455" w:rsidRDefault="000502E1" w:rsidP="000502E1">
            <w:pPr>
              <w:rPr>
                <w:b/>
                <w:sz w:val="20"/>
                <w:szCs w:val="20"/>
              </w:rPr>
            </w:pPr>
            <w:proofErr w:type="spellStart"/>
            <w:r w:rsidRPr="007A5455">
              <w:rPr>
                <w:b/>
                <w:sz w:val="20"/>
                <w:szCs w:val="20"/>
              </w:rPr>
              <w:t>Zachry</w:t>
            </w:r>
            <w:proofErr w:type="spellEnd"/>
            <w:r w:rsidRPr="007A5455">
              <w:rPr>
                <w:b/>
                <w:sz w:val="20"/>
                <w:szCs w:val="20"/>
              </w:rPr>
              <w:t xml:space="preserve"> Owens</w:t>
            </w:r>
          </w:p>
          <w:p w:rsidR="000502E1" w:rsidRPr="007A5455" w:rsidRDefault="000502E1" w:rsidP="000502E1">
            <w:pPr>
              <w:tabs>
                <w:tab w:val="left" w:pos="-1440"/>
                <w:tab w:val="left" w:pos="-720"/>
              </w:tabs>
              <w:rPr>
                <w:sz w:val="20"/>
                <w:szCs w:val="20"/>
              </w:rPr>
            </w:pPr>
            <w:r w:rsidRPr="007A5455">
              <w:rPr>
                <w:sz w:val="20"/>
                <w:szCs w:val="20"/>
              </w:rPr>
              <w:tab/>
              <w:t xml:space="preserve">James </w:t>
            </w:r>
            <w:proofErr w:type="spellStart"/>
            <w:r w:rsidRPr="007A5455">
              <w:rPr>
                <w:sz w:val="20"/>
                <w:szCs w:val="20"/>
              </w:rPr>
              <w:t>Zegers</w:t>
            </w:r>
            <w:proofErr w:type="spellEnd"/>
          </w:p>
          <w:p w:rsidR="000502E1" w:rsidRPr="007A5455" w:rsidRDefault="000502E1" w:rsidP="000502E1">
            <w:pPr>
              <w:tabs>
                <w:tab w:val="left" w:pos="-1440"/>
                <w:tab w:val="left" w:pos="-720"/>
              </w:tabs>
              <w:rPr>
                <w:sz w:val="20"/>
                <w:szCs w:val="20"/>
              </w:rPr>
            </w:pPr>
            <w:r w:rsidRPr="007A5455">
              <w:rPr>
                <w:sz w:val="20"/>
                <w:szCs w:val="20"/>
              </w:rPr>
              <w:tab/>
            </w:r>
            <w:proofErr w:type="spellStart"/>
            <w:r w:rsidRPr="007A5455">
              <w:rPr>
                <w:sz w:val="20"/>
                <w:szCs w:val="20"/>
              </w:rPr>
              <w:t>Zegers</w:t>
            </w:r>
            <w:proofErr w:type="spellEnd"/>
            <w:r w:rsidRPr="007A5455">
              <w:rPr>
                <w:sz w:val="20"/>
                <w:szCs w:val="20"/>
              </w:rPr>
              <w:t xml:space="preserve"> Law Professional Corporation</w:t>
            </w:r>
          </w:p>
          <w:p w:rsidR="000502E1" w:rsidRPr="007A5455" w:rsidRDefault="000502E1" w:rsidP="000502E1">
            <w:pPr>
              <w:tabs>
                <w:tab w:val="left" w:pos="-1440"/>
                <w:tab w:val="left" w:pos="-720"/>
              </w:tabs>
              <w:rPr>
                <w:sz w:val="20"/>
                <w:szCs w:val="20"/>
              </w:rPr>
            </w:pPr>
          </w:p>
          <w:p w:rsidR="000502E1" w:rsidRPr="007A5455" w:rsidRDefault="000502E1" w:rsidP="000502E1">
            <w:pPr>
              <w:tabs>
                <w:tab w:val="left" w:pos="-1440"/>
                <w:tab w:val="left" w:pos="-720"/>
              </w:tabs>
              <w:rPr>
                <w:sz w:val="20"/>
                <w:szCs w:val="20"/>
              </w:rPr>
            </w:pPr>
            <w:r w:rsidRPr="007A5455">
              <w:rPr>
                <w:sz w:val="20"/>
                <w:szCs w:val="20"/>
              </w:rPr>
              <w:tab/>
              <w:t>v. (36735)</w:t>
            </w:r>
          </w:p>
          <w:p w:rsidR="000502E1" w:rsidRPr="007A5455" w:rsidRDefault="000502E1" w:rsidP="000502E1">
            <w:pPr>
              <w:tabs>
                <w:tab w:val="left" w:pos="-1440"/>
                <w:tab w:val="left" w:pos="-720"/>
              </w:tabs>
              <w:rPr>
                <w:sz w:val="20"/>
                <w:szCs w:val="20"/>
              </w:rPr>
            </w:pPr>
          </w:p>
          <w:p w:rsidR="000502E1" w:rsidRPr="007A5455" w:rsidRDefault="000502E1" w:rsidP="000502E1">
            <w:pPr>
              <w:tabs>
                <w:tab w:val="left" w:pos="-1440"/>
                <w:tab w:val="left" w:pos="-720"/>
              </w:tabs>
              <w:rPr>
                <w:b/>
                <w:sz w:val="20"/>
                <w:szCs w:val="20"/>
              </w:rPr>
            </w:pPr>
            <w:r w:rsidRPr="007A5455">
              <w:rPr>
                <w:b/>
                <w:sz w:val="20"/>
                <w:szCs w:val="20"/>
              </w:rPr>
              <w:t>Her Majesty the Queen (Ont.)</w:t>
            </w:r>
          </w:p>
          <w:p w:rsidR="000502E1" w:rsidRPr="007A5455" w:rsidRDefault="000502E1" w:rsidP="000502E1">
            <w:pPr>
              <w:tabs>
                <w:tab w:val="left" w:pos="-1440"/>
                <w:tab w:val="left" w:pos="-720"/>
              </w:tabs>
              <w:rPr>
                <w:sz w:val="20"/>
                <w:szCs w:val="20"/>
              </w:rPr>
            </w:pPr>
            <w:r w:rsidRPr="007A5455">
              <w:rPr>
                <w:sz w:val="20"/>
                <w:szCs w:val="20"/>
              </w:rPr>
              <w:tab/>
              <w:t>Mabel Lai</w:t>
            </w:r>
          </w:p>
          <w:p w:rsidR="000502E1" w:rsidRPr="007A5455" w:rsidRDefault="000502E1" w:rsidP="000502E1">
            <w:pPr>
              <w:tabs>
                <w:tab w:val="left" w:pos="-1440"/>
                <w:tab w:val="left" w:pos="-720"/>
              </w:tabs>
              <w:rPr>
                <w:sz w:val="20"/>
                <w:szCs w:val="20"/>
              </w:rPr>
            </w:pPr>
            <w:r w:rsidRPr="007A5455">
              <w:rPr>
                <w:sz w:val="20"/>
                <w:szCs w:val="20"/>
              </w:rPr>
              <w:tab/>
              <w:t>A.G. of Ontario</w:t>
            </w:r>
          </w:p>
          <w:p w:rsidR="000502E1" w:rsidRPr="007A5455" w:rsidRDefault="000502E1" w:rsidP="000502E1">
            <w:pPr>
              <w:tabs>
                <w:tab w:val="left" w:pos="-1440"/>
                <w:tab w:val="left" w:pos="-720"/>
              </w:tabs>
              <w:rPr>
                <w:sz w:val="20"/>
                <w:szCs w:val="20"/>
              </w:rPr>
            </w:pPr>
          </w:p>
          <w:p w:rsidR="000502E1" w:rsidRPr="007A5455" w:rsidRDefault="000502E1" w:rsidP="000502E1">
            <w:pPr>
              <w:rPr>
                <w:sz w:val="20"/>
                <w:szCs w:val="20"/>
              </w:rPr>
            </w:pPr>
            <w:r w:rsidRPr="007A5455">
              <w:rPr>
                <w:sz w:val="20"/>
                <w:szCs w:val="20"/>
              </w:rPr>
              <w:t>FILING DATE: 24.11.2015</w:t>
            </w:r>
          </w:p>
          <w:p w:rsidR="00C21644" w:rsidRPr="007A5455" w:rsidRDefault="001F68BE" w:rsidP="000502E1">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p w:rsidR="00C21644" w:rsidRPr="007A5455" w:rsidRDefault="00C21644" w:rsidP="00242AEE">
            <w:pPr>
              <w:jc w:val="center"/>
              <w:rPr>
                <w:sz w:val="20"/>
                <w:szCs w:val="20"/>
              </w:rPr>
            </w:pPr>
          </w:p>
        </w:tc>
        <w:tc>
          <w:tcPr>
            <w:tcW w:w="4320" w:type="dxa"/>
            <w:shd w:val="clear" w:color="auto" w:fill="auto"/>
          </w:tcPr>
          <w:p w:rsidR="000502E1" w:rsidRPr="007A5455" w:rsidRDefault="000502E1" w:rsidP="000502E1">
            <w:pPr>
              <w:rPr>
                <w:b/>
                <w:sz w:val="20"/>
                <w:szCs w:val="20"/>
              </w:rPr>
            </w:pPr>
            <w:r w:rsidRPr="007A5455">
              <w:rPr>
                <w:b/>
                <w:sz w:val="20"/>
                <w:szCs w:val="20"/>
              </w:rPr>
              <w:t>Robert Must</w:t>
            </w:r>
          </w:p>
          <w:p w:rsidR="000502E1" w:rsidRPr="007A5455" w:rsidRDefault="000502E1" w:rsidP="000502E1">
            <w:pPr>
              <w:tabs>
                <w:tab w:val="left" w:pos="-1440"/>
                <w:tab w:val="left" w:pos="-720"/>
              </w:tabs>
              <w:rPr>
                <w:sz w:val="20"/>
                <w:szCs w:val="20"/>
              </w:rPr>
            </w:pPr>
            <w:r w:rsidRPr="007A5455">
              <w:rPr>
                <w:sz w:val="20"/>
                <w:szCs w:val="20"/>
              </w:rPr>
              <w:tab/>
              <w:t>Robert Must</w:t>
            </w:r>
          </w:p>
          <w:p w:rsidR="000502E1" w:rsidRPr="007A5455" w:rsidRDefault="000502E1" w:rsidP="000502E1">
            <w:pPr>
              <w:tabs>
                <w:tab w:val="left" w:pos="-1440"/>
                <w:tab w:val="left" w:pos="-720"/>
              </w:tabs>
              <w:rPr>
                <w:sz w:val="20"/>
                <w:szCs w:val="20"/>
              </w:rPr>
            </w:pPr>
          </w:p>
          <w:p w:rsidR="000502E1" w:rsidRPr="007A5455" w:rsidRDefault="000502E1" w:rsidP="000502E1">
            <w:pPr>
              <w:tabs>
                <w:tab w:val="left" w:pos="-1440"/>
                <w:tab w:val="left" w:pos="-720"/>
              </w:tabs>
              <w:rPr>
                <w:sz w:val="20"/>
                <w:szCs w:val="20"/>
              </w:rPr>
            </w:pPr>
            <w:r w:rsidRPr="007A5455">
              <w:rPr>
                <w:sz w:val="20"/>
                <w:szCs w:val="20"/>
              </w:rPr>
              <w:tab/>
              <w:t>v. (36734)</w:t>
            </w:r>
          </w:p>
          <w:p w:rsidR="000502E1" w:rsidRPr="007A5455" w:rsidRDefault="000502E1" w:rsidP="000502E1">
            <w:pPr>
              <w:tabs>
                <w:tab w:val="left" w:pos="-1440"/>
                <w:tab w:val="left" w:pos="-720"/>
              </w:tabs>
              <w:rPr>
                <w:sz w:val="20"/>
                <w:szCs w:val="20"/>
              </w:rPr>
            </w:pPr>
          </w:p>
          <w:p w:rsidR="000502E1" w:rsidRPr="007A5455" w:rsidRDefault="000502E1" w:rsidP="000502E1">
            <w:pPr>
              <w:tabs>
                <w:tab w:val="left" w:pos="-1440"/>
                <w:tab w:val="left" w:pos="-720"/>
              </w:tabs>
              <w:rPr>
                <w:b/>
                <w:sz w:val="20"/>
                <w:szCs w:val="20"/>
              </w:rPr>
            </w:pPr>
            <w:r w:rsidRPr="007A5455">
              <w:rPr>
                <w:b/>
                <w:sz w:val="20"/>
                <w:szCs w:val="20"/>
              </w:rPr>
              <w:t xml:space="preserve">Yana </w:t>
            </w:r>
            <w:proofErr w:type="spellStart"/>
            <w:r w:rsidRPr="007A5455">
              <w:rPr>
                <w:b/>
                <w:sz w:val="20"/>
                <w:szCs w:val="20"/>
              </w:rPr>
              <w:t>Shkuryna</w:t>
            </w:r>
            <w:proofErr w:type="spellEnd"/>
            <w:r w:rsidRPr="007A5455">
              <w:rPr>
                <w:b/>
                <w:sz w:val="20"/>
                <w:szCs w:val="20"/>
              </w:rPr>
              <w:t xml:space="preserve"> (Ont.)</w:t>
            </w:r>
          </w:p>
          <w:p w:rsidR="000502E1" w:rsidRPr="007A5455" w:rsidRDefault="000502E1" w:rsidP="000502E1">
            <w:pPr>
              <w:tabs>
                <w:tab w:val="left" w:pos="-1440"/>
                <w:tab w:val="left" w:pos="-720"/>
              </w:tabs>
              <w:rPr>
                <w:sz w:val="20"/>
                <w:szCs w:val="20"/>
              </w:rPr>
            </w:pPr>
            <w:r w:rsidRPr="007A5455">
              <w:rPr>
                <w:sz w:val="20"/>
                <w:szCs w:val="20"/>
              </w:rPr>
              <w:tab/>
              <w:t xml:space="preserve">Cheryl </w:t>
            </w:r>
            <w:proofErr w:type="spellStart"/>
            <w:r w:rsidRPr="007A5455">
              <w:rPr>
                <w:sz w:val="20"/>
                <w:szCs w:val="20"/>
              </w:rPr>
              <w:t>Goldhart</w:t>
            </w:r>
            <w:proofErr w:type="spellEnd"/>
          </w:p>
          <w:p w:rsidR="000502E1" w:rsidRPr="007A5455" w:rsidRDefault="000502E1" w:rsidP="000502E1">
            <w:pPr>
              <w:tabs>
                <w:tab w:val="left" w:pos="-1440"/>
                <w:tab w:val="left" w:pos="-720"/>
              </w:tabs>
              <w:rPr>
                <w:sz w:val="20"/>
                <w:szCs w:val="20"/>
              </w:rPr>
            </w:pPr>
            <w:r w:rsidRPr="007A5455">
              <w:rPr>
                <w:sz w:val="20"/>
                <w:szCs w:val="20"/>
              </w:rPr>
              <w:tab/>
            </w:r>
            <w:proofErr w:type="spellStart"/>
            <w:r w:rsidRPr="007A5455">
              <w:rPr>
                <w:sz w:val="20"/>
                <w:szCs w:val="20"/>
              </w:rPr>
              <w:t>Goldhart</w:t>
            </w:r>
            <w:proofErr w:type="spellEnd"/>
            <w:r w:rsidRPr="007A5455">
              <w:rPr>
                <w:sz w:val="20"/>
                <w:szCs w:val="20"/>
              </w:rPr>
              <w:t xml:space="preserve"> &amp; Associates</w:t>
            </w:r>
          </w:p>
          <w:p w:rsidR="000502E1" w:rsidRPr="007A5455" w:rsidRDefault="000502E1" w:rsidP="000502E1">
            <w:pPr>
              <w:tabs>
                <w:tab w:val="left" w:pos="-1440"/>
                <w:tab w:val="left" w:pos="-720"/>
              </w:tabs>
              <w:rPr>
                <w:sz w:val="20"/>
                <w:szCs w:val="20"/>
              </w:rPr>
            </w:pPr>
          </w:p>
          <w:p w:rsidR="000502E1" w:rsidRPr="007A5455" w:rsidRDefault="000502E1" w:rsidP="000502E1">
            <w:pPr>
              <w:rPr>
                <w:sz w:val="20"/>
                <w:szCs w:val="20"/>
              </w:rPr>
            </w:pPr>
            <w:r w:rsidRPr="007A5455">
              <w:rPr>
                <w:sz w:val="20"/>
                <w:szCs w:val="20"/>
              </w:rPr>
              <w:t>FILING DATE: 24.11.2015</w:t>
            </w:r>
          </w:p>
          <w:p w:rsidR="000502E1" w:rsidRPr="007A5455" w:rsidRDefault="001F68BE" w:rsidP="000502E1">
            <w:pPr>
              <w:rPr>
                <w:b/>
                <w:sz w:val="20"/>
                <w:szCs w:val="20"/>
              </w:rPr>
            </w:pPr>
            <w:r>
              <w:rPr>
                <w:sz w:val="20"/>
                <w:szCs w:val="20"/>
                <w:lang w:val="fr-CA"/>
              </w:rPr>
              <w:pict>
                <v:rect id="_x0000_i1030" style="width:108pt;height:1pt" o:hrpct="0" o:hralign="center" o:hrstd="t" o:hrnoshade="t" o:hr="t" fillcolor="black [3213]" stroked="f"/>
              </w:pict>
            </w:r>
          </w:p>
          <w:p w:rsidR="00C21644" w:rsidRPr="007A5455" w:rsidRDefault="00C21644" w:rsidP="005F1ED8">
            <w:pPr>
              <w:rPr>
                <w:sz w:val="20"/>
                <w:szCs w:val="20"/>
              </w:rPr>
            </w:pPr>
          </w:p>
        </w:tc>
      </w:tr>
      <w:tr w:rsidR="000502E1" w:rsidRPr="007A5455" w:rsidTr="003B3977">
        <w:trPr>
          <w:cantSplit/>
        </w:trPr>
        <w:tc>
          <w:tcPr>
            <w:tcW w:w="4320" w:type="dxa"/>
            <w:shd w:val="clear" w:color="auto" w:fill="auto"/>
          </w:tcPr>
          <w:p w:rsidR="00FF28E0" w:rsidRPr="007A5455" w:rsidRDefault="00FF28E0" w:rsidP="00FF28E0">
            <w:pPr>
              <w:rPr>
                <w:b/>
                <w:sz w:val="20"/>
                <w:szCs w:val="20"/>
              </w:rPr>
            </w:pPr>
            <w:r w:rsidRPr="007A5455">
              <w:rPr>
                <w:b/>
                <w:sz w:val="20"/>
                <w:szCs w:val="20"/>
              </w:rPr>
              <w:lastRenderedPageBreak/>
              <w:t>M.K.</w:t>
            </w:r>
          </w:p>
          <w:p w:rsidR="00FF28E0" w:rsidRPr="007A5455" w:rsidRDefault="00FF28E0" w:rsidP="00FF28E0">
            <w:pPr>
              <w:tabs>
                <w:tab w:val="left" w:pos="-1440"/>
                <w:tab w:val="left" w:pos="-720"/>
              </w:tabs>
              <w:rPr>
                <w:sz w:val="20"/>
                <w:szCs w:val="20"/>
              </w:rPr>
            </w:pPr>
            <w:r w:rsidRPr="007A5455">
              <w:rPr>
                <w:sz w:val="20"/>
                <w:szCs w:val="20"/>
              </w:rPr>
              <w:tab/>
              <w:t xml:space="preserve">Richard </w:t>
            </w:r>
            <w:proofErr w:type="spellStart"/>
            <w:r w:rsidRPr="007A5455">
              <w:rPr>
                <w:sz w:val="20"/>
                <w:szCs w:val="20"/>
              </w:rPr>
              <w:t>Litkowski</w:t>
            </w:r>
            <w:proofErr w:type="spellEnd"/>
          </w:p>
          <w:p w:rsidR="00FF28E0" w:rsidRPr="007A5455" w:rsidRDefault="00FF28E0" w:rsidP="00FF28E0">
            <w:pPr>
              <w:tabs>
                <w:tab w:val="left" w:pos="-1440"/>
                <w:tab w:val="left" w:pos="-720"/>
              </w:tabs>
              <w:rPr>
                <w:sz w:val="20"/>
                <w:szCs w:val="20"/>
              </w:rPr>
            </w:pPr>
            <w:r w:rsidRPr="007A5455">
              <w:rPr>
                <w:sz w:val="20"/>
                <w:szCs w:val="20"/>
              </w:rPr>
              <w:tab/>
              <w:t>Hicks Adams LLP</w:t>
            </w:r>
          </w:p>
          <w:p w:rsidR="00FF28E0" w:rsidRPr="007A5455" w:rsidRDefault="00FF28E0" w:rsidP="00FF28E0">
            <w:pPr>
              <w:tabs>
                <w:tab w:val="left" w:pos="-1440"/>
                <w:tab w:val="left" w:pos="-720"/>
              </w:tabs>
              <w:rPr>
                <w:sz w:val="20"/>
                <w:szCs w:val="20"/>
              </w:rPr>
            </w:pPr>
          </w:p>
          <w:p w:rsidR="00FF28E0" w:rsidRPr="007A5455" w:rsidRDefault="00FF28E0" w:rsidP="00FF28E0">
            <w:pPr>
              <w:tabs>
                <w:tab w:val="left" w:pos="-1440"/>
                <w:tab w:val="left" w:pos="-720"/>
              </w:tabs>
              <w:rPr>
                <w:sz w:val="20"/>
                <w:szCs w:val="20"/>
              </w:rPr>
            </w:pPr>
            <w:r w:rsidRPr="007A5455">
              <w:rPr>
                <w:sz w:val="20"/>
                <w:szCs w:val="20"/>
              </w:rPr>
              <w:tab/>
              <w:t>v. (36724)</w:t>
            </w:r>
          </w:p>
          <w:p w:rsidR="00FF28E0" w:rsidRPr="007A5455" w:rsidRDefault="00FF28E0" w:rsidP="00FF28E0">
            <w:pPr>
              <w:tabs>
                <w:tab w:val="left" w:pos="-1440"/>
                <w:tab w:val="left" w:pos="-720"/>
              </w:tabs>
              <w:rPr>
                <w:sz w:val="20"/>
                <w:szCs w:val="20"/>
              </w:rPr>
            </w:pPr>
          </w:p>
          <w:p w:rsidR="00FF28E0" w:rsidRPr="007A5455" w:rsidRDefault="00FF28E0" w:rsidP="00FF28E0">
            <w:pPr>
              <w:tabs>
                <w:tab w:val="left" w:pos="-1440"/>
                <w:tab w:val="left" w:pos="-720"/>
              </w:tabs>
              <w:rPr>
                <w:b/>
                <w:sz w:val="20"/>
                <w:szCs w:val="20"/>
              </w:rPr>
            </w:pPr>
            <w:r w:rsidRPr="007A5455">
              <w:rPr>
                <w:b/>
                <w:sz w:val="20"/>
                <w:szCs w:val="20"/>
              </w:rPr>
              <w:t>Her Majesty the Queen (Ont.)</w:t>
            </w:r>
          </w:p>
          <w:p w:rsidR="00FF28E0" w:rsidRPr="007A5455" w:rsidRDefault="00FF28E0" w:rsidP="00FF28E0">
            <w:pPr>
              <w:tabs>
                <w:tab w:val="left" w:pos="-1440"/>
                <w:tab w:val="left" w:pos="-720"/>
              </w:tabs>
              <w:rPr>
                <w:sz w:val="20"/>
                <w:szCs w:val="20"/>
              </w:rPr>
            </w:pPr>
            <w:r w:rsidRPr="007A5455">
              <w:rPr>
                <w:sz w:val="20"/>
                <w:szCs w:val="20"/>
              </w:rPr>
              <w:tab/>
              <w:t xml:space="preserve">John A. </w:t>
            </w:r>
            <w:proofErr w:type="spellStart"/>
            <w:r w:rsidRPr="007A5455">
              <w:rPr>
                <w:sz w:val="20"/>
                <w:szCs w:val="20"/>
              </w:rPr>
              <w:t>Neander</w:t>
            </w:r>
            <w:proofErr w:type="spellEnd"/>
          </w:p>
          <w:p w:rsidR="00FF28E0" w:rsidRPr="007A5455" w:rsidRDefault="00FF28E0" w:rsidP="00FF28E0">
            <w:pPr>
              <w:tabs>
                <w:tab w:val="left" w:pos="-1440"/>
                <w:tab w:val="left" w:pos="-720"/>
              </w:tabs>
              <w:rPr>
                <w:sz w:val="20"/>
                <w:szCs w:val="20"/>
              </w:rPr>
            </w:pPr>
            <w:r w:rsidRPr="007A5455">
              <w:rPr>
                <w:sz w:val="20"/>
                <w:szCs w:val="20"/>
              </w:rPr>
              <w:tab/>
              <w:t>A.G. of Ontario</w:t>
            </w:r>
          </w:p>
          <w:p w:rsidR="00FF28E0" w:rsidRPr="007A5455" w:rsidRDefault="00FF28E0" w:rsidP="00FF28E0">
            <w:pPr>
              <w:tabs>
                <w:tab w:val="left" w:pos="-1440"/>
                <w:tab w:val="left" w:pos="-720"/>
              </w:tabs>
              <w:rPr>
                <w:sz w:val="20"/>
                <w:szCs w:val="20"/>
              </w:rPr>
            </w:pPr>
          </w:p>
          <w:p w:rsidR="00FF28E0" w:rsidRPr="007A5455" w:rsidRDefault="00FF28E0" w:rsidP="00FF28E0">
            <w:pPr>
              <w:rPr>
                <w:sz w:val="20"/>
                <w:szCs w:val="20"/>
              </w:rPr>
            </w:pPr>
            <w:r w:rsidRPr="007A5455">
              <w:rPr>
                <w:sz w:val="20"/>
                <w:szCs w:val="20"/>
              </w:rPr>
              <w:t>FILING DATE: 25.11.2015</w:t>
            </w:r>
          </w:p>
          <w:p w:rsidR="000502E1" w:rsidRPr="007A5455" w:rsidRDefault="001F68BE" w:rsidP="00FF28E0">
            <w:pPr>
              <w:rPr>
                <w:b/>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0502E1" w:rsidRPr="007A5455" w:rsidRDefault="000502E1"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p w:rsidR="009B7569" w:rsidRPr="007A5455" w:rsidRDefault="009B7569" w:rsidP="00242AEE">
            <w:pPr>
              <w:jc w:val="center"/>
              <w:rPr>
                <w:sz w:val="20"/>
                <w:szCs w:val="20"/>
              </w:rPr>
            </w:pPr>
          </w:p>
        </w:tc>
        <w:tc>
          <w:tcPr>
            <w:tcW w:w="4320" w:type="dxa"/>
            <w:shd w:val="clear" w:color="auto" w:fill="auto"/>
          </w:tcPr>
          <w:p w:rsidR="009B7569" w:rsidRPr="007A5455" w:rsidRDefault="009B7569" w:rsidP="009B7569">
            <w:pPr>
              <w:rPr>
                <w:b/>
                <w:sz w:val="20"/>
                <w:szCs w:val="20"/>
              </w:rPr>
            </w:pPr>
            <w:r w:rsidRPr="007A5455">
              <w:rPr>
                <w:b/>
                <w:sz w:val="20"/>
                <w:szCs w:val="20"/>
              </w:rPr>
              <w:t xml:space="preserve">Rienzi </w:t>
            </w:r>
            <w:proofErr w:type="spellStart"/>
            <w:r w:rsidRPr="007A5455">
              <w:rPr>
                <w:b/>
                <w:sz w:val="20"/>
                <w:szCs w:val="20"/>
              </w:rPr>
              <w:t>Changoor</w:t>
            </w:r>
            <w:proofErr w:type="spellEnd"/>
          </w:p>
          <w:p w:rsidR="009B7569" w:rsidRPr="007A5455" w:rsidRDefault="009B7569" w:rsidP="009B7569">
            <w:pPr>
              <w:tabs>
                <w:tab w:val="left" w:pos="-1440"/>
                <w:tab w:val="left" w:pos="-720"/>
              </w:tabs>
              <w:rPr>
                <w:sz w:val="20"/>
                <w:szCs w:val="20"/>
              </w:rPr>
            </w:pPr>
            <w:r w:rsidRPr="007A5455">
              <w:rPr>
                <w:sz w:val="20"/>
                <w:szCs w:val="20"/>
              </w:rPr>
              <w:tab/>
              <w:t xml:space="preserve">Rienzi </w:t>
            </w:r>
            <w:proofErr w:type="spellStart"/>
            <w:r w:rsidRPr="007A5455">
              <w:rPr>
                <w:sz w:val="20"/>
                <w:szCs w:val="20"/>
              </w:rPr>
              <w:t>Changoor</w:t>
            </w:r>
            <w:proofErr w:type="spellEnd"/>
          </w:p>
          <w:p w:rsidR="009B7569" w:rsidRPr="007A5455" w:rsidRDefault="009B7569" w:rsidP="009B7569">
            <w:pPr>
              <w:tabs>
                <w:tab w:val="left" w:pos="-1440"/>
                <w:tab w:val="left" w:pos="-720"/>
              </w:tabs>
              <w:rPr>
                <w:sz w:val="20"/>
                <w:szCs w:val="20"/>
              </w:rPr>
            </w:pPr>
          </w:p>
          <w:p w:rsidR="009B7569" w:rsidRPr="007A5455" w:rsidRDefault="009B7569" w:rsidP="009B7569">
            <w:pPr>
              <w:tabs>
                <w:tab w:val="left" w:pos="-1440"/>
                <w:tab w:val="left" w:pos="-720"/>
              </w:tabs>
              <w:rPr>
                <w:sz w:val="20"/>
                <w:szCs w:val="20"/>
              </w:rPr>
            </w:pPr>
            <w:r w:rsidRPr="007A5455">
              <w:rPr>
                <w:sz w:val="20"/>
                <w:szCs w:val="20"/>
              </w:rPr>
              <w:tab/>
              <w:t>v. (3674</w:t>
            </w:r>
            <w:r w:rsidR="00051926" w:rsidRPr="007A5455">
              <w:rPr>
                <w:sz w:val="20"/>
                <w:szCs w:val="20"/>
              </w:rPr>
              <w:t>5</w:t>
            </w:r>
            <w:r w:rsidRPr="007A5455">
              <w:rPr>
                <w:sz w:val="20"/>
                <w:szCs w:val="20"/>
              </w:rPr>
              <w:t>)</w:t>
            </w:r>
          </w:p>
          <w:p w:rsidR="009B7569" w:rsidRPr="007A5455" w:rsidRDefault="009B7569" w:rsidP="009B7569">
            <w:pPr>
              <w:tabs>
                <w:tab w:val="left" w:pos="-1440"/>
                <w:tab w:val="left" w:pos="-720"/>
              </w:tabs>
              <w:rPr>
                <w:sz w:val="20"/>
                <w:szCs w:val="20"/>
              </w:rPr>
            </w:pPr>
          </w:p>
          <w:p w:rsidR="009B7569" w:rsidRPr="007A5455" w:rsidRDefault="009B7569" w:rsidP="009B7569">
            <w:pPr>
              <w:tabs>
                <w:tab w:val="left" w:pos="-1440"/>
                <w:tab w:val="left" w:pos="-720"/>
              </w:tabs>
              <w:rPr>
                <w:b/>
                <w:sz w:val="20"/>
                <w:szCs w:val="20"/>
              </w:rPr>
            </w:pPr>
            <w:r w:rsidRPr="007A5455">
              <w:rPr>
                <w:b/>
                <w:sz w:val="20"/>
                <w:szCs w:val="20"/>
              </w:rPr>
              <w:t>International Brotherhood of Electrical Workers, Local 353 (Ont.)</w:t>
            </w:r>
          </w:p>
          <w:p w:rsidR="009B7569" w:rsidRPr="007A5455" w:rsidRDefault="009B7569" w:rsidP="009B7569">
            <w:pPr>
              <w:tabs>
                <w:tab w:val="left" w:pos="-1440"/>
                <w:tab w:val="left" w:pos="-720"/>
              </w:tabs>
              <w:rPr>
                <w:sz w:val="20"/>
                <w:szCs w:val="20"/>
              </w:rPr>
            </w:pPr>
            <w:r w:rsidRPr="007A5455">
              <w:rPr>
                <w:sz w:val="20"/>
                <w:szCs w:val="20"/>
              </w:rPr>
              <w:tab/>
            </w:r>
            <w:proofErr w:type="spellStart"/>
            <w:r w:rsidRPr="007A5455">
              <w:rPr>
                <w:sz w:val="20"/>
                <w:szCs w:val="20"/>
              </w:rPr>
              <w:t>Koskie</w:t>
            </w:r>
            <w:proofErr w:type="spellEnd"/>
            <w:r w:rsidRPr="007A5455">
              <w:rPr>
                <w:sz w:val="20"/>
                <w:szCs w:val="20"/>
              </w:rPr>
              <w:t xml:space="preserve"> Minsky</w:t>
            </w:r>
          </w:p>
          <w:p w:rsidR="009B7569" w:rsidRPr="007A5455" w:rsidRDefault="009B7569" w:rsidP="009B7569">
            <w:pPr>
              <w:tabs>
                <w:tab w:val="left" w:pos="-1440"/>
                <w:tab w:val="left" w:pos="-720"/>
              </w:tabs>
              <w:rPr>
                <w:sz w:val="20"/>
                <w:szCs w:val="20"/>
              </w:rPr>
            </w:pPr>
          </w:p>
          <w:p w:rsidR="009B7569" w:rsidRPr="007A5455" w:rsidRDefault="009B7569" w:rsidP="009B7569">
            <w:pPr>
              <w:rPr>
                <w:sz w:val="20"/>
                <w:szCs w:val="20"/>
              </w:rPr>
            </w:pPr>
            <w:r w:rsidRPr="007A5455">
              <w:rPr>
                <w:sz w:val="20"/>
                <w:szCs w:val="20"/>
              </w:rPr>
              <w:t>FILING DATE: 26.11.2015</w:t>
            </w:r>
          </w:p>
          <w:p w:rsidR="000502E1" w:rsidRPr="007A5455" w:rsidRDefault="001F68BE" w:rsidP="009B7569">
            <w:pPr>
              <w:rPr>
                <w:b/>
                <w:sz w:val="20"/>
                <w:szCs w:val="20"/>
              </w:rPr>
            </w:pPr>
            <w:r>
              <w:rPr>
                <w:sz w:val="20"/>
                <w:szCs w:val="20"/>
                <w:lang w:val="fr-CA"/>
              </w:rPr>
              <w:pict>
                <v:rect id="_x0000_i1032" style="width:108pt;height:1pt" o:hrpct="0" o:hralign="center" o:hrstd="t" o:hrnoshade="t" o:hr="t" fillcolor="black [3213]" stroked="f"/>
              </w:pict>
            </w:r>
          </w:p>
        </w:tc>
      </w:tr>
    </w:tbl>
    <w:p w:rsidR="006C3F47" w:rsidRPr="007A5455" w:rsidRDefault="006C3F47" w:rsidP="0095096B">
      <w:pPr>
        <w:tabs>
          <w:tab w:val="right" w:pos="9360"/>
        </w:tabs>
        <w:rPr>
          <w:sz w:val="20"/>
          <w:szCs w:val="20"/>
        </w:rPr>
      </w:pPr>
    </w:p>
    <w:p w:rsidR="00D94028" w:rsidRPr="007A5455" w:rsidRDefault="00D94028" w:rsidP="0095096B">
      <w:pPr>
        <w:tabs>
          <w:tab w:val="right" w:pos="9360"/>
        </w:tabs>
        <w:rPr>
          <w:sz w:val="20"/>
          <w:szCs w:val="20"/>
        </w:rPr>
      </w:pPr>
    </w:p>
    <w:p w:rsidR="00242AEE" w:rsidRPr="007A5455" w:rsidRDefault="00242AEE" w:rsidP="0095096B">
      <w:pPr>
        <w:tabs>
          <w:tab w:val="right" w:pos="9360"/>
        </w:tabs>
        <w:rPr>
          <w:sz w:val="20"/>
          <w:szCs w:val="20"/>
        </w:rPr>
      </w:pPr>
    </w:p>
    <w:p w:rsidR="00242AEE" w:rsidRPr="007A5455" w:rsidRDefault="00242AEE" w:rsidP="0095096B">
      <w:pPr>
        <w:tabs>
          <w:tab w:val="right" w:pos="9360"/>
        </w:tabs>
        <w:rPr>
          <w:sz w:val="20"/>
          <w:szCs w:val="20"/>
        </w:rPr>
        <w:sectPr w:rsidR="00242AEE" w:rsidRPr="007A5455" w:rsidSect="002E742A">
          <w:headerReference w:type="default" r:id="rId16"/>
          <w:footerReference w:type="default" r:id="rId17"/>
          <w:headerReference w:type="first" r:id="rId18"/>
          <w:footerReference w:type="first" r:id="rId19"/>
          <w:pgSz w:w="12240" w:h="15840"/>
          <w:pgMar w:top="720" w:right="965" w:bottom="1080" w:left="1656" w:header="706" w:footer="706" w:gutter="0"/>
          <w:pgNumType w:start="185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A5455" w:rsidTr="00BA6468">
        <w:trPr>
          <w:trHeight w:val="900"/>
        </w:trPr>
        <w:tc>
          <w:tcPr>
            <w:tcW w:w="4200" w:type="dxa"/>
            <w:tcMar>
              <w:left w:w="0" w:type="dxa"/>
              <w:right w:w="0" w:type="dxa"/>
            </w:tcMar>
          </w:tcPr>
          <w:p w:rsidR="002E2327" w:rsidRPr="007A5455" w:rsidRDefault="002E2327" w:rsidP="002E2327">
            <w:pPr>
              <w:keepNext/>
              <w:keepLines/>
              <w:widowControl w:val="0"/>
              <w:rPr>
                <w:b/>
                <w:szCs w:val="24"/>
              </w:rPr>
            </w:pPr>
            <w:r w:rsidRPr="007A5455">
              <w:rPr>
                <w:b/>
                <w:szCs w:val="24"/>
              </w:rPr>
              <w:lastRenderedPageBreak/>
              <w:t>APPLICATIONS FOR LEAVE SUBMITTED TO COURT SINCE LAST ISSUE</w:t>
            </w:r>
          </w:p>
        </w:tc>
        <w:tc>
          <w:tcPr>
            <w:tcW w:w="1200" w:type="dxa"/>
            <w:tcMar>
              <w:left w:w="0" w:type="dxa"/>
              <w:right w:w="0" w:type="dxa"/>
            </w:tcMar>
          </w:tcPr>
          <w:p w:rsidR="002E2327" w:rsidRPr="007A5455" w:rsidRDefault="002E2327" w:rsidP="002E2327">
            <w:pPr>
              <w:keepNext/>
              <w:keepLines/>
              <w:widowControl w:val="0"/>
              <w:jc w:val="center"/>
              <w:rPr>
                <w:b/>
                <w:szCs w:val="24"/>
              </w:rPr>
            </w:pPr>
          </w:p>
          <w:p w:rsidR="001D0D5F" w:rsidRPr="007A5455" w:rsidRDefault="001D0D5F" w:rsidP="002E2327">
            <w:pPr>
              <w:keepNext/>
              <w:keepLines/>
              <w:widowControl w:val="0"/>
              <w:jc w:val="center"/>
              <w:rPr>
                <w:b/>
                <w:szCs w:val="24"/>
              </w:rPr>
            </w:pPr>
          </w:p>
          <w:p w:rsidR="001D0D5F" w:rsidRPr="007A5455" w:rsidRDefault="001D0D5F" w:rsidP="002E2327">
            <w:pPr>
              <w:keepNext/>
              <w:keepLines/>
              <w:widowControl w:val="0"/>
              <w:jc w:val="center"/>
              <w:rPr>
                <w:b/>
                <w:szCs w:val="24"/>
              </w:rPr>
            </w:pPr>
          </w:p>
          <w:p w:rsidR="001D0D5F" w:rsidRPr="007A5455" w:rsidRDefault="001D0D5F" w:rsidP="002E2327">
            <w:pPr>
              <w:keepNext/>
              <w:keepLines/>
              <w:widowControl w:val="0"/>
              <w:jc w:val="center"/>
              <w:rPr>
                <w:b/>
                <w:szCs w:val="24"/>
              </w:rPr>
            </w:pPr>
          </w:p>
        </w:tc>
        <w:tc>
          <w:tcPr>
            <w:tcW w:w="4080" w:type="dxa"/>
            <w:tcMar>
              <w:left w:w="0" w:type="dxa"/>
              <w:right w:w="0" w:type="dxa"/>
            </w:tcMar>
          </w:tcPr>
          <w:p w:rsidR="002E2327" w:rsidRPr="007A5455" w:rsidRDefault="002E2327" w:rsidP="002E2327">
            <w:pPr>
              <w:keepLines/>
              <w:widowControl w:val="0"/>
              <w:rPr>
                <w:szCs w:val="24"/>
                <w:lang w:val="fr-CA"/>
              </w:rPr>
            </w:pPr>
            <w:r w:rsidRPr="007A5455">
              <w:rPr>
                <w:b/>
                <w:szCs w:val="24"/>
                <w:lang w:val="fr-CA"/>
              </w:rPr>
              <w:t>DEMANDES SOUMISES À LA COUR DEPUIS LA DERNIÈRE PARUTION</w:t>
            </w:r>
          </w:p>
          <w:p w:rsidR="002E2327" w:rsidRPr="007A5455"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7A5455" w:rsidRDefault="002E2327" w:rsidP="002E2327">
      <w:pPr>
        <w:widowControl w:val="0"/>
        <w:rPr>
          <w:b/>
          <w:sz w:val="20"/>
          <w:szCs w:val="20"/>
          <w:lang w:val="fr-CA"/>
        </w:rPr>
      </w:pPr>
    </w:p>
    <w:p w:rsidR="00CB3520" w:rsidRPr="007A5455" w:rsidRDefault="00746A75" w:rsidP="00CB3520">
      <w:pPr>
        <w:widowControl w:val="0"/>
        <w:rPr>
          <w:b/>
          <w:sz w:val="20"/>
          <w:szCs w:val="20"/>
        </w:rPr>
      </w:pPr>
      <w:r w:rsidRPr="007A5455">
        <w:rPr>
          <w:b/>
          <w:sz w:val="20"/>
          <w:szCs w:val="20"/>
        </w:rPr>
        <w:t>DECEMBER</w:t>
      </w:r>
      <w:r w:rsidR="00CB3520" w:rsidRPr="007A5455">
        <w:rPr>
          <w:b/>
          <w:sz w:val="20"/>
          <w:szCs w:val="20"/>
        </w:rPr>
        <w:t xml:space="preserve"> </w:t>
      </w:r>
      <w:r w:rsidRPr="007A5455">
        <w:rPr>
          <w:b/>
          <w:sz w:val="20"/>
          <w:szCs w:val="20"/>
        </w:rPr>
        <w:t>7</w:t>
      </w:r>
      <w:r w:rsidR="00CB3520" w:rsidRPr="007A5455">
        <w:rPr>
          <w:b/>
          <w:sz w:val="20"/>
          <w:szCs w:val="20"/>
        </w:rPr>
        <w:t>, 201</w:t>
      </w:r>
      <w:r w:rsidR="00020DC3" w:rsidRPr="007A5455">
        <w:rPr>
          <w:b/>
          <w:sz w:val="20"/>
          <w:szCs w:val="20"/>
        </w:rPr>
        <w:t>5</w:t>
      </w:r>
      <w:r w:rsidR="00CB3520" w:rsidRPr="007A5455">
        <w:rPr>
          <w:b/>
          <w:sz w:val="20"/>
          <w:szCs w:val="20"/>
        </w:rPr>
        <w:t xml:space="preserve"> / LE </w:t>
      </w:r>
      <w:r w:rsidRPr="007A5455">
        <w:rPr>
          <w:b/>
          <w:sz w:val="20"/>
          <w:szCs w:val="20"/>
        </w:rPr>
        <w:t>7</w:t>
      </w:r>
      <w:r w:rsidR="00CB3520" w:rsidRPr="007A5455">
        <w:rPr>
          <w:b/>
          <w:sz w:val="20"/>
          <w:szCs w:val="20"/>
        </w:rPr>
        <w:t xml:space="preserve"> </w:t>
      </w:r>
      <w:r w:rsidRPr="007A5455">
        <w:rPr>
          <w:b/>
          <w:sz w:val="20"/>
          <w:szCs w:val="20"/>
        </w:rPr>
        <w:t>DÉCEMBRE</w:t>
      </w:r>
      <w:r w:rsidR="00CB3520" w:rsidRPr="007A5455">
        <w:rPr>
          <w:b/>
          <w:sz w:val="20"/>
          <w:szCs w:val="20"/>
        </w:rPr>
        <w:t xml:space="preserve"> 201</w:t>
      </w:r>
      <w:r w:rsidR="00020DC3" w:rsidRPr="007A5455">
        <w:rPr>
          <w:b/>
          <w:sz w:val="20"/>
          <w:szCs w:val="20"/>
        </w:rPr>
        <w:t>5</w:t>
      </w:r>
    </w:p>
    <w:p w:rsidR="00CB3520" w:rsidRPr="007A5455" w:rsidRDefault="00CB3520" w:rsidP="00CB3520">
      <w:pPr>
        <w:widowControl w:val="0"/>
        <w:rPr>
          <w:b/>
          <w:sz w:val="20"/>
          <w:szCs w:val="20"/>
        </w:rPr>
      </w:pPr>
    </w:p>
    <w:p w:rsidR="00CB3520" w:rsidRPr="007A5455" w:rsidRDefault="00CB3520" w:rsidP="00CB3520">
      <w:pPr>
        <w:widowControl w:val="0"/>
        <w:jc w:val="center"/>
        <w:rPr>
          <w:b/>
          <w:sz w:val="20"/>
          <w:szCs w:val="20"/>
        </w:rPr>
      </w:pPr>
      <w:r w:rsidRPr="007A5455">
        <w:rPr>
          <w:b/>
          <w:sz w:val="20"/>
          <w:szCs w:val="20"/>
        </w:rPr>
        <w:t xml:space="preserve">CORAM:  Chief Justice </w:t>
      </w:r>
      <w:proofErr w:type="spellStart"/>
      <w:r w:rsidRPr="007A5455">
        <w:rPr>
          <w:b/>
          <w:sz w:val="20"/>
          <w:szCs w:val="20"/>
        </w:rPr>
        <w:t>McLachlin</w:t>
      </w:r>
      <w:proofErr w:type="spellEnd"/>
      <w:r w:rsidRPr="007A5455">
        <w:rPr>
          <w:b/>
          <w:sz w:val="20"/>
          <w:szCs w:val="20"/>
        </w:rPr>
        <w:t xml:space="preserve"> and </w:t>
      </w:r>
      <w:proofErr w:type="spellStart"/>
      <w:r w:rsidR="00175C53" w:rsidRPr="007A5455">
        <w:rPr>
          <w:b/>
          <w:sz w:val="20"/>
          <w:szCs w:val="20"/>
        </w:rPr>
        <w:t>Moldaver</w:t>
      </w:r>
      <w:proofErr w:type="spellEnd"/>
      <w:r w:rsidRPr="007A5455">
        <w:rPr>
          <w:b/>
          <w:sz w:val="20"/>
          <w:szCs w:val="20"/>
        </w:rPr>
        <w:t xml:space="preserve"> and </w:t>
      </w:r>
      <w:proofErr w:type="spellStart"/>
      <w:r w:rsidR="00FA3373" w:rsidRPr="007A5455">
        <w:rPr>
          <w:b/>
          <w:sz w:val="20"/>
          <w:szCs w:val="20"/>
        </w:rPr>
        <w:t>Gascon</w:t>
      </w:r>
      <w:proofErr w:type="spellEnd"/>
      <w:r w:rsidR="00FA3373" w:rsidRPr="007A5455">
        <w:rPr>
          <w:b/>
          <w:sz w:val="20"/>
          <w:szCs w:val="20"/>
        </w:rPr>
        <w:t xml:space="preserve"> </w:t>
      </w:r>
      <w:r w:rsidRPr="007A5455">
        <w:rPr>
          <w:b/>
          <w:sz w:val="20"/>
          <w:szCs w:val="20"/>
        </w:rPr>
        <w:t>JJ.</w:t>
      </w:r>
    </w:p>
    <w:p w:rsidR="00CB3520" w:rsidRPr="007A5455" w:rsidRDefault="00CB3520" w:rsidP="00CB3520">
      <w:pPr>
        <w:widowControl w:val="0"/>
        <w:jc w:val="center"/>
        <w:rPr>
          <w:sz w:val="20"/>
          <w:szCs w:val="20"/>
          <w:lang w:val="fr-CA"/>
        </w:rPr>
      </w:pPr>
      <w:r w:rsidRPr="007A5455">
        <w:rPr>
          <w:b/>
          <w:sz w:val="20"/>
          <w:szCs w:val="20"/>
          <w:lang w:val="fr-CA"/>
        </w:rPr>
        <w:t xml:space="preserve">La juge en chef </w:t>
      </w:r>
      <w:proofErr w:type="spellStart"/>
      <w:r w:rsidRPr="007A5455">
        <w:rPr>
          <w:b/>
          <w:sz w:val="20"/>
          <w:szCs w:val="20"/>
          <w:lang w:val="fr-CA"/>
        </w:rPr>
        <w:t>McLachlin</w:t>
      </w:r>
      <w:proofErr w:type="spellEnd"/>
      <w:r w:rsidRPr="007A5455">
        <w:rPr>
          <w:b/>
          <w:sz w:val="20"/>
          <w:szCs w:val="20"/>
          <w:lang w:val="fr-CA"/>
        </w:rPr>
        <w:t xml:space="preserve"> et les juges </w:t>
      </w:r>
      <w:proofErr w:type="spellStart"/>
      <w:r w:rsidR="00175C53" w:rsidRPr="007A5455">
        <w:rPr>
          <w:b/>
          <w:sz w:val="20"/>
          <w:szCs w:val="20"/>
          <w:lang w:val="fr-CA"/>
        </w:rPr>
        <w:t>Moldaver</w:t>
      </w:r>
      <w:proofErr w:type="spellEnd"/>
      <w:r w:rsidRPr="007A5455">
        <w:rPr>
          <w:b/>
          <w:sz w:val="20"/>
          <w:szCs w:val="20"/>
          <w:lang w:val="fr-CA"/>
        </w:rPr>
        <w:t xml:space="preserve"> et </w:t>
      </w:r>
      <w:r w:rsidR="00FA3373" w:rsidRPr="007A5455">
        <w:rPr>
          <w:b/>
          <w:sz w:val="20"/>
          <w:szCs w:val="20"/>
          <w:lang w:val="fr-CA"/>
        </w:rPr>
        <w:t>Gascon</w:t>
      </w:r>
    </w:p>
    <w:p w:rsidR="00CB3520" w:rsidRPr="007A5455" w:rsidRDefault="00CB3520" w:rsidP="00CB3520">
      <w:pPr>
        <w:widowControl w:val="0"/>
        <w:rPr>
          <w:sz w:val="20"/>
          <w:szCs w:val="20"/>
          <w:lang w:val="fr-CA"/>
        </w:rPr>
      </w:pPr>
    </w:p>
    <w:p w:rsidR="00CB3520" w:rsidRPr="007A5455" w:rsidRDefault="00746A75" w:rsidP="00CB3520">
      <w:pPr>
        <w:pStyle w:val="ListParagraph"/>
        <w:widowControl w:val="0"/>
        <w:numPr>
          <w:ilvl w:val="0"/>
          <w:numId w:val="1"/>
        </w:numPr>
        <w:ind w:hanging="720"/>
        <w:jc w:val="both"/>
        <w:rPr>
          <w:sz w:val="20"/>
          <w:szCs w:val="20"/>
        </w:rPr>
      </w:pPr>
      <w:r w:rsidRPr="007A5455">
        <w:rPr>
          <w:i/>
          <w:sz w:val="20"/>
          <w:szCs w:val="20"/>
        </w:rPr>
        <w:t>Attorney General of Canada</w:t>
      </w:r>
      <w:r w:rsidR="00CB3520" w:rsidRPr="007A5455">
        <w:rPr>
          <w:i/>
          <w:sz w:val="20"/>
          <w:szCs w:val="20"/>
        </w:rPr>
        <w:t xml:space="preserve"> v.</w:t>
      </w:r>
      <w:r w:rsidRPr="007A5455">
        <w:rPr>
          <w:i/>
          <w:sz w:val="20"/>
          <w:szCs w:val="20"/>
        </w:rPr>
        <w:t xml:space="preserve"> Raymond </w:t>
      </w:r>
      <w:proofErr w:type="spellStart"/>
      <w:r w:rsidRPr="007A5455">
        <w:rPr>
          <w:i/>
          <w:sz w:val="20"/>
          <w:szCs w:val="20"/>
        </w:rPr>
        <w:t>Lapple</w:t>
      </w:r>
      <w:proofErr w:type="spellEnd"/>
      <w:r w:rsidR="00CB3520" w:rsidRPr="007A5455">
        <w:rPr>
          <w:sz w:val="20"/>
          <w:szCs w:val="20"/>
        </w:rPr>
        <w:t xml:space="preserve"> (</w:t>
      </w:r>
      <w:r w:rsidRPr="007A5455">
        <w:rPr>
          <w:sz w:val="20"/>
          <w:szCs w:val="20"/>
        </w:rPr>
        <w:t>Ont.</w:t>
      </w:r>
      <w:r w:rsidR="00CB3520" w:rsidRPr="007A5455">
        <w:rPr>
          <w:sz w:val="20"/>
          <w:szCs w:val="20"/>
        </w:rPr>
        <w:t>) (Crim.) (By Leave) (36</w:t>
      </w:r>
      <w:r w:rsidRPr="007A5455">
        <w:rPr>
          <w:sz w:val="20"/>
          <w:szCs w:val="20"/>
        </w:rPr>
        <w:t>574</w:t>
      </w:r>
      <w:r w:rsidR="00CB3520" w:rsidRPr="007A5455">
        <w:rPr>
          <w:sz w:val="20"/>
          <w:szCs w:val="20"/>
        </w:rPr>
        <w:t>)</w:t>
      </w:r>
    </w:p>
    <w:p w:rsidR="00CB3520" w:rsidRPr="007A5455" w:rsidRDefault="00CB3520" w:rsidP="00CB3520">
      <w:pPr>
        <w:widowControl w:val="0"/>
        <w:jc w:val="both"/>
        <w:rPr>
          <w:sz w:val="20"/>
          <w:szCs w:val="20"/>
        </w:rPr>
      </w:pPr>
    </w:p>
    <w:p w:rsidR="00CB3520" w:rsidRPr="007A5455" w:rsidRDefault="001C5F42" w:rsidP="00CB3520">
      <w:pPr>
        <w:pStyle w:val="ListParagraph"/>
        <w:widowControl w:val="0"/>
        <w:numPr>
          <w:ilvl w:val="0"/>
          <w:numId w:val="1"/>
        </w:numPr>
        <w:ind w:hanging="720"/>
        <w:jc w:val="both"/>
        <w:rPr>
          <w:sz w:val="20"/>
          <w:szCs w:val="20"/>
        </w:rPr>
      </w:pPr>
      <w:r w:rsidRPr="007A5455">
        <w:rPr>
          <w:i/>
          <w:sz w:val="20"/>
          <w:szCs w:val="20"/>
        </w:rPr>
        <w:t>Attorney General of Canada</w:t>
      </w:r>
      <w:r w:rsidR="00CB3520" w:rsidRPr="007A5455">
        <w:rPr>
          <w:i/>
          <w:sz w:val="20"/>
          <w:szCs w:val="20"/>
        </w:rPr>
        <w:t xml:space="preserve"> v. </w:t>
      </w:r>
      <w:r w:rsidRPr="007A5455">
        <w:rPr>
          <w:i/>
          <w:sz w:val="20"/>
          <w:szCs w:val="20"/>
        </w:rPr>
        <w:t>James Frost</w:t>
      </w:r>
      <w:r w:rsidR="00CB3520" w:rsidRPr="007A5455">
        <w:rPr>
          <w:sz w:val="20"/>
          <w:szCs w:val="20"/>
        </w:rPr>
        <w:t xml:space="preserve"> (</w:t>
      </w:r>
      <w:r w:rsidRPr="007A5455">
        <w:rPr>
          <w:sz w:val="20"/>
          <w:szCs w:val="20"/>
        </w:rPr>
        <w:t>Ont.</w:t>
      </w:r>
      <w:r w:rsidR="00CB3520" w:rsidRPr="007A5455">
        <w:rPr>
          <w:sz w:val="20"/>
          <w:szCs w:val="20"/>
        </w:rPr>
        <w:t>) (C</w:t>
      </w:r>
      <w:r w:rsidRPr="007A5455">
        <w:rPr>
          <w:sz w:val="20"/>
          <w:szCs w:val="20"/>
        </w:rPr>
        <w:t>r</w:t>
      </w:r>
      <w:r w:rsidR="00CB3520" w:rsidRPr="007A5455">
        <w:rPr>
          <w:sz w:val="20"/>
          <w:szCs w:val="20"/>
        </w:rPr>
        <w:t>i</w:t>
      </w:r>
      <w:r w:rsidRPr="007A5455">
        <w:rPr>
          <w:sz w:val="20"/>
          <w:szCs w:val="20"/>
        </w:rPr>
        <w:t>m.</w:t>
      </w:r>
      <w:r w:rsidR="00CB3520" w:rsidRPr="007A5455">
        <w:rPr>
          <w:sz w:val="20"/>
          <w:szCs w:val="20"/>
        </w:rPr>
        <w:t>) (By Leave) (3</w:t>
      </w:r>
      <w:r w:rsidRPr="007A5455">
        <w:rPr>
          <w:sz w:val="20"/>
          <w:szCs w:val="20"/>
        </w:rPr>
        <w:t>6571</w:t>
      </w:r>
      <w:r w:rsidR="00CB3520" w:rsidRPr="007A5455">
        <w:rPr>
          <w:sz w:val="20"/>
          <w:szCs w:val="20"/>
        </w:rPr>
        <w:t>)</w:t>
      </w:r>
    </w:p>
    <w:p w:rsidR="00CB3520" w:rsidRPr="007A5455" w:rsidRDefault="00CB3520" w:rsidP="00CB3520">
      <w:pPr>
        <w:widowControl w:val="0"/>
        <w:jc w:val="both"/>
        <w:rPr>
          <w:sz w:val="20"/>
          <w:szCs w:val="20"/>
        </w:rPr>
      </w:pPr>
    </w:p>
    <w:p w:rsidR="00CB3520" w:rsidRPr="007A5455" w:rsidRDefault="00712FF7" w:rsidP="00CB3520">
      <w:pPr>
        <w:pStyle w:val="ListParagraph"/>
        <w:widowControl w:val="0"/>
        <w:numPr>
          <w:ilvl w:val="0"/>
          <w:numId w:val="1"/>
        </w:numPr>
        <w:ind w:hanging="720"/>
        <w:jc w:val="both"/>
        <w:rPr>
          <w:sz w:val="20"/>
          <w:szCs w:val="20"/>
        </w:rPr>
      </w:pPr>
      <w:r w:rsidRPr="007A5455">
        <w:rPr>
          <w:i/>
          <w:sz w:val="20"/>
          <w:szCs w:val="20"/>
        </w:rPr>
        <w:t>Attorney General of Canada</w:t>
      </w:r>
      <w:r w:rsidR="00CB3520" w:rsidRPr="007A5455">
        <w:rPr>
          <w:i/>
          <w:sz w:val="20"/>
          <w:szCs w:val="20"/>
        </w:rPr>
        <w:t xml:space="preserve"> v.</w:t>
      </w:r>
      <w:r w:rsidRPr="007A5455">
        <w:rPr>
          <w:i/>
          <w:sz w:val="20"/>
          <w:szCs w:val="20"/>
        </w:rPr>
        <w:t xml:space="preserve"> Samantha Claire Lewis et al.</w:t>
      </w:r>
      <w:r w:rsidR="00CB3520" w:rsidRPr="007A5455">
        <w:rPr>
          <w:sz w:val="20"/>
          <w:szCs w:val="20"/>
        </w:rPr>
        <w:t xml:space="preserve"> </w:t>
      </w:r>
      <w:r w:rsidR="00FB7870" w:rsidRPr="007A5455">
        <w:rPr>
          <w:sz w:val="20"/>
          <w:szCs w:val="20"/>
        </w:rPr>
        <w:t xml:space="preserve">(Ont.) </w:t>
      </w:r>
      <w:r w:rsidR="00CB3520" w:rsidRPr="007A5455">
        <w:rPr>
          <w:sz w:val="20"/>
          <w:szCs w:val="20"/>
        </w:rPr>
        <w:t>(C</w:t>
      </w:r>
      <w:r w:rsidRPr="007A5455">
        <w:rPr>
          <w:sz w:val="20"/>
          <w:szCs w:val="20"/>
        </w:rPr>
        <w:t>r</w:t>
      </w:r>
      <w:r w:rsidR="00CB3520" w:rsidRPr="007A5455">
        <w:rPr>
          <w:sz w:val="20"/>
          <w:szCs w:val="20"/>
        </w:rPr>
        <w:t>i</w:t>
      </w:r>
      <w:r w:rsidRPr="007A5455">
        <w:rPr>
          <w:sz w:val="20"/>
          <w:szCs w:val="20"/>
        </w:rPr>
        <w:t>m.</w:t>
      </w:r>
      <w:r w:rsidR="00CB3520" w:rsidRPr="007A5455">
        <w:rPr>
          <w:sz w:val="20"/>
          <w:szCs w:val="20"/>
        </w:rPr>
        <w:t>) (By Leave) (3</w:t>
      </w:r>
      <w:r w:rsidRPr="007A5455">
        <w:rPr>
          <w:sz w:val="20"/>
          <w:szCs w:val="20"/>
        </w:rPr>
        <w:t>6564</w:t>
      </w:r>
      <w:r w:rsidR="00CB3520" w:rsidRPr="007A5455">
        <w:rPr>
          <w:sz w:val="20"/>
          <w:szCs w:val="20"/>
        </w:rPr>
        <w:t>)</w:t>
      </w:r>
    </w:p>
    <w:p w:rsidR="00CB3520" w:rsidRPr="007A5455" w:rsidRDefault="00CB3520" w:rsidP="00CB3520">
      <w:pPr>
        <w:widowControl w:val="0"/>
        <w:rPr>
          <w:sz w:val="20"/>
          <w:szCs w:val="20"/>
        </w:rPr>
      </w:pPr>
    </w:p>
    <w:p w:rsidR="00CB3520" w:rsidRPr="007A5455" w:rsidRDefault="001E259A" w:rsidP="00CB3520">
      <w:pPr>
        <w:pStyle w:val="ListParagraph"/>
        <w:widowControl w:val="0"/>
        <w:numPr>
          <w:ilvl w:val="0"/>
          <w:numId w:val="1"/>
        </w:numPr>
        <w:ind w:hanging="720"/>
        <w:jc w:val="both"/>
        <w:rPr>
          <w:sz w:val="20"/>
          <w:szCs w:val="20"/>
        </w:rPr>
      </w:pPr>
      <w:r w:rsidRPr="007A5455">
        <w:rPr>
          <w:i/>
          <w:sz w:val="20"/>
          <w:szCs w:val="20"/>
        </w:rPr>
        <w:t>Precision Plating Ltd. et al.</w:t>
      </w:r>
      <w:r w:rsidR="00CB3520" w:rsidRPr="007A5455">
        <w:rPr>
          <w:i/>
          <w:sz w:val="20"/>
          <w:szCs w:val="20"/>
        </w:rPr>
        <w:t xml:space="preserve"> v. </w:t>
      </w:r>
      <w:proofErr w:type="spellStart"/>
      <w:r w:rsidRPr="007A5455">
        <w:rPr>
          <w:i/>
          <w:sz w:val="20"/>
          <w:szCs w:val="20"/>
        </w:rPr>
        <w:t>Axa</w:t>
      </w:r>
      <w:proofErr w:type="spellEnd"/>
      <w:r w:rsidRPr="007A5455">
        <w:rPr>
          <w:i/>
          <w:sz w:val="20"/>
          <w:szCs w:val="20"/>
        </w:rPr>
        <w:t xml:space="preserve"> Pacific Insurance Company </w:t>
      </w:r>
      <w:r w:rsidR="00CB3520" w:rsidRPr="007A5455">
        <w:rPr>
          <w:i/>
          <w:sz w:val="20"/>
          <w:szCs w:val="20"/>
        </w:rPr>
        <w:t>et al.</w:t>
      </w:r>
      <w:r w:rsidR="00CB3520" w:rsidRPr="007A5455">
        <w:rPr>
          <w:sz w:val="20"/>
          <w:szCs w:val="20"/>
        </w:rPr>
        <w:t xml:space="preserve"> (</w:t>
      </w:r>
      <w:r w:rsidRPr="007A5455">
        <w:rPr>
          <w:sz w:val="20"/>
          <w:szCs w:val="20"/>
        </w:rPr>
        <w:t>B.C.</w:t>
      </w:r>
      <w:r w:rsidR="00CB3520" w:rsidRPr="007A5455">
        <w:rPr>
          <w:sz w:val="20"/>
          <w:szCs w:val="20"/>
        </w:rPr>
        <w:t>) (Civil) (By Leave) (3</w:t>
      </w:r>
      <w:r w:rsidRPr="007A5455">
        <w:rPr>
          <w:sz w:val="20"/>
          <w:szCs w:val="20"/>
        </w:rPr>
        <w:t>6579</w:t>
      </w:r>
      <w:r w:rsidR="00CB3520" w:rsidRPr="007A5455">
        <w:rPr>
          <w:sz w:val="20"/>
          <w:szCs w:val="20"/>
        </w:rPr>
        <w:t>)</w:t>
      </w:r>
    </w:p>
    <w:p w:rsidR="00CB3520" w:rsidRPr="007A5455" w:rsidRDefault="00CB3520" w:rsidP="00CB3520">
      <w:pPr>
        <w:widowControl w:val="0"/>
        <w:rPr>
          <w:sz w:val="20"/>
          <w:szCs w:val="20"/>
        </w:rPr>
      </w:pPr>
    </w:p>
    <w:p w:rsidR="00CB3520" w:rsidRPr="007A5455" w:rsidRDefault="00CB3520" w:rsidP="00CB3520">
      <w:pPr>
        <w:widowControl w:val="0"/>
        <w:jc w:val="center"/>
        <w:rPr>
          <w:b/>
          <w:sz w:val="20"/>
          <w:szCs w:val="20"/>
          <w:lang w:val="fr-CA"/>
        </w:rPr>
      </w:pPr>
      <w:r w:rsidRPr="007A5455">
        <w:rPr>
          <w:b/>
          <w:sz w:val="20"/>
          <w:szCs w:val="20"/>
          <w:lang w:val="fr-CA"/>
        </w:rPr>
        <w:t xml:space="preserve">CORAM: </w:t>
      </w:r>
      <w:r w:rsidR="00FA3373" w:rsidRPr="007A5455">
        <w:rPr>
          <w:b/>
          <w:sz w:val="20"/>
          <w:szCs w:val="20"/>
          <w:lang w:val="fr-CA"/>
        </w:rPr>
        <w:t>Abella</w:t>
      </w:r>
      <w:r w:rsidRPr="007A5455">
        <w:rPr>
          <w:b/>
          <w:sz w:val="20"/>
          <w:szCs w:val="20"/>
          <w:lang w:val="fr-CA"/>
        </w:rPr>
        <w:t xml:space="preserve">, </w:t>
      </w:r>
      <w:proofErr w:type="spellStart"/>
      <w:r w:rsidRPr="007A5455">
        <w:rPr>
          <w:b/>
          <w:sz w:val="20"/>
          <w:szCs w:val="20"/>
          <w:lang w:val="fr-CA"/>
        </w:rPr>
        <w:t>Karakatsanis</w:t>
      </w:r>
      <w:proofErr w:type="spellEnd"/>
      <w:r w:rsidRPr="007A5455">
        <w:rPr>
          <w:b/>
          <w:sz w:val="20"/>
          <w:szCs w:val="20"/>
          <w:lang w:val="fr-CA"/>
        </w:rPr>
        <w:t xml:space="preserve"> and </w:t>
      </w:r>
      <w:r w:rsidR="00175C53" w:rsidRPr="007A5455">
        <w:rPr>
          <w:b/>
          <w:sz w:val="20"/>
          <w:szCs w:val="20"/>
          <w:lang w:val="fr-CA"/>
        </w:rPr>
        <w:t>Brown</w:t>
      </w:r>
      <w:r w:rsidRPr="007A5455">
        <w:rPr>
          <w:b/>
          <w:sz w:val="20"/>
          <w:szCs w:val="20"/>
          <w:lang w:val="fr-CA"/>
        </w:rPr>
        <w:t xml:space="preserve"> JJ.</w:t>
      </w:r>
    </w:p>
    <w:p w:rsidR="00CB3520" w:rsidRPr="007A5455" w:rsidRDefault="00CB3520" w:rsidP="00CB3520">
      <w:pPr>
        <w:widowControl w:val="0"/>
        <w:jc w:val="center"/>
        <w:rPr>
          <w:b/>
          <w:sz w:val="20"/>
          <w:szCs w:val="20"/>
          <w:lang w:val="fr-CA"/>
        </w:rPr>
      </w:pPr>
      <w:r w:rsidRPr="007A5455">
        <w:rPr>
          <w:b/>
          <w:sz w:val="20"/>
          <w:szCs w:val="20"/>
          <w:lang w:val="fr-CA"/>
        </w:rPr>
        <w:t xml:space="preserve">Les juges </w:t>
      </w:r>
      <w:r w:rsidR="00FA3373" w:rsidRPr="007A5455">
        <w:rPr>
          <w:b/>
          <w:sz w:val="20"/>
          <w:szCs w:val="20"/>
          <w:lang w:val="fr-CA"/>
        </w:rPr>
        <w:t>Abella</w:t>
      </w:r>
      <w:r w:rsidRPr="007A5455">
        <w:rPr>
          <w:b/>
          <w:sz w:val="20"/>
          <w:szCs w:val="20"/>
          <w:lang w:val="fr-CA"/>
        </w:rPr>
        <w:t xml:space="preserve">, </w:t>
      </w:r>
      <w:proofErr w:type="spellStart"/>
      <w:r w:rsidRPr="007A5455">
        <w:rPr>
          <w:b/>
          <w:sz w:val="20"/>
          <w:szCs w:val="20"/>
          <w:lang w:val="fr-CA"/>
        </w:rPr>
        <w:t>Karakatsanis</w:t>
      </w:r>
      <w:proofErr w:type="spellEnd"/>
      <w:r w:rsidRPr="007A5455">
        <w:rPr>
          <w:b/>
          <w:sz w:val="20"/>
          <w:szCs w:val="20"/>
          <w:lang w:val="fr-CA"/>
        </w:rPr>
        <w:t xml:space="preserve"> et </w:t>
      </w:r>
      <w:r w:rsidR="00175C53" w:rsidRPr="007A5455">
        <w:rPr>
          <w:b/>
          <w:sz w:val="20"/>
          <w:szCs w:val="20"/>
          <w:lang w:val="fr-CA"/>
        </w:rPr>
        <w:t>Brown</w:t>
      </w:r>
    </w:p>
    <w:p w:rsidR="00CB3520" w:rsidRPr="007A5455" w:rsidRDefault="00CB3520" w:rsidP="00CB3520">
      <w:pPr>
        <w:widowControl w:val="0"/>
        <w:jc w:val="both"/>
        <w:rPr>
          <w:sz w:val="20"/>
          <w:szCs w:val="20"/>
          <w:lang w:val="fr-CA"/>
        </w:rPr>
      </w:pPr>
    </w:p>
    <w:p w:rsidR="00CB3520" w:rsidRPr="007A5455" w:rsidRDefault="00F74AB7" w:rsidP="00CB3520">
      <w:pPr>
        <w:pStyle w:val="ListParagraph"/>
        <w:widowControl w:val="0"/>
        <w:numPr>
          <w:ilvl w:val="0"/>
          <w:numId w:val="1"/>
        </w:numPr>
        <w:ind w:hanging="720"/>
        <w:jc w:val="both"/>
        <w:rPr>
          <w:sz w:val="20"/>
          <w:szCs w:val="20"/>
          <w:lang w:val="fr-CA"/>
        </w:rPr>
      </w:pPr>
      <w:r w:rsidRPr="007A5455">
        <w:rPr>
          <w:i/>
          <w:sz w:val="20"/>
          <w:szCs w:val="20"/>
        </w:rPr>
        <w:t>J.C.</w:t>
      </w:r>
      <w:r w:rsidR="00CB3520" w:rsidRPr="007A5455">
        <w:rPr>
          <w:i/>
          <w:sz w:val="20"/>
          <w:szCs w:val="20"/>
        </w:rPr>
        <w:t xml:space="preserve"> v. </w:t>
      </w:r>
      <w:r w:rsidRPr="007A5455">
        <w:rPr>
          <w:i/>
          <w:sz w:val="20"/>
          <w:szCs w:val="20"/>
        </w:rPr>
        <w:t>Her Majesty the Queen</w:t>
      </w:r>
      <w:r w:rsidR="00CB3520" w:rsidRPr="007A5455">
        <w:rPr>
          <w:sz w:val="20"/>
          <w:szCs w:val="20"/>
        </w:rPr>
        <w:t xml:space="preserve"> (</w:t>
      </w:r>
      <w:r w:rsidRPr="007A5455">
        <w:rPr>
          <w:sz w:val="20"/>
          <w:szCs w:val="20"/>
        </w:rPr>
        <w:t>Ont</w:t>
      </w:r>
      <w:r w:rsidR="00CB3520" w:rsidRPr="007A5455">
        <w:rPr>
          <w:sz w:val="20"/>
          <w:szCs w:val="20"/>
        </w:rPr>
        <w:t>.) (C</w:t>
      </w:r>
      <w:r w:rsidRPr="007A5455">
        <w:rPr>
          <w:sz w:val="20"/>
          <w:szCs w:val="20"/>
        </w:rPr>
        <w:t>r</w:t>
      </w:r>
      <w:r w:rsidR="00CB3520" w:rsidRPr="007A5455">
        <w:rPr>
          <w:sz w:val="20"/>
          <w:szCs w:val="20"/>
        </w:rPr>
        <w:t>i</w:t>
      </w:r>
      <w:r w:rsidRPr="007A5455">
        <w:rPr>
          <w:sz w:val="20"/>
          <w:szCs w:val="20"/>
        </w:rPr>
        <w:t>m.</w:t>
      </w:r>
      <w:r w:rsidR="00CB3520" w:rsidRPr="007A5455">
        <w:rPr>
          <w:sz w:val="20"/>
          <w:szCs w:val="20"/>
        </w:rPr>
        <w:t>) (By Leave)</w:t>
      </w:r>
      <w:r w:rsidR="00CB3520" w:rsidRPr="007A5455">
        <w:rPr>
          <w:sz w:val="20"/>
          <w:szCs w:val="20"/>
          <w:lang w:val="fr-CA"/>
        </w:rPr>
        <w:t xml:space="preserve"> (3</w:t>
      </w:r>
      <w:r w:rsidRPr="007A5455">
        <w:rPr>
          <w:sz w:val="20"/>
          <w:szCs w:val="20"/>
          <w:lang w:val="fr-CA"/>
        </w:rPr>
        <w:t>6</w:t>
      </w:r>
      <w:r w:rsidR="00CB3520" w:rsidRPr="007A5455">
        <w:rPr>
          <w:sz w:val="20"/>
          <w:szCs w:val="20"/>
          <w:lang w:val="fr-CA"/>
        </w:rPr>
        <w:t>5</w:t>
      </w:r>
      <w:r w:rsidRPr="007A5455">
        <w:rPr>
          <w:sz w:val="20"/>
          <w:szCs w:val="20"/>
          <w:lang w:val="fr-CA"/>
        </w:rPr>
        <w:t>72</w:t>
      </w:r>
      <w:r w:rsidR="00CB3520" w:rsidRPr="007A5455">
        <w:rPr>
          <w:sz w:val="20"/>
          <w:szCs w:val="20"/>
          <w:lang w:val="fr-CA"/>
        </w:rPr>
        <w:t>)</w:t>
      </w:r>
    </w:p>
    <w:p w:rsidR="00CB3520" w:rsidRPr="007A5455" w:rsidRDefault="00CB3520" w:rsidP="00CB3520">
      <w:pPr>
        <w:widowControl w:val="0"/>
        <w:jc w:val="both"/>
        <w:rPr>
          <w:sz w:val="20"/>
          <w:szCs w:val="20"/>
          <w:lang w:val="fr-CA"/>
        </w:rPr>
      </w:pPr>
    </w:p>
    <w:p w:rsidR="00CB3520" w:rsidRPr="007A5455" w:rsidRDefault="00B94656" w:rsidP="00CB3520">
      <w:pPr>
        <w:pStyle w:val="ListParagraph"/>
        <w:widowControl w:val="0"/>
        <w:numPr>
          <w:ilvl w:val="0"/>
          <w:numId w:val="1"/>
        </w:numPr>
        <w:ind w:hanging="720"/>
        <w:jc w:val="both"/>
        <w:rPr>
          <w:sz w:val="20"/>
          <w:szCs w:val="20"/>
        </w:rPr>
      </w:pPr>
      <w:r w:rsidRPr="007A5455">
        <w:rPr>
          <w:i/>
          <w:sz w:val="20"/>
          <w:szCs w:val="20"/>
        </w:rPr>
        <w:t>Michele Ashley et al.</w:t>
      </w:r>
      <w:r w:rsidR="00CB3520" w:rsidRPr="007A5455">
        <w:rPr>
          <w:i/>
          <w:sz w:val="20"/>
          <w:szCs w:val="20"/>
        </w:rPr>
        <w:t xml:space="preserve"> v. </w:t>
      </w:r>
      <w:r w:rsidRPr="007A5455">
        <w:rPr>
          <w:i/>
          <w:sz w:val="20"/>
          <w:szCs w:val="20"/>
        </w:rPr>
        <w:t>Robin Welsh</w:t>
      </w:r>
      <w:r w:rsidR="00CB3520" w:rsidRPr="007A5455">
        <w:rPr>
          <w:sz w:val="20"/>
          <w:szCs w:val="20"/>
        </w:rPr>
        <w:t xml:space="preserve"> (Ont.) (Civil) (By Leave) (3</w:t>
      </w:r>
      <w:r w:rsidRPr="007A5455">
        <w:rPr>
          <w:sz w:val="20"/>
          <w:szCs w:val="20"/>
        </w:rPr>
        <w:t>6580</w:t>
      </w:r>
      <w:r w:rsidR="00CB3520" w:rsidRPr="007A5455">
        <w:rPr>
          <w:sz w:val="20"/>
          <w:szCs w:val="20"/>
        </w:rPr>
        <w:t>)</w:t>
      </w:r>
    </w:p>
    <w:p w:rsidR="00CB3520" w:rsidRPr="007A5455" w:rsidRDefault="00CB3520" w:rsidP="00CB3520">
      <w:pPr>
        <w:widowControl w:val="0"/>
        <w:jc w:val="both"/>
        <w:rPr>
          <w:sz w:val="20"/>
          <w:szCs w:val="20"/>
        </w:rPr>
      </w:pPr>
    </w:p>
    <w:p w:rsidR="00CB3520" w:rsidRPr="007A5455" w:rsidRDefault="00F36349" w:rsidP="00CB3520">
      <w:pPr>
        <w:pStyle w:val="ListParagraph"/>
        <w:widowControl w:val="0"/>
        <w:numPr>
          <w:ilvl w:val="0"/>
          <w:numId w:val="1"/>
        </w:numPr>
        <w:ind w:hanging="720"/>
        <w:jc w:val="both"/>
        <w:rPr>
          <w:sz w:val="20"/>
          <w:szCs w:val="20"/>
          <w:lang w:val="fr-CA"/>
        </w:rPr>
      </w:pPr>
      <w:proofErr w:type="spellStart"/>
      <w:r w:rsidRPr="007A5455">
        <w:rPr>
          <w:i/>
          <w:sz w:val="20"/>
          <w:szCs w:val="20"/>
          <w:lang w:val="fr-CA"/>
        </w:rPr>
        <w:t>Rakuten</w:t>
      </w:r>
      <w:proofErr w:type="spellEnd"/>
      <w:r w:rsidRPr="007A5455">
        <w:rPr>
          <w:i/>
          <w:sz w:val="20"/>
          <w:szCs w:val="20"/>
          <w:lang w:val="fr-CA"/>
        </w:rPr>
        <w:t xml:space="preserve"> </w:t>
      </w:r>
      <w:proofErr w:type="spellStart"/>
      <w:r w:rsidRPr="007A5455">
        <w:rPr>
          <w:i/>
          <w:sz w:val="20"/>
          <w:szCs w:val="20"/>
          <w:lang w:val="fr-CA"/>
        </w:rPr>
        <w:t>Kobo</w:t>
      </w:r>
      <w:proofErr w:type="spellEnd"/>
      <w:r w:rsidRPr="007A5455">
        <w:rPr>
          <w:i/>
          <w:sz w:val="20"/>
          <w:szCs w:val="20"/>
          <w:lang w:val="fr-CA"/>
        </w:rPr>
        <w:t xml:space="preserve"> Inc.</w:t>
      </w:r>
      <w:r w:rsidR="00CB3520" w:rsidRPr="007A5455">
        <w:rPr>
          <w:i/>
          <w:sz w:val="20"/>
          <w:szCs w:val="20"/>
          <w:lang w:val="fr-CA"/>
        </w:rPr>
        <w:t xml:space="preserve"> </w:t>
      </w:r>
      <w:r w:rsidRPr="007A5455">
        <w:rPr>
          <w:i/>
          <w:sz w:val="20"/>
          <w:szCs w:val="20"/>
          <w:lang w:val="fr-CA"/>
        </w:rPr>
        <w:t>v</w:t>
      </w:r>
      <w:r w:rsidR="00CB3520" w:rsidRPr="007A5455">
        <w:rPr>
          <w:i/>
          <w:sz w:val="20"/>
          <w:szCs w:val="20"/>
          <w:lang w:val="fr-CA"/>
        </w:rPr>
        <w:t xml:space="preserve">. </w:t>
      </w:r>
      <w:proofErr w:type="spellStart"/>
      <w:r w:rsidRPr="007A5455">
        <w:rPr>
          <w:i/>
          <w:sz w:val="20"/>
          <w:szCs w:val="20"/>
          <w:lang w:val="fr-CA"/>
        </w:rPr>
        <w:t>Commissioner</w:t>
      </w:r>
      <w:proofErr w:type="spellEnd"/>
      <w:r w:rsidRPr="007A5455">
        <w:rPr>
          <w:i/>
          <w:sz w:val="20"/>
          <w:szCs w:val="20"/>
          <w:lang w:val="fr-CA"/>
        </w:rPr>
        <w:t xml:space="preserve"> of </w:t>
      </w:r>
      <w:proofErr w:type="spellStart"/>
      <w:r w:rsidRPr="007A5455">
        <w:rPr>
          <w:i/>
          <w:sz w:val="20"/>
          <w:szCs w:val="20"/>
          <w:lang w:val="fr-CA"/>
        </w:rPr>
        <w:t>Competition</w:t>
      </w:r>
      <w:proofErr w:type="spellEnd"/>
      <w:r w:rsidRPr="007A5455">
        <w:rPr>
          <w:i/>
          <w:sz w:val="20"/>
          <w:szCs w:val="20"/>
          <w:lang w:val="fr-CA"/>
        </w:rPr>
        <w:t xml:space="preserve"> et al. </w:t>
      </w:r>
      <w:r w:rsidR="00CB3520" w:rsidRPr="007A5455">
        <w:rPr>
          <w:sz w:val="20"/>
          <w:szCs w:val="20"/>
          <w:lang w:val="fr-CA"/>
        </w:rPr>
        <w:t>(</w:t>
      </w:r>
      <w:r w:rsidRPr="007A5455">
        <w:rPr>
          <w:sz w:val="20"/>
          <w:szCs w:val="20"/>
          <w:lang w:val="fr-CA"/>
        </w:rPr>
        <w:t>F.C.</w:t>
      </w:r>
      <w:r w:rsidR="00CB3520" w:rsidRPr="007A5455">
        <w:rPr>
          <w:sz w:val="20"/>
          <w:szCs w:val="20"/>
          <w:lang w:val="fr-CA"/>
        </w:rPr>
        <w:t>) (Civil) (</w:t>
      </w:r>
      <w:r w:rsidRPr="007A5455">
        <w:rPr>
          <w:sz w:val="20"/>
          <w:szCs w:val="20"/>
          <w:lang w:val="fr-CA"/>
        </w:rPr>
        <w:t xml:space="preserve">By </w:t>
      </w:r>
      <w:proofErr w:type="spellStart"/>
      <w:r w:rsidRPr="007A5455">
        <w:rPr>
          <w:sz w:val="20"/>
          <w:szCs w:val="20"/>
          <w:lang w:val="fr-CA"/>
        </w:rPr>
        <w:t>Leave</w:t>
      </w:r>
      <w:proofErr w:type="spellEnd"/>
      <w:r w:rsidR="00CB3520" w:rsidRPr="007A5455">
        <w:rPr>
          <w:sz w:val="20"/>
          <w:szCs w:val="20"/>
          <w:lang w:val="fr-CA"/>
        </w:rPr>
        <w:t>) (3</w:t>
      </w:r>
      <w:r w:rsidRPr="007A5455">
        <w:rPr>
          <w:sz w:val="20"/>
          <w:szCs w:val="20"/>
          <w:lang w:val="fr-CA"/>
        </w:rPr>
        <w:t>6554</w:t>
      </w:r>
      <w:r w:rsidR="00CB3520" w:rsidRPr="007A5455">
        <w:rPr>
          <w:sz w:val="20"/>
          <w:szCs w:val="20"/>
          <w:lang w:val="fr-CA"/>
        </w:rPr>
        <w:t>)</w:t>
      </w:r>
    </w:p>
    <w:p w:rsidR="00CB3520" w:rsidRPr="007A5455" w:rsidRDefault="00CB3520" w:rsidP="00CB3520">
      <w:pPr>
        <w:widowControl w:val="0"/>
        <w:rPr>
          <w:sz w:val="20"/>
          <w:szCs w:val="20"/>
          <w:lang w:val="fr-CA"/>
        </w:rPr>
      </w:pPr>
    </w:p>
    <w:p w:rsidR="00CB3520" w:rsidRPr="007A5455" w:rsidRDefault="00C5562F" w:rsidP="00CB3520">
      <w:pPr>
        <w:pStyle w:val="ListParagraph"/>
        <w:widowControl w:val="0"/>
        <w:numPr>
          <w:ilvl w:val="0"/>
          <w:numId w:val="1"/>
        </w:numPr>
        <w:ind w:hanging="720"/>
        <w:jc w:val="both"/>
        <w:rPr>
          <w:sz w:val="20"/>
          <w:szCs w:val="20"/>
          <w:lang w:val="fr-CA"/>
        </w:rPr>
      </w:pPr>
      <w:r w:rsidRPr="007A5455">
        <w:rPr>
          <w:i/>
          <w:sz w:val="20"/>
          <w:szCs w:val="20"/>
          <w:lang w:val="fr-CA"/>
        </w:rPr>
        <w:t>Bao Duc Nguyen</w:t>
      </w:r>
      <w:r w:rsidR="00CB3520" w:rsidRPr="007A5455">
        <w:rPr>
          <w:i/>
          <w:sz w:val="20"/>
          <w:szCs w:val="20"/>
          <w:lang w:val="fr-CA"/>
        </w:rPr>
        <w:t xml:space="preserve"> </w:t>
      </w:r>
      <w:r w:rsidRPr="007A5455">
        <w:rPr>
          <w:i/>
          <w:sz w:val="20"/>
          <w:szCs w:val="20"/>
          <w:lang w:val="fr-CA"/>
        </w:rPr>
        <w:t>v</w:t>
      </w:r>
      <w:r w:rsidR="00CB3520" w:rsidRPr="007A5455">
        <w:rPr>
          <w:i/>
          <w:sz w:val="20"/>
          <w:szCs w:val="20"/>
          <w:lang w:val="fr-CA"/>
        </w:rPr>
        <w:t xml:space="preserve">. </w:t>
      </w:r>
      <w:proofErr w:type="spellStart"/>
      <w:r w:rsidRPr="007A5455">
        <w:rPr>
          <w:i/>
          <w:sz w:val="20"/>
          <w:szCs w:val="20"/>
          <w:lang w:val="fr-CA"/>
        </w:rPr>
        <w:t>Iwin</w:t>
      </w:r>
      <w:proofErr w:type="spellEnd"/>
      <w:r w:rsidRPr="007A5455">
        <w:rPr>
          <w:i/>
          <w:sz w:val="20"/>
          <w:szCs w:val="20"/>
          <w:lang w:val="fr-CA"/>
        </w:rPr>
        <w:t xml:space="preserve"> Lee </w:t>
      </w:r>
      <w:r w:rsidR="00CB3520" w:rsidRPr="007A5455">
        <w:rPr>
          <w:sz w:val="20"/>
          <w:szCs w:val="20"/>
          <w:lang w:val="fr-CA"/>
        </w:rPr>
        <w:t>(</w:t>
      </w:r>
      <w:r w:rsidRPr="007A5455">
        <w:rPr>
          <w:sz w:val="20"/>
          <w:szCs w:val="20"/>
          <w:lang w:val="fr-CA"/>
        </w:rPr>
        <w:t>Ont.</w:t>
      </w:r>
      <w:r w:rsidR="00CB3520" w:rsidRPr="007A5455">
        <w:rPr>
          <w:sz w:val="20"/>
          <w:szCs w:val="20"/>
          <w:lang w:val="fr-CA"/>
        </w:rPr>
        <w:t>) (Civil) (</w:t>
      </w:r>
      <w:r w:rsidRPr="007A5455">
        <w:rPr>
          <w:sz w:val="20"/>
          <w:szCs w:val="20"/>
          <w:lang w:val="fr-CA"/>
        </w:rPr>
        <w:t xml:space="preserve">By </w:t>
      </w:r>
      <w:proofErr w:type="spellStart"/>
      <w:r w:rsidRPr="007A5455">
        <w:rPr>
          <w:sz w:val="20"/>
          <w:szCs w:val="20"/>
          <w:lang w:val="fr-CA"/>
        </w:rPr>
        <w:t>Leave</w:t>
      </w:r>
      <w:proofErr w:type="spellEnd"/>
      <w:r w:rsidR="00CB3520" w:rsidRPr="007A5455">
        <w:rPr>
          <w:sz w:val="20"/>
          <w:szCs w:val="20"/>
          <w:lang w:val="fr-CA"/>
        </w:rPr>
        <w:t>) (3</w:t>
      </w:r>
      <w:r w:rsidRPr="007A5455">
        <w:rPr>
          <w:sz w:val="20"/>
          <w:szCs w:val="20"/>
          <w:lang w:val="fr-CA"/>
        </w:rPr>
        <w:t>6</w:t>
      </w:r>
      <w:r w:rsidR="00CB3520" w:rsidRPr="007A5455">
        <w:rPr>
          <w:sz w:val="20"/>
          <w:szCs w:val="20"/>
          <w:lang w:val="fr-CA"/>
        </w:rPr>
        <w:t>5</w:t>
      </w:r>
      <w:r w:rsidRPr="007A5455">
        <w:rPr>
          <w:sz w:val="20"/>
          <w:szCs w:val="20"/>
          <w:lang w:val="fr-CA"/>
        </w:rPr>
        <w:t>28</w:t>
      </w:r>
      <w:r w:rsidR="00CB3520" w:rsidRPr="007A5455">
        <w:rPr>
          <w:sz w:val="20"/>
          <w:szCs w:val="20"/>
          <w:lang w:val="fr-CA"/>
        </w:rPr>
        <w:t>)</w:t>
      </w:r>
    </w:p>
    <w:p w:rsidR="00CB3520" w:rsidRPr="007A5455" w:rsidRDefault="00CB3520" w:rsidP="00CB3520">
      <w:pPr>
        <w:widowControl w:val="0"/>
        <w:jc w:val="both"/>
        <w:rPr>
          <w:sz w:val="20"/>
          <w:szCs w:val="20"/>
        </w:rPr>
      </w:pPr>
    </w:p>
    <w:p w:rsidR="00CB3520" w:rsidRPr="007A5455" w:rsidRDefault="00CB3520" w:rsidP="00CB3520">
      <w:pPr>
        <w:widowControl w:val="0"/>
        <w:jc w:val="center"/>
        <w:rPr>
          <w:b/>
          <w:sz w:val="20"/>
          <w:szCs w:val="20"/>
        </w:rPr>
      </w:pPr>
      <w:r w:rsidRPr="007A5455">
        <w:rPr>
          <w:b/>
          <w:sz w:val="20"/>
          <w:szCs w:val="20"/>
        </w:rPr>
        <w:t xml:space="preserve">CORAM: </w:t>
      </w:r>
      <w:r w:rsidR="00175C53" w:rsidRPr="007A5455">
        <w:rPr>
          <w:b/>
          <w:sz w:val="20"/>
          <w:szCs w:val="20"/>
        </w:rPr>
        <w:t>Cromwell</w:t>
      </w:r>
      <w:r w:rsidRPr="007A5455">
        <w:rPr>
          <w:b/>
          <w:sz w:val="20"/>
          <w:szCs w:val="20"/>
        </w:rPr>
        <w:t xml:space="preserve">, </w:t>
      </w:r>
      <w:r w:rsidR="00175C53" w:rsidRPr="007A5455">
        <w:rPr>
          <w:b/>
          <w:sz w:val="20"/>
          <w:szCs w:val="20"/>
        </w:rPr>
        <w:t>Wagner</w:t>
      </w:r>
      <w:r w:rsidR="00FA3373" w:rsidRPr="007A5455">
        <w:rPr>
          <w:b/>
          <w:sz w:val="20"/>
          <w:szCs w:val="20"/>
        </w:rPr>
        <w:t xml:space="preserve"> </w:t>
      </w:r>
      <w:r w:rsidRPr="007A5455">
        <w:rPr>
          <w:b/>
          <w:sz w:val="20"/>
          <w:szCs w:val="20"/>
        </w:rPr>
        <w:t xml:space="preserve">and </w:t>
      </w:r>
      <w:r w:rsidR="00175C53" w:rsidRPr="007A5455">
        <w:rPr>
          <w:b/>
          <w:sz w:val="20"/>
          <w:szCs w:val="20"/>
          <w:lang w:val="fr-CA"/>
        </w:rPr>
        <w:t>Côté</w:t>
      </w:r>
      <w:r w:rsidRPr="007A5455">
        <w:rPr>
          <w:b/>
          <w:sz w:val="20"/>
          <w:szCs w:val="20"/>
        </w:rPr>
        <w:t xml:space="preserve"> JJ.</w:t>
      </w:r>
    </w:p>
    <w:p w:rsidR="00CB3520" w:rsidRPr="007A5455" w:rsidRDefault="00CB3520" w:rsidP="00175C53">
      <w:pPr>
        <w:widowControl w:val="0"/>
        <w:jc w:val="center"/>
        <w:rPr>
          <w:b/>
          <w:sz w:val="20"/>
          <w:szCs w:val="20"/>
          <w:lang w:val="fr-CA"/>
        </w:rPr>
      </w:pPr>
      <w:r w:rsidRPr="007A5455">
        <w:rPr>
          <w:b/>
          <w:sz w:val="20"/>
          <w:szCs w:val="20"/>
          <w:lang w:val="fr-CA"/>
        </w:rPr>
        <w:t xml:space="preserve">Les juges </w:t>
      </w:r>
      <w:r w:rsidR="00175C53" w:rsidRPr="007A5455">
        <w:rPr>
          <w:b/>
          <w:sz w:val="20"/>
          <w:szCs w:val="20"/>
          <w:lang w:val="fr-CA"/>
        </w:rPr>
        <w:t>Cromwell</w:t>
      </w:r>
      <w:r w:rsidRPr="007A5455">
        <w:rPr>
          <w:b/>
          <w:sz w:val="20"/>
          <w:szCs w:val="20"/>
          <w:lang w:val="fr-CA"/>
        </w:rPr>
        <w:t xml:space="preserve">, </w:t>
      </w:r>
      <w:r w:rsidR="00175C53" w:rsidRPr="007A5455">
        <w:rPr>
          <w:b/>
          <w:sz w:val="20"/>
          <w:szCs w:val="20"/>
          <w:lang w:val="fr-CA"/>
        </w:rPr>
        <w:t>Wagner</w:t>
      </w:r>
      <w:r w:rsidR="00FA3373" w:rsidRPr="007A5455">
        <w:rPr>
          <w:b/>
          <w:sz w:val="20"/>
          <w:szCs w:val="20"/>
          <w:lang w:val="fr-CA"/>
        </w:rPr>
        <w:t xml:space="preserve"> </w:t>
      </w:r>
      <w:r w:rsidRPr="007A5455">
        <w:rPr>
          <w:b/>
          <w:sz w:val="20"/>
          <w:szCs w:val="20"/>
          <w:lang w:val="fr-CA"/>
        </w:rPr>
        <w:t xml:space="preserve">et </w:t>
      </w:r>
      <w:r w:rsidR="00175C53" w:rsidRPr="007A5455">
        <w:rPr>
          <w:b/>
          <w:sz w:val="20"/>
          <w:szCs w:val="20"/>
          <w:lang w:val="fr-CA"/>
        </w:rPr>
        <w:t>Côté</w:t>
      </w:r>
    </w:p>
    <w:p w:rsidR="00175C53" w:rsidRPr="007A5455" w:rsidRDefault="00175C53" w:rsidP="00175C53">
      <w:pPr>
        <w:widowControl w:val="0"/>
        <w:rPr>
          <w:sz w:val="20"/>
          <w:szCs w:val="20"/>
          <w:lang w:val="fr-CA"/>
        </w:rPr>
      </w:pPr>
    </w:p>
    <w:p w:rsidR="00CB3520" w:rsidRPr="007A5455" w:rsidRDefault="00CD64EB" w:rsidP="00CB3520">
      <w:pPr>
        <w:pStyle w:val="ListParagraph"/>
        <w:widowControl w:val="0"/>
        <w:numPr>
          <w:ilvl w:val="0"/>
          <w:numId w:val="1"/>
        </w:numPr>
        <w:ind w:hanging="720"/>
        <w:jc w:val="both"/>
        <w:rPr>
          <w:sz w:val="20"/>
          <w:szCs w:val="20"/>
        </w:rPr>
      </w:pPr>
      <w:r w:rsidRPr="007A5455">
        <w:rPr>
          <w:i/>
          <w:sz w:val="20"/>
          <w:szCs w:val="20"/>
        </w:rPr>
        <w:t>Romeo Constantine</w:t>
      </w:r>
      <w:r w:rsidR="00CB3520" w:rsidRPr="007A5455">
        <w:rPr>
          <w:i/>
          <w:sz w:val="20"/>
          <w:szCs w:val="20"/>
        </w:rPr>
        <w:t xml:space="preserve"> v. </w:t>
      </w:r>
      <w:r w:rsidRPr="007A5455">
        <w:rPr>
          <w:i/>
          <w:sz w:val="20"/>
          <w:szCs w:val="20"/>
        </w:rPr>
        <w:t>Her Majesty the Queen</w:t>
      </w:r>
      <w:r w:rsidR="00CB3520" w:rsidRPr="007A5455">
        <w:rPr>
          <w:sz w:val="20"/>
          <w:szCs w:val="20"/>
        </w:rPr>
        <w:t xml:space="preserve"> (</w:t>
      </w:r>
      <w:r w:rsidRPr="007A5455">
        <w:rPr>
          <w:sz w:val="20"/>
          <w:szCs w:val="20"/>
        </w:rPr>
        <w:t>Ont.</w:t>
      </w:r>
      <w:r w:rsidR="00CB3520" w:rsidRPr="007A5455">
        <w:rPr>
          <w:sz w:val="20"/>
          <w:szCs w:val="20"/>
        </w:rPr>
        <w:t>) (C</w:t>
      </w:r>
      <w:r w:rsidRPr="007A5455">
        <w:rPr>
          <w:sz w:val="20"/>
          <w:szCs w:val="20"/>
        </w:rPr>
        <w:t>r</w:t>
      </w:r>
      <w:r w:rsidR="00CB3520" w:rsidRPr="007A5455">
        <w:rPr>
          <w:sz w:val="20"/>
          <w:szCs w:val="20"/>
        </w:rPr>
        <w:t>i</w:t>
      </w:r>
      <w:r w:rsidRPr="007A5455">
        <w:rPr>
          <w:sz w:val="20"/>
          <w:szCs w:val="20"/>
        </w:rPr>
        <w:t>m.</w:t>
      </w:r>
      <w:r w:rsidR="00CB3520" w:rsidRPr="007A5455">
        <w:rPr>
          <w:sz w:val="20"/>
          <w:szCs w:val="20"/>
        </w:rPr>
        <w:t>) (By Leave) (3</w:t>
      </w:r>
      <w:r w:rsidRPr="007A5455">
        <w:rPr>
          <w:sz w:val="20"/>
          <w:szCs w:val="20"/>
        </w:rPr>
        <w:t>6570</w:t>
      </w:r>
      <w:r w:rsidR="00CB3520" w:rsidRPr="007A5455">
        <w:rPr>
          <w:sz w:val="20"/>
          <w:szCs w:val="20"/>
        </w:rPr>
        <w:t>)</w:t>
      </w:r>
    </w:p>
    <w:p w:rsidR="00CB3520" w:rsidRPr="007A5455" w:rsidRDefault="00CB3520" w:rsidP="00CB3520">
      <w:pPr>
        <w:widowControl w:val="0"/>
        <w:jc w:val="both"/>
        <w:rPr>
          <w:sz w:val="20"/>
          <w:szCs w:val="20"/>
        </w:rPr>
      </w:pPr>
    </w:p>
    <w:p w:rsidR="00CB3520" w:rsidRPr="007A5455" w:rsidRDefault="005B14DD" w:rsidP="00CB3520">
      <w:pPr>
        <w:pStyle w:val="ListParagraph"/>
        <w:widowControl w:val="0"/>
        <w:numPr>
          <w:ilvl w:val="0"/>
          <w:numId w:val="1"/>
        </w:numPr>
        <w:ind w:hanging="720"/>
        <w:jc w:val="both"/>
        <w:rPr>
          <w:sz w:val="20"/>
          <w:szCs w:val="20"/>
        </w:rPr>
      </w:pPr>
      <w:r w:rsidRPr="007A5455">
        <w:rPr>
          <w:i/>
          <w:sz w:val="20"/>
          <w:szCs w:val="20"/>
        </w:rPr>
        <w:t>1284897</w:t>
      </w:r>
      <w:r w:rsidR="00CB3520" w:rsidRPr="007A5455">
        <w:rPr>
          <w:i/>
          <w:sz w:val="20"/>
          <w:szCs w:val="20"/>
        </w:rPr>
        <w:t xml:space="preserve"> </w:t>
      </w:r>
      <w:r w:rsidRPr="007A5455">
        <w:rPr>
          <w:i/>
          <w:sz w:val="20"/>
          <w:szCs w:val="20"/>
        </w:rPr>
        <w:t xml:space="preserve"> Alberta Ltd. </w:t>
      </w:r>
      <w:r w:rsidR="00CB3520" w:rsidRPr="007A5455">
        <w:rPr>
          <w:i/>
          <w:sz w:val="20"/>
          <w:szCs w:val="20"/>
        </w:rPr>
        <w:t>v.</w:t>
      </w:r>
      <w:r w:rsidRPr="007A5455">
        <w:rPr>
          <w:i/>
          <w:sz w:val="20"/>
          <w:szCs w:val="20"/>
        </w:rPr>
        <w:t xml:space="preserve"> Zero Spill Systems (Int’l) Inc. et al.</w:t>
      </w:r>
      <w:r w:rsidR="00CB3520" w:rsidRPr="007A5455">
        <w:rPr>
          <w:sz w:val="20"/>
          <w:szCs w:val="20"/>
        </w:rPr>
        <w:t xml:space="preserve"> (</w:t>
      </w:r>
      <w:r w:rsidRPr="007A5455">
        <w:rPr>
          <w:sz w:val="20"/>
          <w:szCs w:val="20"/>
        </w:rPr>
        <w:t>F.C.</w:t>
      </w:r>
      <w:r w:rsidR="00CB3520" w:rsidRPr="007A5455">
        <w:rPr>
          <w:sz w:val="20"/>
          <w:szCs w:val="20"/>
        </w:rPr>
        <w:t>) (Civil) (By Leave) (3</w:t>
      </w:r>
      <w:r w:rsidRPr="007A5455">
        <w:rPr>
          <w:sz w:val="20"/>
          <w:szCs w:val="20"/>
        </w:rPr>
        <w:t>6542</w:t>
      </w:r>
      <w:r w:rsidR="00CB3520" w:rsidRPr="007A5455">
        <w:rPr>
          <w:sz w:val="20"/>
          <w:szCs w:val="20"/>
        </w:rPr>
        <w:t>)</w:t>
      </w:r>
    </w:p>
    <w:p w:rsidR="00CB3520" w:rsidRPr="007A5455" w:rsidRDefault="00CB3520" w:rsidP="00CB3520">
      <w:pPr>
        <w:widowControl w:val="0"/>
        <w:rPr>
          <w:i/>
          <w:sz w:val="20"/>
          <w:szCs w:val="20"/>
        </w:rPr>
      </w:pPr>
    </w:p>
    <w:p w:rsidR="00CB3520" w:rsidRPr="007A5455" w:rsidRDefault="00D65492" w:rsidP="00CB3520">
      <w:pPr>
        <w:pStyle w:val="ListParagraph"/>
        <w:widowControl w:val="0"/>
        <w:numPr>
          <w:ilvl w:val="0"/>
          <w:numId w:val="1"/>
        </w:numPr>
        <w:ind w:hanging="720"/>
        <w:jc w:val="both"/>
        <w:rPr>
          <w:sz w:val="20"/>
          <w:szCs w:val="20"/>
        </w:rPr>
      </w:pPr>
      <w:r w:rsidRPr="007A5455">
        <w:rPr>
          <w:i/>
          <w:sz w:val="20"/>
          <w:szCs w:val="20"/>
        </w:rPr>
        <w:t xml:space="preserve">Melville </w:t>
      </w:r>
      <w:proofErr w:type="spellStart"/>
      <w:r w:rsidRPr="007A5455">
        <w:rPr>
          <w:i/>
          <w:sz w:val="20"/>
          <w:szCs w:val="20"/>
        </w:rPr>
        <w:t>Burle</w:t>
      </w:r>
      <w:proofErr w:type="spellEnd"/>
      <w:r w:rsidRPr="007A5455">
        <w:rPr>
          <w:i/>
          <w:sz w:val="20"/>
          <w:szCs w:val="20"/>
        </w:rPr>
        <w:t xml:space="preserve"> Grosse</w:t>
      </w:r>
      <w:r w:rsidR="00CB3520" w:rsidRPr="007A5455">
        <w:rPr>
          <w:i/>
          <w:sz w:val="20"/>
          <w:szCs w:val="20"/>
        </w:rPr>
        <w:t xml:space="preserve"> v. </w:t>
      </w:r>
      <w:r w:rsidRPr="007A5455">
        <w:rPr>
          <w:i/>
          <w:sz w:val="20"/>
          <w:szCs w:val="20"/>
        </w:rPr>
        <w:t>Theresa Stefanie Grosse</w:t>
      </w:r>
      <w:r w:rsidR="00CB3520" w:rsidRPr="007A5455">
        <w:rPr>
          <w:sz w:val="20"/>
          <w:szCs w:val="20"/>
        </w:rPr>
        <w:t xml:space="preserve"> (</w:t>
      </w:r>
      <w:r w:rsidRPr="007A5455">
        <w:rPr>
          <w:sz w:val="20"/>
          <w:szCs w:val="20"/>
        </w:rPr>
        <w:t>Sask.</w:t>
      </w:r>
      <w:r w:rsidR="00CB3520" w:rsidRPr="007A5455">
        <w:rPr>
          <w:sz w:val="20"/>
          <w:szCs w:val="20"/>
        </w:rPr>
        <w:t>) (Civil) (By Leave) (3</w:t>
      </w:r>
      <w:r w:rsidRPr="007A5455">
        <w:rPr>
          <w:sz w:val="20"/>
          <w:szCs w:val="20"/>
        </w:rPr>
        <w:t>6607</w:t>
      </w:r>
      <w:r w:rsidR="00CB3520" w:rsidRPr="007A5455">
        <w:rPr>
          <w:sz w:val="20"/>
          <w:szCs w:val="20"/>
        </w:rPr>
        <w:t>)</w:t>
      </w:r>
    </w:p>
    <w:p w:rsidR="002E2327" w:rsidRPr="007A5455" w:rsidRDefault="002E2327" w:rsidP="000120A6">
      <w:pPr>
        <w:widowControl w:val="0"/>
        <w:jc w:val="both"/>
        <w:rPr>
          <w:sz w:val="20"/>
          <w:szCs w:val="20"/>
        </w:rPr>
      </w:pPr>
    </w:p>
    <w:p w:rsidR="002E2327" w:rsidRPr="007A5455" w:rsidRDefault="001F68BE"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Pr="007A5455" w:rsidRDefault="00D94028" w:rsidP="002E2327">
      <w:pPr>
        <w:widowControl w:val="0"/>
        <w:rPr>
          <w:sz w:val="20"/>
          <w:szCs w:val="20"/>
        </w:rPr>
      </w:pPr>
    </w:p>
    <w:p w:rsidR="00D94028" w:rsidRPr="007A5455" w:rsidRDefault="00D94028" w:rsidP="002E2327">
      <w:pPr>
        <w:widowControl w:val="0"/>
        <w:rPr>
          <w:sz w:val="20"/>
          <w:szCs w:val="20"/>
        </w:rPr>
      </w:pPr>
    </w:p>
    <w:p w:rsidR="00D94028" w:rsidRPr="007A5455" w:rsidRDefault="00D94028" w:rsidP="002E2327">
      <w:pPr>
        <w:widowControl w:val="0"/>
        <w:rPr>
          <w:sz w:val="20"/>
          <w:szCs w:val="20"/>
        </w:rPr>
      </w:pPr>
    </w:p>
    <w:p w:rsidR="0044776A" w:rsidRPr="007A5455" w:rsidRDefault="0044776A" w:rsidP="002E2327">
      <w:pPr>
        <w:widowControl w:val="0"/>
        <w:spacing w:line="0" w:lineRule="atLeast"/>
        <w:rPr>
          <w:sz w:val="20"/>
          <w:szCs w:val="20"/>
        </w:rPr>
        <w:sectPr w:rsidR="0044776A" w:rsidRPr="007A5455"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A5455" w:rsidTr="00ED7E83">
        <w:tc>
          <w:tcPr>
            <w:tcW w:w="4200" w:type="dxa"/>
            <w:tcMar>
              <w:left w:w="0" w:type="dxa"/>
              <w:right w:w="0" w:type="dxa"/>
            </w:tcMar>
          </w:tcPr>
          <w:p w:rsidR="008D292F" w:rsidRPr="007A5455" w:rsidRDefault="008D292F" w:rsidP="00ED7E83">
            <w:pPr>
              <w:keepNext/>
              <w:keepLines/>
              <w:jc w:val="both"/>
              <w:rPr>
                <w:b/>
                <w:szCs w:val="24"/>
              </w:rPr>
            </w:pPr>
            <w:bookmarkStart w:id="0" w:name="QuickMark_1"/>
            <w:bookmarkEnd w:id="0"/>
            <w:r w:rsidRPr="007A5455">
              <w:rPr>
                <w:b/>
                <w:szCs w:val="24"/>
              </w:rPr>
              <w:lastRenderedPageBreak/>
              <w:t>JUDGMENTS ON APPLICATIONS</w:t>
            </w:r>
          </w:p>
          <w:p w:rsidR="008D292F" w:rsidRPr="007A5455" w:rsidRDefault="008D292F" w:rsidP="00ED7E83">
            <w:pPr>
              <w:keepNext/>
              <w:keepLines/>
              <w:jc w:val="both"/>
              <w:rPr>
                <w:b/>
                <w:szCs w:val="24"/>
              </w:rPr>
            </w:pPr>
            <w:r w:rsidRPr="007A5455">
              <w:rPr>
                <w:b/>
                <w:szCs w:val="24"/>
              </w:rPr>
              <w:t>FOR LEAVE</w:t>
            </w:r>
          </w:p>
        </w:tc>
        <w:tc>
          <w:tcPr>
            <w:tcW w:w="1200" w:type="dxa"/>
            <w:tcMar>
              <w:left w:w="0" w:type="dxa"/>
              <w:right w:w="0" w:type="dxa"/>
            </w:tcMar>
          </w:tcPr>
          <w:p w:rsidR="008D292F" w:rsidRPr="007A5455" w:rsidRDefault="008D292F" w:rsidP="008D292F">
            <w:pPr>
              <w:keepNext/>
              <w:keepLines/>
              <w:jc w:val="center"/>
              <w:rPr>
                <w:b/>
                <w:szCs w:val="24"/>
              </w:rPr>
            </w:pPr>
          </w:p>
          <w:p w:rsidR="008D292F" w:rsidRPr="007A5455" w:rsidRDefault="008D292F" w:rsidP="008D292F">
            <w:pPr>
              <w:keepNext/>
              <w:keepLines/>
              <w:jc w:val="center"/>
              <w:rPr>
                <w:b/>
                <w:szCs w:val="24"/>
              </w:rPr>
            </w:pPr>
          </w:p>
          <w:p w:rsidR="008D292F" w:rsidRPr="007A5455" w:rsidRDefault="008D292F" w:rsidP="008D292F">
            <w:pPr>
              <w:keepNext/>
              <w:keepLines/>
              <w:jc w:val="center"/>
              <w:rPr>
                <w:b/>
                <w:szCs w:val="24"/>
              </w:rPr>
            </w:pPr>
          </w:p>
        </w:tc>
        <w:tc>
          <w:tcPr>
            <w:tcW w:w="4080" w:type="dxa"/>
            <w:tcMar>
              <w:left w:w="0" w:type="dxa"/>
              <w:right w:w="0" w:type="dxa"/>
            </w:tcMar>
          </w:tcPr>
          <w:p w:rsidR="008D292F" w:rsidRPr="007A5455" w:rsidRDefault="008D292F" w:rsidP="00ED7E83">
            <w:pPr>
              <w:keepNext/>
              <w:keepLines/>
              <w:jc w:val="both"/>
              <w:rPr>
                <w:b/>
                <w:szCs w:val="24"/>
                <w:lang w:val="fr-CA"/>
              </w:rPr>
            </w:pPr>
            <w:r w:rsidRPr="007A5455">
              <w:rPr>
                <w:b/>
                <w:szCs w:val="24"/>
                <w:lang w:val="fr-CA"/>
              </w:rPr>
              <w:t>JUGEMENTS RENDUS SUR LES DEMANDES D’AUTORISATION</w:t>
            </w:r>
          </w:p>
        </w:tc>
      </w:tr>
    </w:tbl>
    <w:p w:rsidR="008D292F" w:rsidRPr="007A5455" w:rsidRDefault="008D292F" w:rsidP="008D292F">
      <w:pPr>
        <w:rPr>
          <w:sz w:val="20"/>
          <w:szCs w:val="20"/>
          <w:lang w:val="fr-CA"/>
        </w:rPr>
      </w:pPr>
    </w:p>
    <w:p w:rsidR="000E2959" w:rsidRPr="007A5455" w:rsidRDefault="00E1150D" w:rsidP="000E2959">
      <w:pPr>
        <w:rPr>
          <w:b/>
          <w:sz w:val="20"/>
          <w:szCs w:val="20"/>
        </w:rPr>
      </w:pPr>
      <w:r w:rsidRPr="007A5455">
        <w:rPr>
          <w:b/>
          <w:sz w:val="20"/>
          <w:szCs w:val="20"/>
        </w:rPr>
        <w:t>DECEMBER</w:t>
      </w:r>
      <w:r w:rsidR="000E2959" w:rsidRPr="007A5455">
        <w:rPr>
          <w:b/>
          <w:sz w:val="20"/>
          <w:szCs w:val="20"/>
        </w:rPr>
        <w:t xml:space="preserve"> </w:t>
      </w:r>
      <w:r w:rsidRPr="007A5455">
        <w:rPr>
          <w:b/>
          <w:sz w:val="20"/>
          <w:szCs w:val="20"/>
        </w:rPr>
        <w:t>10</w:t>
      </w:r>
      <w:r w:rsidR="000E2959" w:rsidRPr="007A5455">
        <w:rPr>
          <w:b/>
          <w:sz w:val="20"/>
          <w:szCs w:val="20"/>
        </w:rPr>
        <w:t>, 201</w:t>
      </w:r>
      <w:r w:rsidR="00681F61" w:rsidRPr="007A5455">
        <w:rPr>
          <w:b/>
          <w:sz w:val="20"/>
          <w:szCs w:val="20"/>
        </w:rPr>
        <w:t>5</w:t>
      </w:r>
      <w:r w:rsidR="000E2959" w:rsidRPr="007A5455">
        <w:rPr>
          <w:b/>
          <w:sz w:val="20"/>
          <w:szCs w:val="20"/>
        </w:rPr>
        <w:t xml:space="preserve"> / LE </w:t>
      </w:r>
      <w:r w:rsidRPr="007A5455">
        <w:rPr>
          <w:b/>
          <w:sz w:val="20"/>
          <w:szCs w:val="20"/>
        </w:rPr>
        <w:t>10</w:t>
      </w:r>
      <w:r w:rsidR="000E2959" w:rsidRPr="007A5455">
        <w:rPr>
          <w:b/>
          <w:sz w:val="20"/>
          <w:szCs w:val="20"/>
        </w:rPr>
        <w:t xml:space="preserve"> </w:t>
      </w:r>
      <w:r w:rsidRPr="007A5455">
        <w:rPr>
          <w:b/>
          <w:sz w:val="20"/>
          <w:szCs w:val="20"/>
        </w:rPr>
        <w:t>DÉCEMBRE</w:t>
      </w:r>
      <w:r w:rsidR="000E2959" w:rsidRPr="007A5455">
        <w:rPr>
          <w:b/>
          <w:sz w:val="20"/>
          <w:szCs w:val="20"/>
        </w:rPr>
        <w:t xml:space="preserve"> 201</w:t>
      </w:r>
      <w:r w:rsidR="00681F61" w:rsidRPr="007A5455">
        <w:rPr>
          <w:b/>
          <w:sz w:val="20"/>
          <w:szCs w:val="20"/>
        </w:rPr>
        <w:t>5</w:t>
      </w:r>
    </w:p>
    <w:p w:rsidR="000E2959" w:rsidRPr="007A5455"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7A5455" w:rsidTr="0004528B">
        <w:trPr>
          <w:cantSplit/>
        </w:trPr>
        <w:tc>
          <w:tcPr>
            <w:tcW w:w="1458" w:type="dxa"/>
          </w:tcPr>
          <w:p w:rsidR="000E2959" w:rsidRPr="007A5455" w:rsidRDefault="000E2959" w:rsidP="0004528B">
            <w:pPr>
              <w:rPr>
                <w:sz w:val="20"/>
                <w:szCs w:val="20"/>
              </w:rPr>
            </w:pPr>
            <w:r w:rsidRPr="007A5455">
              <w:rPr>
                <w:rStyle w:val="SCCFileNumberChar"/>
                <w:sz w:val="20"/>
                <w:szCs w:val="20"/>
              </w:rPr>
              <w:t>36</w:t>
            </w:r>
            <w:r w:rsidR="00DD2963" w:rsidRPr="007A5455">
              <w:rPr>
                <w:rStyle w:val="SCCFileNumberChar"/>
                <w:sz w:val="20"/>
                <w:szCs w:val="20"/>
              </w:rPr>
              <w:t>27</w:t>
            </w:r>
            <w:r w:rsidRPr="007A5455">
              <w:rPr>
                <w:rStyle w:val="SCCFileNumberChar"/>
                <w:sz w:val="20"/>
                <w:szCs w:val="20"/>
              </w:rPr>
              <w:t>0</w:t>
            </w:r>
          </w:p>
          <w:p w:rsidR="000E2959" w:rsidRPr="007A5455" w:rsidRDefault="000E2959" w:rsidP="0004528B">
            <w:pPr>
              <w:rPr>
                <w:b/>
                <w:sz w:val="20"/>
                <w:szCs w:val="20"/>
                <w:lang w:val="fr-CA"/>
              </w:rPr>
            </w:pPr>
          </w:p>
        </w:tc>
        <w:tc>
          <w:tcPr>
            <w:tcW w:w="8118" w:type="dxa"/>
          </w:tcPr>
          <w:p w:rsidR="000E2959" w:rsidRPr="007A5455" w:rsidRDefault="00DD2963" w:rsidP="0004528B">
            <w:pPr>
              <w:rPr>
                <w:sz w:val="20"/>
                <w:szCs w:val="20"/>
              </w:rPr>
            </w:pPr>
            <w:r w:rsidRPr="007A5455">
              <w:rPr>
                <w:b/>
                <w:iCs/>
                <w:sz w:val="20"/>
                <w:szCs w:val="20"/>
                <w:u w:val="single"/>
                <w:lang w:val="fr-CA"/>
              </w:rPr>
              <w:t xml:space="preserve">Peter </w:t>
            </w:r>
            <w:proofErr w:type="spellStart"/>
            <w:r w:rsidRPr="007A5455">
              <w:rPr>
                <w:b/>
                <w:iCs/>
                <w:sz w:val="20"/>
                <w:szCs w:val="20"/>
                <w:u w:val="single"/>
                <w:lang w:val="fr-CA"/>
              </w:rPr>
              <w:t>Michalakopoulos</w:t>
            </w:r>
            <w:proofErr w:type="spellEnd"/>
            <w:r w:rsidRPr="007A5455">
              <w:rPr>
                <w:b/>
                <w:iCs/>
                <w:sz w:val="20"/>
                <w:szCs w:val="20"/>
                <w:u w:val="single"/>
                <w:lang w:val="fr-CA"/>
              </w:rPr>
              <w:t xml:space="preserve"> </w:t>
            </w:r>
            <w:r w:rsidR="00FF2B06" w:rsidRPr="007A5455">
              <w:rPr>
                <w:b/>
                <w:iCs/>
                <w:sz w:val="20"/>
                <w:szCs w:val="20"/>
                <w:u w:val="single"/>
                <w:lang w:val="fr-CA"/>
              </w:rPr>
              <w:t>c</w:t>
            </w:r>
            <w:r w:rsidRPr="007A5455">
              <w:rPr>
                <w:b/>
                <w:iCs/>
                <w:sz w:val="20"/>
                <w:szCs w:val="20"/>
                <w:u w:val="single"/>
                <w:lang w:val="fr-CA"/>
              </w:rPr>
              <w:t xml:space="preserve">. Daniel </w:t>
            </w:r>
            <w:proofErr w:type="spellStart"/>
            <w:r w:rsidRPr="007A5455">
              <w:rPr>
                <w:b/>
                <w:iCs/>
                <w:sz w:val="20"/>
                <w:szCs w:val="20"/>
                <w:u w:val="single"/>
                <w:lang w:val="fr-CA"/>
              </w:rPr>
              <w:t>Chénard</w:t>
            </w:r>
            <w:proofErr w:type="spellEnd"/>
            <w:r w:rsidRPr="007A5455">
              <w:rPr>
                <w:b/>
                <w:iCs/>
                <w:sz w:val="20"/>
                <w:szCs w:val="20"/>
                <w:u w:val="single"/>
                <w:lang w:val="fr-CA"/>
              </w:rPr>
              <w:t>, ès qualités de syndic ad hoc du Barreau du Québec</w:t>
            </w:r>
            <w:r w:rsidRPr="007A5455">
              <w:rPr>
                <w:iCs/>
                <w:sz w:val="20"/>
                <w:szCs w:val="20"/>
                <w:lang w:val="fr-CA"/>
              </w:rPr>
              <w:t xml:space="preserve"> </w:t>
            </w:r>
            <w:r w:rsidR="000E2959" w:rsidRPr="007A5455">
              <w:rPr>
                <w:sz w:val="20"/>
                <w:szCs w:val="20"/>
              </w:rPr>
              <w:t>(</w:t>
            </w:r>
            <w:r w:rsidRPr="007A5455">
              <w:rPr>
                <w:sz w:val="20"/>
                <w:szCs w:val="20"/>
              </w:rPr>
              <w:t>Q</w:t>
            </w:r>
            <w:r w:rsidR="00FF2B06" w:rsidRPr="007A5455">
              <w:rPr>
                <w:sz w:val="20"/>
                <w:szCs w:val="20"/>
              </w:rPr>
              <w:t>c</w:t>
            </w:r>
            <w:r w:rsidR="000E2959" w:rsidRPr="007A5455">
              <w:rPr>
                <w:sz w:val="20"/>
                <w:szCs w:val="20"/>
              </w:rPr>
              <w:t>) (</w:t>
            </w:r>
            <w:proofErr w:type="spellStart"/>
            <w:r w:rsidR="000E2959" w:rsidRPr="007A5455">
              <w:rPr>
                <w:sz w:val="20"/>
                <w:szCs w:val="20"/>
              </w:rPr>
              <w:t>Civil</w:t>
            </w:r>
            <w:r w:rsidR="00FF2B06" w:rsidRPr="007A5455">
              <w:rPr>
                <w:sz w:val="20"/>
                <w:szCs w:val="20"/>
              </w:rPr>
              <w:t>e</w:t>
            </w:r>
            <w:proofErr w:type="spellEnd"/>
            <w:r w:rsidR="000E2959" w:rsidRPr="007A5455">
              <w:rPr>
                <w:sz w:val="20"/>
                <w:szCs w:val="20"/>
              </w:rPr>
              <w:t>) (</w:t>
            </w:r>
            <w:proofErr w:type="spellStart"/>
            <w:r w:rsidR="00FF2B06" w:rsidRPr="007A5455">
              <w:rPr>
                <w:sz w:val="20"/>
                <w:szCs w:val="20"/>
              </w:rPr>
              <w:t>Autorisation</w:t>
            </w:r>
            <w:proofErr w:type="spellEnd"/>
            <w:r w:rsidR="000E2959" w:rsidRPr="007A5455">
              <w:rPr>
                <w:sz w:val="20"/>
                <w:szCs w:val="20"/>
              </w:rPr>
              <w:t>)</w:t>
            </w:r>
          </w:p>
          <w:p w:rsidR="000E2959" w:rsidRPr="007A5455" w:rsidRDefault="000E2959" w:rsidP="0004528B">
            <w:pPr>
              <w:rPr>
                <w:sz w:val="20"/>
                <w:szCs w:val="20"/>
              </w:rPr>
            </w:pPr>
          </w:p>
        </w:tc>
      </w:tr>
      <w:tr w:rsidR="000E2959" w:rsidRPr="007A5455" w:rsidTr="0004528B">
        <w:trPr>
          <w:cantSplit/>
        </w:trPr>
        <w:tc>
          <w:tcPr>
            <w:tcW w:w="1458" w:type="dxa"/>
          </w:tcPr>
          <w:p w:rsidR="000E2959" w:rsidRPr="007A5455" w:rsidRDefault="000E2959" w:rsidP="0004528B">
            <w:pPr>
              <w:rPr>
                <w:sz w:val="20"/>
                <w:szCs w:val="20"/>
              </w:rPr>
            </w:pPr>
            <w:r w:rsidRPr="007A5455">
              <w:rPr>
                <w:sz w:val="20"/>
                <w:szCs w:val="20"/>
              </w:rPr>
              <w:t>Coram :</w:t>
            </w:r>
          </w:p>
        </w:tc>
        <w:tc>
          <w:tcPr>
            <w:tcW w:w="8118" w:type="dxa"/>
          </w:tcPr>
          <w:p w:rsidR="000E2959" w:rsidRPr="007A5455" w:rsidRDefault="00FF2B06" w:rsidP="0004528B">
            <w:pPr>
              <w:rPr>
                <w:sz w:val="20"/>
                <w:szCs w:val="20"/>
              </w:rPr>
            </w:pPr>
            <w:r w:rsidRPr="007A5455">
              <w:rPr>
                <w:rStyle w:val="SCCCoramChar"/>
                <w:sz w:val="20"/>
                <w:szCs w:val="20"/>
                <w:lang w:val="en-CA"/>
              </w:rPr>
              <w:t xml:space="preserve">Les </w:t>
            </w:r>
            <w:proofErr w:type="spellStart"/>
            <w:r w:rsidRPr="007A5455">
              <w:rPr>
                <w:rStyle w:val="SCCCoramChar"/>
                <w:sz w:val="20"/>
                <w:szCs w:val="20"/>
                <w:lang w:val="en-CA"/>
              </w:rPr>
              <w:t>juges</w:t>
            </w:r>
            <w:proofErr w:type="spellEnd"/>
            <w:r w:rsidRPr="007A5455">
              <w:rPr>
                <w:rStyle w:val="SCCCoramChar"/>
                <w:sz w:val="20"/>
                <w:szCs w:val="20"/>
                <w:lang w:val="en-CA"/>
              </w:rPr>
              <w:t xml:space="preserve"> </w:t>
            </w:r>
            <w:proofErr w:type="spellStart"/>
            <w:r w:rsidRPr="007A5455">
              <w:rPr>
                <w:rStyle w:val="SCCCoramChar"/>
                <w:sz w:val="20"/>
                <w:szCs w:val="20"/>
                <w:lang w:val="en-CA"/>
              </w:rPr>
              <w:t>A</w:t>
            </w:r>
            <w:r w:rsidR="004E7EB3" w:rsidRPr="007A5455">
              <w:rPr>
                <w:rStyle w:val="SCCCoramChar"/>
                <w:sz w:val="20"/>
                <w:szCs w:val="20"/>
                <w:lang w:val="en-CA"/>
              </w:rPr>
              <w:t>bella</w:t>
            </w:r>
            <w:proofErr w:type="spellEnd"/>
            <w:r w:rsidR="000E2959" w:rsidRPr="007A5455">
              <w:rPr>
                <w:rStyle w:val="SCCCoramChar"/>
                <w:sz w:val="20"/>
                <w:szCs w:val="20"/>
                <w:lang w:val="en-CA"/>
              </w:rPr>
              <w:t xml:space="preserve">, </w:t>
            </w:r>
            <w:proofErr w:type="spellStart"/>
            <w:r w:rsidR="000E2959" w:rsidRPr="007A5455">
              <w:rPr>
                <w:rStyle w:val="SCCCoramChar"/>
                <w:sz w:val="20"/>
                <w:szCs w:val="20"/>
                <w:lang w:val="en-CA"/>
              </w:rPr>
              <w:t>Karakatsanis</w:t>
            </w:r>
            <w:proofErr w:type="spellEnd"/>
            <w:r w:rsidR="000E2959" w:rsidRPr="007A5455">
              <w:rPr>
                <w:rStyle w:val="SCCCoramChar"/>
                <w:sz w:val="20"/>
                <w:szCs w:val="20"/>
                <w:lang w:val="en-CA"/>
              </w:rPr>
              <w:t xml:space="preserve"> </w:t>
            </w:r>
            <w:r w:rsidRPr="007A5455">
              <w:rPr>
                <w:rStyle w:val="SCCCoramChar"/>
                <w:sz w:val="20"/>
                <w:szCs w:val="20"/>
                <w:lang w:val="en-CA"/>
              </w:rPr>
              <w:t>et</w:t>
            </w:r>
            <w:r w:rsidR="000E2959" w:rsidRPr="007A5455">
              <w:rPr>
                <w:rStyle w:val="SCCCoramChar"/>
                <w:sz w:val="20"/>
                <w:szCs w:val="20"/>
                <w:lang w:val="en-CA"/>
              </w:rPr>
              <w:t xml:space="preserve"> </w:t>
            </w:r>
            <w:proofErr w:type="spellStart"/>
            <w:r w:rsidR="004E7EB3" w:rsidRPr="007A5455">
              <w:rPr>
                <w:rStyle w:val="SCCCoramChar"/>
                <w:sz w:val="20"/>
                <w:szCs w:val="20"/>
                <w:lang w:val="en-CA"/>
              </w:rPr>
              <w:t>Côté</w:t>
            </w:r>
            <w:proofErr w:type="spellEnd"/>
          </w:p>
          <w:p w:rsidR="000E2959" w:rsidRPr="007A5455" w:rsidRDefault="000E2959" w:rsidP="0004528B">
            <w:pPr>
              <w:rPr>
                <w:sz w:val="20"/>
                <w:szCs w:val="20"/>
                <w:u w:val="single"/>
              </w:rPr>
            </w:pPr>
          </w:p>
        </w:tc>
      </w:tr>
      <w:tr w:rsidR="000E2959" w:rsidRPr="007A5455" w:rsidTr="0004528B">
        <w:trPr>
          <w:cantSplit/>
        </w:trPr>
        <w:tc>
          <w:tcPr>
            <w:tcW w:w="9576" w:type="dxa"/>
            <w:gridSpan w:val="2"/>
          </w:tcPr>
          <w:p w:rsidR="000E2959" w:rsidRPr="007A5455" w:rsidRDefault="0015047B" w:rsidP="0004528B">
            <w:pPr>
              <w:pStyle w:val="SCCShortJudgment"/>
              <w:rPr>
                <w:szCs w:val="20"/>
              </w:rPr>
            </w:pPr>
            <w:r w:rsidRPr="007A5455">
              <w:rPr>
                <w:lang w:val="fr-CA"/>
              </w:rPr>
              <w:t xml:space="preserve">La demande d’autorisation d’appel de l’arrêt de la </w:t>
            </w:r>
            <w:r w:rsidRPr="007A5455">
              <w:rPr>
                <w:lang w:val="fr-FR"/>
              </w:rPr>
              <w:t>Cour d’appel du Québec (Montréal)</w:t>
            </w:r>
            <w:r w:rsidRPr="007A5455">
              <w:rPr>
                <w:lang w:val="fr-CA"/>
              </w:rPr>
              <w:t xml:space="preserve">, numéro </w:t>
            </w:r>
            <w:r w:rsidRPr="007A5455">
              <w:rPr>
                <w:lang w:val="fr-FR"/>
              </w:rPr>
              <w:t>500-09-023451-131</w:t>
            </w:r>
            <w:r w:rsidRPr="007A5455">
              <w:rPr>
                <w:lang w:val="fr-CA"/>
              </w:rPr>
              <w:t xml:space="preserve">, 2014 QCCA </w:t>
            </w:r>
            <w:r w:rsidR="0081785A" w:rsidRPr="007A5455">
              <w:rPr>
                <w:lang w:val="fr-CA"/>
              </w:rPr>
              <w:t>2</w:t>
            </w:r>
            <w:r w:rsidRPr="007A5455">
              <w:rPr>
                <w:lang w:val="fr-CA"/>
              </w:rPr>
              <w:t xml:space="preserve">189, daté du </w:t>
            </w:r>
            <w:r w:rsidRPr="007A5455">
              <w:rPr>
                <w:lang w:val="fr-FR"/>
              </w:rPr>
              <w:t>21 novembre 2014</w:t>
            </w:r>
            <w:r w:rsidRPr="007A5455">
              <w:rPr>
                <w:lang w:val="fr-CA"/>
              </w:rPr>
              <w:t>, est rejetée avec dépens.</w:t>
            </w:r>
          </w:p>
          <w:p w:rsidR="000E2959" w:rsidRPr="007A5455" w:rsidRDefault="000E2959" w:rsidP="0004528B">
            <w:pPr>
              <w:pStyle w:val="SCCShortJudgment"/>
              <w:ind w:firstLine="0"/>
              <w:rPr>
                <w:szCs w:val="20"/>
              </w:rPr>
            </w:pPr>
          </w:p>
          <w:p w:rsidR="000E2959" w:rsidRPr="007A5455" w:rsidRDefault="0015047B" w:rsidP="0015047B">
            <w:pPr>
              <w:pStyle w:val="SCCShortJudgment"/>
              <w:rPr>
                <w:szCs w:val="20"/>
                <w:lang w:val="fr-CA"/>
              </w:rPr>
            </w:pPr>
            <w:r w:rsidRPr="007A5455">
              <w:t xml:space="preserve">The application for leave to appeal from the judgment of the Court of Appeal of Quebec (Montréal), Number 500-09-023451-131, 2014 QCCA </w:t>
            </w:r>
            <w:r w:rsidR="0081785A" w:rsidRPr="007A5455">
              <w:t>2</w:t>
            </w:r>
            <w:r w:rsidRPr="007A5455">
              <w:t>189, dated November 21, 2014, is dismissed with costs.</w:t>
            </w:r>
          </w:p>
        </w:tc>
      </w:tr>
    </w:tbl>
    <w:p w:rsidR="000E2959" w:rsidRPr="007A5455" w:rsidRDefault="000E2959" w:rsidP="000E2959">
      <w:pPr>
        <w:rPr>
          <w:sz w:val="20"/>
          <w:szCs w:val="20"/>
          <w:lang w:val="fr-CA"/>
        </w:rPr>
      </w:pPr>
    </w:p>
    <w:p w:rsidR="000E2959" w:rsidRPr="007A5455" w:rsidRDefault="000E2959" w:rsidP="000E2959">
      <w:pPr>
        <w:rPr>
          <w:sz w:val="20"/>
          <w:szCs w:val="20"/>
          <w:u w:val="single"/>
        </w:rPr>
      </w:pPr>
      <w:r w:rsidRPr="007A5455">
        <w:rPr>
          <w:sz w:val="20"/>
          <w:szCs w:val="20"/>
          <w:u w:val="single"/>
        </w:rPr>
        <w:t>CASE SUMMARY</w:t>
      </w:r>
    </w:p>
    <w:p w:rsidR="000E2959" w:rsidRPr="007A5455"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7A5455" w:rsidTr="0004528B">
        <w:tc>
          <w:tcPr>
            <w:tcW w:w="5000" w:type="pct"/>
            <w:gridSpan w:val="3"/>
          </w:tcPr>
          <w:p w:rsidR="000E2959" w:rsidRPr="007A5455" w:rsidRDefault="00140B0C" w:rsidP="0004528B">
            <w:pPr>
              <w:jc w:val="both"/>
              <w:rPr>
                <w:sz w:val="20"/>
                <w:szCs w:val="20"/>
              </w:rPr>
            </w:pPr>
            <w:r w:rsidRPr="007A5455">
              <w:rPr>
                <w:sz w:val="20"/>
                <w:szCs w:val="20"/>
              </w:rPr>
              <w:t>Law of professions – Lawyer – Disciplinary complaints – Temporary disbarment – Judicial review in Superior Court of appeal heard before Professions Tribunal – Certificate attesting to abandonment of appeal and certificate of foreclosure – Fair and impartial hearing – Freedom of expression and right to sue – Reasonableness of penalties imposed – Whether Professions Tribunal’s decision was unreasonable.</w:t>
            </w:r>
          </w:p>
          <w:p w:rsidR="00140B0C" w:rsidRPr="007A5455" w:rsidRDefault="00140B0C" w:rsidP="0004528B">
            <w:pPr>
              <w:jc w:val="both"/>
              <w:rPr>
                <w:rFonts w:eastAsia="Calibri"/>
                <w:sz w:val="20"/>
                <w:szCs w:val="20"/>
              </w:rPr>
            </w:pPr>
          </w:p>
        </w:tc>
      </w:tr>
      <w:tr w:rsidR="000E2959" w:rsidRPr="007A5455" w:rsidTr="0004528B">
        <w:tc>
          <w:tcPr>
            <w:tcW w:w="5000" w:type="pct"/>
            <w:gridSpan w:val="3"/>
          </w:tcPr>
          <w:p w:rsidR="00140B0C" w:rsidRPr="007A5455" w:rsidRDefault="00140B0C" w:rsidP="00140B0C">
            <w:pPr>
              <w:jc w:val="both"/>
              <w:rPr>
                <w:rFonts w:eastAsia="Times New Roman" w:cs="Times New Roman"/>
                <w:sz w:val="20"/>
                <w:szCs w:val="20"/>
                <w:lang w:eastAsia="en-CA"/>
              </w:rPr>
            </w:pPr>
            <w:r w:rsidRPr="007A5455">
              <w:rPr>
                <w:rFonts w:eastAsia="Times New Roman" w:cs="Times New Roman"/>
                <w:sz w:val="20"/>
                <w:szCs w:val="20"/>
                <w:lang w:eastAsia="en-CA"/>
              </w:rPr>
              <w:t xml:space="preserve">In March 2004, the syndic </w:t>
            </w:r>
            <w:r w:rsidRPr="007A5455">
              <w:rPr>
                <w:rFonts w:eastAsia="Times New Roman" w:cs="Times New Roman"/>
                <w:i/>
                <w:sz w:val="20"/>
                <w:szCs w:val="20"/>
                <w:lang w:eastAsia="en-CA"/>
              </w:rPr>
              <w:t>ad hoc</w:t>
            </w:r>
            <w:r w:rsidRPr="007A5455">
              <w:rPr>
                <w:rFonts w:eastAsia="Times New Roman" w:cs="Times New Roman"/>
                <w:sz w:val="20"/>
                <w:szCs w:val="20"/>
                <w:lang w:eastAsia="en-CA"/>
              </w:rPr>
              <w:t xml:space="preserve"> of the </w:t>
            </w:r>
            <w:proofErr w:type="spellStart"/>
            <w:r w:rsidRPr="007A5455">
              <w:rPr>
                <w:rFonts w:eastAsia="Times New Roman" w:cs="Times New Roman"/>
                <w:sz w:val="20"/>
                <w:szCs w:val="20"/>
                <w:lang w:eastAsia="en-CA"/>
              </w:rPr>
              <w:t>Barreau</w:t>
            </w:r>
            <w:proofErr w:type="spellEnd"/>
            <w:r w:rsidRPr="007A5455">
              <w:rPr>
                <w:rFonts w:eastAsia="Times New Roman" w:cs="Times New Roman"/>
                <w:sz w:val="20"/>
                <w:szCs w:val="20"/>
                <w:lang w:eastAsia="en-CA"/>
              </w:rPr>
              <w:t xml:space="preserve"> du Québec filed three disciplinary complaints against Peter </w:t>
            </w:r>
            <w:proofErr w:type="spellStart"/>
            <w:r w:rsidRPr="007A5455">
              <w:rPr>
                <w:rFonts w:eastAsia="Times New Roman" w:cs="Times New Roman"/>
                <w:sz w:val="20"/>
                <w:szCs w:val="20"/>
                <w:lang w:eastAsia="en-CA"/>
              </w:rPr>
              <w:t>Michalakopoulos</w:t>
            </w:r>
            <w:proofErr w:type="spellEnd"/>
            <w:r w:rsidRPr="007A5455">
              <w:rPr>
                <w:rFonts w:eastAsia="Times New Roman" w:cs="Times New Roman"/>
                <w:sz w:val="20"/>
                <w:szCs w:val="20"/>
                <w:lang w:eastAsia="en-CA"/>
              </w:rPr>
              <w:t>, alleging mainly that he had used many dilatory, vexatious and excessive proceedings and had not complied with the directions given by certain judges in relation to three cases in which he had acted in his personal capacity and as counsel. Mr. </w:t>
            </w:r>
            <w:proofErr w:type="spellStart"/>
            <w:r w:rsidRPr="007A5455">
              <w:rPr>
                <w:rFonts w:eastAsia="Times New Roman" w:cs="Times New Roman"/>
                <w:sz w:val="20"/>
                <w:szCs w:val="20"/>
                <w:lang w:eastAsia="en-CA"/>
              </w:rPr>
              <w:t>Michalakopoulos</w:t>
            </w:r>
            <w:proofErr w:type="spellEnd"/>
            <w:r w:rsidRPr="007A5455">
              <w:rPr>
                <w:rFonts w:eastAsia="Times New Roman" w:cs="Times New Roman"/>
                <w:sz w:val="20"/>
                <w:szCs w:val="20"/>
                <w:lang w:eastAsia="en-CA"/>
              </w:rPr>
              <w:t xml:space="preserve"> applied for judicial review of the Professions Tribunal’s decision, which confirmed his guilt on several counts and upheld the disbarment penalties imposed on him in January 2008 by the discipline committee of the </w:t>
            </w:r>
            <w:proofErr w:type="spellStart"/>
            <w:r w:rsidRPr="007A5455">
              <w:rPr>
                <w:rFonts w:eastAsia="Times New Roman" w:cs="Times New Roman"/>
                <w:sz w:val="20"/>
                <w:szCs w:val="20"/>
                <w:lang w:eastAsia="en-CA"/>
              </w:rPr>
              <w:t>Barreau</w:t>
            </w:r>
            <w:proofErr w:type="spellEnd"/>
            <w:r w:rsidRPr="007A5455">
              <w:rPr>
                <w:rFonts w:eastAsia="Times New Roman" w:cs="Times New Roman"/>
                <w:sz w:val="20"/>
                <w:szCs w:val="20"/>
                <w:lang w:eastAsia="en-CA"/>
              </w:rPr>
              <w:t xml:space="preserve"> du Québec.</w:t>
            </w:r>
          </w:p>
          <w:p w:rsidR="00140B0C" w:rsidRPr="007A5455" w:rsidRDefault="00140B0C" w:rsidP="00140B0C">
            <w:pPr>
              <w:jc w:val="both"/>
              <w:rPr>
                <w:rFonts w:eastAsia="Times New Roman" w:cs="Times New Roman"/>
                <w:sz w:val="20"/>
                <w:szCs w:val="20"/>
                <w:lang w:eastAsia="en-CA"/>
              </w:rPr>
            </w:pPr>
          </w:p>
          <w:p w:rsidR="00140B0C" w:rsidRPr="007A5455" w:rsidRDefault="00140B0C" w:rsidP="00140B0C">
            <w:pPr>
              <w:jc w:val="both"/>
              <w:rPr>
                <w:rFonts w:eastAsia="Times New Roman" w:cs="Times New Roman"/>
                <w:sz w:val="20"/>
                <w:szCs w:val="20"/>
                <w:lang w:eastAsia="en-CA"/>
              </w:rPr>
            </w:pPr>
            <w:r w:rsidRPr="007A5455">
              <w:rPr>
                <w:rFonts w:eastAsia="Times New Roman" w:cs="Times New Roman"/>
                <w:sz w:val="20"/>
                <w:szCs w:val="20"/>
                <w:lang w:eastAsia="en-CA"/>
              </w:rPr>
              <w:t>The applicant’s application for judicial review was allowed in part by the Superior Court, which found that the committee had made an error in principle in imposing the penalties. The Court of Appeal allowed the syndic’s appeal and reinstated the penalties imposed by the committee.</w:t>
            </w:r>
          </w:p>
          <w:p w:rsidR="000E2959" w:rsidRPr="007A5455" w:rsidRDefault="000E2959" w:rsidP="0004528B">
            <w:pPr>
              <w:jc w:val="both"/>
              <w:rPr>
                <w:rFonts w:eastAsia="Calibri"/>
                <w:sz w:val="20"/>
              </w:rPr>
            </w:pPr>
          </w:p>
        </w:tc>
      </w:tr>
      <w:tr w:rsidR="000E2959" w:rsidRPr="007A5455" w:rsidTr="0004528B">
        <w:trPr>
          <w:cantSplit/>
        </w:trPr>
        <w:tc>
          <w:tcPr>
            <w:tcW w:w="2427" w:type="pct"/>
          </w:tcPr>
          <w:p w:rsidR="00B45E9F" w:rsidRPr="007A5455" w:rsidRDefault="00B45E9F" w:rsidP="00B45E9F">
            <w:pPr>
              <w:jc w:val="both"/>
              <w:rPr>
                <w:sz w:val="20"/>
                <w:szCs w:val="20"/>
              </w:rPr>
            </w:pPr>
            <w:r w:rsidRPr="007A5455">
              <w:rPr>
                <w:sz w:val="20"/>
                <w:szCs w:val="20"/>
              </w:rPr>
              <w:t>March 1, 2013</w:t>
            </w:r>
          </w:p>
          <w:p w:rsidR="00B45E9F" w:rsidRPr="007A5455" w:rsidRDefault="00B45E9F" w:rsidP="00B45E9F">
            <w:pPr>
              <w:jc w:val="both"/>
              <w:rPr>
                <w:sz w:val="20"/>
                <w:szCs w:val="20"/>
              </w:rPr>
            </w:pPr>
            <w:r w:rsidRPr="007A5455">
              <w:rPr>
                <w:sz w:val="20"/>
                <w:szCs w:val="20"/>
              </w:rPr>
              <w:t>Quebec Superior Court</w:t>
            </w:r>
          </w:p>
          <w:p w:rsidR="00B45E9F" w:rsidRPr="007A5455" w:rsidRDefault="00B45E9F" w:rsidP="00B45E9F">
            <w:pPr>
              <w:jc w:val="both"/>
              <w:rPr>
                <w:sz w:val="20"/>
                <w:szCs w:val="20"/>
              </w:rPr>
            </w:pPr>
            <w:r w:rsidRPr="007A5455">
              <w:rPr>
                <w:sz w:val="20"/>
                <w:szCs w:val="20"/>
              </w:rPr>
              <w:t>(Masse J.)</w:t>
            </w:r>
          </w:p>
          <w:p w:rsidR="00B45E9F" w:rsidRPr="007A5455" w:rsidRDefault="001F68BE" w:rsidP="00B45E9F">
            <w:pPr>
              <w:jc w:val="both"/>
              <w:rPr>
                <w:sz w:val="20"/>
                <w:szCs w:val="20"/>
              </w:rPr>
            </w:pPr>
            <w:hyperlink r:id="rId24" w:history="1">
              <w:r w:rsidR="00B45E9F" w:rsidRPr="007A5455">
                <w:rPr>
                  <w:rFonts w:eastAsiaTheme="majorEastAsia"/>
                  <w:sz w:val="20"/>
                  <w:szCs w:val="20"/>
                  <w:u w:val="single"/>
                </w:rPr>
                <w:t>2013 QCCS 968</w:t>
              </w:r>
            </w:hyperlink>
          </w:p>
          <w:p w:rsidR="000E2959" w:rsidRPr="007A5455" w:rsidRDefault="000E2959" w:rsidP="0004528B">
            <w:pPr>
              <w:jc w:val="both"/>
              <w:rPr>
                <w:rFonts w:eastAsia="Calibri"/>
                <w:sz w:val="20"/>
              </w:rPr>
            </w:pPr>
          </w:p>
        </w:tc>
        <w:tc>
          <w:tcPr>
            <w:tcW w:w="243" w:type="pct"/>
          </w:tcPr>
          <w:p w:rsidR="000E2959" w:rsidRPr="007A5455" w:rsidRDefault="000E2959" w:rsidP="0004528B">
            <w:pPr>
              <w:jc w:val="both"/>
              <w:rPr>
                <w:rFonts w:eastAsia="Calibri"/>
                <w:sz w:val="20"/>
              </w:rPr>
            </w:pPr>
          </w:p>
        </w:tc>
        <w:tc>
          <w:tcPr>
            <w:tcW w:w="2330" w:type="pct"/>
          </w:tcPr>
          <w:p w:rsidR="00B45E9F" w:rsidRPr="007A5455" w:rsidRDefault="00B45E9F" w:rsidP="00B45E9F">
            <w:pPr>
              <w:jc w:val="both"/>
              <w:rPr>
                <w:sz w:val="20"/>
                <w:szCs w:val="20"/>
              </w:rPr>
            </w:pPr>
            <w:r w:rsidRPr="007A5455">
              <w:rPr>
                <w:sz w:val="20"/>
                <w:szCs w:val="20"/>
              </w:rPr>
              <w:t>Motion for judicial review allowed in part</w:t>
            </w:r>
          </w:p>
          <w:p w:rsidR="000E2959" w:rsidRPr="007A5455" w:rsidRDefault="000E2959" w:rsidP="0004528B">
            <w:pPr>
              <w:jc w:val="both"/>
              <w:rPr>
                <w:rFonts w:eastAsia="Calibri"/>
                <w:sz w:val="20"/>
              </w:rPr>
            </w:pPr>
          </w:p>
        </w:tc>
      </w:tr>
      <w:tr w:rsidR="000E2959" w:rsidRPr="007A5455" w:rsidTr="0004528B">
        <w:trPr>
          <w:cantSplit/>
        </w:trPr>
        <w:tc>
          <w:tcPr>
            <w:tcW w:w="2427" w:type="pct"/>
          </w:tcPr>
          <w:p w:rsidR="00B45E9F" w:rsidRPr="007A5455" w:rsidRDefault="00B45E9F" w:rsidP="00B45E9F">
            <w:pPr>
              <w:jc w:val="both"/>
              <w:rPr>
                <w:sz w:val="20"/>
                <w:szCs w:val="20"/>
              </w:rPr>
            </w:pPr>
            <w:r w:rsidRPr="007A5455">
              <w:rPr>
                <w:sz w:val="20"/>
                <w:szCs w:val="20"/>
              </w:rPr>
              <w:t>November 21, 2014</w:t>
            </w:r>
          </w:p>
          <w:p w:rsidR="00B45E9F" w:rsidRPr="007A5455" w:rsidRDefault="00B45E9F" w:rsidP="00B45E9F">
            <w:pPr>
              <w:jc w:val="both"/>
              <w:rPr>
                <w:sz w:val="20"/>
                <w:szCs w:val="20"/>
              </w:rPr>
            </w:pPr>
            <w:r w:rsidRPr="007A5455">
              <w:rPr>
                <w:sz w:val="20"/>
                <w:szCs w:val="20"/>
              </w:rPr>
              <w:t>Quebec Court of Appeal (Montréal)</w:t>
            </w:r>
          </w:p>
          <w:p w:rsidR="00B45E9F" w:rsidRPr="007A5455" w:rsidRDefault="00B45E9F" w:rsidP="00B45E9F">
            <w:pPr>
              <w:jc w:val="both"/>
              <w:rPr>
                <w:sz w:val="20"/>
                <w:szCs w:val="20"/>
              </w:rPr>
            </w:pPr>
            <w:r w:rsidRPr="007A5455">
              <w:rPr>
                <w:sz w:val="20"/>
                <w:szCs w:val="20"/>
              </w:rPr>
              <w:t xml:space="preserve">(Dufresne, Savard and </w:t>
            </w:r>
            <w:proofErr w:type="spellStart"/>
            <w:r w:rsidRPr="007A5455">
              <w:rPr>
                <w:sz w:val="20"/>
                <w:szCs w:val="20"/>
              </w:rPr>
              <w:t>Émond</w:t>
            </w:r>
            <w:proofErr w:type="spellEnd"/>
            <w:r w:rsidRPr="007A5455">
              <w:rPr>
                <w:sz w:val="20"/>
                <w:szCs w:val="20"/>
              </w:rPr>
              <w:t xml:space="preserve"> JJ.A.)</w:t>
            </w:r>
          </w:p>
          <w:p w:rsidR="00B45E9F" w:rsidRPr="007A5455" w:rsidRDefault="001F68BE" w:rsidP="00B45E9F">
            <w:pPr>
              <w:jc w:val="both"/>
              <w:rPr>
                <w:sz w:val="20"/>
                <w:szCs w:val="20"/>
              </w:rPr>
            </w:pPr>
            <w:hyperlink r:id="rId25" w:history="1">
              <w:r w:rsidR="00B45E9F" w:rsidRPr="007A5455">
                <w:rPr>
                  <w:rFonts w:eastAsiaTheme="majorEastAsia"/>
                  <w:sz w:val="20"/>
                  <w:szCs w:val="20"/>
                  <w:u w:val="single"/>
                </w:rPr>
                <w:t>2014 QCCA 2189</w:t>
              </w:r>
            </w:hyperlink>
            <w:r w:rsidR="00B45E9F" w:rsidRPr="007A5455">
              <w:rPr>
                <w:sz w:val="20"/>
                <w:szCs w:val="20"/>
              </w:rPr>
              <w:t>; 500-09-023451-131</w:t>
            </w:r>
          </w:p>
          <w:p w:rsidR="000E2959" w:rsidRPr="007A5455" w:rsidRDefault="000E2959" w:rsidP="0004528B">
            <w:pPr>
              <w:jc w:val="both"/>
              <w:rPr>
                <w:rFonts w:eastAsia="Calibri"/>
                <w:sz w:val="20"/>
              </w:rPr>
            </w:pPr>
          </w:p>
        </w:tc>
        <w:tc>
          <w:tcPr>
            <w:tcW w:w="243" w:type="pct"/>
          </w:tcPr>
          <w:p w:rsidR="000E2959" w:rsidRPr="007A5455" w:rsidRDefault="000E2959" w:rsidP="0004528B">
            <w:pPr>
              <w:jc w:val="both"/>
              <w:rPr>
                <w:rFonts w:eastAsia="Calibri"/>
                <w:sz w:val="20"/>
              </w:rPr>
            </w:pPr>
          </w:p>
        </w:tc>
        <w:tc>
          <w:tcPr>
            <w:tcW w:w="2330" w:type="pct"/>
          </w:tcPr>
          <w:p w:rsidR="000E2959" w:rsidRPr="007A5455" w:rsidRDefault="00B45E9F" w:rsidP="0004528B">
            <w:pPr>
              <w:jc w:val="both"/>
              <w:rPr>
                <w:rFonts w:eastAsia="Calibri"/>
                <w:sz w:val="20"/>
              </w:rPr>
            </w:pPr>
            <w:r w:rsidRPr="007A5455">
              <w:rPr>
                <w:rFonts w:eastAsia="Calibri"/>
                <w:sz w:val="20"/>
              </w:rPr>
              <w:t>Appeal allowed; motion for judicial review dismissed</w:t>
            </w:r>
          </w:p>
        </w:tc>
      </w:tr>
      <w:tr w:rsidR="000E2959" w:rsidRPr="007A5455" w:rsidTr="0004528B">
        <w:trPr>
          <w:cantSplit/>
        </w:trPr>
        <w:tc>
          <w:tcPr>
            <w:tcW w:w="2427" w:type="pct"/>
          </w:tcPr>
          <w:p w:rsidR="000E2959" w:rsidRPr="007A5455" w:rsidRDefault="000E2959" w:rsidP="0004528B">
            <w:pPr>
              <w:jc w:val="both"/>
              <w:rPr>
                <w:rFonts w:eastAsia="Calibri"/>
                <w:sz w:val="20"/>
              </w:rPr>
            </w:pPr>
            <w:r w:rsidRPr="007A5455">
              <w:rPr>
                <w:rFonts w:eastAsia="Calibri"/>
                <w:sz w:val="20"/>
              </w:rPr>
              <w:t xml:space="preserve">January </w:t>
            </w:r>
            <w:r w:rsidR="00B45E9F" w:rsidRPr="007A5455">
              <w:rPr>
                <w:rFonts w:eastAsia="Calibri"/>
                <w:sz w:val="20"/>
              </w:rPr>
              <w:t>16</w:t>
            </w:r>
            <w:r w:rsidRPr="007A5455">
              <w:rPr>
                <w:rFonts w:eastAsia="Calibri"/>
                <w:sz w:val="20"/>
              </w:rPr>
              <w:t>, 201</w:t>
            </w:r>
            <w:r w:rsidR="00B45E9F" w:rsidRPr="007A5455">
              <w:rPr>
                <w:rFonts w:eastAsia="Calibri"/>
                <w:sz w:val="20"/>
              </w:rPr>
              <w:t>5</w:t>
            </w:r>
          </w:p>
          <w:p w:rsidR="000E2959" w:rsidRPr="007A5455" w:rsidRDefault="000E2959" w:rsidP="0004528B">
            <w:pPr>
              <w:jc w:val="both"/>
              <w:rPr>
                <w:rFonts w:eastAsia="Calibri"/>
                <w:sz w:val="20"/>
              </w:rPr>
            </w:pPr>
            <w:r w:rsidRPr="007A5455">
              <w:rPr>
                <w:rFonts w:eastAsia="Calibri"/>
                <w:sz w:val="20"/>
              </w:rPr>
              <w:t>Supreme Court of Canada</w:t>
            </w:r>
          </w:p>
        </w:tc>
        <w:tc>
          <w:tcPr>
            <w:tcW w:w="243" w:type="pct"/>
          </w:tcPr>
          <w:p w:rsidR="000E2959" w:rsidRPr="007A5455" w:rsidRDefault="000E2959" w:rsidP="0004528B">
            <w:pPr>
              <w:jc w:val="both"/>
              <w:rPr>
                <w:rFonts w:eastAsia="Calibri"/>
                <w:sz w:val="20"/>
              </w:rPr>
            </w:pPr>
          </w:p>
        </w:tc>
        <w:tc>
          <w:tcPr>
            <w:tcW w:w="2330" w:type="pct"/>
          </w:tcPr>
          <w:p w:rsidR="000E2959" w:rsidRPr="007A5455" w:rsidRDefault="000E2959" w:rsidP="00B45E9F">
            <w:pPr>
              <w:jc w:val="both"/>
              <w:rPr>
                <w:rFonts w:eastAsia="Calibri"/>
                <w:sz w:val="20"/>
              </w:rPr>
            </w:pPr>
            <w:r w:rsidRPr="007A5455">
              <w:rPr>
                <w:rFonts w:eastAsia="Calibri"/>
                <w:sz w:val="20"/>
              </w:rPr>
              <w:t>Application for leave to appeal filed</w:t>
            </w:r>
          </w:p>
        </w:tc>
      </w:tr>
    </w:tbl>
    <w:p w:rsidR="000E2959" w:rsidRPr="007A5455" w:rsidRDefault="000E2959" w:rsidP="000E2959">
      <w:pPr>
        <w:rPr>
          <w:sz w:val="20"/>
          <w:szCs w:val="20"/>
        </w:rPr>
      </w:pPr>
    </w:p>
    <w:p w:rsidR="000E2959" w:rsidRPr="007A5455" w:rsidRDefault="001F68BE" w:rsidP="000E2959">
      <w:pPr>
        <w:rPr>
          <w:sz w:val="20"/>
          <w:szCs w:val="20"/>
        </w:rPr>
      </w:pPr>
      <w:r>
        <w:rPr>
          <w:sz w:val="20"/>
          <w:szCs w:val="20"/>
          <w:lang w:val="fr-CA"/>
        </w:rPr>
        <w:pict>
          <v:rect id="_x0000_i1038" style="width:2in;height:1pt" o:hrpct="0" o:hralign="center" o:hrstd="t" o:hrnoshade="t" o:hr="t" fillcolor="black [3213]" stroked="f"/>
        </w:pict>
      </w:r>
    </w:p>
    <w:p w:rsidR="00520BC0" w:rsidRPr="007A5455" w:rsidRDefault="00520BC0">
      <w:pPr>
        <w:rPr>
          <w:sz w:val="20"/>
          <w:szCs w:val="20"/>
        </w:rPr>
      </w:pPr>
      <w:r w:rsidRPr="007A5455">
        <w:rPr>
          <w:sz w:val="20"/>
          <w:szCs w:val="20"/>
        </w:rPr>
        <w:br w:type="page"/>
      </w:r>
    </w:p>
    <w:p w:rsidR="000E2959" w:rsidRPr="007A5455" w:rsidRDefault="000E2959" w:rsidP="000E2959">
      <w:pPr>
        <w:rPr>
          <w:sz w:val="20"/>
          <w:szCs w:val="20"/>
          <w:u w:val="single"/>
          <w:lang w:val="fr-CA"/>
        </w:rPr>
      </w:pPr>
      <w:r w:rsidRPr="007A5455">
        <w:rPr>
          <w:sz w:val="20"/>
          <w:szCs w:val="20"/>
          <w:u w:val="single"/>
          <w:lang w:val="fr-CA"/>
        </w:rPr>
        <w:lastRenderedPageBreak/>
        <w:t>RÉSUMÉ DE L’AFFAIRE</w:t>
      </w:r>
    </w:p>
    <w:p w:rsidR="000E2959" w:rsidRPr="007A5455"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7A5455" w:rsidTr="0004528B">
        <w:tc>
          <w:tcPr>
            <w:tcW w:w="5000" w:type="pct"/>
            <w:gridSpan w:val="3"/>
          </w:tcPr>
          <w:p w:rsidR="000E2959" w:rsidRPr="007A5455" w:rsidRDefault="00F73A0F" w:rsidP="0004528B">
            <w:pPr>
              <w:jc w:val="both"/>
              <w:rPr>
                <w:sz w:val="20"/>
                <w:szCs w:val="20"/>
                <w:lang w:val="fr-CA"/>
              </w:rPr>
            </w:pPr>
            <w:r w:rsidRPr="007A5455">
              <w:rPr>
                <w:sz w:val="20"/>
                <w:szCs w:val="20"/>
                <w:lang w:val="fr-CA"/>
              </w:rPr>
              <w:t xml:space="preserve">Droit des professions – Avocat – Plaintes disciplinaires – Radiation temporaire – Révision judiciaire en Cour supérieure de l’appel entendu devant le Tribunal des professions – Certificat d’appel déserté et constat de forclusion – Audition juste et impartiale – Liberté d’expression et droit d’ester en justice – </w:t>
            </w:r>
            <w:proofErr w:type="spellStart"/>
            <w:r w:rsidRPr="007A5455">
              <w:rPr>
                <w:sz w:val="20"/>
                <w:szCs w:val="20"/>
                <w:lang w:val="fr-CA"/>
              </w:rPr>
              <w:t>Raisonnabilité</w:t>
            </w:r>
            <w:proofErr w:type="spellEnd"/>
            <w:r w:rsidRPr="007A5455">
              <w:rPr>
                <w:sz w:val="20"/>
                <w:szCs w:val="20"/>
                <w:lang w:val="fr-CA"/>
              </w:rPr>
              <w:t xml:space="preserve"> des sanctions imposées – La décision du Tribunal des professions était-elle déraisonnable?</w:t>
            </w:r>
          </w:p>
          <w:p w:rsidR="00F73A0F" w:rsidRPr="007A5455" w:rsidRDefault="00F73A0F" w:rsidP="0004528B">
            <w:pPr>
              <w:jc w:val="both"/>
              <w:rPr>
                <w:rFonts w:eastAsia="Calibri"/>
                <w:sz w:val="20"/>
                <w:szCs w:val="20"/>
                <w:lang w:val="fr-CA"/>
              </w:rPr>
            </w:pPr>
          </w:p>
        </w:tc>
      </w:tr>
      <w:tr w:rsidR="000E2959" w:rsidRPr="007A5455" w:rsidTr="0004528B">
        <w:tc>
          <w:tcPr>
            <w:tcW w:w="5000" w:type="pct"/>
            <w:gridSpan w:val="3"/>
          </w:tcPr>
          <w:p w:rsidR="00F73A0F" w:rsidRPr="007A5455" w:rsidRDefault="00F73A0F" w:rsidP="00F73A0F">
            <w:pPr>
              <w:jc w:val="both"/>
              <w:rPr>
                <w:rFonts w:eastAsia="Times New Roman" w:cs="Times New Roman"/>
                <w:sz w:val="20"/>
                <w:szCs w:val="20"/>
                <w:lang w:val="fr-CA" w:eastAsia="en-CA"/>
              </w:rPr>
            </w:pPr>
            <w:r w:rsidRPr="007A5455">
              <w:rPr>
                <w:rFonts w:eastAsia="Times New Roman" w:cs="Times New Roman"/>
                <w:sz w:val="20"/>
                <w:szCs w:val="20"/>
                <w:lang w:val="fr-CA" w:eastAsia="en-CA"/>
              </w:rPr>
              <w:t xml:space="preserve">En mars 2004, le syndic </w:t>
            </w:r>
            <w:r w:rsidRPr="007A5455">
              <w:rPr>
                <w:rFonts w:eastAsia="Times New Roman" w:cs="Times New Roman"/>
                <w:i/>
                <w:sz w:val="20"/>
                <w:szCs w:val="20"/>
                <w:lang w:val="fr-CA" w:eastAsia="en-CA"/>
              </w:rPr>
              <w:t xml:space="preserve">ad hoc </w:t>
            </w:r>
            <w:r w:rsidRPr="007A5455">
              <w:rPr>
                <w:rFonts w:eastAsia="Times New Roman" w:cs="Times New Roman"/>
                <w:sz w:val="20"/>
                <w:szCs w:val="20"/>
                <w:lang w:val="fr-CA" w:eastAsia="en-CA"/>
              </w:rPr>
              <w:t>du Barreau du Québec dépose trois plaintes disciplinaires à l’encontre de M</w:t>
            </w:r>
            <w:r w:rsidRPr="007A5455">
              <w:rPr>
                <w:rFonts w:eastAsia="Times New Roman" w:cs="Times New Roman"/>
                <w:sz w:val="20"/>
                <w:szCs w:val="20"/>
                <w:vertAlign w:val="superscript"/>
                <w:lang w:val="fr-CA" w:eastAsia="en-CA"/>
              </w:rPr>
              <w:t>e </w:t>
            </w:r>
            <w:r w:rsidRPr="007A5455">
              <w:rPr>
                <w:rFonts w:eastAsia="Times New Roman" w:cs="Times New Roman"/>
                <w:sz w:val="20"/>
                <w:szCs w:val="20"/>
                <w:lang w:val="fr-CA" w:eastAsia="en-CA"/>
              </w:rPr>
              <w:t xml:space="preserve">Peter </w:t>
            </w:r>
            <w:proofErr w:type="spellStart"/>
            <w:r w:rsidRPr="007A5455">
              <w:rPr>
                <w:rFonts w:eastAsia="Times New Roman" w:cs="Times New Roman"/>
                <w:sz w:val="20"/>
                <w:szCs w:val="20"/>
                <w:lang w:val="fr-CA" w:eastAsia="en-CA"/>
              </w:rPr>
              <w:t>Michalakopoulos</w:t>
            </w:r>
            <w:proofErr w:type="spellEnd"/>
            <w:r w:rsidRPr="007A5455">
              <w:rPr>
                <w:rFonts w:eastAsia="Times New Roman" w:cs="Times New Roman"/>
                <w:sz w:val="20"/>
                <w:szCs w:val="20"/>
                <w:lang w:val="fr-CA" w:eastAsia="en-CA"/>
              </w:rPr>
              <w:t xml:space="preserve">. Il lui reproche principalement d’avoir eu recours à de nombreuses procédures dilatoires, vexatoires et abusives, en plus de ne pas avoir respecté les directives rendues par certains juges, en relation avec trois dossiers dans lesquels il a agi à titre personnel et en tant que procureur. Monsieur </w:t>
            </w:r>
            <w:proofErr w:type="spellStart"/>
            <w:r w:rsidRPr="007A5455">
              <w:rPr>
                <w:rFonts w:eastAsia="Times New Roman" w:cs="Times New Roman"/>
                <w:sz w:val="20"/>
                <w:szCs w:val="20"/>
                <w:lang w:val="fr-CA" w:eastAsia="en-CA"/>
              </w:rPr>
              <w:t>Michalakopoulos</w:t>
            </w:r>
            <w:proofErr w:type="spellEnd"/>
            <w:r w:rsidRPr="007A5455">
              <w:rPr>
                <w:rFonts w:eastAsia="Times New Roman" w:cs="Times New Roman"/>
                <w:sz w:val="20"/>
                <w:szCs w:val="20"/>
                <w:lang w:val="fr-CA" w:eastAsia="en-CA"/>
              </w:rPr>
              <w:t xml:space="preserve"> demande la révision judiciaire de la décision du Tribunal des professions, laquelle confirme sa culpabilité quant à plusieurs chefs d’infraction ainsi que les sanctions de radiation qui lui ont été imposées en janvier 2008 par le Comité de discipline du Barreau du Québec.</w:t>
            </w:r>
          </w:p>
          <w:p w:rsidR="00F73A0F" w:rsidRPr="007A5455" w:rsidRDefault="00F73A0F" w:rsidP="00F73A0F">
            <w:pPr>
              <w:jc w:val="both"/>
              <w:rPr>
                <w:rFonts w:eastAsia="Times New Roman" w:cs="Times New Roman"/>
                <w:sz w:val="20"/>
                <w:szCs w:val="20"/>
                <w:lang w:val="fr-CA" w:eastAsia="en-CA"/>
              </w:rPr>
            </w:pPr>
          </w:p>
          <w:p w:rsidR="00F73A0F" w:rsidRPr="007A5455" w:rsidRDefault="00F73A0F" w:rsidP="00F73A0F">
            <w:pPr>
              <w:jc w:val="both"/>
              <w:rPr>
                <w:rFonts w:eastAsia="Times New Roman" w:cs="Times New Roman"/>
                <w:sz w:val="20"/>
                <w:szCs w:val="20"/>
                <w:lang w:val="fr-CA" w:eastAsia="en-CA"/>
              </w:rPr>
            </w:pPr>
            <w:r w:rsidRPr="007A5455">
              <w:rPr>
                <w:rFonts w:eastAsia="Times New Roman" w:cs="Times New Roman"/>
                <w:sz w:val="20"/>
                <w:szCs w:val="20"/>
                <w:lang w:val="fr-CA" w:eastAsia="en-CA"/>
              </w:rPr>
              <w:t>La Cour supérieure accueille en partie la demande de révision judiciaire déposée par le demandeur, jugeant que le Comité a commis une erreur de principe dans l’imposition des sanctions. La Cour d’appel accueille l’appel interjeté par le syndic et rétablit les sanctions imposées par le Comité.</w:t>
            </w:r>
          </w:p>
          <w:p w:rsidR="000E2959" w:rsidRPr="007A5455" w:rsidRDefault="000E2959" w:rsidP="0004528B">
            <w:pPr>
              <w:jc w:val="both"/>
              <w:rPr>
                <w:sz w:val="20"/>
                <w:lang w:val="fr-CA"/>
              </w:rPr>
            </w:pPr>
          </w:p>
        </w:tc>
      </w:tr>
      <w:tr w:rsidR="000E2959" w:rsidRPr="007A5455" w:rsidTr="0004528B">
        <w:trPr>
          <w:cantSplit/>
        </w:trPr>
        <w:tc>
          <w:tcPr>
            <w:tcW w:w="2427" w:type="pct"/>
          </w:tcPr>
          <w:p w:rsidR="00B0511F" w:rsidRPr="007A5455" w:rsidRDefault="00B0511F" w:rsidP="00B0511F">
            <w:pPr>
              <w:jc w:val="both"/>
              <w:rPr>
                <w:sz w:val="20"/>
                <w:szCs w:val="20"/>
                <w:lang w:val="fr-CA"/>
              </w:rPr>
            </w:pPr>
            <w:r w:rsidRPr="007A5455">
              <w:rPr>
                <w:sz w:val="20"/>
                <w:szCs w:val="20"/>
                <w:lang w:val="fr-CA"/>
              </w:rPr>
              <w:t>Le 1</w:t>
            </w:r>
            <w:r w:rsidRPr="007A5455">
              <w:rPr>
                <w:sz w:val="20"/>
                <w:szCs w:val="20"/>
                <w:vertAlign w:val="superscript"/>
                <w:lang w:val="fr-CA"/>
              </w:rPr>
              <w:t>er</w:t>
            </w:r>
            <w:r w:rsidRPr="007A5455">
              <w:rPr>
                <w:sz w:val="20"/>
                <w:szCs w:val="20"/>
                <w:lang w:val="fr-CA"/>
              </w:rPr>
              <w:t xml:space="preserve"> mars 2013</w:t>
            </w:r>
          </w:p>
          <w:p w:rsidR="00B0511F" w:rsidRPr="007A5455" w:rsidRDefault="00B0511F" w:rsidP="00B0511F">
            <w:pPr>
              <w:jc w:val="both"/>
              <w:rPr>
                <w:sz w:val="20"/>
                <w:szCs w:val="20"/>
                <w:lang w:val="fr-CA"/>
              </w:rPr>
            </w:pPr>
            <w:r w:rsidRPr="007A5455">
              <w:rPr>
                <w:sz w:val="20"/>
                <w:szCs w:val="20"/>
                <w:lang w:val="fr-CA"/>
              </w:rPr>
              <w:t>Cour supérieure du Québec</w:t>
            </w:r>
          </w:p>
          <w:p w:rsidR="00B0511F" w:rsidRPr="007A5455" w:rsidRDefault="00B0511F" w:rsidP="00B0511F">
            <w:pPr>
              <w:jc w:val="both"/>
              <w:rPr>
                <w:sz w:val="20"/>
                <w:szCs w:val="20"/>
                <w:lang w:val="fr-CA"/>
              </w:rPr>
            </w:pPr>
            <w:r w:rsidRPr="007A5455">
              <w:rPr>
                <w:sz w:val="20"/>
                <w:szCs w:val="20"/>
                <w:lang w:val="fr-CA"/>
              </w:rPr>
              <w:t>(La juge Masse)</w:t>
            </w:r>
          </w:p>
          <w:p w:rsidR="00B0511F" w:rsidRPr="007A5455" w:rsidRDefault="001F68BE" w:rsidP="00B0511F">
            <w:pPr>
              <w:jc w:val="both"/>
              <w:rPr>
                <w:sz w:val="20"/>
                <w:szCs w:val="20"/>
                <w:lang w:val="fr-CA"/>
              </w:rPr>
            </w:pPr>
            <w:hyperlink r:id="rId26" w:history="1">
              <w:r w:rsidR="00B0511F" w:rsidRPr="007A5455">
                <w:rPr>
                  <w:rFonts w:eastAsiaTheme="majorEastAsia"/>
                  <w:sz w:val="20"/>
                  <w:szCs w:val="20"/>
                  <w:u w:val="single"/>
                  <w:lang w:val="fr-CA"/>
                </w:rPr>
                <w:t>2013 QCCS 968</w:t>
              </w:r>
            </w:hyperlink>
          </w:p>
          <w:p w:rsidR="000E2959" w:rsidRPr="007A5455" w:rsidRDefault="000E2959" w:rsidP="0004528B">
            <w:pPr>
              <w:jc w:val="both"/>
              <w:rPr>
                <w:rFonts w:eastAsia="Calibri"/>
                <w:sz w:val="20"/>
                <w:lang w:val="fr-CA"/>
              </w:rPr>
            </w:pPr>
          </w:p>
        </w:tc>
        <w:tc>
          <w:tcPr>
            <w:tcW w:w="243" w:type="pct"/>
          </w:tcPr>
          <w:p w:rsidR="000E2959" w:rsidRPr="007A5455" w:rsidRDefault="000E2959" w:rsidP="0004528B">
            <w:pPr>
              <w:jc w:val="both"/>
              <w:rPr>
                <w:rFonts w:eastAsia="Calibri"/>
                <w:sz w:val="20"/>
                <w:lang w:val="fr-CA"/>
              </w:rPr>
            </w:pPr>
          </w:p>
        </w:tc>
        <w:tc>
          <w:tcPr>
            <w:tcW w:w="2330" w:type="pct"/>
          </w:tcPr>
          <w:p w:rsidR="00B0511F" w:rsidRPr="007A5455" w:rsidRDefault="00B0511F" w:rsidP="00B0511F">
            <w:pPr>
              <w:jc w:val="both"/>
              <w:rPr>
                <w:sz w:val="20"/>
                <w:szCs w:val="20"/>
                <w:lang w:val="fr-CA"/>
              </w:rPr>
            </w:pPr>
            <w:r w:rsidRPr="007A5455">
              <w:rPr>
                <w:sz w:val="20"/>
                <w:szCs w:val="20"/>
                <w:lang w:val="fr-CA"/>
              </w:rPr>
              <w:t>Requête en révision judiciaire accueillie en partie</w:t>
            </w:r>
          </w:p>
          <w:p w:rsidR="000E2959" w:rsidRPr="007A5455" w:rsidRDefault="000E2959" w:rsidP="0004528B">
            <w:pPr>
              <w:jc w:val="both"/>
              <w:rPr>
                <w:rFonts w:eastAsia="Calibri"/>
                <w:sz w:val="20"/>
                <w:lang w:val="fr-CA"/>
              </w:rPr>
            </w:pPr>
          </w:p>
        </w:tc>
      </w:tr>
      <w:tr w:rsidR="000E2959" w:rsidRPr="007A5455" w:rsidTr="0004528B">
        <w:trPr>
          <w:cantSplit/>
        </w:trPr>
        <w:tc>
          <w:tcPr>
            <w:tcW w:w="2427" w:type="pct"/>
          </w:tcPr>
          <w:p w:rsidR="00B0511F" w:rsidRPr="007A5455" w:rsidRDefault="00B0511F" w:rsidP="00B0511F">
            <w:pPr>
              <w:jc w:val="both"/>
              <w:rPr>
                <w:sz w:val="20"/>
                <w:szCs w:val="20"/>
                <w:lang w:val="fr-CA"/>
              </w:rPr>
            </w:pPr>
            <w:r w:rsidRPr="007A5455">
              <w:rPr>
                <w:sz w:val="20"/>
                <w:szCs w:val="20"/>
                <w:lang w:val="fr-CA"/>
              </w:rPr>
              <w:t>Le 21 novembre 2014</w:t>
            </w:r>
          </w:p>
          <w:p w:rsidR="00B0511F" w:rsidRPr="007A5455" w:rsidRDefault="00B0511F" w:rsidP="00B0511F">
            <w:pPr>
              <w:jc w:val="both"/>
              <w:rPr>
                <w:sz w:val="20"/>
                <w:szCs w:val="20"/>
                <w:lang w:val="fr-CA"/>
              </w:rPr>
            </w:pPr>
            <w:r w:rsidRPr="007A5455">
              <w:rPr>
                <w:sz w:val="20"/>
                <w:szCs w:val="20"/>
                <w:lang w:val="fr-CA"/>
              </w:rPr>
              <w:t>Cour d’appel du Québec (Montréal)</w:t>
            </w:r>
          </w:p>
          <w:p w:rsidR="00B0511F" w:rsidRPr="007A5455" w:rsidRDefault="00B0511F" w:rsidP="00B0511F">
            <w:pPr>
              <w:jc w:val="both"/>
              <w:rPr>
                <w:sz w:val="20"/>
                <w:szCs w:val="20"/>
                <w:lang w:val="fr-CA"/>
              </w:rPr>
            </w:pPr>
            <w:r w:rsidRPr="007A5455">
              <w:rPr>
                <w:sz w:val="20"/>
                <w:szCs w:val="20"/>
                <w:lang w:val="fr-CA"/>
              </w:rPr>
              <w:t xml:space="preserve">(Les juges Dufresne, Savard et </w:t>
            </w:r>
            <w:proofErr w:type="spellStart"/>
            <w:r w:rsidRPr="007A5455">
              <w:rPr>
                <w:sz w:val="20"/>
                <w:szCs w:val="20"/>
                <w:lang w:val="fr-CA"/>
              </w:rPr>
              <w:t>Émond</w:t>
            </w:r>
            <w:proofErr w:type="spellEnd"/>
            <w:r w:rsidRPr="007A5455">
              <w:rPr>
                <w:sz w:val="20"/>
                <w:szCs w:val="20"/>
                <w:lang w:val="fr-CA"/>
              </w:rPr>
              <w:t>)</w:t>
            </w:r>
          </w:p>
          <w:p w:rsidR="00B0511F" w:rsidRPr="007A5455" w:rsidRDefault="001F68BE" w:rsidP="00B0511F">
            <w:pPr>
              <w:jc w:val="both"/>
              <w:rPr>
                <w:szCs w:val="24"/>
                <w:lang w:val="fr-CA"/>
              </w:rPr>
            </w:pPr>
            <w:hyperlink r:id="rId27" w:history="1">
              <w:r w:rsidR="00B0511F" w:rsidRPr="007A5455">
                <w:rPr>
                  <w:rFonts w:eastAsiaTheme="majorEastAsia"/>
                  <w:sz w:val="20"/>
                  <w:szCs w:val="20"/>
                  <w:u w:val="single"/>
                  <w:lang w:val="fr-CA"/>
                </w:rPr>
                <w:t>2014 QCCA 2189</w:t>
              </w:r>
            </w:hyperlink>
            <w:r w:rsidR="00B0511F" w:rsidRPr="007A5455">
              <w:rPr>
                <w:sz w:val="20"/>
                <w:szCs w:val="20"/>
                <w:lang w:val="fr-CA"/>
              </w:rPr>
              <w:t>; 500-09-023451-131</w:t>
            </w:r>
          </w:p>
          <w:p w:rsidR="000E2959" w:rsidRPr="007A5455" w:rsidRDefault="000E2959" w:rsidP="0004528B">
            <w:pPr>
              <w:jc w:val="both"/>
              <w:rPr>
                <w:rFonts w:eastAsia="Calibri"/>
                <w:sz w:val="20"/>
                <w:lang w:val="fr-CA"/>
              </w:rPr>
            </w:pPr>
          </w:p>
        </w:tc>
        <w:tc>
          <w:tcPr>
            <w:tcW w:w="243" w:type="pct"/>
          </w:tcPr>
          <w:p w:rsidR="000E2959" w:rsidRPr="007A5455" w:rsidRDefault="000E2959" w:rsidP="0004528B">
            <w:pPr>
              <w:jc w:val="both"/>
              <w:rPr>
                <w:rFonts w:eastAsia="Calibri"/>
                <w:sz w:val="20"/>
                <w:lang w:val="fr-CA"/>
              </w:rPr>
            </w:pPr>
          </w:p>
        </w:tc>
        <w:tc>
          <w:tcPr>
            <w:tcW w:w="2330" w:type="pct"/>
          </w:tcPr>
          <w:p w:rsidR="00B0511F" w:rsidRPr="007A5455" w:rsidRDefault="00B0511F" w:rsidP="00B0511F">
            <w:pPr>
              <w:jc w:val="both"/>
              <w:rPr>
                <w:sz w:val="20"/>
                <w:szCs w:val="20"/>
                <w:lang w:val="fr-CA"/>
              </w:rPr>
            </w:pPr>
            <w:r w:rsidRPr="007A5455">
              <w:rPr>
                <w:sz w:val="20"/>
                <w:szCs w:val="20"/>
                <w:lang w:val="fr-CA"/>
              </w:rPr>
              <w:t>Appel accueilli; requête en révision judiciaire rejetée</w:t>
            </w:r>
          </w:p>
          <w:p w:rsidR="000E2959" w:rsidRPr="007A5455" w:rsidRDefault="000E2959" w:rsidP="0004528B">
            <w:pPr>
              <w:jc w:val="both"/>
              <w:rPr>
                <w:rFonts w:eastAsia="Calibri"/>
                <w:sz w:val="20"/>
                <w:lang w:val="fr-CA"/>
              </w:rPr>
            </w:pPr>
          </w:p>
        </w:tc>
      </w:tr>
      <w:tr w:rsidR="000E2959" w:rsidRPr="007A5455" w:rsidTr="0004528B">
        <w:trPr>
          <w:cantSplit/>
        </w:trPr>
        <w:tc>
          <w:tcPr>
            <w:tcW w:w="2427" w:type="pct"/>
          </w:tcPr>
          <w:p w:rsidR="000E2959" w:rsidRPr="007A5455" w:rsidRDefault="00B0511F" w:rsidP="0004528B">
            <w:pPr>
              <w:jc w:val="both"/>
              <w:rPr>
                <w:rFonts w:eastAsia="Calibri"/>
                <w:sz w:val="20"/>
                <w:lang w:val="fr-CA"/>
              </w:rPr>
            </w:pPr>
            <w:r w:rsidRPr="007A5455">
              <w:rPr>
                <w:rFonts w:eastAsia="Calibri"/>
                <w:sz w:val="20"/>
                <w:lang w:val="fr-CA"/>
              </w:rPr>
              <w:t>16 janvier 2015</w:t>
            </w:r>
          </w:p>
          <w:p w:rsidR="000E2959" w:rsidRPr="007A5455" w:rsidRDefault="000E2959" w:rsidP="0004528B">
            <w:pPr>
              <w:jc w:val="both"/>
              <w:rPr>
                <w:rFonts w:eastAsia="Calibri"/>
                <w:sz w:val="20"/>
                <w:lang w:val="fr-CA"/>
              </w:rPr>
            </w:pPr>
            <w:r w:rsidRPr="007A5455">
              <w:rPr>
                <w:rFonts w:eastAsia="Calibri"/>
                <w:sz w:val="20"/>
                <w:lang w:val="fr-CA"/>
              </w:rPr>
              <w:t>Cour suprême du Canada</w:t>
            </w:r>
          </w:p>
        </w:tc>
        <w:tc>
          <w:tcPr>
            <w:tcW w:w="243" w:type="pct"/>
          </w:tcPr>
          <w:p w:rsidR="000E2959" w:rsidRPr="007A5455" w:rsidRDefault="000E2959" w:rsidP="0004528B">
            <w:pPr>
              <w:jc w:val="both"/>
              <w:rPr>
                <w:rFonts w:eastAsia="Calibri"/>
                <w:sz w:val="20"/>
                <w:lang w:val="fr-CA"/>
              </w:rPr>
            </w:pPr>
          </w:p>
        </w:tc>
        <w:tc>
          <w:tcPr>
            <w:tcW w:w="2330" w:type="pct"/>
          </w:tcPr>
          <w:p w:rsidR="000E2959" w:rsidRPr="007A5455" w:rsidRDefault="000E2959" w:rsidP="00B0511F">
            <w:pPr>
              <w:jc w:val="both"/>
              <w:rPr>
                <w:rFonts w:eastAsia="Calibri"/>
                <w:sz w:val="20"/>
                <w:lang w:val="fr-CA"/>
              </w:rPr>
            </w:pPr>
            <w:r w:rsidRPr="007A5455">
              <w:rPr>
                <w:rFonts w:eastAsia="Calibri"/>
                <w:sz w:val="20"/>
                <w:lang w:val="fr-CA"/>
              </w:rPr>
              <w:t>Demande d’autorisation d’appel déposée</w:t>
            </w:r>
          </w:p>
        </w:tc>
      </w:tr>
    </w:tbl>
    <w:p w:rsidR="000E2959" w:rsidRPr="007A5455" w:rsidRDefault="000E2959" w:rsidP="000E2959">
      <w:pPr>
        <w:rPr>
          <w:sz w:val="20"/>
          <w:szCs w:val="20"/>
        </w:rPr>
      </w:pPr>
    </w:p>
    <w:p w:rsidR="000E2959" w:rsidRPr="007A5455" w:rsidRDefault="001F68BE" w:rsidP="000E2959">
      <w:pPr>
        <w:rPr>
          <w:sz w:val="20"/>
          <w:szCs w:val="20"/>
        </w:rPr>
      </w:pPr>
      <w:r>
        <w:rPr>
          <w:sz w:val="20"/>
          <w:szCs w:val="20"/>
          <w:lang w:val="fr-CA"/>
        </w:rPr>
        <w:pict>
          <v:rect id="_x0000_i1039" style="width:2in;height:1pt" o:hrpct="0" o:hralign="center" o:hrstd="t" o:hrnoshade="t" o:hr="t" fillcolor="black [3213]" stroked="f"/>
        </w:pict>
      </w:r>
    </w:p>
    <w:p w:rsidR="00E801EA" w:rsidRPr="007A5455" w:rsidRDefault="00E801EA" w:rsidP="00E801E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01EA" w:rsidRPr="007A5455" w:rsidTr="0022676D">
        <w:trPr>
          <w:cantSplit/>
        </w:trPr>
        <w:tc>
          <w:tcPr>
            <w:tcW w:w="1458" w:type="dxa"/>
          </w:tcPr>
          <w:p w:rsidR="00E801EA" w:rsidRPr="007A5455" w:rsidRDefault="00E801EA" w:rsidP="0022676D">
            <w:pPr>
              <w:rPr>
                <w:sz w:val="20"/>
                <w:szCs w:val="20"/>
              </w:rPr>
            </w:pPr>
            <w:r w:rsidRPr="007A5455">
              <w:rPr>
                <w:rStyle w:val="SCCFileNumberChar"/>
                <w:sz w:val="20"/>
                <w:szCs w:val="20"/>
              </w:rPr>
              <w:t>36477</w:t>
            </w:r>
          </w:p>
          <w:p w:rsidR="00E801EA" w:rsidRPr="007A5455" w:rsidRDefault="00E801EA" w:rsidP="0022676D">
            <w:pPr>
              <w:rPr>
                <w:b/>
                <w:sz w:val="20"/>
                <w:szCs w:val="20"/>
                <w:lang w:val="fr-CA"/>
              </w:rPr>
            </w:pPr>
          </w:p>
        </w:tc>
        <w:tc>
          <w:tcPr>
            <w:tcW w:w="8118" w:type="dxa"/>
          </w:tcPr>
          <w:p w:rsidR="00E801EA" w:rsidRPr="007A5455" w:rsidRDefault="00E801EA" w:rsidP="0022676D">
            <w:pPr>
              <w:rPr>
                <w:sz w:val="20"/>
                <w:szCs w:val="20"/>
              </w:rPr>
            </w:pPr>
            <w:r w:rsidRPr="007A5455">
              <w:rPr>
                <w:b/>
                <w:iCs/>
                <w:sz w:val="20"/>
                <w:szCs w:val="20"/>
                <w:u w:val="single"/>
                <w:lang w:val="en-US"/>
              </w:rPr>
              <w:t xml:space="preserve">Davinder </w:t>
            </w:r>
            <w:proofErr w:type="spellStart"/>
            <w:r w:rsidRPr="007A5455">
              <w:rPr>
                <w:b/>
                <w:iCs/>
                <w:sz w:val="20"/>
                <w:szCs w:val="20"/>
                <w:u w:val="single"/>
                <w:lang w:val="en-US"/>
              </w:rPr>
              <w:t>Khaper</w:t>
            </w:r>
            <w:proofErr w:type="spellEnd"/>
            <w:r w:rsidRPr="007A5455">
              <w:rPr>
                <w:b/>
                <w:iCs/>
                <w:sz w:val="20"/>
                <w:szCs w:val="20"/>
                <w:u w:val="single"/>
                <w:lang w:val="en-US"/>
              </w:rPr>
              <w:t xml:space="preserve"> v. Air Canada</w:t>
            </w:r>
            <w:r w:rsidRPr="007A5455">
              <w:rPr>
                <w:iCs/>
                <w:sz w:val="20"/>
                <w:szCs w:val="20"/>
                <w:lang w:val="fr-CA"/>
              </w:rPr>
              <w:t xml:space="preserve"> </w:t>
            </w:r>
            <w:r w:rsidRPr="007A5455">
              <w:rPr>
                <w:sz w:val="20"/>
                <w:szCs w:val="20"/>
              </w:rPr>
              <w:t>(F.C.) (Civil) (By Leave)</w:t>
            </w:r>
          </w:p>
          <w:p w:rsidR="00E801EA" w:rsidRPr="007A5455" w:rsidRDefault="00E801EA" w:rsidP="0022676D">
            <w:pPr>
              <w:rPr>
                <w:sz w:val="20"/>
                <w:szCs w:val="20"/>
              </w:rPr>
            </w:pPr>
          </w:p>
        </w:tc>
      </w:tr>
      <w:tr w:rsidR="00E801EA" w:rsidRPr="007A5455" w:rsidTr="0022676D">
        <w:trPr>
          <w:cantSplit/>
        </w:trPr>
        <w:tc>
          <w:tcPr>
            <w:tcW w:w="1458" w:type="dxa"/>
          </w:tcPr>
          <w:p w:rsidR="00E801EA" w:rsidRPr="007A5455" w:rsidRDefault="00E801EA" w:rsidP="0022676D">
            <w:pPr>
              <w:rPr>
                <w:sz w:val="20"/>
                <w:szCs w:val="20"/>
              </w:rPr>
            </w:pPr>
            <w:r w:rsidRPr="007A5455">
              <w:rPr>
                <w:sz w:val="20"/>
                <w:szCs w:val="20"/>
              </w:rPr>
              <w:t>Coram :</w:t>
            </w:r>
          </w:p>
        </w:tc>
        <w:tc>
          <w:tcPr>
            <w:tcW w:w="8118" w:type="dxa"/>
          </w:tcPr>
          <w:p w:rsidR="00E801EA" w:rsidRPr="007A5455" w:rsidRDefault="002B7E50" w:rsidP="0022676D">
            <w:pPr>
              <w:rPr>
                <w:sz w:val="20"/>
                <w:szCs w:val="20"/>
              </w:rPr>
            </w:pPr>
            <w:r w:rsidRPr="007A5455">
              <w:rPr>
                <w:rStyle w:val="SCCCoramChar"/>
                <w:sz w:val="20"/>
                <w:szCs w:val="20"/>
                <w:lang w:val="en-CA"/>
              </w:rPr>
              <w:t>Cromwell</w:t>
            </w:r>
            <w:r w:rsidR="00E801EA" w:rsidRPr="007A5455">
              <w:rPr>
                <w:rStyle w:val="SCCCoramChar"/>
                <w:sz w:val="20"/>
                <w:szCs w:val="20"/>
                <w:lang w:val="en-CA"/>
              </w:rPr>
              <w:t xml:space="preserve">, </w:t>
            </w:r>
            <w:r w:rsidRPr="007A5455">
              <w:rPr>
                <w:rStyle w:val="SCCCoramChar"/>
                <w:sz w:val="20"/>
                <w:szCs w:val="20"/>
                <w:lang w:val="en-CA"/>
              </w:rPr>
              <w:t>Wagner</w:t>
            </w:r>
            <w:r w:rsidR="00E801EA" w:rsidRPr="007A5455">
              <w:rPr>
                <w:rStyle w:val="SCCCoramChar"/>
                <w:sz w:val="20"/>
                <w:szCs w:val="20"/>
                <w:lang w:val="en-CA"/>
              </w:rPr>
              <w:t xml:space="preserve"> and </w:t>
            </w:r>
            <w:proofErr w:type="spellStart"/>
            <w:r w:rsidRPr="007A5455">
              <w:rPr>
                <w:rStyle w:val="SCCCoramChar"/>
                <w:sz w:val="20"/>
                <w:szCs w:val="20"/>
                <w:lang w:val="en-CA"/>
              </w:rPr>
              <w:t>Côté</w:t>
            </w:r>
            <w:proofErr w:type="spellEnd"/>
            <w:r w:rsidR="00E801EA" w:rsidRPr="007A5455">
              <w:rPr>
                <w:rStyle w:val="SCCCoramChar"/>
                <w:sz w:val="20"/>
                <w:szCs w:val="20"/>
                <w:lang w:val="en-CA"/>
              </w:rPr>
              <w:t> JJ.</w:t>
            </w:r>
          </w:p>
          <w:p w:rsidR="00E801EA" w:rsidRPr="007A5455" w:rsidRDefault="00E801EA" w:rsidP="0022676D">
            <w:pPr>
              <w:rPr>
                <w:sz w:val="20"/>
                <w:szCs w:val="20"/>
                <w:u w:val="single"/>
              </w:rPr>
            </w:pPr>
          </w:p>
        </w:tc>
      </w:tr>
      <w:tr w:rsidR="00E801EA" w:rsidRPr="007A5455" w:rsidTr="0022676D">
        <w:trPr>
          <w:cantSplit/>
        </w:trPr>
        <w:tc>
          <w:tcPr>
            <w:tcW w:w="9576" w:type="dxa"/>
            <w:gridSpan w:val="2"/>
          </w:tcPr>
          <w:p w:rsidR="00E801EA" w:rsidRPr="007A5455" w:rsidRDefault="00F43FE0" w:rsidP="0022676D">
            <w:pPr>
              <w:pStyle w:val="SCCShortJudgment"/>
              <w:rPr>
                <w:szCs w:val="20"/>
              </w:rPr>
            </w:pPr>
            <w:r w:rsidRPr="007A5455">
              <w:t>The application for leave to appeal from the judgment of the Federal Court of Appeal, Number A-138-14, 2014 FCA 99, dated April 16, 2015, is dismissed with costs.</w:t>
            </w:r>
          </w:p>
          <w:p w:rsidR="00E801EA" w:rsidRPr="007A5455" w:rsidRDefault="00E801EA" w:rsidP="0022676D">
            <w:pPr>
              <w:pStyle w:val="SCCShortJudgment"/>
              <w:ind w:firstLine="0"/>
              <w:rPr>
                <w:szCs w:val="20"/>
              </w:rPr>
            </w:pPr>
          </w:p>
          <w:p w:rsidR="00E801EA" w:rsidRPr="007A5455" w:rsidRDefault="00F43FE0" w:rsidP="00F43FE0">
            <w:pPr>
              <w:pStyle w:val="SCCShortJudgment"/>
              <w:rPr>
                <w:szCs w:val="20"/>
                <w:lang w:val="fr-CA"/>
              </w:rPr>
            </w:pPr>
            <w:r w:rsidRPr="007A5455">
              <w:rPr>
                <w:lang w:val="fr-CA"/>
              </w:rPr>
              <w:t>La demande d’autorisation d’appel de l’arrêt de la Cour d’appel fédérale, numéro A-138-14, 2014 CAF 99, daté du 16 avril 2015, est rejetée avec dépens.</w:t>
            </w:r>
          </w:p>
        </w:tc>
      </w:tr>
    </w:tbl>
    <w:p w:rsidR="00E801EA" w:rsidRPr="007A5455" w:rsidRDefault="00E801EA" w:rsidP="00E801EA">
      <w:pPr>
        <w:rPr>
          <w:sz w:val="20"/>
          <w:szCs w:val="20"/>
          <w:lang w:val="fr-CA"/>
        </w:rPr>
      </w:pPr>
    </w:p>
    <w:p w:rsidR="00E801EA" w:rsidRPr="007A5455" w:rsidRDefault="00E801EA" w:rsidP="00E801EA">
      <w:pPr>
        <w:rPr>
          <w:sz w:val="20"/>
          <w:szCs w:val="20"/>
          <w:u w:val="single"/>
        </w:rPr>
      </w:pPr>
      <w:r w:rsidRPr="007A5455">
        <w:rPr>
          <w:sz w:val="20"/>
          <w:szCs w:val="20"/>
          <w:u w:val="single"/>
        </w:rPr>
        <w:t>CASE SUMMARY</w:t>
      </w:r>
    </w:p>
    <w:p w:rsidR="00E801EA" w:rsidRPr="007A5455" w:rsidRDefault="00E801EA" w:rsidP="00E801E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801EA" w:rsidRPr="007A5455" w:rsidTr="0022676D">
        <w:tc>
          <w:tcPr>
            <w:tcW w:w="5000" w:type="pct"/>
            <w:gridSpan w:val="3"/>
          </w:tcPr>
          <w:p w:rsidR="00E801EA" w:rsidRPr="007A5455" w:rsidRDefault="00604075" w:rsidP="0022676D">
            <w:pPr>
              <w:jc w:val="both"/>
              <w:rPr>
                <w:iCs/>
                <w:sz w:val="20"/>
                <w:szCs w:val="20"/>
                <w:lang w:val="en-US"/>
              </w:rPr>
            </w:pPr>
            <w:r w:rsidRPr="007A5455">
              <w:rPr>
                <w:sz w:val="20"/>
                <w:szCs w:val="20"/>
              </w:rPr>
              <w:t>Human rights law – One-year limitation period – Vexatious complaints –</w:t>
            </w:r>
            <w:r w:rsidRPr="007A5455">
              <w:rPr>
                <w:sz w:val="20"/>
                <w:szCs w:val="20"/>
                <w:lang w:val="en-US"/>
              </w:rPr>
              <w:t xml:space="preserve"> What is the proper legal test to determine whether a complaint is vexatious under paragraph 41(1)(d) of the </w:t>
            </w:r>
            <w:r w:rsidRPr="007A5455">
              <w:rPr>
                <w:i/>
                <w:iCs/>
                <w:sz w:val="20"/>
                <w:szCs w:val="20"/>
                <w:lang w:val="en-US"/>
              </w:rPr>
              <w:t>Canadian Human Rights Act</w:t>
            </w:r>
            <w:r w:rsidRPr="007A5455">
              <w:rPr>
                <w:iCs/>
                <w:sz w:val="20"/>
                <w:szCs w:val="20"/>
                <w:lang w:val="en-US"/>
              </w:rPr>
              <w:t>, RSC 1985, c. H-6?</w:t>
            </w:r>
            <w:r w:rsidRPr="007A5455">
              <w:rPr>
                <w:i/>
                <w:iCs/>
                <w:sz w:val="20"/>
                <w:szCs w:val="20"/>
                <w:lang w:val="en-US"/>
              </w:rPr>
              <w:t xml:space="preserve"> </w:t>
            </w:r>
            <w:r w:rsidRPr="007A5455">
              <w:rPr>
                <w:sz w:val="20"/>
                <w:szCs w:val="20"/>
                <w:lang w:val="en-US"/>
              </w:rPr>
              <w:t>– Whether it could be discriminatory for an employer to refuse to reconsider termination when evidence of a disability is discovered post-termination</w:t>
            </w:r>
            <w:r w:rsidRPr="007A5455">
              <w:rPr>
                <w:sz w:val="20"/>
                <w:szCs w:val="20"/>
              </w:rPr>
              <w:t xml:space="preserve"> – </w:t>
            </w:r>
            <w:r w:rsidRPr="007A5455">
              <w:rPr>
                <w:sz w:val="20"/>
                <w:szCs w:val="20"/>
                <w:lang w:val="en-US"/>
              </w:rPr>
              <w:t xml:space="preserve">What is the proper approach to review the reasons of the Commission's decisions under s. 41 (1) of the </w:t>
            </w:r>
            <w:r w:rsidRPr="007A5455">
              <w:rPr>
                <w:iCs/>
                <w:sz w:val="20"/>
                <w:szCs w:val="20"/>
                <w:lang w:val="en-US"/>
              </w:rPr>
              <w:t>Act?</w:t>
            </w:r>
          </w:p>
          <w:p w:rsidR="00604075" w:rsidRPr="007A5455" w:rsidRDefault="00604075" w:rsidP="0022676D">
            <w:pPr>
              <w:jc w:val="both"/>
              <w:rPr>
                <w:rFonts w:eastAsia="Calibri"/>
                <w:sz w:val="20"/>
                <w:szCs w:val="20"/>
              </w:rPr>
            </w:pPr>
          </w:p>
        </w:tc>
      </w:tr>
      <w:tr w:rsidR="00E801EA" w:rsidRPr="007A5455" w:rsidTr="0022676D">
        <w:tc>
          <w:tcPr>
            <w:tcW w:w="5000" w:type="pct"/>
            <w:gridSpan w:val="3"/>
          </w:tcPr>
          <w:p w:rsidR="00604075" w:rsidRPr="007A5455" w:rsidRDefault="00604075" w:rsidP="00604075">
            <w:pPr>
              <w:jc w:val="both"/>
              <w:rPr>
                <w:sz w:val="20"/>
                <w:szCs w:val="20"/>
              </w:rPr>
            </w:pPr>
            <w:r w:rsidRPr="007A5455">
              <w:rPr>
                <w:sz w:val="20"/>
                <w:szCs w:val="20"/>
              </w:rPr>
              <w:lastRenderedPageBreak/>
              <w:t xml:space="preserve">On January 22, 2009, Davinder </w:t>
            </w:r>
            <w:proofErr w:type="spellStart"/>
            <w:r w:rsidRPr="007A5455">
              <w:rPr>
                <w:sz w:val="20"/>
                <w:szCs w:val="20"/>
              </w:rPr>
              <w:t>Khaper’s</w:t>
            </w:r>
            <w:proofErr w:type="spellEnd"/>
            <w:r w:rsidRPr="007A5455">
              <w:rPr>
                <w:sz w:val="20"/>
                <w:szCs w:val="20"/>
              </w:rPr>
              <w:t xml:space="preserve"> employment with Air Canada was terminated due to a history of “stealing time” and insubordination. In August 2009 Mr. </w:t>
            </w:r>
            <w:proofErr w:type="spellStart"/>
            <w:r w:rsidRPr="007A5455">
              <w:rPr>
                <w:sz w:val="20"/>
                <w:szCs w:val="20"/>
              </w:rPr>
              <w:t>Khaper</w:t>
            </w:r>
            <w:proofErr w:type="spellEnd"/>
            <w:r w:rsidRPr="007A5455">
              <w:rPr>
                <w:sz w:val="20"/>
                <w:szCs w:val="20"/>
              </w:rPr>
              <w:t xml:space="preserve"> obtained a medical report with a diagnosis neither party had been aware of previously. Mr. </w:t>
            </w:r>
            <w:proofErr w:type="spellStart"/>
            <w:r w:rsidRPr="007A5455">
              <w:rPr>
                <w:sz w:val="20"/>
                <w:szCs w:val="20"/>
              </w:rPr>
              <w:t>Khaper’s</w:t>
            </w:r>
            <w:proofErr w:type="spellEnd"/>
            <w:r w:rsidRPr="007A5455">
              <w:rPr>
                <w:sz w:val="20"/>
                <w:szCs w:val="20"/>
              </w:rPr>
              <w:t xml:space="preserve"> request that his employment be reinstated in light of the medical report was refused by Air Canada on November 23, 2009. On February 10, 2010, Mr. </w:t>
            </w:r>
            <w:proofErr w:type="spellStart"/>
            <w:r w:rsidRPr="007A5455">
              <w:rPr>
                <w:sz w:val="20"/>
                <w:szCs w:val="20"/>
              </w:rPr>
              <w:t>Khaper</w:t>
            </w:r>
            <w:proofErr w:type="spellEnd"/>
            <w:r w:rsidRPr="007A5455">
              <w:rPr>
                <w:sz w:val="20"/>
                <w:szCs w:val="20"/>
              </w:rPr>
              <w:t xml:space="preserve"> filed a complaint with the Canadian Human Rights Commission (“CHRC”) alleging discrimination by Air Canada on the grounds of race, ethnic origin, colour and disability, in relation to his termination and the refusal to reinstate his employment. The CHRC subsequently made a decision not to deal with the complaint because it was not made within the requisite time period and was vexatious. Mr. </w:t>
            </w:r>
            <w:proofErr w:type="spellStart"/>
            <w:r w:rsidRPr="007A5455">
              <w:rPr>
                <w:sz w:val="20"/>
                <w:szCs w:val="20"/>
              </w:rPr>
              <w:t>Khaper</w:t>
            </w:r>
            <w:proofErr w:type="spellEnd"/>
            <w:r w:rsidRPr="007A5455">
              <w:rPr>
                <w:sz w:val="20"/>
                <w:szCs w:val="20"/>
              </w:rPr>
              <w:t xml:space="preserve"> applied for judicial review of the CHRC’s decision.</w:t>
            </w:r>
          </w:p>
          <w:p w:rsidR="00604075" w:rsidRPr="007A5455" w:rsidRDefault="00604075" w:rsidP="00604075">
            <w:pPr>
              <w:jc w:val="both"/>
              <w:rPr>
                <w:sz w:val="20"/>
                <w:szCs w:val="20"/>
              </w:rPr>
            </w:pPr>
          </w:p>
          <w:p w:rsidR="00604075" w:rsidRPr="007A5455" w:rsidRDefault="00604075" w:rsidP="00604075">
            <w:pPr>
              <w:jc w:val="both"/>
              <w:rPr>
                <w:sz w:val="20"/>
                <w:szCs w:val="20"/>
              </w:rPr>
            </w:pPr>
            <w:r w:rsidRPr="007A5455">
              <w:rPr>
                <w:sz w:val="20"/>
                <w:szCs w:val="20"/>
              </w:rPr>
              <w:t>The Federal Court dismissed the applicant’s application for judicial review of the Commission’s decision. The Federal Court of Appeal dismissed the applicant’s appeal.</w:t>
            </w:r>
          </w:p>
          <w:p w:rsidR="00E801EA" w:rsidRPr="007A5455" w:rsidRDefault="00E801EA" w:rsidP="0022676D">
            <w:pPr>
              <w:jc w:val="both"/>
              <w:rPr>
                <w:rFonts w:eastAsia="Calibri"/>
                <w:sz w:val="20"/>
              </w:rPr>
            </w:pPr>
          </w:p>
        </w:tc>
      </w:tr>
      <w:tr w:rsidR="00E801EA" w:rsidRPr="007A5455" w:rsidTr="0022676D">
        <w:trPr>
          <w:cantSplit/>
        </w:trPr>
        <w:tc>
          <w:tcPr>
            <w:tcW w:w="2427" w:type="pct"/>
          </w:tcPr>
          <w:p w:rsidR="00604075" w:rsidRPr="007A5455" w:rsidRDefault="00604075" w:rsidP="00604075">
            <w:pPr>
              <w:jc w:val="both"/>
              <w:rPr>
                <w:sz w:val="20"/>
                <w:szCs w:val="20"/>
              </w:rPr>
            </w:pPr>
            <w:r w:rsidRPr="007A5455">
              <w:rPr>
                <w:sz w:val="20"/>
                <w:szCs w:val="20"/>
              </w:rPr>
              <w:t>February 10, 2014</w:t>
            </w:r>
          </w:p>
          <w:p w:rsidR="00604075" w:rsidRPr="007A5455" w:rsidRDefault="00604075" w:rsidP="00604075">
            <w:pPr>
              <w:jc w:val="both"/>
              <w:rPr>
                <w:sz w:val="20"/>
                <w:szCs w:val="20"/>
              </w:rPr>
            </w:pPr>
            <w:r w:rsidRPr="007A5455">
              <w:rPr>
                <w:sz w:val="20"/>
                <w:szCs w:val="20"/>
              </w:rPr>
              <w:t>Federal Court</w:t>
            </w:r>
          </w:p>
          <w:p w:rsidR="00604075" w:rsidRPr="007A5455" w:rsidRDefault="00604075" w:rsidP="00604075">
            <w:pPr>
              <w:jc w:val="both"/>
              <w:rPr>
                <w:sz w:val="20"/>
                <w:szCs w:val="20"/>
              </w:rPr>
            </w:pPr>
            <w:r w:rsidRPr="007A5455">
              <w:rPr>
                <w:sz w:val="20"/>
                <w:szCs w:val="20"/>
              </w:rPr>
              <w:t>(Kane J.)</w:t>
            </w:r>
          </w:p>
          <w:p w:rsidR="00604075" w:rsidRPr="007A5455" w:rsidRDefault="001F68BE" w:rsidP="00604075">
            <w:pPr>
              <w:jc w:val="both"/>
              <w:rPr>
                <w:sz w:val="20"/>
                <w:szCs w:val="20"/>
              </w:rPr>
            </w:pPr>
            <w:hyperlink r:id="rId28" w:history="1">
              <w:r w:rsidR="00604075" w:rsidRPr="007A5455">
                <w:rPr>
                  <w:color w:val="0000FF" w:themeColor="hyperlink"/>
                  <w:sz w:val="20"/>
                  <w:szCs w:val="20"/>
                  <w:u w:val="single"/>
                </w:rPr>
                <w:t>2014 FC 138</w:t>
              </w:r>
            </w:hyperlink>
            <w:r w:rsidR="00604075" w:rsidRPr="007A5455">
              <w:rPr>
                <w:sz w:val="20"/>
                <w:szCs w:val="20"/>
              </w:rPr>
              <w:t xml:space="preserve"> </w:t>
            </w:r>
          </w:p>
          <w:p w:rsidR="00E801EA" w:rsidRPr="007A5455" w:rsidRDefault="00E801EA" w:rsidP="0022676D">
            <w:pPr>
              <w:jc w:val="both"/>
              <w:rPr>
                <w:rFonts w:eastAsia="Calibri"/>
                <w:sz w:val="20"/>
              </w:rPr>
            </w:pPr>
          </w:p>
        </w:tc>
        <w:tc>
          <w:tcPr>
            <w:tcW w:w="243" w:type="pct"/>
          </w:tcPr>
          <w:p w:rsidR="00E801EA" w:rsidRPr="007A5455" w:rsidRDefault="00E801EA" w:rsidP="0022676D">
            <w:pPr>
              <w:jc w:val="both"/>
              <w:rPr>
                <w:rFonts w:eastAsia="Calibri"/>
                <w:sz w:val="20"/>
              </w:rPr>
            </w:pPr>
          </w:p>
        </w:tc>
        <w:tc>
          <w:tcPr>
            <w:tcW w:w="2330" w:type="pct"/>
          </w:tcPr>
          <w:p w:rsidR="00604075" w:rsidRPr="007A5455" w:rsidRDefault="00604075" w:rsidP="00604075">
            <w:pPr>
              <w:jc w:val="both"/>
              <w:rPr>
                <w:sz w:val="20"/>
                <w:szCs w:val="20"/>
              </w:rPr>
            </w:pPr>
            <w:r w:rsidRPr="007A5455">
              <w:rPr>
                <w:sz w:val="20"/>
                <w:szCs w:val="20"/>
              </w:rPr>
              <w:t>Applicant’s application for judicial review, dismissed.</w:t>
            </w:r>
          </w:p>
          <w:p w:rsidR="00E801EA" w:rsidRPr="007A5455" w:rsidRDefault="00E801EA" w:rsidP="0022676D">
            <w:pPr>
              <w:jc w:val="both"/>
              <w:rPr>
                <w:rFonts w:eastAsia="Calibri"/>
                <w:sz w:val="20"/>
              </w:rPr>
            </w:pPr>
          </w:p>
        </w:tc>
      </w:tr>
      <w:tr w:rsidR="00E801EA" w:rsidRPr="007A5455" w:rsidTr="0022676D">
        <w:trPr>
          <w:cantSplit/>
        </w:trPr>
        <w:tc>
          <w:tcPr>
            <w:tcW w:w="2427" w:type="pct"/>
          </w:tcPr>
          <w:p w:rsidR="0056627F" w:rsidRPr="007A5455" w:rsidRDefault="0056627F" w:rsidP="0056627F">
            <w:pPr>
              <w:jc w:val="both"/>
              <w:rPr>
                <w:sz w:val="20"/>
                <w:szCs w:val="20"/>
              </w:rPr>
            </w:pPr>
            <w:r w:rsidRPr="007A5455">
              <w:rPr>
                <w:sz w:val="20"/>
                <w:szCs w:val="20"/>
              </w:rPr>
              <w:t>April 16, 2015</w:t>
            </w:r>
          </w:p>
          <w:p w:rsidR="0056627F" w:rsidRPr="007A5455" w:rsidRDefault="0056627F" w:rsidP="0056627F">
            <w:pPr>
              <w:jc w:val="both"/>
              <w:rPr>
                <w:sz w:val="20"/>
                <w:szCs w:val="20"/>
              </w:rPr>
            </w:pPr>
            <w:r w:rsidRPr="007A5455">
              <w:rPr>
                <w:sz w:val="20"/>
                <w:szCs w:val="20"/>
              </w:rPr>
              <w:t>Federal Court of Appeal</w:t>
            </w:r>
          </w:p>
          <w:p w:rsidR="0056627F" w:rsidRPr="007A5455" w:rsidRDefault="0056627F" w:rsidP="0056627F">
            <w:pPr>
              <w:jc w:val="both"/>
              <w:rPr>
                <w:sz w:val="20"/>
                <w:szCs w:val="20"/>
              </w:rPr>
            </w:pPr>
            <w:r w:rsidRPr="007A5455">
              <w:rPr>
                <w:sz w:val="20"/>
                <w:szCs w:val="20"/>
              </w:rPr>
              <w:t>(Dawson, Webb and Near JJ.A.)</w:t>
            </w:r>
          </w:p>
          <w:p w:rsidR="0056627F" w:rsidRPr="007A5455" w:rsidRDefault="001F68BE" w:rsidP="0056627F">
            <w:pPr>
              <w:jc w:val="both"/>
              <w:rPr>
                <w:sz w:val="20"/>
                <w:szCs w:val="20"/>
              </w:rPr>
            </w:pPr>
            <w:hyperlink r:id="rId29" w:history="1">
              <w:r w:rsidR="0056627F" w:rsidRPr="007A5455">
                <w:rPr>
                  <w:color w:val="0000FF" w:themeColor="hyperlink"/>
                  <w:sz w:val="20"/>
                  <w:szCs w:val="20"/>
                  <w:u w:val="single"/>
                </w:rPr>
                <w:t>2015 FCA 99</w:t>
              </w:r>
            </w:hyperlink>
            <w:r w:rsidR="0056627F" w:rsidRPr="007A5455">
              <w:rPr>
                <w:sz w:val="20"/>
                <w:szCs w:val="20"/>
              </w:rPr>
              <w:t xml:space="preserve"> </w:t>
            </w:r>
          </w:p>
          <w:p w:rsidR="00E801EA" w:rsidRPr="007A5455" w:rsidRDefault="00E801EA" w:rsidP="0022676D">
            <w:pPr>
              <w:jc w:val="both"/>
              <w:rPr>
                <w:rFonts w:eastAsia="Calibri"/>
                <w:sz w:val="20"/>
              </w:rPr>
            </w:pPr>
          </w:p>
        </w:tc>
        <w:tc>
          <w:tcPr>
            <w:tcW w:w="243" w:type="pct"/>
          </w:tcPr>
          <w:p w:rsidR="00E801EA" w:rsidRPr="007A5455" w:rsidRDefault="00E801EA" w:rsidP="0022676D">
            <w:pPr>
              <w:jc w:val="both"/>
              <w:rPr>
                <w:rFonts w:eastAsia="Calibri"/>
                <w:sz w:val="20"/>
              </w:rPr>
            </w:pPr>
          </w:p>
        </w:tc>
        <w:tc>
          <w:tcPr>
            <w:tcW w:w="2330" w:type="pct"/>
          </w:tcPr>
          <w:p w:rsidR="0056627F" w:rsidRPr="007A5455" w:rsidRDefault="0056627F" w:rsidP="0056627F">
            <w:pPr>
              <w:jc w:val="both"/>
              <w:rPr>
                <w:sz w:val="20"/>
                <w:szCs w:val="20"/>
              </w:rPr>
            </w:pPr>
            <w:r w:rsidRPr="007A5455">
              <w:rPr>
                <w:sz w:val="20"/>
                <w:szCs w:val="20"/>
              </w:rPr>
              <w:t>Applicant’s appeal, dismissed.</w:t>
            </w:r>
          </w:p>
          <w:p w:rsidR="00E801EA" w:rsidRPr="007A5455" w:rsidRDefault="00E801EA" w:rsidP="0022676D">
            <w:pPr>
              <w:jc w:val="both"/>
              <w:rPr>
                <w:rFonts w:eastAsia="Calibri"/>
                <w:sz w:val="20"/>
              </w:rPr>
            </w:pPr>
          </w:p>
        </w:tc>
      </w:tr>
      <w:tr w:rsidR="00E801EA" w:rsidRPr="007A5455" w:rsidTr="0022676D">
        <w:trPr>
          <w:cantSplit/>
        </w:trPr>
        <w:tc>
          <w:tcPr>
            <w:tcW w:w="2427" w:type="pct"/>
          </w:tcPr>
          <w:p w:rsidR="00E801EA" w:rsidRPr="007A5455" w:rsidRDefault="00E801EA" w:rsidP="0022676D">
            <w:pPr>
              <w:jc w:val="both"/>
              <w:rPr>
                <w:rFonts w:eastAsia="Calibri"/>
                <w:sz w:val="20"/>
              </w:rPr>
            </w:pPr>
            <w:r w:rsidRPr="007A5455">
              <w:rPr>
                <w:rFonts w:eastAsia="Calibri"/>
                <w:sz w:val="20"/>
              </w:rPr>
              <w:t>J</w:t>
            </w:r>
            <w:r w:rsidR="0056627F" w:rsidRPr="007A5455">
              <w:rPr>
                <w:rFonts w:eastAsia="Calibri"/>
                <w:sz w:val="20"/>
              </w:rPr>
              <w:t>une</w:t>
            </w:r>
            <w:r w:rsidRPr="007A5455">
              <w:rPr>
                <w:rFonts w:eastAsia="Calibri"/>
                <w:sz w:val="20"/>
              </w:rPr>
              <w:t xml:space="preserve"> </w:t>
            </w:r>
            <w:r w:rsidR="0056627F" w:rsidRPr="007A5455">
              <w:rPr>
                <w:rFonts w:eastAsia="Calibri"/>
                <w:sz w:val="20"/>
              </w:rPr>
              <w:t>15</w:t>
            </w:r>
            <w:r w:rsidRPr="007A5455">
              <w:rPr>
                <w:rFonts w:eastAsia="Calibri"/>
                <w:sz w:val="20"/>
              </w:rPr>
              <w:t>, 201</w:t>
            </w:r>
            <w:r w:rsidR="0056627F" w:rsidRPr="007A5455">
              <w:rPr>
                <w:rFonts w:eastAsia="Calibri"/>
                <w:sz w:val="20"/>
              </w:rPr>
              <w:t>5</w:t>
            </w:r>
          </w:p>
          <w:p w:rsidR="00E801EA" w:rsidRPr="007A5455" w:rsidRDefault="00E801EA" w:rsidP="0022676D">
            <w:pPr>
              <w:jc w:val="both"/>
              <w:rPr>
                <w:rFonts w:eastAsia="Calibri"/>
                <w:sz w:val="20"/>
              </w:rPr>
            </w:pPr>
            <w:r w:rsidRPr="007A5455">
              <w:rPr>
                <w:rFonts w:eastAsia="Calibri"/>
                <w:sz w:val="20"/>
              </w:rPr>
              <w:t>Supreme Court of Canada</w:t>
            </w:r>
          </w:p>
        </w:tc>
        <w:tc>
          <w:tcPr>
            <w:tcW w:w="243" w:type="pct"/>
          </w:tcPr>
          <w:p w:rsidR="00E801EA" w:rsidRPr="007A5455" w:rsidRDefault="00E801EA" w:rsidP="0022676D">
            <w:pPr>
              <w:jc w:val="both"/>
              <w:rPr>
                <w:rFonts w:eastAsia="Calibri"/>
                <w:sz w:val="20"/>
              </w:rPr>
            </w:pPr>
          </w:p>
        </w:tc>
        <w:tc>
          <w:tcPr>
            <w:tcW w:w="2330" w:type="pct"/>
          </w:tcPr>
          <w:p w:rsidR="00E801EA" w:rsidRPr="007A5455" w:rsidRDefault="00E801EA" w:rsidP="0022676D">
            <w:pPr>
              <w:jc w:val="both"/>
              <w:rPr>
                <w:rFonts w:eastAsia="Calibri"/>
                <w:sz w:val="20"/>
              </w:rPr>
            </w:pPr>
            <w:r w:rsidRPr="007A5455">
              <w:rPr>
                <w:rFonts w:eastAsia="Calibri"/>
                <w:sz w:val="20"/>
              </w:rPr>
              <w:t>Application for leave to appeal</w:t>
            </w:r>
            <w:r w:rsidR="0056627F" w:rsidRPr="007A5455">
              <w:rPr>
                <w:rFonts w:eastAsia="Calibri"/>
                <w:sz w:val="20"/>
              </w:rPr>
              <w:t>,</w:t>
            </w:r>
            <w:r w:rsidRPr="007A5455">
              <w:rPr>
                <w:rFonts w:eastAsia="Calibri"/>
                <w:sz w:val="20"/>
              </w:rPr>
              <w:t xml:space="preserve"> filed.</w:t>
            </w:r>
          </w:p>
        </w:tc>
      </w:tr>
    </w:tbl>
    <w:p w:rsidR="00E801EA" w:rsidRPr="007A5455" w:rsidRDefault="00E801EA" w:rsidP="00E801EA">
      <w:pPr>
        <w:rPr>
          <w:sz w:val="20"/>
          <w:szCs w:val="20"/>
        </w:rPr>
      </w:pPr>
    </w:p>
    <w:p w:rsidR="00E801EA" w:rsidRPr="007A5455" w:rsidRDefault="001F68BE" w:rsidP="00E801EA">
      <w:pPr>
        <w:rPr>
          <w:sz w:val="20"/>
          <w:szCs w:val="20"/>
        </w:rPr>
      </w:pPr>
      <w:r>
        <w:rPr>
          <w:sz w:val="20"/>
          <w:szCs w:val="20"/>
          <w:lang w:val="fr-CA"/>
        </w:rPr>
        <w:pict>
          <v:rect id="_x0000_i1040" style="width:2in;height:1pt" o:hrpct="0" o:hralign="center" o:hrstd="t" o:hrnoshade="t" o:hr="t" fillcolor="black [3213]" stroked="f"/>
        </w:pict>
      </w:r>
    </w:p>
    <w:p w:rsidR="00E801EA" w:rsidRPr="007A5455" w:rsidRDefault="00E801EA" w:rsidP="00E801EA">
      <w:pPr>
        <w:rPr>
          <w:sz w:val="20"/>
          <w:szCs w:val="20"/>
        </w:rPr>
      </w:pPr>
    </w:p>
    <w:p w:rsidR="00E801EA" w:rsidRPr="007A5455" w:rsidRDefault="00E801EA" w:rsidP="00E801EA">
      <w:pPr>
        <w:rPr>
          <w:sz w:val="20"/>
          <w:szCs w:val="20"/>
          <w:u w:val="single"/>
          <w:lang w:val="fr-CA"/>
        </w:rPr>
      </w:pPr>
      <w:r w:rsidRPr="007A5455">
        <w:rPr>
          <w:sz w:val="20"/>
          <w:szCs w:val="20"/>
          <w:u w:val="single"/>
          <w:lang w:val="fr-CA"/>
        </w:rPr>
        <w:t>RÉSUMÉ DE L’AFFAIRE</w:t>
      </w:r>
    </w:p>
    <w:p w:rsidR="00E801EA" w:rsidRPr="007A5455" w:rsidRDefault="00E801EA" w:rsidP="00E801E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801EA" w:rsidRPr="007A5455" w:rsidTr="0022676D">
        <w:tc>
          <w:tcPr>
            <w:tcW w:w="5000" w:type="pct"/>
            <w:gridSpan w:val="3"/>
          </w:tcPr>
          <w:p w:rsidR="00E801EA" w:rsidRPr="007A5455" w:rsidRDefault="007D503E" w:rsidP="0022676D">
            <w:pPr>
              <w:jc w:val="both"/>
              <w:rPr>
                <w:iCs/>
                <w:sz w:val="20"/>
                <w:szCs w:val="20"/>
                <w:lang w:val="fr-CA"/>
              </w:rPr>
            </w:pPr>
            <w:r w:rsidRPr="007A5455">
              <w:rPr>
                <w:sz w:val="20"/>
                <w:szCs w:val="20"/>
                <w:lang w:val="fr-CA"/>
              </w:rPr>
              <w:t>Droits de la personne – Délai de prescription d’un an – Plaintes vexatoires – Quel critère juridique permet de déterminer si une plainte est vexatoire au sens de l’al. 41(1)</w:t>
            </w:r>
            <w:r w:rsidRPr="007A5455">
              <w:rPr>
                <w:i/>
                <w:sz w:val="20"/>
                <w:szCs w:val="20"/>
                <w:lang w:val="fr-CA"/>
              </w:rPr>
              <w:t>d</w:t>
            </w:r>
            <w:r w:rsidRPr="007A5455">
              <w:rPr>
                <w:sz w:val="20"/>
                <w:szCs w:val="20"/>
                <w:lang w:val="fr-CA"/>
              </w:rPr>
              <w:t xml:space="preserve">) de la </w:t>
            </w:r>
            <w:r w:rsidRPr="007A5455">
              <w:rPr>
                <w:i/>
                <w:iCs/>
                <w:sz w:val="20"/>
                <w:szCs w:val="20"/>
                <w:lang w:val="fr-CA"/>
              </w:rPr>
              <w:t>Loi canadienne sur les droits de la personne</w:t>
            </w:r>
            <w:r w:rsidRPr="007A5455">
              <w:rPr>
                <w:iCs/>
                <w:sz w:val="20"/>
                <w:szCs w:val="20"/>
                <w:lang w:val="fr-CA"/>
              </w:rPr>
              <w:t>, L.R.C. 1985, ch. H-6?</w:t>
            </w:r>
            <w:r w:rsidRPr="007A5455">
              <w:rPr>
                <w:i/>
                <w:iCs/>
                <w:sz w:val="20"/>
                <w:szCs w:val="20"/>
                <w:lang w:val="fr-CA"/>
              </w:rPr>
              <w:t xml:space="preserve"> </w:t>
            </w:r>
            <w:r w:rsidRPr="007A5455">
              <w:rPr>
                <w:sz w:val="20"/>
                <w:szCs w:val="20"/>
                <w:lang w:val="fr-CA"/>
              </w:rPr>
              <w:t>– Peut-il être discriminatoire pour un employeur de refuser de réexaminer un congédiement lorsque la preuve d’une déficience est découverte après le congédiement? – Comment faut-il envisager le contrôle des motifs des décisions de la Commission en application du par. 41 (1) de la Loi</w:t>
            </w:r>
            <w:r w:rsidRPr="007A5455">
              <w:rPr>
                <w:iCs/>
                <w:sz w:val="20"/>
                <w:szCs w:val="20"/>
                <w:lang w:val="fr-CA"/>
              </w:rPr>
              <w:t>?</w:t>
            </w:r>
          </w:p>
          <w:p w:rsidR="007D503E" w:rsidRPr="007A5455" w:rsidRDefault="007D503E" w:rsidP="0022676D">
            <w:pPr>
              <w:jc w:val="both"/>
              <w:rPr>
                <w:rFonts w:eastAsia="Calibri"/>
                <w:sz w:val="20"/>
                <w:szCs w:val="20"/>
                <w:lang w:val="fr-CA"/>
              </w:rPr>
            </w:pPr>
          </w:p>
        </w:tc>
      </w:tr>
      <w:tr w:rsidR="00E801EA" w:rsidRPr="007A5455" w:rsidTr="0022676D">
        <w:tc>
          <w:tcPr>
            <w:tcW w:w="5000" w:type="pct"/>
            <w:gridSpan w:val="3"/>
          </w:tcPr>
          <w:p w:rsidR="007D503E" w:rsidRPr="007A5455" w:rsidRDefault="007D503E" w:rsidP="007D503E">
            <w:pPr>
              <w:jc w:val="both"/>
              <w:rPr>
                <w:rFonts w:eastAsia="Calibri" w:cs="Times New Roman"/>
                <w:sz w:val="20"/>
                <w:szCs w:val="20"/>
                <w:lang w:val="fr-CA"/>
              </w:rPr>
            </w:pPr>
            <w:r w:rsidRPr="007A5455">
              <w:rPr>
                <w:rFonts w:eastAsia="Calibri" w:cs="Times New Roman"/>
                <w:sz w:val="20"/>
                <w:szCs w:val="20"/>
                <w:lang w:val="fr-CA"/>
              </w:rPr>
              <w:t xml:space="preserve">Le 22 janvier 2009, </w:t>
            </w:r>
            <w:proofErr w:type="spellStart"/>
            <w:r w:rsidRPr="007A5455">
              <w:rPr>
                <w:rFonts w:eastAsia="Calibri" w:cs="Times New Roman"/>
                <w:sz w:val="20"/>
                <w:szCs w:val="20"/>
                <w:lang w:val="fr-CA"/>
              </w:rPr>
              <w:t>Davinder</w:t>
            </w:r>
            <w:proofErr w:type="spellEnd"/>
            <w:r w:rsidRPr="007A5455">
              <w:rPr>
                <w:rFonts w:eastAsia="Calibri" w:cs="Times New Roman"/>
                <w:sz w:val="20"/>
                <w:szCs w:val="20"/>
                <w:lang w:val="fr-CA"/>
              </w:rPr>
              <w:t xml:space="preserve"> </w:t>
            </w:r>
            <w:proofErr w:type="spellStart"/>
            <w:r w:rsidRPr="007A5455">
              <w:rPr>
                <w:rFonts w:eastAsia="Calibri" w:cs="Times New Roman"/>
                <w:sz w:val="20"/>
                <w:szCs w:val="20"/>
                <w:lang w:val="fr-CA"/>
              </w:rPr>
              <w:t>Khaper</w:t>
            </w:r>
            <w:proofErr w:type="spellEnd"/>
            <w:r w:rsidRPr="007A5455">
              <w:rPr>
                <w:rFonts w:eastAsia="Calibri" w:cs="Times New Roman"/>
                <w:sz w:val="20"/>
                <w:szCs w:val="20"/>
                <w:lang w:val="fr-CA"/>
              </w:rPr>
              <w:t xml:space="preserve"> a été congédié par Air Canada pour cause d’antécédents de « vol de temps » et d’insubordination. En août 2009, M. </w:t>
            </w:r>
            <w:proofErr w:type="spellStart"/>
            <w:r w:rsidRPr="007A5455">
              <w:rPr>
                <w:rFonts w:eastAsia="Calibri" w:cs="Times New Roman"/>
                <w:sz w:val="20"/>
                <w:szCs w:val="20"/>
                <w:lang w:val="fr-CA"/>
              </w:rPr>
              <w:t>Khaper</w:t>
            </w:r>
            <w:proofErr w:type="spellEnd"/>
            <w:r w:rsidRPr="007A5455">
              <w:rPr>
                <w:rFonts w:eastAsia="Calibri" w:cs="Times New Roman"/>
                <w:sz w:val="20"/>
                <w:szCs w:val="20"/>
                <w:lang w:val="fr-CA"/>
              </w:rPr>
              <w:t xml:space="preserve"> a obtenu un rapport médical qui faisait état d’un diagnostic dont ni l’une ni l’autre des parties n’avait eu connaissance auparavant. Le 23 novembre 2009, Air Canada a rejeté la demande de M. </w:t>
            </w:r>
            <w:proofErr w:type="spellStart"/>
            <w:r w:rsidRPr="007A5455">
              <w:rPr>
                <w:rFonts w:eastAsia="Calibri" w:cs="Times New Roman"/>
                <w:sz w:val="20"/>
                <w:szCs w:val="20"/>
                <w:lang w:val="fr-CA"/>
              </w:rPr>
              <w:t>Khaper</w:t>
            </w:r>
            <w:proofErr w:type="spellEnd"/>
            <w:r w:rsidRPr="007A5455">
              <w:rPr>
                <w:rFonts w:eastAsia="Calibri" w:cs="Times New Roman"/>
                <w:sz w:val="20"/>
                <w:szCs w:val="20"/>
                <w:lang w:val="fr-CA"/>
              </w:rPr>
              <w:t xml:space="preserve"> pour qu’il soit réintégré dans son emploi à la lumière du rapport médical. Le 10 février 2010, M. </w:t>
            </w:r>
            <w:proofErr w:type="spellStart"/>
            <w:r w:rsidRPr="007A5455">
              <w:rPr>
                <w:rFonts w:eastAsia="Calibri" w:cs="Times New Roman"/>
                <w:sz w:val="20"/>
                <w:szCs w:val="20"/>
                <w:lang w:val="fr-CA"/>
              </w:rPr>
              <w:t>Khaper</w:t>
            </w:r>
            <w:proofErr w:type="spellEnd"/>
            <w:r w:rsidRPr="007A5455">
              <w:rPr>
                <w:rFonts w:eastAsia="Calibri" w:cs="Times New Roman"/>
                <w:sz w:val="20"/>
                <w:szCs w:val="20"/>
                <w:lang w:val="fr-CA"/>
              </w:rPr>
              <w:t xml:space="preserve"> a déposé une plainte à la Commission canadienne des droits de la personne (« CCDP ») alléguant qu’Air Canada avait commis un acte discriminatoire fondé sur sa race, son origine ethnique, sa couleur et sa déficience, en lien avec son congédiement et le refus de le réintégrer dans son emploi. La CCDP a subséquemment décidé de ne pas traiter la plainte parce qu’elle avait été présentée hors délai et qu’elle était vexatoire. Monsieur </w:t>
            </w:r>
            <w:proofErr w:type="spellStart"/>
            <w:r w:rsidRPr="007A5455">
              <w:rPr>
                <w:rFonts w:eastAsia="Calibri" w:cs="Times New Roman"/>
                <w:sz w:val="20"/>
                <w:szCs w:val="20"/>
                <w:lang w:val="fr-CA"/>
              </w:rPr>
              <w:t>Khaper</w:t>
            </w:r>
            <w:proofErr w:type="spellEnd"/>
            <w:r w:rsidRPr="007A5455">
              <w:rPr>
                <w:rFonts w:eastAsia="Calibri" w:cs="Times New Roman"/>
                <w:sz w:val="20"/>
                <w:szCs w:val="20"/>
                <w:lang w:val="fr-CA"/>
              </w:rPr>
              <w:t xml:space="preserve"> a demandé le contrôle judiciaire de la décision de la CCDP.</w:t>
            </w:r>
          </w:p>
          <w:p w:rsidR="007D503E" w:rsidRPr="007A5455" w:rsidRDefault="007D503E" w:rsidP="007D503E">
            <w:pPr>
              <w:jc w:val="both"/>
              <w:rPr>
                <w:rFonts w:eastAsia="Calibri" w:cs="Times New Roman"/>
                <w:sz w:val="20"/>
                <w:szCs w:val="20"/>
                <w:lang w:val="fr-CA"/>
              </w:rPr>
            </w:pPr>
          </w:p>
          <w:p w:rsidR="007D503E" w:rsidRPr="007A5455" w:rsidRDefault="007D503E" w:rsidP="007D503E">
            <w:pPr>
              <w:jc w:val="both"/>
              <w:rPr>
                <w:rFonts w:eastAsia="Calibri" w:cs="Times New Roman"/>
                <w:sz w:val="20"/>
                <w:szCs w:val="20"/>
                <w:lang w:val="fr-CA"/>
              </w:rPr>
            </w:pPr>
            <w:r w:rsidRPr="007A5455">
              <w:rPr>
                <w:rFonts w:eastAsia="Calibri" w:cs="Times New Roman"/>
                <w:sz w:val="20"/>
                <w:szCs w:val="20"/>
                <w:lang w:val="fr-CA"/>
              </w:rPr>
              <w:t>La Cour fédérale a rejeté la demande de M. </w:t>
            </w:r>
            <w:proofErr w:type="spellStart"/>
            <w:r w:rsidRPr="007A5455">
              <w:rPr>
                <w:rFonts w:eastAsia="Calibri" w:cs="Times New Roman"/>
                <w:sz w:val="20"/>
                <w:szCs w:val="20"/>
                <w:lang w:val="fr-CA"/>
              </w:rPr>
              <w:t>Khaper</w:t>
            </w:r>
            <w:proofErr w:type="spellEnd"/>
            <w:r w:rsidRPr="007A5455">
              <w:rPr>
                <w:rFonts w:eastAsia="Calibri" w:cs="Times New Roman"/>
                <w:sz w:val="20"/>
                <w:szCs w:val="20"/>
                <w:lang w:val="fr-CA"/>
              </w:rPr>
              <w:t xml:space="preserve"> en contrôle judiciaire de la décision de la Commission. La Cour d’appel fédérale a rejeté son appel.</w:t>
            </w:r>
          </w:p>
          <w:p w:rsidR="00E801EA" w:rsidRPr="007A5455" w:rsidRDefault="00E801EA" w:rsidP="0022676D">
            <w:pPr>
              <w:jc w:val="both"/>
              <w:rPr>
                <w:sz w:val="20"/>
                <w:lang w:val="fr-CA"/>
              </w:rPr>
            </w:pPr>
          </w:p>
        </w:tc>
      </w:tr>
      <w:tr w:rsidR="00E801EA" w:rsidRPr="007A5455" w:rsidTr="0022676D">
        <w:trPr>
          <w:cantSplit/>
        </w:trPr>
        <w:tc>
          <w:tcPr>
            <w:tcW w:w="2427" w:type="pct"/>
          </w:tcPr>
          <w:p w:rsidR="007D503E" w:rsidRPr="007A5455" w:rsidRDefault="007D503E" w:rsidP="007D503E">
            <w:pPr>
              <w:rPr>
                <w:sz w:val="20"/>
                <w:szCs w:val="20"/>
                <w:lang w:val="fr-CA"/>
              </w:rPr>
            </w:pPr>
            <w:r w:rsidRPr="007A5455">
              <w:rPr>
                <w:sz w:val="20"/>
                <w:szCs w:val="20"/>
                <w:lang w:val="fr-CA"/>
              </w:rPr>
              <w:lastRenderedPageBreak/>
              <w:t>10 février 2014</w:t>
            </w:r>
          </w:p>
          <w:p w:rsidR="007D503E" w:rsidRPr="007A5455" w:rsidRDefault="007D503E" w:rsidP="007D503E">
            <w:pPr>
              <w:rPr>
                <w:sz w:val="20"/>
                <w:szCs w:val="20"/>
                <w:lang w:val="fr-CA"/>
              </w:rPr>
            </w:pPr>
            <w:r w:rsidRPr="007A5455">
              <w:rPr>
                <w:sz w:val="20"/>
                <w:szCs w:val="20"/>
                <w:lang w:val="fr-CA"/>
              </w:rPr>
              <w:t>Cour fédérale</w:t>
            </w:r>
          </w:p>
          <w:p w:rsidR="007D503E" w:rsidRPr="007A5455" w:rsidRDefault="007D503E" w:rsidP="007D503E">
            <w:pPr>
              <w:rPr>
                <w:sz w:val="20"/>
                <w:szCs w:val="20"/>
                <w:lang w:val="fr-CA"/>
              </w:rPr>
            </w:pPr>
            <w:r w:rsidRPr="007A5455">
              <w:rPr>
                <w:sz w:val="20"/>
                <w:szCs w:val="20"/>
                <w:lang w:val="fr-CA"/>
              </w:rPr>
              <w:t>(Juge Kane)</w:t>
            </w:r>
          </w:p>
          <w:p w:rsidR="007D503E" w:rsidRPr="007A5455" w:rsidRDefault="001F68BE" w:rsidP="007D503E">
            <w:pPr>
              <w:rPr>
                <w:sz w:val="20"/>
                <w:szCs w:val="20"/>
                <w:lang w:val="fr-CA"/>
              </w:rPr>
            </w:pPr>
            <w:hyperlink r:id="rId30" w:history="1">
              <w:r w:rsidR="007D503E" w:rsidRPr="007A5455">
                <w:rPr>
                  <w:rStyle w:val="Hyperlink"/>
                  <w:sz w:val="20"/>
                  <w:szCs w:val="20"/>
                  <w:lang w:val="fr-CA"/>
                </w:rPr>
                <w:t>2014 FC 138</w:t>
              </w:r>
            </w:hyperlink>
            <w:r w:rsidR="007D503E" w:rsidRPr="007A5455">
              <w:rPr>
                <w:sz w:val="20"/>
                <w:szCs w:val="20"/>
                <w:lang w:val="fr-CA"/>
              </w:rPr>
              <w:t xml:space="preserve"> </w:t>
            </w:r>
          </w:p>
          <w:p w:rsidR="00E801EA" w:rsidRPr="007A5455" w:rsidRDefault="00E801EA" w:rsidP="0022676D">
            <w:pPr>
              <w:jc w:val="both"/>
              <w:rPr>
                <w:rFonts w:eastAsia="Calibri"/>
                <w:sz w:val="20"/>
                <w:lang w:val="fr-CA"/>
              </w:rPr>
            </w:pPr>
          </w:p>
        </w:tc>
        <w:tc>
          <w:tcPr>
            <w:tcW w:w="243" w:type="pct"/>
          </w:tcPr>
          <w:p w:rsidR="00E801EA" w:rsidRPr="007A5455" w:rsidRDefault="00E801EA" w:rsidP="0022676D">
            <w:pPr>
              <w:jc w:val="both"/>
              <w:rPr>
                <w:rFonts w:eastAsia="Calibri"/>
                <w:sz w:val="20"/>
                <w:lang w:val="fr-CA"/>
              </w:rPr>
            </w:pPr>
          </w:p>
        </w:tc>
        <w:tc>
          <w:tcPr>
            <w:tcW w:w="2330" w:type="pct"/>
          </w:tcPr>
          <w:p w:rsidR="007D503E" w:rsidRPr="007A5455" w:rsidRDefault="007D503E" w:rsidP="007D503E">
            <w:pPr>
              <w:rPr>
                <w:sz w:val="20"/>
                <w:szCs w:val="20"/>
                <w:lang w:val="fr-CA"/>
              </w:rPr>
            </w:pPr>
            <w:r w:rsidRPr="007A5455">
              <w:rPr>
                <w:sz w:val="20"/>
                <w:szCs w:val="20"/>
                <w:lang w:val="fr-CA"/>
              </w:rPr>
              <w:t>Rejet de la demande de contrôle judiciaire du demandeur.</w:t>
            </w:r>
          </w:p>
          <w:p w:rsidR="00E801EA" w:rsidRPr="007A5455" w:rsidRDefault="00E801EA" w:rsidP="0022676D">
            <w:pPr>
              <w:jc w:val="both"/>
              <w:rPr>
                <w:rFonts w:eastAsia="Calibri"/>
                <w:sz w:val="20"/>
                <w:lang w:val="fr-CA"/>
              </w:rPr>
            </w:pPr>
          </w:p>
        </w:tc>
      </w:tr>
      <w:tr w:rsidR="00E801EA" w:rsidRPr="007A5455" w:rsidTr="0022676D">
        <w:trPr>
          <w:cantSplit/>
        </w:trPr>
        <w:tc>
          <w:tcPr>
            <w:tcW w:w="2427" w:type="pct"/>
          </w:tcPr>
          <w:p w:rsidR="007D503E" w:rsidRPr="007A5455" w:rsidRDefault="007D503E" w:rsidP="007D503E">
            <w:pPr>
              <w:rPr>
                <w:sz w:val="20"/>
                <w:szCs w:val="20"/>
                <w:lang w:val="fr-CA"/>
              </w:rPr>
            </w:pPr>
            <w:r w:rsidRPr="007A5455">
              <w:rPr>
                <w:sz w:val="20"/>
                <w:szCs w:val="20"/>
                <w:lang w:val="fr-CA"/>
              </w:rPr>
              <w:t>16 avril 2015</w:t>
            </w:r>
          </w:p>
          <w:p w:rsidR="007D503E" w:rsidRPr="007A5455" w:rsidRDefault="007D503E" w:rsidP="007D503E">
            <w:pPr>
              <w:rPr>
                <w:sz w:val="20"/>
                <w:szCs w:val="20"/>
                <w:lang w:val="fr-CA"/>
              </w:rPr>
            </w:pPr>
            <w:r w:rsidRPr="007A5455">
              <w:rPr>
                <w:sz w:val="20"/>
                <w:szCs w:val="20"/>
                <w:lang w:val="fr-CA"/>
              </w:rPr>
              <w:t>Cour d’appel fédérale</w:t>
            </w:r>
          </w:p>
          <w:p w:rsidR="007D503E" w:rsidRPr="007A5455" w:rsidRDefault="007D503E" w:rsidP="007D503E">
            <w:pPr>
              <w:rPr>
                <w:sz w:val="20"/>
                <w:szCs w:val="20"/>
                <w:lang w:val="fr-CA"/>
              </w:rPr>
            </w:pPr>
            <w:r w:rsidRPr="007A5455">
              <w:rPr>
                <w:sz w:val="20"/>
                <w:szCs w:val="20"/>
                <w:lang w:val="fr-CA"/>
              </w:rPr>
              <w:t>(Juges Dawson, Webb et Near)</w:t>
            </w:r>
          </w:p>
          <w:p w:rsidR="007D503E" w:rsidRPr="007A5455" w:rsidRDefault="001F68BE" w:rsidP="007D503E">
            <w:pPr>
              <w:rPr>
                <w:sz w:val="20"/>
                <w:szCs w:val="20"/>
                <w:lang w:val="fr-CA"/>
              </w:rPr>
            </w:pPr>
            <w:hyperlink r:id="rId31" w:history="1">
              <w:r w:rsidR="007D503E" w:rsidRPr="007A5455">
                <w:rPr>
                  <w:rStyle w:val="Hyperlink"/>
                  <w:sz w:val="20"/>
                  <w:szCs w:val="20"/>
                  <w:lang w:val="fr-CA"/>
                </w:rPr>
                <w:t>2015 FCA 99</w:t>
              </w:r>
            </w:hyperlink>
            <w:r w:rsidR="007D503E" w:rsidRPr="007A5455">
              <w:rPr>
                <w:sz w:val="20"/>
                <w:szCs w:val="20"/>
                <w:lang w:val="fr-CA"/>
              </w:rPr>
              <w:t xml:space="preserve"> </w:t>
            </w:r>
          </w:p>
          <w:p w:rsidR="00E801EA" w:rsidRPr="007A5455" w:rsidRDefault="00E801EA" w:rsidP="0022676D">
            <w:pPr>
              <w:jc w:val="both"/>
              <w:rPr>
                <w:rFonts w:eastAsia="Calibri"/>
                <w:sz w:val="20"/>
                <w:lang w:val="fr-CA"/>
              </w:rPr>
            </w:pPr>
          </w:p>
        </w:tc>
        <w:tc>
          <w:tcPr>
            <w:tcW w:w="243" w:type="pct"/>
          </w:tcPr>
          <w:p w:rsidR="00E801EA" w:rsidRPr="007A5455" w:rsidRDefault="00E801EA" w:rsidP="0022676D">
            <w:pPr>
              <w:jc w:val="both"/>
              <w:rPr>
                <w:rFonts w:eastAsia="Calibri"/>
                <w:sz w:val="20"/>
                <w:lang w:val="fr-CA"/>
              </w:rPr>
            </w:pPr>
          </w:p>
        </w:tc>
        <w:tc>
          <w:tcPr>
            <w:tcW w:w="2330" w:type="pct"/>
          </w:tcPr>
          <w:p w:rsidR="007D503E" w:rsidRPr="007A5455" w:rsidRDefault="007D503E" w:rsidP="007D503E">
            <w:pPr>
              <w:rPr>
                <w:sz w:val="20"/>
                <w:szCs w:val="20"/>
                <w:lang w:val="fr-CA"/>
              </w:rPr>
            </w:pPr>
            <w:r w:rsidRPr="007A5455">
              <w:rPr>
                <w:sz w:val="20"/>
                <w:szCs w:val="20"/>
                <w:lang w:val="fr-CA"/>
              </w:rPr>
              <w:t>Rejet de l’appel du demandeur.</w:t>
            </w:r>
          </w:p>
          <w:p w:rsidR="00E801EA" w:rsidRPr="007A5455" w:rsidRDefault="00E801EA" w:rsidP="0022676D">
            <w:pPr>
              <w:jc w:val="both"/>
              <w:rPr>
                <w:rFonts w:eastAsia="Calibri"/>
                <w:sz w:val="20"/>
                <w:lang w:val="fr-CA"/>
              </w:rPr>
            </w:pPr>
          </w:p>
        </w:tc>
      </w:tr>
      <w:tr w:rsidR="00E801EA" w:rsidRPr="007A5455" w:rsidTr="0022676D">
        <w:trPr>
          <w:cantSplit/>
        </w:trPr>
        <w:tc>
          <w:tcPr>
            <w:tcW w:w="2427" w:type="pct"/>
          </w:tcPr>
          <w:p w:rsidR="00E801EA" w:rsidRPr="007A5455" w:rsidRDefault="007D503E" w:rsidP="0022676D">
            <w:pPr>
              <w:jc w:val="both"/>
              <w:rPr>
                <w:rFonts w:eastAsia="Calibri"/>
                <w:sz w:val="20"/>
                <w:lang w:val="fr-CA"/>
              </w:rPr>
            </w:pPr>
            <w:r w:rsidRPr="007A5455">
              <w:rPr>
                <w:rFonts w:eastAsia="Calibri"/>
                <w:sz w:val="20"/>
                <w:lang w:val="fr-CA"/>
              </w:rPr>
              <w:t>15</w:t>
            </w:r>
            <w:r w:rsidR="00E801EA" w:rsidRPr="007A5455">
              <w:rPr>
                <w:rFonts w:eastAsia="Calibri"/>
                <w:sz w:val="20"/>
                <w:lang w:val="fr-CA"/>
              </w:rPr>
              <w:t xml:space="preserve"> j</w:t>
            </w:r>
            <w:r w:rsidRPr="007A5455">
              <w:rPr>
                <w:rFonts w:eastAsia="Calibri"/>
                <w:sz w:val="20"/>
                <w:lang w:val="fr-CA"/>
              </w:rPr>
              <w:t>uin 2015</w:t>
            </w:r>
          </w:p>
          <w:p w:rsidR="00E801EA" w:rsidRPr="007A5455" w:rsidRDefault="00E801EA" w:rsidP="0022676D">
            <w:pPr>
              <w:jc w:val="both"/>
              <w:rPr>
                <w:rFonts w:eastAsia="Calibri"/>
                <w:sz w:val="20"/>
                <w:lang w:val="fr-CA"/>
              </w:rPr>
            </w:pPr>
            <w:r w:rsidRPr="007A5455">
              <w:rPr>
                <w:rFonts w:eastAsia="Calibri"/>
                <w:sz w:val="20"/>
                <w:lang w:val="fr-CA"/>
              </w:rPr>
              <w:t>Cour suprême du Canada</w:t>
            </w:r>
          </w:p>
        </w:tc>
        <w:tc>
          <w:tcPr>
            <w:tcW w:w="243" w:type="pct"/>
          </w:tcPr>
          <w:p w:rsidR="00E801EA" w:rsidRPr="007A5455" w:rsidRDefault="00E801EA" w:rsidP="0022676D">
            <w:pPr>
              <w:jc w:val="both"/>
              <w:rPr>
                <w:rFonts w:eastAsia="Calibri"/>
                <w:sz w:val="20"/>
                <w:lang w:val="fr-CA"/>
              </w:rPr>
            </w:pPr>
          </w:p>
        </w:tc>
        <w:tc>
          <w:tcPr>
            <w:tcW w:w="2330" w:type="pct"/>
          </w:tcPr>
          <w:p w:rsidR="007D503E" w:rsidRPr="007A5455" w:rsidRDefault="007D503E" w:rsidP="007D503E">
            <w:pPr>
              <w:jc w:val="both"/>
              <w:rPr>
                <w:rFonts w:eastAsia="Calibri" w:cs="Times New Roman"/>
                <w:sz w:val="20"/>
                <w:szCs w:val="20"/>
                <w:lang w:val="fr-CA"/>
              </w:rPr>
            </w:pPr>
            <w:r w:rsidRPr="007A5455">
              <w:rPr>
                <w:rFonts w:eastAsia="Calibri" w:cs="Times New Roman"/>
                <w:sz w:val="20"/>
                <w:szCs w:val="20"/>
                <w:lang w:val="fr-CA"/>
              </w:rPr>
              <w:t>Dépôt de la demande d’autorisation d’appel.</w:t>
            </w:r>
          </w:p>
          <w:p w:rsidR="00E801EA" w:rsidRPr="007A5455" w:rsidRDefault="00E801EA" w:rsidP="007D503E">
            <w:pPr>
              <w:jc w:val="right"/>
              <w:rPr>
                <w:rFonts w:eastAsia="Calibri"/>
                <w:sz w:val="20"/>
                <w:szCs w:val="20"/>
                <w:lang w:val="fr-CA"/>
              </w:rPr>
            </w:pPr>
          </w:p>
        </w:tc>
      </w:tr>
    </w:tbl>
    <w:p w:rsidR="00E801EA" w:rsidRPr="007A5455" w:rsidRDefault="00E801EA" w:rsidP="00E801EA">
      <w:pPr>
        <w:rPr>
          <w:sz w:val="20"/>
          <w:szCs w:val="20"/>
        </w:rPr>
      </w:pPr>
    </w:p>
    <w:p w:rsidR="00E801EA" w:rsidRPr="007A5455" w:rsidRDefault="001F68BE" w:rsidP="00E801EA">
      <w:pPr>
        <w:rPr>
          <w:sz w:val="20"/>
          <w:szCs w:val="20"/>
        </w:rPr>
      </w:pPr>
      <w:r>
        <w:rPr>
          <w:sz w:val="20"/>
          <w:szCs w:val="20"/>
          <w:lang w:val="fr-CA"/>
        </w:rPr>
        <w:pict>
          <v:rect id="_x0000_i1041" style="width:2in;height:1pt" o:hrpct="0" o:hralign="center" o:hrstd="t" o:hrnoshade="t" o:hr="t" fillcolor="black [3213]" stroked="f"/>
        </w:pict>
      </w:r>
    </w:p>
    <w:p w:rsidR="00E801EA" w:rsidRPr="007A5455" w:rsidRDefault="00E801EA" w:rsidP="00E801E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55A2" w:rsidRPr="007A5455" w:rsidTr="0022676D">
        <w:trPr>
          <w:cantSplit/>
        </w:trPr>
        <w:tc>
          <w:tcPr>
            <w:tcW w:w="1458" w:type="dxa"/>
          </w:tcPr>
          <w:p w:rsidR="000D55A2" w:rsidRPr="007A5455" w:rsidRDefault="000D55A2" w:rsidP="0022676D">
            <w:pPr>
              <w:rPr>
                <w:sz w:val="20"/>
                <w:szCs w:val="20"/>
              </w:rPr>
            </w:pPr>
            <w:r w:rsidRPr="007A5455">
              <w:rPr>
                <w:rStyle w:val="SCCFileNumberChar"/>
                <w:sz w:val="20"/>
                <w:szCs w:val="20"/>
              </w:rPr>
              <w:t>36494</w:t>
            </w:r>
          </w:p>
          <w:p w:rsidR="000D55A2" w:rsidRPr="007A5455" w:rsidRDefault="000D55A2" w:rsidP="0022676D">
            <w:pPr>
              <w:rPr>
                <w:b/>
                <w:sz w:val="20"/>
                <w:szCs w:val="20"/>
                <w:lang w:val="fr-CA"/>
              </w:rPr>
            </w:pPr>
          </w:p>
        </w:tc>
        <w:tc>
          <w:tcPr>
            <w:tcW w:w="8118" w:type="dxa"/>
          </w:tcPr>
          <w:p w:rsidR="000D55A2" w:rsidRPr="007A5455" w:rsidRDefault="00240761" w:rsidP="0022676D">
            <w:pPr>
              <w:rPr>
                <w:sz w:val="20"/>
                <w:szCs w:val="20"/>
              </w:rPr>
            </w:pPr>
            <w:r w:rsidRPr="007A5455">
              <w:rPr>
                <w:b/>
                <w:iCs/>
                <w:sz w:val="20"/>
                <w:szCs w:val="20"/>
                <w:u w:val="single"/>
                <w:lang w:val="en-US"/>
              </w:rPr>
              <w:t>Dwayne Mullings v. Her Majesty the Queen</w:t>
            </w:r>
            <w:r w:rsidRPr="007A5455">
              <w:rPr>
                <w:iCs/>
                <w:sz w:val="20"/>
                <w:szCs w:val="20"/>
                <w:lang w:val="fr-CA"/>
              </w:rPr>
              <w:t xml:space="preserve"> </w:t>
            </w:r>
            <w:r w:rsidR="000D55A2" w:rsidRPr="007A5455">
              <w:rPr>
                <w:sz w:val="20"/>
                <w:szCs w:val="20"/>
              </w:rPr>
              <w:t>(</w:t>
            </w:r>
            <w:r w:rsidRPr="007A5455">
              <w:rPr>
                <w:sz w:val="20"/>
                <w:szCs w:val="20"/>
              </w:rPr>
              <w:t>Ont</w:t>
            </w:r>
            <w:r w:rsidR="000D55A2" w:rsidRPr="007A5455">
              <w:rPr>
                <w:sz w:val="20"/>
                <w:szCs w:val="20"/>
              </w:rPr>
              <w:t>.) (C</w:t>
            </w:r>
            <w:r w:rsidRPr="007A5455">
              <w:rPr>
                <w:sz w:val="20"/>
                <w:szCs w:val="20"/>
              </w:rPr>
              <w:t>riminal</w:t>
            </w:r>
            <w:r w:rsidR="000D55A2" w:rsidRPr="007A5455">
              <w:rPr>
                <w:sz w:val="20"/>
                <w:szCs w:val="20"/>
              </w:rPr>
              <w:t>) (By Leave)</w:t>
            </w:r>
          </w:p>
          <w:p w:rsidR="000D55A2" w:rsidRPr="007A5455" w:rsidRDefault="000D55A2" w:rsidP="0022676D">
            <w:pPr>
              <w:rPr>
                <w:sz w:val="20"/>
                <w:szCs w:val="20"/>
              </w:rPr>
            </w:pPr>
          </w:p>
        </w:tc>
      </w:tr>
      <w:tr w:rsidR="000D55A2" w:rsidRPr="007A5455" w:rsidTr="0022676D">
        <w:trPr>
          <w:cantSplit/>
        </w:trPr>
        <w:tc>
          <w:tcPr>
            <w:tcW w:w="1458" w:type="dxa"/>
          </w:tcPr>
          <w:p w:rsidR="000D55A2" w:rsidRPr="007A5455" w:rsidRDefault="000D55A2" w:rsidP="0022676D">
            <w:pPr>
              <w:rPr>
                <w:sz w:val="20"/>
                <w:szCs w:val="20"/>
              </w:rPr>
            </w:pPr>
            <w:r w:rsidRPr="007A5455">
              <w:rPr>
                <w:sz w:val="20"/>
                <w:szCs w:val="20"/>
              </w:rPr>
              <w:t>Coram :</w:t>
            </w:r>
          </w:p>
        </w:tc>
        <w:tc>
          <w:tcPr>
            <w:tcW w:w="8118" w:type="dxa"/>
          </w:tcPr>
          <w:p w:rsidR="000D55A2" w:rsidRPr="007A5455" w:rsidRDefault="005703C0" w:rsidP="0022676D">
            <w:pPr>
              <w:rPr>
                <w:sz w:val="20"/>
                <w:szCs w:val="20"/>
              </w:rPr>
            </w:pPr>
            <w:r w:rsidRPr="007A5455">
              <w:rPr>
                <w:rStyle w:val="SCCCoramChar"/>
                <w:sz w:val="20"/>
                <w:szCs w:val="20"/>
                <w:lang w:val="en-CA"/>
              </w:rPr>
              <w:t>Cromwell</w:t>
            </w:r>
            <w:r w:rsidR="000D55A2" w:rsidRPr="007A5455">
              <w:rPr>
                <w:rStyle w:val="SCCCoramChar"/>
                <w:sz w:val="20"/>
                <w:szCs w:val="20"/>
                <w:lang w:val="en-CA"/>
              </w:rPr>
              <w:t xml:space="preserve">, </w:t>
            </w:r>
            <w:r w:rsidRPr="007A5455">
              <w:rPr>
                <w:rStyle w:val="SCCCoramChar"/>
                <w:sz w:val="20"/>
                <w:szCs w:val="20"/>
                <w:lang w:val="en-CA"/>
              </w:rPr>
              <w:t>Wagner</w:t>
            </w:r>
            <w:r w:rsidR="000D55A2" w:rsidRPr="007A5455">
              <w:rPr>
                <w:rStyle w:val="SCCCoramChar"/>
                <w:sz w:val="20"/>
                <w:szCs w:val="20"/>
                <w:lang w:val="en-CA"/>
              </w:rPr>
              <w:t xml:space="preserve"> and </w:t>
            </w:r>
            <w:proofErr w:type="spellStart"/>
            <w:r w:rsidRPr="007A5455">
              <w:rPr>
                <w:rStyle w:val="SCCCoramChar"/>
                <w:sz w:val="20"/>
                <w:szCs w:val="20"/>
                <w:lang w:val="en-CA"/>
              </w:rPr>
              <w:t>Côté</w:t>
            </w:r>
            <w:proofErr w:type="spellEnd"/>
            <w:r w:rsidR="000D55A2" w:rsidRPr="007A5455">
              <w:rPr>
                <w:rStyle w:val="SCCCoramChar"/>
                <w:sz w:val="20"/>
                <w:szCs w:val="20"/>
                <w:lang w:val="en-CA"/>
              </w:rPr>
              <w:t> JJ.</w:t>
            </w:r>
          </w:p>
          <w:p w:rsidR="000D55A2" w:rsidRPr="007A5455" w:rsidRDefault="000D55A2" w:rsidP="0022676D">
            <w:pPr>
              <w:rPr>
                <w:sz w:val="20"/>
                <w:szCs w:val="20"/>
                <w:u w:val="single"/>
              </w:rPr>
            </w:pPr>
          </w:p>
        </w:tc>
      </w:tr>
      <w:tr w:rsidR="000D55A2" w:rsidRPr="007A5455" w:rsidTr="0022676D">
        <w:trPr>
          <w:cantSplit/>
        </w:trPr>
        <w:tc>
          <w:tcPr>
            <w:tcW w:w="9576" w:type="dxa"/>
            <w:gridSpan w:val="2"/>
          </w:tcPr>
          <w:p w:rsidR="000D55A2" w:rsidRPr="007A5455" w:rsidRDefault="00EC47A1" w:rsidP="0022676D">
            <w:pPr>
              <w:pStyle w:val="SCCShortJudgment"/>
              <w:rPr>
                <w:szCs w:val="20"/>
              </w:rPr>
            </w:pPr>
            <w:r w:rsidRPr="007A5455">
              <w:t>The motion for an extension of time to serve and file the application for leave to appeal is granted. The application for leave to appeal from the judgment of the Court of Appeal for Ontario, Number C48417, 2014 ONCA 895, dated December 16, 2014, is dismissed.</w:t>
            </w:r>
          </w:p>
          <w:p w:rsidR="000D55A2" w:rsidRPr="007A5455" w:rsidRDefault="000D55A2" w:rsidP="0022676D">
            <w:pPr>
              <w:pStyle w:val="SCCShortJudgment"/>
              <w:ind w:firstLine="0"/>
              <w:rPr>
                <w:szCs w:val="20"/>
              </w:rPr>
            </w:pPr>
          </w:p>
          <w:p w:rsidR="000D55A2" w:rsidRPr="007A5455" w:rsidRDefault="00EC47A1" w:rsidP="00EC47A1">
            <w:pPr>
              <w:pStyle w:val="SCCShortJudgment"/>
              <w:rPr>
                <w:szCs w:val="20"/>
                <w:lang w:val="fr-CA"/>
              </w:rPr>
            </w:pPr>
            <w:r w:rsidRPr="007A5455">
              <w:rPr>
                <w:lang w:val="fr-CA"/>
              </w:rPr>
              <w:t>La requête en prorogation du délai de signification et de dépôt de la demande d’autorisation d’appel est accueillie. La demande d’autorisation d’appel de l’arrêt de la Cour d’appel de l’Ontario, numéro C48417, 2014 ONCA 895, daté du 16 décembre 2014, est rejetée.</w:t>
            </w:r>
          </w:p>
        </w:tc>
      </w:tr>
    </w:tbl>
    <w:p w:rsidR="000D55A2" w:rsidRPr="007A5455" w:rsidRDefault="000D55A2" w:rsidP="000D55A2">
      <w:pPr>
        <w:rPr>
          <w:sz w:val="20"/>
          <w:szCs w:val="20"/>
          <w:lang w:val="fr-CA"/>
        </w:rPr>
      </w:pPr>
    </w:p>
    <w:p w:rsidR="000D55A2" w:rsidRPr="007A5455" w:rsidRDefault="000D55A2" w:rsidP="000D55A2">
      <w:pPr>
        <w:rPr>
          <w:sz w:val="20"/>
          <w:szCs w:val="20"/>
          <w:u w:val="single"/>
        </w:rPr>
      </w:pPr>
      <w:r w:rsidRPr="007A5455">
        <w:rPr>
          <w:sz w:val="20"/>
          <w:szCs w:val="20"/>
          <w:u w:val="single"/>
        </w:rPr>
        <w:t>CASE SUMMARY</w:t>
      </w:r>
    </w:p>
    <w:p w:rsidR="000D55A2" w:rsidRPr="007A5455" w:rsidRDefault="000D55A2" w:rsidP="000D55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5A2" w:rsidRPr="007A5455" w:rsidTr="0022676D">
        <w:tc>
          <w:tcPr>
            <w:tcW w:w="5000" w:type="pct"/>
            <w:gridSpan w:val="3"/>
          </w:tcPr>
          <w:p w:rsidR="000D55A2" w:rsidRPr="007A5455" w:rsidRDefault="00163D77" w:rsidP="0022676D">
            <w:pPr>
              <w:jc w:val="both"/>
              <w:rPr>
                <w:sz w:val="20"/>
                <w:szCs w:val="20"/>
              </w:rPr>
            </w:pPr>
            <w:r w:rsidRPr="007A5455">
              <w:rPr>
                <w:sz w:val="20"/>
                <w:szCs w:val="20"/>
              </w:rPr>
              <w:t>Criminal law – Evidence – Admissibility – Hearsay – Principled exception to the hearsay rule –Whether the Court of Appeal erred in holding that proof of voluntariness, within the meaning of the confessions rule, is not a condition precedent to the substantive use of an out-of-court statement made to a person in authority – Whether the Court of Appeal erred in holding that the non-disclosure of the details of Crown counsel’s interview of Mr. </w:t>
            </w:r>
            <w:proofErr w:type="spellStart"/>
            <w:r w:rsidRPr="007A5455">
              <w:rPr>
                <w:sz w:val="20"/>
                <w:szCs w:val="20"/>
              </w:rPr>
              <w:t>Preddie</w:t>
            </w:r>
            <w:proofErr w:type="spellEnd"/>
            <w:r w:rsidRPr="007A5455">
              <w:rPr>
                <w:sz w:val="20"/>
                <w:szCs w:val="20"/>
              </w:rPr>
              <w:t>, and the resulting lack of a complete record, was not a bar to the substantive use of Mr. </w:t>
            </w:r>
            <w:proofErr w:type="spellStart"/>
            <w:r w:rsidRPr="007A5455">
              <w:rPr>
                <w:sz w:val="20"/>
                <w:szCs w:val="20"/>
              </w:rPr>
              <w:t>Preddie’s</w:t>
            </w:r>
            <w:proofErr w:type="spellEnd"/>
            <w:r w:rsidRPr="007A5455">
              <w:rPr>
                <w:sz w:val="20"/>
                <w:szCs w:val="20"/>
              </w:rPr>
              <w:t xml:space="preserve"> preliminary inquiry evidence.</w:t>
            </w:r>
          </w:p>
          <w:p w:rsidR="00163D77" w:rsidRPr="007A5455" w:rsidRDefault="00163D77" w:rsidP="0022676D">
            <w:pPr>
              <w:jc w:val="both"/>
              <w:rPr>
                <w:rFonts w:eastAsia="Calibri"/>
                <w:sz w:val="20"/>
                <w:szCs w:val="20"/>
              </w:rPr>
            </w:pPr>
          </w:p>
        </w:tc>
      </w:tr>
      <w:tr w:rsidR="000D55A2" w:rsidRPr="007A5455" w:rsidTr="0022676D">
        <w:tc>
          <w:tcPr>
            <w:tcW w:w="5000" w:type="pct"/>
            <w:gridSpan w:val="3"/>
          </w:tcPr>
          <w:p w:rsidR="007B2C27" w:rsidRPr="007A5455" w:rsidRDefault="007B2C27" w:rsidP="007B2C27">
            <w:pPr>
              <w:jc w:val="both"/>
              <w:rPr>
                <w:sz w:val="20"/>
                <w:szCs w:val="20"/>
              </w:rPr>
            </w:pPr>
            <w:r w:rsidRPr="007A5455">
              <w:rPr>
                <w:sz w:val="20"/>
                <w:szCs w:val="20"/>
                <w:lang w:val="en-US"/>
              </w:rPr>
              <w:t>The victim became involved in an altercation with a man who was trying to steal his car, which he had left running in his driveway. The man shot and wounded the victim as they struggled on the driveway. Their struggle moved into the garage, where the assailant shot him again, this time in the chest, before taking his wallet and fleeing in the car. The victim was found lying dead at the back of his garage. Two days later, the victim’s car was found in the parking lot of a high-rise in Scarborough, at the other end of the city. In statements made to police in April 2007, three associates said the applicant had confessed to the shooting while they were together in a car, on their way to buy guns.</w:t>
            </w:r>
            <w:r w:rsidRPr="007A5455">
              <w:rPr>
                <w:sz w:val="20"/>
                <w:szCs w:val="20"/>
              </w:rPr>
              <w:t xml:space="preserve"> </w:t>
            </w:r>
            <w:r w:rsidRPr="007A5455">
              <w:rPr>
                <w:sz w:val="20"/>
                <w:szCs w:val="20"/>
                <w:lang w:val="en-US"/>
              </w:rPr>
              <w:t>The trial judge ruled that Mr. </w:t>
            </w:r>
            <w:proofErr w:type="spellStart"/>
            <w:r w:rsidRPr="007A5455">
              <w:rPr>
                <w:sz w:val="20"/>
                <w:szCs w:val="20"/>
                <w:lang w:val="en-US"/>
              </w:rPr>
              <w:t>Preddie’s</w:t>
            </w:r>
            <w:proofErr w:type="spellEnd"/>
            <w:r w:rsidRPr="007A5455">
              <w:rPr>
                <w:sz w:val="20"/>
                <w:szCs w:val="20"/>
                <w:lang w:val="en-US"/>
              </w:rPr>
              <w:t xml:space="preserve"> evidence (one of the associates) at the preliminary hearing was admissible pursuant to the principled exception to the hearsay rule. </w:t>
            </w:r>
            <w:r w:rsidRPr="007A5455">
              <w:rPr>
                <w:sz w:val="20"/>
                <w:szCs w:val="20"/>
              </w:rPr>
              <w:t>The applicant’s first trial ended in a mistrial due to a hung jury. After a second trial, the applicant was convicted of first degree murder and sentenced to life imprisonment. The Court of Appeal dismissed the conviction appeal.</w:t>
            </w:r>
          </w:p>
          <w:p w:rsidR="000D55A2" w:rsidRPr="007A5455" w:rsidRDefault="000D55A2" w:rsidP="0022676D">
            <w:pPr>
              <w:jc w:val="both"/>
              <w:rPr>
                <w:rFonts w:eastAsia="Calibri"/>
                <w:sz w:val="20"/>
              </w:rPr>
            </w:pPr>
          </w:p>
        </w:tc>
      </w:tr>
      <w:tr w:rsidR="000D55A2" w:rsidRPr="007A5455" w:rsidTr="0022676D">
        <w:trPr>
          <w:cantSplit/>
        </w:trPr>
        <w:tc>
          <w:tcPr>
            <w:tcW w:w="2427" w:type="pct"/>
          </w:tcPr>
          <w:p w:rsidR="00F12C57" w:rsidRPr="007A5455" w:rsidRDefault="00F12C57" w:rsidP="00F12C57">
            <w:pPr>
              <w:jc w:val="both"/>
              <w:rPr>
                <w:sz w:val="20"/>
                <w:szCs w:val="20"/>
              </w:rPr>
            </w:pPr>
            <w:r w:rsidRPr="007A5455">
              <w:rPr>
                <w:sz w:val="20"/>
                <w:szCs w:val="20"/>
              </w:rPr>
              <w:t>November 4, 2007</w:t>
            </w:r>
          </w:p>
          <w:p w:rsidR="00F12C57" w:rsidRPr="007A5455" w:rsidRDefault="00F12C57" w:rsidP="00F12C57">
            <w:pPr>
              <w:jc w:val="both"/>
              <w:rPr>
                <w:sz w:val="20"/>
                <w:szCs w:val="20"/>
              </w:rPr>
            </w:pPr>
            <w:r w:rsidRPr="007A5455">
              <w:rPr>
                <w:sz w:val="20"/>
                <w:szCs w:val="20"/>
              </w:rPr>
              <w:t>Ontario Superior Court of Justice</w:t>
            </w:r>
          </w:p>
          <w:p w:rsidR="00F12C57" w:rsidRPr="007A5455" w:rsidRDefault="00F12C57" w:rsidP="00F12C57">
            <w:pPr>
              <w:jc w:val="both"/>
              <w:rPr>
                <w:sz w:val="20"/>
                <w:szCs w:val="20"/>
              </w:rPr>
            </w:pPr>
            <w:r w:rsidRPr="007A5455">
              <w:rPr>
                <w:sz w:val="20"/>
                <w:szCs w:val="20"/>
              </w:rPr>
              <w:t>(</w:t>
            </w:r>
            <w:proofErr w:type="spellStart"/>
            <w:r w:rsidRPr="007A5455">
              <w:rPr>
                <w:sz w:val="20"/>
                <w:szCs w:val="20"/>
              </w:rPr>
              <w:t>Belleghem</w:t>
            </w:r>
            <w:proofErr w:type="spellEnd"/>
            <w:r w:rsidRPr="007A5455">
              <w:rPr>
                <w:sz w:val="20"/>
                <w:szCs w:val="20"/>
              </w:rPr>
              <w:t xml:space="preserve"> J.)</w:t>
            </w:r>
          </w:p>
          <w:p w:rsidR="000D55A2" w:rsidRPr="007A5455" w:rsidRDefault="000D55A2" w:rsidP="0022676D">
            <w:pPr>
              <w:jc w:val="both"/>
              <w:rPr>
                <w:rFonts w:eastAsia="Calibri"/>
                <w:sz w:val="20"/>
              </w:rPr>
            </w:pPr>
          </w:p>
        </w:tc>
        <w:tc>
          <w:tcPr>
            <w:tcW w:w="243" w:type="pct"/>
          </w:tcPr>
          <w:p w:rsidR="000D55A2" w:rsidRPr="007A5455" w:rsidRDefault="000D55A2" w:rsidP="0022676D">
            <w:pPr>
              <w:jc w:val="both"/>
              <w:rPr>
                <w:rFonts w:eastAsia="Calibri"/>
                <w:sz w:val="20"/>
              </w:rPr>
            </w:pPr>
          </w:p>
        </w:tc>
        <w:tc>
          <w:tcPr>
            <w:tcW w:w="2330" w:type="pct"/>
          </w:tcPr>
          <w:p w:rsidR="00F12C57" w:rsidRPr="007A5455" w:rsidRDefault="00F12C57" w:rsidP="00F12C57">
            <w:pPr>
              <w:jc w:val="both"/>
              <w:rPr>
                <w:sz w:val="20"/>
                <w:szCs w:val="20"/>
              </w:rPr>
            </w:pPr>
            <w:r w:rsidRPr="007A5455">
              <w:rPr>
                <w:sz w:val="20"/>
                <w:szCs w:val="20"/>
              </w:rPr>
              <w:t>Conviction: first degree murder</w:t>
            </w:r>
          </w:p>
          <w:p w:rsidR="000D55A2" w:rsidRPr="007A5455" w:rsidRDefault="000D55A2" w:rsidP="0022676D">
            <w:pPr>
              <w:jc w:val="both"/>
              <w:rPr>
                <w:rFonts w:eastAsia="Calibri"/>
                <w:sz w:val="20"/>
              </w:rPr>
            </w:pPr>
          </w:p>
        </w:tc>
      </w:tr>
      <w:tr w:rsidR="000D55A2" w:rsidRPr="007A5455" w:rsidTr="0022676D">
        <w:trPr>
          <w:cantSplit/>
        </w:trPr>
        <w:tc>
          <w:tcPr>
            <w:tcW w:w="2427" w:type="pct"/>
          </w:tcPr>
          <w:p w:rsidR="00CD5E2D" w:rsidRPr="007A5455" w:rsidRDefault="00CD5E2D" w:rsidP="00CD5E2D">
            <w:pPr>
              <w:jc w:val="both"/>
              <w:rPr>
                <w:sz w:val="20"/>
                <w:szCs w:val="20"/>
              </w:rPr>
            </w:pPr>
            <w:r w:rsidRPr="007A5455">
              <w:rPr>
                <w:sz w:val="20"/>
                <w:szCs w:val="20"/>
              </w:rPr>
              <w:lastRenderedPageBreak/>
              <w:t>December 16, 2014</w:t>
            </w:r>
          </w:p>
          <w:p w:rsidR="00CD5E2D" w:rsidRPr="007A5455" w:rsidRDefault="00CD5E2D" w:rsidP="00CD5E2D">
            <w:pPr>
              <w:jc w:val="both"/>
              <w:rPr>
                <w:sz w:val="20"/>
                <w:szCs w:val="20"/>
              </w:rPr>
            </w:pPr>
            <w:r w:rsidRPr="007A5455">
              <w:rPr>
                <w:sz w:val="20"/>
                <w:szCs w:val="20"/>
              </w:rPr>
              <w:t>Court of Appeal for Ontario</w:t>
            </w:r>
          </w:p>
          <w:p w:rsidR="00CD5E2D" w:rsidRPr="007A5455" w:rsidRDefault="00CD5E2D" w:rsidP="00CD5E2D">
            <w:pPr>
              <w:jc w:val="both"/>
              <w:rPr>
                <w:sz w:val="20"/>
                <w:szCs w:val="20"/>
                <w:lang w:val="de-DE"/>
              </w:rPr>
            </w:pPr>
            <w:r w:rsidRPr="007A5455">
              <w:rPr>
                <w:sz w:val="20"/>
                <w:szCs w:val="20"/>
                <w:lang w:val="de-DE"/>
              </w:rPr>
              <w:t xml:space="preserve">(Feldman, Watt, </w:t>
            </w:r>
            <w:proofErr w:type="spellStart"/>
            <w:r w:rsidRPr="007A5455">
              <w:rPr>
                <w:sz w:val="20"/>
                <w:szCs w:val="20"/>
                <w:lang w:val="de-DE"/>
              </w:rPr>
              <w:t>Strathy</w:t>
            </w:r>
            <w:proofErr w:type="spellEnd"/>
            <w:r w:rsidRPr="007A5455">
              <w:rPr>
                <w:sz w:val="20"/>
                <w:szCs w:val="20"/>
                <w:lang w:val="de-DE"/>
              </w:rPr>
              <w:t xml:space="preserve"> JJ.A.)</w:t>
            </w:r>
          </w:p>
          <w:p w:rsidR="00CD5E2D" w:rsidRPr="007A5455" w:rsidRDefault="00CD5E2D" w:rsidP="00CD5E2D">
            <w:pPr>
              <w:jc w:val="both"/>
              <w:rPr>
                <w:sz w:val="20"/>
                <w:szCs w:val="20"/>
                <w:lang w:val="de-DE"/>
              </w:rPr>
            </w:pPr>
            <w:r w:rsidRPr="007A5455">
              <w:rPr>
                <w:sz w:val="20"/>
                <w:szCs w:val="20"/>
                <w:lang w:val="de-DE"/>
              </w:rPr>
              <w:t>2014 ONCA 895; C48417</w:t>
            </w:r>
          </w:p>
          <w:p w:rsidR="00CD5E2D" w:rsidRPr="007A5455" w:rsidRDefault="001F68BE" w:rsidP="00CD5E2D">
            <w:pPr>
              <w:jc w:val="both"/>
              <w:rPr>
                <w:sz w:val="20"/>
                <w:szCs w:val="20"/>
              </w:rPr>
            </w:pPr>
            <w:hyperlink r:id="rId32" w:history="1">
              <w:r w:rsidR="00CD5E2D" w:rsidRPr="007A5455">
                <w:rPr>
                  <w:color w:val="0000FF" w:themeColor="hyperlink"/>
                  <w:sz w:val="20"/>
                  <w:szCs w:val="20"/>
                  <w:u w:val="single"/>
                </w:rPr>
                <w:t>http://canlii.ca/t/gfnwr</w:t>
              </w:r>
            </w:hyperlink>
          </w:p>
          <w:p w:rsidR="000D55A2" w:rsidRPr="007A5455" w:rsidRDefault="000D55A2" w:rsidP="0022676D">
            <w:pPr>
              <w:jc w:val="both"/>
              <w:rPr>
                <w:rFonts w:eastAsia="Calibri"/>
                <w:sz w:val="20"/>
              </w:rPr>
            </w:pPr>
          </w:p>
        </w:tc>
        <w:tc>
          <w:tcPr>
            <w:tcW w:w="243" w:type="pct"/>
          </w:tcPr>
          <w:p w:rsidR="000D55A2" w:rsidRPr="007A5455" w:rsidRDefault="000D55A2" w:rsidP="0022676D">
            <w:pPr>
              <w:jc w:val="both"/>
              <w:rPr>
                <w:rFonts w:eastAsia="Calibri"/>
                <w:sz w:val="20"/>
              </w:rPr>
            </w:pPr>
          </w:p>
        </w:tc>
        <w:tc>
          <w:tcPr>
            <w:tcW w:w="2330" w:type="pct"/>
          </w:tcPr>
          <w:p w:rsidR="000D55A2" w:rsidRPr="007A5455" w:rsidRDefault="000D55A2" w:rsidP="00CD5E2D">
            <w:pPr>
              <w:jc w:val="both"/>
              <w:rPr>
                <w:rFonts w:eastAsia="Calibri"/>
                <w:sz w:val="20"/>
              </w:rPr>
            </w:pPr>
            <w:r w:rsidRPr="007A5455">
              <w:rPr>
                <w:rFonts w:eastAsia="Calibri"/>
                <w:sz w:val="20"/>
              </w:rPr>
              <w:t>Appeal dismissed</w:t>
            </w:r>
          </w:p>
        </w:tc>
      </w:tr>
      <w:tr w:rsidR="000D55A2" w:rsidRPr="007A5455" w:rsidTr="0022676D">
        <w:trPr>
          <w:cantSplit/>
        </w:trPr>
        <w:tc>
          <w:tcPr>
            <w:tcW w:w="2427" w:type="pct"/>
          </w:tcPr>
          <w:p w:rsidR="000D55A2" w:rsidRPr="007A5455" w:rsidRDefault="000D55A2" w:rsidP="0022676D">
            <w:pPr>
              <w:jc w:val="both"/>
              <w:rPr>
                <w:rFonts w:eastAsia="Calibri"/>
                <w:sz w:val="20"/>
              </w:rPr>
            </w:pPr>
            <w:r w:rsidRPr="007A5455">
              <w:rPr>
                <w:rFonts w:eastAsia="Calibri"/>
                <w:sz w:val="20"/>
              </w:rPr>
              <w:t>Ju</w:t>
            </w:r>
            <w:r w:rsidR="00CD5E2D" w:rsidRPr="007A5455">
              <w:rPr>
                <w:rFonts w:eastAsia="Calibri"/>
                <w:sz w:val="20"/>
              </w:rPr>
              <w:t>ne</w:t>
            </w:r>
            <w:r w:rsidRPr="007A5455">
              <w:rPr>
                <w:rFonts w:eastAsia="Calibri"/>
                <w:sz w:val="20"/>
              </w:rPr>
              <w:t xml:space="preserve"> </w:t>
            </w:r>
            <w:r w:rsidR="00CD5E2D" w:rsidRPr="007A5455">
              <w:rPr>
                <w:rFonts w:eastAsia="Calibri"/>
                <w:sz w:val="20"/>
              </w:rPr>
              <w:t>24</w:t>
            </w:r>
            <w:r w:rsidRPr="007A5455">
              <w:rPr>
                <w:rFonts w:eastAsia="Calibri"/>
                <w:sz w:val="20"/>
              </w:rPr>
              <w:t>, 201</w:t>
            </w:r>
            <w:r w:rsidR="00CD5E2D" w:rsidRPr="007A5455">
              <w:rPr>
                <w:rFonts w:eastAsia="Calibri"/>
                <w:sz w:val="20"/>
              </w:rPr>
              <w:t>5</w:t>
            </w:r>
          </w:p>
          <w:p w:rsidR="000D55A2" w:rsidRPr="007A5455" w:rsidRDefault="000D55A2" w:rsidP="0022676D">
            <w:pPr>
              <w:jc w:val="both"/>
              <w:rPr>
                <w:rFonts w:eastAsia="Calibri"/>
                <w:sz w:val="20"/>
              </w:rPr>
            </w:pPr>
            <w:r w:rsidRPr="007A5455">
              <w:rPr>
                <w:rFonts w:eastAsia="Calibri"/>
                <w:sz w:val="20"/>
              </w:rPr>
              <w:t>Supreme Court of Canada</w:t>
            </w:r>
          </w:p>
        </w:tc>
        <w:tc>
          <w:tcPr>
            <w:tcW w:w="243" w:type="pct"/>
          </w:tcPr>
          <w:p w:rsidR="000D55A2" w:rsidRPr="007A5455" w:rsidRDefault="000D55A2" w:rsidP="0022676D">
            <w:pPr>
              <w:jc w:val="both"/>
              <w:rPr>
                <w:rFonts w:eastAsia="Calibri"/>
                <w:sz w:val="20"/>
              </w:rPr>
            </w:pPr>
          </w:p>
        </w:tc>
        <w:tc>
          <w:tcPr>
            <w:tcW w:w="2330" w:type="pct"/>
          </w:tcPr>
          <w:p w:rsidR="000D55A2" w:rsidRPr="007A5455" w:rsidRDefault="00CD5E2D" w:rsidP="00696E6B">
            <w:pPr>
              <w:jc w:val="both"/>
              <w:rPr>
                <w:rFonts w:eastAsia="Calibri"/>
                <w:sz w:val="20"/>
              </w:rPr>
            </w:pPr>
            <w:r w:rsidRPr="007A5455">
              <w:rPr>
                <w:sz w:val="20"/>
                <w:szCs w:val="20"/>
              </w:rPr>
              <w:t>Motion for an extension of time to serve and file the application for leave to appeal and application for leave to appeal filed</w:t>
            </w:r>
          </w:p>
        </w:tc>
      </w:tr>
    </w:tbl>
    <w:p w:rsidR="000D55A2" w:rsidRPr="007A5455" w:rsidRDefault="000D55A2" w:rsidP="000D55A2">
      <w:pPr>
        <w:rPr>
          <w:sz w:val="20"/>
          <w:szCs w:val="20"/>
        </w:rPr>
      </w:pPr>
    </w:p>
    <w:p w:rsidR="000D55A2" w:rsidRPr="007A5455" w:rsidRDefault="001F68BE" w:rsidP="000D55A2">
      <w:pPr>
        <w:rPr>
          <w:sz w:val="20"/>
          <w:szCs w:val="20"/>
        </w:rPr>
      </w:pPr>
      <w:r>
        <w:rPr>
          <w:sz w:val="20"/>
          <w:szCs w:val="20"/>
          <w:lang w:val="fr-CA"/>
        </w:rPr>
        <w:pict>
          <v:rect id="_x0000_i1042" style="width:2in;height:1pt" o:hrpct="0" o:hralign="center" o:hrstd="t" o:hrnoshade="t" o:hr="t" fillcolor="black [3213]" stroked="f"/>
        </w:pict>
      </w:r>
    </w:p>
    <w:p w:rsidR="000D55A2" w:rsidRPr="007A5455" w:rsidRDefault="000D55A2" w:rsidP="000D55A2">
      <w:pPr>
        <w:rPr>
          <w:sz w:val="20"/>
          <w:szCs w:val="20"/>
        </w:rPr>
      </w:pPr>
    </w:p>
    <w:p w:rsidR="000D55A2" w:rsidRPr="007A5455" w:rsidRDefault="000D55A2" w:rsidP="000D55A2">
      <w:pPr>
        <w:rPr>
          <w:sz w:val="20"/>
          <w:szCs w:val="20"/>
          <w:u w:val="single"/>
          <w:lang w:val="fr-CA"/>
        </w:rPr>
      </w:pPr>
      <w:r w:rsidRPr="007A5455">
        <w:rPr>
          <w:sz w:val="20"/>
          <w:szCs w:val="20"/>
          <w:u w:val="single"/>
          <w:lang w:val="fr-CA"/>
        </w:rPr>
        <w:t>RÉSUMÉ DE L’AFFAIRE</w:t>
      </w:r>
    </w:p>
    <w:p w:rsidR="000D55A2" w:rsidRPr="007A5455" w:rsidRDefault="000D55A2" w:rsidP="000D55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55A2" w:rsidRPr="007A5455" w:rsidTr="0022676D">
        <w:tc>
          <w:tcPr>
            <w:tcW w:w="5000" w:type="pct"/>
            <w:gridSpan w:val="3"/>
          </w:tcPr>
          <w:p w:rsidR="000D55A2" w:rsidRPr="007A5455" w:rsidRDefault="005E7366" w:rsidP="0022676D">
            <w:pPr>
              <w:jc w:val="both"/>
              <w:rPr>
                <w:sz w:val="20"/>
                <w:szCs w:val="20"/>
                <w:lang w:val="fr-CA"/>
              </w:rPr>
            </w:pPr>
            <w:r w:rsidRPr="007A5455">
              <w:rPr>
                <w:sz w:val="20"/>
                <w:szCs w:val="20"/>
                <w:lang w:val="fr-CA"/>
              </w:rPr>
              <w:t>Droit criminel – Preuve – Admissibilité – Ouï-dire – Exception de principe à la règle du ouï-dire – La Cour d’appel a-t-elle eu tort de statuer que la preuve du caractère volontaire, en application de la règle des confessions, n’était pas une condition préalable à l’utilisation comme preuve de fond d’une déclaration extrajudiciaire faite à une personne en autorité? – La Cour d’appel a-t-elle eu tort de statuer que la non-divulgation des détails de l’entretien de l’avocat du ministère public avec M. </w:t>
            </w:r>
            <w:proofErr w:type="spellStart"/>
            <w:r w:rsidRPr="007A5455">
              <w:rPr>
                <w:sz w:val="20"/>
                <w:szCs w:val="20"/>
                <w:lang w:val="fr-CA"/>
              </w:rPr>
              <w:t>Preddie</w:t>
            </w:r>
            <w:proofErr w:type="spellEnd"/>
            <w:r w:rsidRPr="007A5455">
              <w:rPr>
                <w:sz w:val="20"/>
                <w:szCs w:val="20"/>
                <w:lang w:val="fr-CA"/>
              </w:rPr>
              <w:t>, faisant en sorte que le dossier n’était pas complet, n’empêchait pas d’utiliser comme preuve de fond le témoignage de M. </w:t>
            </w:r>
            <w:proofErr w:type="spellStart"/>
            <w:r w:rsidRPr="007A5455">
              <w:rPr>
                <w:sz w:val="20"/>
                <w:szCs w:val="20"/>
                <w:lang w:val="fr-CA"/>
              </w:rPr>
              <w:t>Preddie</w:t>
            </w:r>
            <w:proofErr w:type="spellEnd"/>
            <w:r w:rsidRPr="007A5455">
              <w:rPr>
                <w:sz w:val="20"/>
                <w:szCs w:val="20"/>
                <w:lang w:val="fr-CA"/>
              </w:rPr>
              <w:t xml:space="preserve"> à l’enquête préliminaire?</w:t>
            </w:r>
          </w:p>
          <w:p w:rsidR="005E7366" w:rsidRPr="007A5455" w:rsidRDefault="005E7366" w:rsidP="0022676D">
            <w:pPr>
              <w:jc w:val="both"/>
              <w:rPr>
                <w:rFonts w:eastAsia="Calibri"/>
                <w:sz w:val="20"/>
                <w:szCs w:val="20"/>
                <w:lang w:val="fr-CA"/>
              </w:rPr>
            </w:pPr>
          </w:p>
        </w:tc>
      </w:tr>
      <w:tr w:rsidR="000D55A2" w:rsidRPr="007A5455" w:rsidTr="0022676D">
        <w:tc>
          <w:tcPr>
            <w:tcW w:w="5000" w:type="pct"/>
            <w:gridSpan w:val="3"/>
          </w:tcPr>
          <w:p w:rsidR="005E7366" w:rsidRPr="007A5455" w:rsidRDefault="005E7366" w:rsidP="005E7366">
            <w:pPr>
              <w:rPr>
                <w:sz w:val="20"/>
                <w:szCs w:val="20"/>
                <w:lang w:val="fr-CA"/>
              </w:rPr>
            </w:pPr>
            <w:r w:rsidRPr="007A5455">
              <w:rPr>
                <w:sz w:val="20"/>
                <w:szCs w:val="20"/>
                <w:lang w:val="fr-CA"/>
              </w:rPr>
              <w:t>La victime a été impliquée dans une bagarre avec un homme qui tentait de voler sa voiture, qu’il avait laissée en marche dans son entrée de cour. L’homme a blessé la victime d’un coup de feu pendant qu’ils se bagarraient dans l’entrée de cour. Leur lutte s’est poursuivie jusqu’à l’intérieur du garage, où l’agresseur a atteint la victime d’un autre coup de feu, cette fois à la poitrine, avant de s’emparer de son portefeuille et de s’enfuir dans la voiture. La victime a été retrouvée morte au fond de son garage. Deux jours plus tard, l’auto de la victime a été retrouvée dans le stationnement d’une tour à Scarborough, à l’autre bout de la ville. Dans une déclaration faite aux policiers en avril 2007, trois associés ont affirmé que le demandeur avait avoué l’homicide pendant qu’ils se trouvaient ensemble dans une voiture, en route pour s’acheter des armes à feu. Le juge du procès a statué que le témoignage de M. </w:t>
            </w:r>
            <w:proofErr w:type="spellStart"/>
            <w:r w:rsidRPr="007A5455">
              <w:rPr>
                <w:sz w:val="20"/>
                <w:szCs w:val="20"/>
                <w:lang w:val="fr-CA"/>
              </w:rPr>
              <w:t>Preddie</w:t>
            </w:r>
            <w:proofErr w:type="spellEnd"/>
            <w:r w:rsidRPr="007A5455">
              <w:rPr>
                <w:sz w:val="20"/>
                <w:szCs w:val="20"/>
                <w:lang w:val="fr-CA"/>
              </w:rPr>
              <w:t xml:space="preserve"> (un des associés) à l’enquête préliminaire était admissible en vertu de l’exception de principe à la règle du ouï-dire. Le premier procès du demandeur a été déclaré nul parce que le jury s’est trouvé dans une impasse. Au terme d’un second procès, le demandeur a été déclaré coupable de meurtre au premier degré et condamné à l’emprisonnement à perpétuité. La Cour d’appel a rejeté l’appel de la déclaration de culpabilité.</w:t>
            </w:r>
          </w:p>
          <w:p w:rsidR="000D55A2" w:rsidRPr="007A5455" w:rsidRDefault="000D55A2" w:rsidP="0022676D">
            <w:pPr>
              <w:jc w:val="both"/>
              <w:rPr>
                <w:sz w:val="20"/>
                <w:lang w:val="fr-CA"/>
              </w:rPr>
            </w:pPr>
          </w:p>
        </w:tc>
      </w:tr>
      <w:tr w:rsidR="000D55A2" w:rsidRPr="007A5455" w:rsidTr="0022676D">
        <w:trPr>
          <w:cantSplit/>
        </w:trPr>
        <w:tc>
          <w:tcPr>
            <w:tcW w:w="2427" w:type="pct"/>
          </w:tcPr>
          <w:p w:rsidR="00BC7B8C" w:rsidRPr="007A5455" w:rsidRDefault="00BC7B8C" w:rsidP="00BC7B8C">
            <w:pPr>
              <w:rPr>
                <w:sz w:val="20"/>
                <w:szCs w:val="20"/>
                <w:lang w:val="fr-CA"/>
              </w:rPr>
            </w:pPr>
            <w:r w:rsidRPr="007A5455">
              <w:rPr>
                <w:sz w:val="20"/>
                <w:szCs w:val="20"/>
                <w:lang w:val="fr-CA"/>
              </w:rPr>
              <w:t>4 novembre 2007</w:t>
            </w:r>
          </w:p>
          <w:p w:rsidR="00BC7B8C" w:rsidRPr="007A5455" w:rsidRDefault="00BC7B8C" w:rsidP="00BC7B8C">
            <w:pPr>
              <w:rPr>
                <w:sz w:val="20"/>
                <w:szCs w:val="20"/>
                <w:lang w:val="fr-CA"/>
              </w:rPr>
            </w:pPr>
            <w:r w:rsidRPr="007A5455">
              <w:rPr>
                <w:sz w:val="20"/>
                <w:szCs w:val="20"/>
                <w:lang w:val="fr-CA"/>
              </w:rPr>
              <w:t>Cour supérieure de justice de l’Ontario</w:t>
            </w:r>
          </w:p>
          <w:p w:rsidR="00BC7B8C" w:rsidRPr="007A5455" w:rsidRDefault="00BC7B8C" w:rsidP="00BC7B8C">
            <w:pPr>
              <w:rPr>
                <w:sz w:val="20"/>
                <w:szCs w:val="20"/>
                <w:lang w:val="fr-CA"/>
              </w:rPr>
            </w:pPr>
            <w:r w:rsidRPr="007A5455">
              <w:rPr>
                <w:sz w:val="20"/>
                <w:szCs w:val="20"/>
                <w:lang w:val="fr-CA"/>
              </w:rPr>
              <w:t xml:space="preserve">(Juge </w:t>
            </w:r>
            <w:proofErr w:type="spellStart"/>
            <w:r w:rsidRPr="007A5455">
              <w:rPr>
                <w:sz w:val="20"/>
                <w:szCs w:val="20"/>
                <w:lang w:val="fr-CA"/>
              </w:rPr>
              <w:t>Belleghem</w:t>
            </w:r>
            <w:proofErr w:type="spellEnd"/>
            <w:r w:rsidRPr="007A5455">
              <w:rPr>
                <w:sz w:val="20"/>
                <w:szCs w:val="20"/>
                <w:lang w:val="fr-CA"/>
              </w:rPr>
              <w:t>)</w:t>
            </w:r>
          </w:p>
          <w:p w:rsidR="000D55A2" w:rsidRPr="007A5455" w:rsidRDefault="000D55A2" w:rsidP="0022676D">
            <w:pPr>
              <w:jc w:val="both"/>
              <w:rPr>
                <w:rFonts w:eastAsia="Calibri"/>
                <w:sz w:val="20"/>
                <w:lang w:val="fr-CA"/>
              </w:rPr>
            </w:pPr>
          </w:p>
        </w:tc>
        <w:tc>
          <w:tcPr>
            <w:tcW w:w="243" w:type="pct"/>
          </w:tcPr>
          <w:p w:rsidR="000D55A2" w:rsidRPr="007A5455" w:rsidRDefault="000D55A2" w:rsidP="0022676D">
            <w:pPr>
              <w:jc w:val="both"/>
              <w:rPr>
                <w:rFonts w:eastAsia="Calibri"/>
                <w:sz w:val="20"/>
                <w:lang w:val="fr-CA"/>
              </w:rPr>
            </w:pPr>
          </w:p>
        </w:tc>
        <w:tc>
          <w:tcPr>
            <w:tcW w:w="2330" w:type="pct"/>
          </w:tcPr>
          <w:p w:rsidR="00BC7B8C" w:rsidRPr="007A5455" w:rsidRDefault="00BC7B8C" w:rsidP="00BC7B8C">
            <w:pPr>
              <w:rPr>
                <w:sz w:val="20"/>
                <w:szCs w:val="20"/>
                <w:lang w:val="fr-CA"/>
              </w:rPr>
            </w:pPr>
            <w:r w:rsidRPr="007A5455">
              <w:rPr>
                <w:sz w:val="20"/>
                <w:szCs w:val="20"/>
                <w:lang w:val="fr-CA"/>
              </w:rPr>
              <w:t>Déclaration de culpabilité : meurtre au premier degré</w:t>
            </w:r>
          </w:p>
          <w:p w:rsidR="000D55A2" w:rsidRPr="007A5455" w:rsidRDefault="000D55A2" w:rsidP="0022676D">
            <w:pPr>
              <w:jc w:val="both"/>
              <w:rPr>
                <w:rFonts w:eastAsia="Calibri"/>
                <w:sz w:val="20"/>
                <w:lang w:val="fr-CA"/>
              </w:rPr>
            </w:pPr>
          </w:p>
        </w:tc>
      </w:tr>
      <w:tr w:rsidR="000D55A2" w:rsidRPr="007A5455" w:rsidTr="0022676D">
        <w:trPr>
          <w:cantSplit/>
        </w:trPr>
        <w:tc>
          <w:tcPr>
            <w:tcW w:w="2427" w:type="pct"/>
          </w:tcPr>
          <w:p w:rsidR="00755A1E" w:rsidRPr="007A5455" w:rsidRDefault="00755A1E" w:rsidP="00755A1E">
            <w:pPr>
              <w:rPr>
                <w:sz w:val="20"/>
                <w:szCs w:val="20"/>
                <w:lang w:val="fr-CA"/>
              </w:rPr>
            </w:pPr>
            <w:r w:rsidRPr="007A5455">
              <w:rPr>
                <w:sz w:val="20"/>
                <w:szCs w:val="20"/>
                <w:lang w:val="fr-CA"/>
              </w:rPr>
              <w:t>16 décembre 2014</w:t>
            </w:r>
          </w:p>
          <w:p w:rsidR="00755A1E" w:rsidRPr="007A5455" w:rsidRDefault="00755A1E" w:rsidP="00755A1E">
            <w:pPr>
              <w:rPr>
                <w:sz w:val="20"/>
                <w:szCs w:val="20"/>
                <w:lang w:val="fr-CA"/>
              </w:rPr>
            </w:pPr>
            <w:r w:rsidRPr="007A5455">
              <w:rPr>
                <w:sz w:val="20"/>
                <w:szCs w:val="20"/>
                <w:lang w:val="fr-CA"/>
              </w:rPr>
              <w:t>Cour d’appel de l’Ontario</w:t>
            </w:r>
          </w:p>
          <w:p w:rsidR="00755A1E" w:rsidRPr="007A5455" w:rsidRDefault="00755A1E" w:rsidP="00755A1E">
            <w:pPr>
              <w:rPr>
                <w:sz w:val="20"/>
                <w:szCs w:val="20"/>
                <w:lang w:val="fr-CA"/>
              </w:rPr>
            </w:pPr>
            <w:r w:rsidRPr="007A5455">
              <w:rPr>
                <w:sz w:val="20"/>
                <w:szCs w:val="20"/>
                <w:lang w:val="fr-CA"/>
              </w:rPr>
              <w:t xml:space="preserve">(Juges </w:t>
            </w:r>
            <w:proofErr w:type="spellStart"/>
            <w:r w:rsidRPr="007A5455">
              <w:rPr>
                <w:sz w:val="20"/>
                <w:szCs w:val="20"/>
                <w:lang w:val="fr-CA"/>
              </w:rPr>
              <w:t>Feldman</w:t>
            </w:r>
            <w:proofErr w:type="spellEnd"/>
            <w:r w:rsidRPr="007A5455">
              <w:rPr>
                <w:sz w:val="20"/>
                <w:szCs w:val="20"/>
                <w:lang w:val="fr-CA"/>
              </w:rPr>
              <w:t xml:space="preserve">, Watt et </w:t>
            </w:r>
            <w:proofErr w:type="spellStart"/>
            <w:r w:rsidRPr="007A5455">
              <w:rPr>
                <w:sz w:val="20"/>
                <w:szCs w:val="20"/>
                <w:lang w:val="fr-CA"/>
              </w:rPr>
              <w:t>Strathy</w:t>
            </w:r>
            <w:proofErr w:type="spellEnd"/>
            <w:r w:rsidRPr="007A5455">
              <w:rPr>
                <w:sz w:val="20"/>
                <w:szCs w:val="20"/>
                <w:lang w:val="fr-CA"/>
              </w:rPr>
              <w:t>)</w:t>
            </w:r>
          </w:p>
          <w:p w:rsidR="00755A1E" w:rsidRPr="007A5455" w:rsidRDefault="00755A1E" w:rsidP="00755A1E">
            <w:pPr>
              <w:rPr>
                <w:sz w:val="20"/>
                <w:szCs w:val="20"/>
                <w:lang w:val="en-US"/>
              </w:rPr>
            </w:pPr>
            <w:r w:rsidRPr="007A5455">
              <w:rPr>
                <w:sz w:val="20"/>
                <w:szCs w:val="20"/>
                <w:lang w:val="en-US"/>
              </w:rPr>
              <w:t>2014 ONCA 895; C48417</w:t>
            </w:r>
          </w:p>
          <w:p w:rsidR="00755A1E" w:rsidRPr="007A5455" w:rsidRDefault="001F68BE" w:rsidP="00755A1E">
            <w:pPr>
              <w:rPr>
                <w:rStyle w:val="documentstaticurl"/>
                <w:sz w:val="20"/>
                <w:szCs w:val="20"/>
              </w:rPr>
            </w:pPr>
            <w:hyperlink r:id="rId33" w:history="1">
              <w:r w:rsidR="00755A1E" w:rsidRPr="007A5455">
                <w:rPr>
                  <w:rStyle w:val="Hyperlink"/>
                  <w:sz w:val="20"/>
                  <w:szCs w:val="20"/>
                  <w:lang w:val="en-US"/>
                </w:rPr>
                <w:t>http://canlii.ca/t/gfnwr</w:t>
              </w:r>
            </w:hyperlink>
          </w:p>
          <w:p w:rsidR="000D55A2" w:rsidRPr="007A5455" w:rsidRDefault="000D55A2" w:rsidP="0022676D">
            <w:pPr>
              <w:jc w:val="both"/>
              <w:rPr>
                <w:rFonts w:eastAsia="Calibri"/>
                <w:sz w:val="20"/>
                <w:lang w:val="fr-CA"/>
              </w:rPr>
            </w:pPr>
          </w:p>
        </w:tc>
        <w:tc>
          <w:tcPr>
            <w:tcW w:w="243" w:type="pct"/>
          </w:tcPr>
          <w:p w:rsidR="000D55A2" w:rsidRPr="007A5455" w:rsidRDefault="000D55A2" w:rsidP="0022676D">
            <w:pPr>
              <w:jc w:val="both"/>
              <w:rPr>
                <w:rFonts w:eastAsia="Calibri"/>
                <w:sz w:val="20"/>
                <w:lang w:val="fr-CA"/>
              </w:rPr>
            </w:pPr>
          </w:p>
        </w:tc>
        <w:tc>
          <w:tcPr>
            <w:tcW w:w="2330" w:type="pct"/>
          </w:tcPr>
          <w:p w:rsidR="00755A1E" w:rsidRPr="007A5455" w:rsidRDefault="00755A1E" w:rsidP="00755A1E">
            <w:pPr>
              <w:rPr>
                <w:sz w:val="20"/>
                <w:szCs w:val="20"/>
                <w:lang w:val="fr-CA"/>
              </w:rPr>
            </w:pPr>
            <w:r w:rsidRPr="007A5455">
              <w:rPr>
                <w:sz w:val="20"/>
                <w:szCs w:val="20"/>
                <w:lang w:val="fr-CA"/>
              </w:rPr>
              <w:t>Rejet de l’appel</w:t>
            </w:r>
          </w:p>
          <w:p w:rsidR="000D55A2" w:rsidRPr="007A5455" w:rsidRDefault="000D55A2" w:rsidP="0022676D">
            <w:pPr>
              <w:jc w:val="both"/>
              <w:rPr>
                <w:rFonts w:eastAsia="Calibri"/>
                <w:sz w:val="20"/>
                <w:lang w:val="fr-CA"/>
              </w:rPr>
            </w:pPr>
          </w:p>
        </w:tc>
      </w:tr>
      <w:tr w:rsidR="000D55A2" w:rsidRPr="007A5455" w:rsidTr="0022676D">
        <w:trPr>
          <w:cantSplit/>
        </w:trPr>
        <w:tc>
          <w:tcPr>
            <w:tcW w:w="2427" w:type="pct"/>
          </w:tcPr>
          <w:p w:rsidR="000D55A2" w:rsidRPr="007A5455" w:rsidRDefault="00755A1E" w:rsidP="0022676D">
            <w:pPr>
              <w:jc w:val="both"/>
              <w:rPr>
                <w:rFonts w:eastAsia="Calibri"/>
                <w:sz w:val="20"/>
                <w:lang w:val="fr-CA"/>
              </w:rPr>
            </w:pPr>
            <w:r w:rsidRPr="007A5455">
              <w:rPr>
                <w:rFonts w:eastAsia="Calibri"/>
                <w:sz w:val="20"/>
                <w:lang w:val="fr-CA"/>
              </w:rPr>
              <w:t>24</w:t>
            </w:r>
            <w:r w:rsidR="000D55A2" w:rsidRPr="007A5455">
              <w:rPr>
                <w:rFonts w:eastAsia="Calibri"/>
                <w:sz w:val="20"/>
                <w:lang w:val="fr-CA"/>
              </w:rPr>
              <w:t xml:space="preserve"> j</w:t>
            </w:r>
            <w:r w:rsidRPr="007A5455">
              <w:rPr>
                <w:rFonts w:eastAsia="Calibri"/>
                <w:sz w:val="20"/>
                <w:lang w:val="fr-CA"/>
              </w:rPr>
              <w:t>uin</w:t>
            </w:r>
            <w:r w:rsidR="000D55A2" w:rsidRPr="007A5455">
              <w:rPr>
                <w:rFonts w:eastAsia="Calibri"/>
                <w:sz w:val="20"/>
                <w:lang w:val="fr-CA"/>
              </w:rPr>
              <w:t xml:space="preserve"> 201</w:t>
            </w:r>
            <w:r w:rsidRPr="007A5455">
              <w:rPr>
                <w:rFonts w:eastAsia="Calibri"/>
                <w:sz w:val="20"/>
                <w:lang w:val="fr-CA"/>
              </w:rPr>
              <w:t>5</w:t>
            </w:r>
          </w:p>
          <w:p w:rsidR="000D55A2" w:rsidRPr="007A5455" w:rsidRDefault="000D55A2" w:rsidP="0022676D">
            <w:pPr>
              <w:jc w:val="both"/>
              <w:rPr>
                <w:rFonts w:eastAsia="Calibri"/>
                <w:sz w:val="20"/>
                <w:lang w:val="fr-CA"/>
              </w:rPr>
            </w:pPr>
            <w:r w:rsidRPr="007A5455">
              <w:rPr>
                <w:rFonts w:eastAsia="Calibri"/>
                <w:sz w:val="20"/>
                <w:lang w:val="fr-CA"/>
              </w:rPr>
              <w:t>Cour suprême du Canada</w:t>
            </w:r>
          </w:p>
        </w:tc>
        <w:tc>
          <w:tcPr>
            <w:tcW w:w="243" w:type="pct"/>
          </w:tcPr>
          <w:p w:rsidR="000D55A2" w:rsidRPr="007A5455" w:rsidRDefault="000D55A2" w:rsidP="0022676D">
            <w:pPr>
              <w:jc w:val="both"/>
              <w:rPr>
                <w:rFonts w:eastAsia="Calibri"/>
                <w:sz w:val="20"/>
                <w:lang w:val="fr-CA"/>
              </w:rPr>
            </w:pPr>
          </w:p>
        </w:tc>
        <w:tc>
          <w:tcPr>
            <w:tcW w:w="2330" w:type="pct"/>
          </w:tcPr>
          <w:p w:rsidR="000D55A2" w:rsidRPr="007A5455" w:rsidRDefault="00755A1E" w:rsidP="00563784">
            <w:pPr>
              <w:spacing w:line="276" w:lineRule="auto"/>
              <w:jc w:val="both"/>
              <w:rPr>
                <w:rFonts w:eastAsia="Calibri"/>
                <w:sz w:val="20"/>
                <w:lang w:val="fr-CA"/>
              </w:rPr>
            </w:pPr>
            <w:r w:rsidRPr="007A5455">
              <w:rPr>
                <w:sz w:val="20"/>
                <w:szCs w:val="20"/>
                <w:lang w:val="fr-CA"/>
              </w:rPr>
              <w:t>Dépôt de la requête en prorogation du délai de signification et de dépôt de la demande d’autorisation d’appel et de la demande d’autorisation d’appel</w:t>
            </w:r>
          </w:p>
        </w:tc>
      </w:tr>
    </w:tbl>
    <w:p w:rsidR="000D55A2" w:rsidRPr="007A5455" w:rsidRDefault="000D55A2" w:rsidP="000D55A2">
      <w:pPr>
        <w:rPr>
          <w:sz w:val="20"/>
          <w:szCs w:val="20"/>
        </w:rPr>
      </w:pPr>
    </w:p>
    <w:p w:rsidR="000D55A2" w:rsidRPr="007A5455" w:rsidRDefault="001F68BE" w:rsidP="000D55A2">
      <w:pPr>
        <w:rPr>
          <w:sz w:val="20"/>
          <w:szCs w:val="20"/>
        </w:rPr>
      </w:pPr>
      <w:r>
        <w:rPr>
          <w:sz w:val="20"/>
          <w:szCs w:val="20"/>
          <w:lang w:val="fr-CA"/>
        </w:rPr>
        <w:pict>
          <v:rect id="_x0000_i1043" style="width:2in;height:1pt" o:hrpct="0" o:hralign="center" o:hrstd="t" o:hrnoshade="t" o:hr="t" fillcolor="black [3213]" stroked="f"/>
        </w:pict>
      </w:r>
    </w:p>
    <w:p w:rsidR="006357E7" w:rsidRPr="007A5455" w:rsidRDefault="006357E7">
      <w:pPr>
        <w:rPr>
          <w:sz w:val="20"/>
          <w:szCs w:val="20"/>
        </w:rPr>
      </w:pPr>
      <w:r w:rsidRPr="007A5455">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71994" w:rsidRPr="007A5455" w:rsidTr="0022676D">
        <w:trPr>
          <w:cantSplit/>
        </w:trPr>
        <w:tc>
          <w:tcPr>
            <w:tcW w:w="1458" w:type="dxa"/>
          </w:tcPr>
          <w:p w:rsidR="00171994" w:rsidRPr="007A5455" w:rsidRDefault="00171994" w:rsidP="0022676D">
            <w:pPr>
              <w:rPr>
                <w:sz w:val="20"/>
                <w:szCs w:val="20"/>
              </w:rPr>
            </w:pPr>
            <w:r w:rsidRPr="007A5455">
              <w:rPr>
                <w:rStyle w:val="SCCFileNumberChar"/>
                <w:sz w:val="20"/>
                <w:szCs w:val="20"/>
              </w:rPr>
              <w:lastRenderedPageBreak/>
              <w:t>36515</w:t>
            </w:r>
          </w:p>
          <w:p w:rsidR="00171994" w:rsidRPr="007A5455" w:rsidRDefault="00171994" w:rsidP="0022676D">
            <w:pPr>
              <w:rPr>
                <w:b/>
                <w:sz w:val="20"/>
                <w:szCs w:val="20"/>
                <w:lang w:val="fr-CA"/>
              </w:rPr>
            </w:pPr>
          </w:p>
        </w:tc>
        <w:tc>
          <w:tcPr>
            <w:tcW w:w="8118" w:type="dxa"/>
          </w:tcPr>
          <w:p w:rsidR="00171994" w:rsidRPr="007A5455" w:rsidRDefault="00171994" w:rsidP="0022676D">
            <w:pPr>
              <w:rPr>
                <w:sz w:val="20"/>
                <w:szCs w:val="20"/>
              </w:rPr>
            </w:pPr>
            <w:r w:rsidRPr="007A5455">
              <w:rPr>
                <w:b/>
                <w:iCs/>
                <w:sz w:val="20"/>
                <w:szCs w:val="20"/>
                <w:u w:val="single"/>
              </w:rPr>
              <w:t xml:space="preserve">Peter </w:t>
            </w:r>
            <w:proofErr w:type="spellStart"/>
            <w:r w:rsidRPr="007A5455">
              <w:rPr>
                <w:b/>
                <w:iCs/>
                <w:sz w:val="20"/>
                <w:szCs w:val="20"/>
                <w:u w:val="single"/>
              </w:rPr>
              <w:t>Foustanellas</w:t>
            </w:r>
            <w:proofErr w:type="spellEnd"/>
            <w:r w:rsidRPr="007A5455">
              <w:rPr>
                <w:b/>
                <w:iCs/>
                <w:sz w:val="20"/>
                <w:szCs w:val="20"/>
                <w:u w:val="single"/>
              </w:rPr>
              <w:t xml:space="preserve"> o/a Argos Carpets </w:t>
            </w:r>
            <w:r w:rsidR="00805C2F" w:rsidRPr="007A5455">
              <w:rPr>
                <w:b/>
                <w:iCs/>
                <w:sz w:val="20"/>
                <w:szCs w:val="20"/>
                <w:u w:val="single"/>
              </w:rPr>
              <w:t>and Argos Carpets Ltd.</w:t>
            </w:r>
            <w:r w:rsidRPr="007A5455">
              <w:rPr>
                <w:b/>
                <w:iCs/>
                <w:sz w:val="20"/>
                <w:szCs w:val="20"/>
                <w:u w:val="single"/>
              </w:rPr>
              <w:t xml:space="preserve"> v. </w:t>
            </w:r>
            <w:r w:rsidRPr="007A5455">
              <w:rPr>
                <w:b/>
                <w:iCs/>
                <w:sz w:val="20"/>
                <w:szCs w:val="20"/>
                <w:u w:val="single"/>
                <w:lang w:val="en-US"/>
              </w:rPr>
              <w:t>Ottawa Community Housing Corporation</w:t>
            </w:r>
            <w:r w:rsidRPr="007A5455">
              <w:rPr>
                <w:iCs/>
                <w:sz w:val="20"/>
                <w:szCs w:val="20"/>
                <w:lang w:val="fr-CA"/>
              </w:rPr>
              <w:t xml:space="preserve"> </w:t>
            </w:r>
            <w:r w:rsidRPr="007A5455">
              <w:rPr>
                <w:sz w:val="20"/>
                <w:szCs w:val="20"/>
              </w:rPr>
              <w:t>(Ont.) (Civil) (By Leave)</w:t>
            </w:r>
          </w:p>
          <w:p w:rsidR="00171994" w:rsidRPr="007A5455" w:rsidRDefault="00171994" w:rsidP="0022676D">
            <w:pPr>
              <w:rPr>
                <w:sz w:val="20"/>
                <w:szCs w:val="20"/>
              </w:rPr>
            </w:pPr>
          </w:p>
        </w:tc>
      </w:tr>
      <w:tr w:rsidR="00171994" w:rsidRPr="007A5455" w:rsidTr="0022676D">
        <w:trPr>
          <w:cantSplit/>
        </w:trPr>
        <w:tc>
          <w:tcPr>
            <w:tcW w:w="1458" w:type="dxa"/>
          </w:tcPr>
          <w:p w:rsidR="00171994" w:rsidRPr="007A5455" w:rsidRDefault="00171994" w:rsidP="0022676D">
            <w:pPr>
              <w:rPr>
                <w:sz w:val="20"/>
                <w:szCs w:val="20"/>
              </w:rPr>
            </w:pPr>
            <w:r w:rsidRPr="007A5455">
              <w:rPr>
                <w:sz w:val="20"/>
                <w:szCs w:val="20"/>
              </w:rPr>
              <w:t>Coram :</w:t>
            </w:r>
          </w:p>
        </w:tc>
        <w:tc>
          <w:tcPr>
            <w:tcW w:w="8118" w:type="dxa"/>
          </w:tcPr>
          <w:p w:rsidR="00171994" w:rsidRPr="007A5455" w:rsidRDefault="00EB1AB7" w:rsidP="0022676D">
            <w:pPr>
              <w:rPr>
                <w:sz w:val="20"/>
                <w:szCs w:val="20"/>
              </w:rPr>
            </w:pPr>
            <w:r w:rsidRPr="007A5455">
              <w:rPr>
                <w:rStyle w:val="SCCCoramChar"/>
                <w:sz w:val="20"/>
                <w:szCs w:val="20"/>
                <w:lang w:val="en-CA"/>
              </w:rPr>
              <w:t>Cromwell</w:t>
            </w:r>
            <w:r w:rsidR="00171994" w:rsidRPr="007A5455">
              <w:rPr>
                <w:rStyle w:val="SCCCoramChar"/>
                <w:sz w:val="20"/>
                <w:szCs w:val="20"/>
                <w:lang w:val="en-CA"/>
              </w:rPr>
              <w:t xml:space="preserve">, </w:t>
            </w:r>
            <w:r w:rsidRPr="007A5455">
              <w:rPr>
                <w:rStyle w:val="SCCCoramChar"/>
                <w:sz w:val="20"/>
                <w:szCs w:val="20"/>
                <w:lang w:val="en-CA"/>
              </w:rPr>
              <w:t xml:space="preserve">Wagner </w:t>
            </w:r>
            <w:r w:rsidR="00171994" w:rsidRPr="007A5455">
              <w:rPr>
                <w:rStyle w:val="SCCCoramChar"/>
                <w:sz w:val="20"/>
                <w:szCs w:val="20"/>
                <w:lang w:val="en-CA"/>
              </w:rPr>
              <w:t xml:space="preserve">and </w:t>
            </w:r>
            <w:proofErr w:type="spellStart"/>
            <w:r w:rsidRPr="007A5455">
              <w:rPr>
                <w:rStyle w:val="SCCCoramChar"/>
                <w:sz w:val="20"/>
                <w:szCs w:val="20"/>
                <w:lang w:val="en-CA"/>
              </w:rPr>
              <w:t>Côté</w:t>
            </w:r>
            <w:proofErr w:type="spellEnd"/>
            <w:r w:rsidR="00171994" w:rsidRPr="007A5455">
              <w:rPr>
                <w:rStyle w:val="SCCCoramChar"/>
                <w:sz w:val="20"/>
                <w:szCs w:val="20"/>
                <w:lang w:val="en-CA"/>
              </w:rPr>
              <w:t> JJ.</w:t>
            </w:r>
          </w:p>
          <w:p w:rsidR="00171994" w:rsidRPr="007A5455" w:rsidRDefault="00171994" w:rsidP="0022676D">
            <w:pPr>
              <w:rPr>
                <w:sz w:val="20"/>
                <w:szCs w:val="20"/>
                <w:u w:val="single"/>
              </w:rPr>
            </w:pPr>
          </w:p>
        </w:tc>
      </w:tr>
      <w:tr w:rsidR="00171994" w:rsidRPr="007A5455" w:rsidTr="0022676D">
        <w:trPr>
          <w:cantSplit/>
        </w:trPr>
        <w:tc>
          <w:tcPr>
            <w:tcW w:w="9576" w:type="dxa"/>
            <w:gridSpan w:val="2"/>
          </w:tcPr>
          <w:p w:rsidR="00171994" w:rsidRPr="007A5455" w:rsidRDefault="00593F0E" w:rsidP="0022676D">
            <w:pPr>
              <w:pStyle w:val="SCCShortJudgment"/>
              <w:rPr>
                <w:szCs w:val="20"/>
              </w:rPr>
            </w:pPr>
            <w:r w:rsidRPr="007A5455">
              <w:t>The motion for an extension of time to serve and file the application for leave to appeal is granted. The application for leave to appeal from the judgment of the Court of Appeal for Ontario, Number C56782, 2015 ONCA 276, dated April 21, 2015, is dismissed with costs.</w:t>
            </w:r>
          </w:p>
          <w:p w:rsidR="00171994" w:rsidRPr="007A5455" w:rsidRDefault="00171994" w:rsidP="0022676D">
            <w:pPr>
              <w:pStyle w:val="SCCShortJudgment"/>
              <w:ind w:firstLine="0"/>
              <w:rPr>
                <w:szCs w:val="20"/>
              </w:rPr>
            </w:pPr>
          </w:p>
          <w:p w:rsidR="00171994" w:rsidRPr="007A5455" w:rsidRDefault="00593F0E" w:rsidP="00593F0E">
            <w:pPr>
              <w:pStyle w:val="SCCShortJudgment"/>
              <w:rPr>
                <w:szCs w:val="20"/>
                <w:lang w:val="fr-CA"/>
              </w:rPr>
            </w:pPr>
            <w:r w:rsidRPr="007A5455">
              <w:rPr>
                <w:lang w:val="fr-CA"/>
              </w:rPr>
              <w:t>La requête en prorogation du délai de signification et de dépôt de la demande d’autorisation d’appel est accueillie. La demande d’autorisation d’appel de l’arrêt de la Cour d’appel de l’Ontario, numéro C56782, 2015 ONCA 276, daté du 21 avril 2015, est rejetée avec dépens.</w:t>
            </w:r>
          </w:p>
        </w:tc>
      </w:tr>
    </w:tbl>
    <w:p w:rsidR="00171994" w:rsidRPr="007A5455" w:rsidRDefault="00171994" w:rsidP="00171994">
      <w:pPr>
        <w:rPr>
          <w:sz w:val="20"/>
          <w:szCs w:val="20"/>
          <w:lang w:val="fr-CA"/>
        </w:rPr>
      </w:pPr>
    </w:p>
    <w:p w:rsidR="00171994" w:rsidRPr="007A5455" w:rsidRDefault="00171994" w:rsidP="00171994">
      <w:pPr>
        <w:rPr>
          <w:sz w:val="20"/>
          <w:szCs w:val="20"/>
          <w:u w:val="single"/>
        </w:rPr>
      </w:pPr>
      <w:r w:rsidRPr="007A5455">
        <w:rPr>
          <w:sz w:val="20"/>
          <w:szCs w:val="20"/>
          <w:u w:val="single"/>
        </w:rPr>
        <w:t>CASE SUMMARY</w:t>
      </w:r>
    </w:p>
    <w:p w:rsidR="00171994" w:rsidRPr="007A5455" w:rsidRDefault="00171994" w:rsidP="0017199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6C8C" w:rsidRPr="007A5455" w:rsidTr="0022676D">
        <w:tc>
          <w:tcPr>
            <w:tcW w:w="5000" w:type="pct"/>
            <w:gridSpan w:val="3"/>
          </w:tcPr>
          <w:p w:rsidR="00956C8C" w:rsidRPr="007A5455" w:rsidRDefault="00956C8C" w:rsidP="00956C8C">
            <w:pPr>
              <w:rPr>
                <w:sz w:val="20"/>
                <w:szCs w:val="20"/>
              </w:rPr>
            </w:pPr>
            <w:r w:rsidRPr="007A5455">
              <w:rPr>
                <w:sz w:val="20"/>
                <w:szCs w:val="20"/>
              </w:rPr>
              <w:t>Contracts – Commercial contracts – Breach – Damages – Punitive damages – Wrongdoer dying before plaintiff’s action commenced – Can court award punitive damages against estate of wrongdoer, and if so, what are proper guiding policies and principles that court should apply?</w:t>
            </w:r>
          </w:p>
          <w:p w:rsidR="00956C8C" w:rsidRPr="007A5455" w:rsidRDefault="00956C8C" w:rsidP="00956C8C">
            <w:pPr>
              <w:rPr>
                <w:sz w:val="20"/>
                <w:szCs w:val="20"/>
              </w:rPr>
            </w:pPr>
          </w:p>
        </w:tc>
      </w:tr>
      <w:tr w:rsidR="00956C8C" w:rsidRPr="007A5455" w:rsidTr="0022676D">
        <w:tc>
          <w:tcPr>
            <w:tcW w:w="5000" w:type="pct"/>
            <w:gridSpan w:val="3"/>
          </w:tcPr>
          <w:p w:rsidR="00956C8C" w:rsidRPr="007A5455" w:rsidRDefault="00956C8C" w:rsidP="00956C8C">
            <w:pPr>
              <w:jc w:val="both"/>
              <w:rPr>
                <w:sz w:val="20"/>
                <w:szCs w:val="20"/>
                <w:lang w:val="en-US"/>
              </w:rPr>
            </w:pPr>
            <w:r w:rsidRPr="007A5455">
              <w:rPr>
                <w:sz w:val="20"/>
                <w:szCs w:val="20"/>
                <w:lang w:val="en-US"/>
              </w:rPr>
              <w:t>The applicant, Mr. </w:t>
            </w:r>
            <w:proofErr w:type="spellStart"/>
            <w:r w:rsidRPr="007A5455">
              <w:rPr>
                <w:sz w:val="20"/>
                <w:szCs w:val="20"/>
                <w:lang w:val="en-US"/>
              </w:rPr>
              <w:t>Foustanellas</w:t>
            </w:r>
            <w:proofErr w:type="spellEnd"/>
            <w:r w:rsidRPr="007A5455">
              <w:rPr>
                <w:sz w:val="20"/>
                <w:szCs w:val="20"/>
                <w:lang w:val="en-US"/>
              </w:rPr>
              <w:t>, is the sole shareholder, president and director of Argos Carpets Ltd. (“ACL”), a carpeting contractor. Mr. Grimes, now deceased, was a former employee of ACL. The respondent, Ottawa Community Housing Corporation (“OCHC”), is an organization that provides subsidized social housing for low-income individuals in Ottawa. In 2004, OCHC invited competitive tenders for a one-year contract for the supply and installation of carpets and under pads in some of its housing units. It eventually accepted the lowest bid submitted by “Argos Carpets” (“Argos”).  The bid was signed by Mr. Grimes and approved by Mr. </w:t>
            </w:r>
            <w:proofErr w:type="spellStart"/>
            <w:r w:rsidRPr="007A5455">
              <w:rPr>
                <w:sz w:val="20"/>
                <w:szCs w:val="20"/>
                <w:lang w:val="en-US"/>
              </w:rPr>
              <w:t>Foustanellas</w:t>
            </w:r>
            <w:proofErr w:type="spellEnd"/>
            <w:r w:rsidRPr="007A5455">
              <w:rPr>
                <w:sz w:val="20"/>
                <w:szCs w:val="20"/>
                <w:lang w:val="en-US"/>
              </w:rPr>
              <w:t>. The contract between OCHC and Argos provided for a fixed charge per installed square yard of carpet and under pad, with no extra charge for wastage. It also set out certain quality criteria and other specifications for the product and services Argos was to provide. After the work began, OCHC began to suspect that Argos was overbilling them for the quantities of installed carpet and under pad in its units, and it conducted an investigation. In addition, much of the carpet supplied and the installations carried out by Argos were substandard. In May 2006, OCHC provided notice under the contract that it was withdrawing the remaining work from Argos. It also withheld payment allegedly due and owing to Argos for work performed. ACL responded by commencing an action against OCHC for amounts allegedly owing, together with damages for wrongful termination and breach of contract. OCHC sued Mr. </w:t>
            </w:r>
            <w:proofErr w:type="spellStart"/>
            <w:r w:rsidRPr="007A5455">
              <w:rPr>
                <w:sz w:val="20"/>
                <w:szCs w:val="20"/>
                <w:lang w:val="en-US"/>
              </w:rPr>
              <w:t>Foustanellas</w:t>
            </w:r>
            <w:proofErr w:type="spellEnd"/>
            <w:r w:rsidRPr="007A5455">
              <w:rPr>
                <w:sz w:val="20"/>
                <w:szCs w:val="20"/>
                <w:lang w:val="en-US"/>
              </w:rPr>
              <w:t>, Mr. Grimes, Argos and ACL for compensatory, exemplary and punitive damages for breach of contract and fraudulent and/or negligent misrepresentation. The two actions were consolidated and heard together.</w:t>
            </w:r>
          </w:p>
          <w:p w:rsidR="00956C8C" w:rsidRPr="007A5455" w:rsidRDefault="00956C8C" w:rsidP="00956C8C">
            <w:pPr>
              <w:jc w:val="both"/>
              <w:rPr>
                <w:rFonts w:eastAsia="Calibri"/>
                <w:sz w:val="20"/>
              </w:rPr>
            </w:pPr>
          </w:p>
        </w:tc>
      </w:tr>
      <w:tr w:rsidR="00956C8C" w:rsidRPr="007A5455" w:rsidTr="0022676D">
        <w:trPr>
          <w:cantSplit/>
        </w:trPr>
        <w:tc>
          <w:tcPr>
            <w:tcW w:w="2427" w:type="pct"/>
          </w:tcPr>
          <w:p w:rsidR="002336C2" w:rsidRPr="007A5455" w:rsidRDefault="002336C2" w:rsidP="002336C2">
            <w:pPr>
              <w:jc w:val="both"/>
              <w:rPr>
                <w:sz w:val="20"/>
                <w:szCs w:val="20"/>
              </w:rPr>
            </w:pPr>
            <w:r w:rsidRPr="007A5455">
              <w:rPr>
                <w:sz w:val="20"/>
                <w:szCs w:val="20"/>
              </w:rPr>
              <w:t>February 12, 2013</w:t>
            </w:r>
          </w:p>
          <w:p w:rsidR="002336C2" w:rsidRPr="007A5455" w:rsidRDefault="002336C2" w:rsidP="002336C2">
            <w:pPr>
              <w:jc w:val="both"/>
              <w:rPr>
                <w:sz w:val="20"/>
                <w:szCs w:val="20"/>
              </w:rPr>
            </w:pPr>
            <w:r w:rsidRPr="007A5455">
              <w:rPr>
                <w:sz w:val="20"/>
                <w:szCs w:val="20"/>
              </w:rPr>
              <w:t>Ontario Superior Court of Justice</w:t>
            </w:r>
          </w:p>
          <w:p w:rsidR="002336C2" w:rsidRPr="007A5455" w:rsidRDefault="002336C2" w:rsidP="002336C2">
            <w:pPr>
              <w:jc w:val="both"/>
              <w:rPr>
                <w:sz w:val="20"/>
                <w:szCs w:val="20"/>
              </w:rPr>
            </w:pPr>
            <w:r w:rsidRPr="007A5455">
              <w:rPr>
                <w:sz w:val="20"/>
                <w:szCs w:val="20"/>
              </w:rPr>
              <w:t>(Rutherford J.)</w:t>
            </w:r>
          </w:p>
          <w:p w:rsidR="002336C2" w:rsidRPr="007A5455" w:rsidRDefault="001F68BE" w:rsidP="002336C2">
            <w:pPr>
              <w:jc w:val="both"/>
              <w:rPr>
                <w:sz w:val="20"/>
                <w:szCs w:val="20"/>
              </w:rPr>
            </w:pPr>
            <w:hyperlink r:id="rId34" w:history="1">
              <w:r w:rsidR="002336C2" w:rsidRPr="007A5455">
                <w:rPr>
                  <w:color w:val="0000FF" w:themeColor="hyperlink"/>
                  <w:sz w:val="20"/>
                  <w:szCs w:val="20"/>
                  <w:u w:val="single"/>
                </w:rPr>
                <w:t>2013 ONSC 973</w:t>
              </w:r>
            </w:hyperlink>
          </w:p>
          <w:p w:rsidR="00956C8C" w:rsidRPr="007A5455" w:rsidRDefault="00956C8C" w:rsidP="00956C8C">
            <w:pPr>
              <w:jc w:val="both"/>
              <w:rPr>
                <w:rFonts w:eastAsia="Calibri"/>
                <w:sz w:val="20"/>
              </w:rPr>
            </w:pPr>
          </w:p>
        </w:tc>
        <w:tc>
          <w:tcPr>
            <w:tcW w:w="243" w:type="pct"/>
          </w:tcPr>
          <w:p w:rsidR="00956C8C" w:rsidRPr="007A5455" w:rsidRDefault="00956C8C" w:rsidP="00956C8C">
            <w:pPr>
              <w:jc w:val="both"/>
              <w:rPr>
                <w:rFonts w:eastAsia="Calibri"/>
                <w:sz w:val="20"/>
              </w:rPr>
            </w:pPr>
          </w:p>
        </w:tc>
        <w:tc>
          <w:tcPr>
            <w:tcW w:w="2330" w:type="pct"/>
          </w:tcPr>
          <w:p w:rsidR="002336C2" w:rsidRPr="007A5455" w:rsidRDefault="002336C2" w:rsidP="002336C2">
            <w:pPr>
              <w:jc w:val="both"/>
              <w:rPr>
                <w:sz w:val="20"/>
                <w:szCs w:val="20"/>
              </w:rPr>
            </w:pPr>
            <w:r w:rsidRPr="007A5455">
              <w:rPr>
                <w:sz w:val="20"/>
                <w:szCs w:val="20"/>
              </w:rPr>
              <w:t>OCHC’s action for breach of contract and fraudulent misrepresentation allowed;  Compensatory and punitive damages awarded on joint and several basis</w:t>
            </w:r>
          </w:p>
          <w:p w:rsidR="00956C8C" w:rsidRPr="007A5455" w:rsidRDefault="00956C8C" w:rsidP="00956C8C">
            <w:pPr>
              <w:jc w:val="both"/>
              <w:rPr>
                <w:rFonts w:eastAsia="Calibri"/>
                <w:sz w:val="20"/>
              </w:rPr>
            </w:pPr>
          </w:p>
        </w:tc>
      </w:tr>
      <w:tr w:rsidR="00956C8C" w:rsidRPr="007A5455" w:rsidTr="0022676D">
        <w:trPr>
          <w:cantSplit/>
        </w:trPr>
        <w:tc>
          <w:tcPr>
            <w:tcW w:w="2427" w:type="pct"/>
          </w:tcPr>
          <w:p w:rsidR="002336C2" w:rsidRPr="007A5455" w:rsidRDefault="002336C2" w:rsidP="002336C2">
            <w:pPr>
              <w:jc w:val="both"/>
              <w:rPr>
                <w:sz w:val="20"/>
                <w:szCs w:val="20"/>
              </w:rPr>
            </w:pPr>
            <w:r w:rsidRPr="007A5455">
              <w:rPr>
                <w:sz w:val="20"/>
                <w:szCs w:val="20"/>
              </w:rPr>
              <w:t>August 23, 2013</w:t>
            </w:r>
          </w:p>
          <w:p w:rsidR="002336C2" w:rsidRPr="007A5455" w:rsidRDefault="002336C2" w:rsidP="002336C2">
            <w:pPr>
              <w:jc w:val="both"/>
              <w:rPr>
                <w:sz w:val="20"/>
                <w:szCs w:val="20"/>
              </w:rPr>
            </w:pPr>
            <w:r w:rsidRPr="007A5455">
              <w:rPr>
                <w:sz w:val="20"/>
                <w:szCs w:val="20"/>
              </w:rPr>
              <w:t>Ontario Superior Court of Justice</w:t>
            </w:r>
          </w:p>
          <w:p w:rsidR="002336C2" w:rsidRPr="007A5455" w:rsidRDefault="002336C2" w:rsidP="002336C2">
            <w:pPr>
              <w:jc w:val="both"/>
              <w:rPr>
                <w:sz w:val="20"/>
                <w:szCs w:val="20"/>
              </w:rPr>
            </w:pPr>
            <w:r w:rsidRPr="007A5455">
              <w:rPr>
                <w:sz w:val="20"/>
                <w:szCs w:val="20"/>
              </w:rPr>
              <w:t>(Rutherford J.)</w:t>
            </w:r>
          </w:p>
          <w:p w:rsidR="002336C2" w:rsidRPr="007A5455" w:rsidRDefault="001F68BE" w:rsidP="002336C2">
            <w:pPr>
              <w:jc w:val="both"/>
              <w:rPr>
                <w:sz w:val="20"/>
                <w:szCs w:val="20"/>
              </w:rPr>
            </w:pPr>
            <w:hyperlink r:id="rId35" w:history="1">
              <w:r w:rsidR="002336C2" w:rsidRPr="007A5455">
                <w:rPr>
                  <w:color w:val="0000FF" w:themeColor="hyperlink"/>
                  <w:sz w:val="20"/>
                  <w:szCs w:val="20"/>
                  <w:u w:val="single"/>
                </w:rPr>
                <w:t>2013 ONSC 5443</w:t>
              </w:r>
            </w:hyperlink>
            <w:r w:rsidR="002336C2" w:rsidRPr="007A5455">
              <w:rPr>
                <w:sz w:val="20"/>
                <w:szCs w:val="20"/>
              </w:rPr>
              <w:t xml:space="preserve"> </w:t>
            </w:r>
          </w:p>
          <w:p w:rsidR="00956C8C" w:rsidRPr="007A5455" w:rsidRDefault="00956C8C" w:rsidP="00956C8C">
            <w:pPr>
              <w:jc w:val="both"/>
              <w:rPr>
                <w:rFonts w:eastAsia="Calibri"/>
                <w:sz w:val="20"/>
              </w:rPr>
            </w:pPr>
          </w:p>
        </w:tc>
        <w:tc>
          <w:tcPr>
            <w:tcW w:w="243" w:type="pct"/>
          </w:tcPr>
          <w:p w:rsidR="00956C8C" w:rsidRPr="007A5455" w:rsidRDefault="00956C8C" w:rsidP="00956C8C">
            <w:pPr>
              <w:jc w:val="both"/>
              <w:rPr>
                <w:rFonts w:eastAsia="Calibri"/>
                <w:sz w:val="20"/>
              </w:rPr>
            </w:pPr>
          </w:p>
        </w:tc>
        <w:tc>
          <w:tcPr>
            <w:tcW w:w="2330" w:type="pct"/>
          </w:tcPr>
          <w:p w:rsidR="002336C2" w:rsidRPr="007A5455" w:rsidRDefault="002336C2" w:rsidP="002336C2">
            <w:pPr>
              <w:jc w:val="both"/>
              <w:rPr>
                <w:sz w:val="20"/>
                <w:szCs w:val="20"/>
              </w:rPr>
            </w:pPr>
            <w:r w:rsidRPr="007A5455">
              <w:rPr>
                <w:sz w:val="20"/>
                <w:szCs w:val="20"/>
              </w:rPr>
              <w:t>Order for full indemnity costs to OCHC and clarification of joint and several award with respect to punitive damages</w:t>
            </w:r>
          </w:p>
          <w:p w:rsidR="00956C8C" w:rsidRPr="007A5455" w:rsidRDefault="00956C8C" w:rsidP="00956C8C">
            <w:pPr>
              <w:jc w:val="both"/>
              <w:rPr>
                <w:rFonts w:eastAsia="Calibri"/>
                <w:sz w:val="20"/>
              </w:rPr>
            </w:pPr>
          </w:p>
        </w:tc>
      </w:tr>
      <w:tr w:rsidR="002336C2" w:rsidRPr="007A5455" w:rsidTr="0022676D">
        <w:trPr>
          <w:cantSplit/>
        </w:trPr>
        <w:tc>
          <w:tcPr>
            <w:tcW w:w="2427" w:type="pct"/>
          </w:tcPr>
          <w:p w:rsidR="002336C2" w:rsidRPr="007A5455" w:rsidRDefault="002336C2" w:rsidP="002336C2">
            <w:pPr>
              <w:jc w:val="both"/>
              <w:rPr>
                <w:sz w:val="20"/>
                <w:szCs w:val="20"/>
              </w:rPr>
            </w:pPr>
            <w:r w:rsidRPr="007A5455">
              <w:rPr>
                <w:sz w:val="20"/>
                <w:szCs w:val="20"/>
              </w:rPr>
              <w:t>April 21, 2015</w:t>
            </w:r>
          </w:p>
          <w:p w:rsidR="002336C2" w:rsidRPr="007A5455" w:rsidRDefault="002336C2" w:rsidP="002336C2">
            <w:pPr>
              <w:jc w:val="both"/>
              <w:rPr>
                <w:sz w:val="20"/>
                <w:szCs w:val="20"/>
              </w:rPr>
            </w:pPr>
            <w:r w:rsidRPr="007A5455">
              <w:rPr>
                <w:sz w:val="20"/>
                <w:szCs w:val="20"/>
              </w:rPr>
              <w:t>Court of Appeal for Ontario</w:t>
            </w:r>
          </w:p>
          <w:p w:rsidR="002336C2" w:rsidRPr="007A5455" w:rsidRDefault="002336C2" w:rsidP="002336C2">
            <w:pPr>
              <w:jc w:val="both"/>
              <w:rPr>
                <w:sz w:val="20"/>
                <w:szCs w:val="20"/>
              </w:rPr>
            </w:pPr>
            <w:r w:rsidRPr="007A5455">
              <w:rPr>
                <w:sz w:val="20"/>
                <w:szCs w:val="20"/>
              </w:rPr>
              <w:t xml:space="preserve">(Cronk, </w:t>
            </w:r>
            <w:proofErr w:type="spellStart"/>
            <w:r w:rsidRPr="007A5455">
              <w:rPr>
                <w:sz w:val="20"/>
                <w:szCs w:val="20"/>
              </w:rPr>
              <w:t>Pepall</w:t>
            </w:r>
            <w:proofErr w:type="spellEnd"/>
            <w:r w:rsidRPr="007A5455">
              <w:rPr>
                <w:sz w:val="20"/>
                <w:szCs w:val="20"/>
              </w:rPr>
              <w:t xml:space="preserve"> and </w:t>
            </w:r>
            <w:proofErr w:type="spellStart"/>
            <w:r w:rsidRPr="007A5455">
              <w:rPr>
                <w:sz w:val="20"/>
                <w:szCs w:val="20"/>
              </w:rPr>
              <w:t>Benotto</w:t>
            </w:r>
            <w:proofErr w:type="spellEnd"/>
            <w:r w:rsidRPr="007A5455">
              <w:rPr>
                <w:sz w:val="20"/>
                <w:szCs w:val="20"/>
              </w:rPr>
              <w:t xml:space="preserve"> JJ.A.)</w:t>
            </w:r>
          </w:p>
          <w:p w:rsidR="002336C2" w:rsidRPr="007A5455" w:rsidRDefault="001F68BE" w:rsidP="002336C2">
            <w:pPr>
              <w:jc w:val="both"/>
              <w:rPr>
                <w:sz w:val="20"/>
                <w:szCs w:val="20"/>
              </w:rPr>
            </w:pPr>
            <w:hyperlink r:id="rId36" w:history="1">
              <w:r w:rsidR="002336C2" w:rsidRPr="007A5455">
                <w:rPr>
                  <w:color w:val="0000FF" w:themeColor="hyperlink"/>
                  <w:sz w:val="20"/>
                  <w:szCs w:val="20"/>
                  <w:u w:val="single"/>
                </w:rPr>
                <w:t>2015 ONCA 276</w:t>
              </w:r>
            </w:hyperlink>
          </w:p>
          <w:p w:rsidR="002336C2" w:rsidRPr="007A5455" w:rsidRDefault="002336C2" w:rsidP="00956C8C">
            <w:pPr>
              <w:jc w:val="both"/>
              <w:rPr>
                <w:rFonts w:eastAsia="Calibri"/>
                <w:sz w:val="20"/>
              </w:rPr>
            </w:pPr>
          </w:p>
        </w:tc>
        <w:tc>
          <w:tcPr>
            <w:tcW w:w="243" w:type="pct"/>
          </w:tcPr>
          <w:p w:rsidR="002336C2" w:rsidRPr="007A5455" w:rsidRDefault="002336C2" w:rsidP="00956C8C">
            <w:pPr>
              <w:jc w:val="both"/>
              <w:rPr>
                <w:rFonts w:eastAsia="Calibri"/>
                <w:sz w:val="20"/>
              </w:rPr>
            </w:pPr>
          </w:p>
        </w:tc>
        <w:tc>
          <w:tcPr>
            <w:tcW w:w="2330" w:type="pct"/>
          </w:tcPr>
          <w:p w:rsidR="002336C2" w:rsidRPr="007A5455" w:rsidRDefault="002336C2" w:rsidP="002336C2">
            <w:pPr>
              <w:jc w:val="both"/>
              <w:rPr>
                <w:sz w:val="20"/>
                <w:szCs w:val="20"/>
              </w:rPr>
            </w:pPr>
            <w:r w:rsidRPr="007A5455">
              <w:rPr>
                <w:sz w:val="20"/>
                <w:szCs w:val="20"/>
              </w:rPr>
              <w:t>Trial judge’s award of punitive damages set aside as against one respondent and estate</w:t>
            </w:r>
          </w:p>
          <w:p w:rsidR="002336C2" w:rsidRPr="007A5455" w:rsidRDefault="002336C2" w:rsidP="002336C2">
            <w:pPr>
              <w:tabs>
                <w:tab w:val="left" w:pos="1560"/>
              </w:tabs>
              <w:jc w:val="both"/>
              <w:rPr>
                <w:rFonts w:eastAsia="Calibri"/>
                <w:sz w:val="20"/>
                <w:szCs w:val="20"/>
              </w:rPr>
            </w:pPr>
          </w:p>
        </w:tc>
      </w:tr>
      <w:tr w:rsidR="002336C2" w:rsidRPr="007A5455" w:rsidTr="0022676D">
        <w:trPr>
          <w:cantSplit/>
        </w:trPr>
        <w:tc>
          <w:tcPr>
            <w:tcW w:w="2427" w:type="pct"/>
          </w:tcPr>
          <w:p w:rsidR="002336C2" w:rsidRPr="007A5455" w:rsidRDefault="002336C2" w:rsidP="002336C2">
            <w:pPr>
              <w:jc w:val="both"/>
              <w:rPr>
                <w:rFonts w:eastAsia="Calibri"/>
                <w:sz w:val="20"/>
              </w:rPr>
            </w:pPr>
            <w:r w:rsidRPr="007A5455">
              <w:rPr>
                <w:rFonts w:eastAsia="Calibri"/>
                <w:sz w:val="20"/>
              </w:rPr>
              <w:lastRenderedPageBreak/>
              <w:t>July 13, 2015</w:t>
            </w:r>
          </w:p>
          <w:p w:rsidR="002336C2" w:rsidRPr="007A5455" w:rsidRDefault="002336C2" w:rsidP="002336C2">
            <w:pPr>
              <w:jc w:val="both"/>
              <w:rPr>
                <w:rFonts w:eastAsia="Calibri"/>
                <w:sz w:val="20"/>
              </w:rPr>
            </w:pPr>
            <w:r w:rsidRPr="007A5455">
              <w:rPr>
                <w:rFonts w:eastAsia="Calibri"/>
                <w:sz w:val="20"/>
              </w:rPr>
              <w:t>Supreme Court of Canada</w:t>
            </w:r>
          </w:p>
        </w:tc>
        <w:tc>
          <w:tcPr>
            <w:tcW w:w="243" w:type="pct"/>
          </w:tcPr>
          <w:p w:rsidR="002336C2" w:rsidRPr="007A5455" w:rsidRDefault="002336C2" w:rsidP="002336C2">
            <w:pPr>
              <w:jc w:val="both"/>
              <w:rPr>
                <w:rFonts w:eastAsia="Calibri"/>
                <w:sz w:val="20"/>
              </w:rPr>
            </w:pPr>
          </w:p>
        </w:tc>
        <w:tc>
          <w:tcPr>
            <w:tcW w:w="2330" w:type="pct"/>
          </w:tcPr>
          <w:p w:rsidR="002336C2" w:rsidRPr="007A5455" w:rsidRDefault="002336C2" w:rsidP="002336C2">
            <w:pPr>
              <w:rPr>
                <w:sz w:val="20"/>
                <w:szCs w:val="20"/>
              </w:rPr>
            </w:pPr>
            <w:r w:rsidRPr="007A5455">
              <w:rPr>
                <w:sz w:val="20"/>
                <w:szCs w:val="20"/>
              </w:rPr>
              <w:t>Motion for extension of time in which to serve and file application for leave to appeal and application for leave to appeal filed</w:t>
            </w:r>
          </w:p>
        </w:tc>
      </w:tr>
    </w:tbl>
    <w:p w:rsidR="00171994" w:rsidRPr="007A5455" w:rsidRDefault="00171994" w:rsidP="00171994">
      <w:pPr>
        <w:rPr>
          <w:sz w:val="20"/>
          <w:szCs w:val="20"/>
        </w:rPr>
      </w:pPr>
    </w:p>
    <w:p w:rsidR="00171994" w:rsidRPr="007A5455" w:rsidRDefault="001F68BE" w:rsidP="00171994">
      <w:pPr>
        <w:rPr>
          <w:sz w:val="20"/>
          <w:szCs w:val="20"/>
        </w:rPr>
      </w:pPr>
      <w:r>
        <w:rPr>
          <w:sz w:val="20"/>
          <w:szCs w:val="20"/>
          <w:lang w:val="fr-CA"/>
        </w:rPr>
        <w:pict>
          <v:rect id="_x0000_i1044" style="width:2in;height:1pt" o:hrpct="0" o:hralign="center" o:hrstd="t" o:hrnoshade="t" o:hr="t" fillcolor="black [3213]" stroked="f"/>
        </w:pict>
      </w:r>
    </w:p>
    <w:p w:rsidR="00171994" w:rsidRPr="007A5455" w:rsidRDefault="00171994" w:rsidP="00171994">
      <w:pPr>
        <w:rPr>
          <w:sz w:val="20"/>
          <w:szCs w:val="20"/>
        </w:rPr>
      </w:pPr>
    </w:p>
    <w:p w:rsidR="00171994" w:rsidRPr="007A5455" w:rsidRDefault="00171994" w:rsidP="00171994">
      <w:pPr>
        <w:rPr>
          <w:sz w:val="20"/>
          <w:szCs w:val="20"/>
          <w:u w:val="single"/>
          <w:lang w:val="fr-CA"/>
        </w:rPr>
      </w:pPr>
      <w:r w:rsidRPr="007A5455">
        <w:rPr>
          <w:sz w:val="20"/>
          <w:szCs w:val="20"/>
          <w:u w:val="single"/>
          <w:lang w:val="fr-CA"/>
        </w:rPr>
        <w:t>RÉSUMÉ DE L’AFFAIRE</w:t>
      </w:r>
    </w:p>
    <w:p w:rsidR="00171994" w:rsidRPr="007A5455" w:rsidRDefault="00171994" w:rsidP="0017199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1994" w:rsidRPr="007A5455" w:rsidTr="0022676D">
        <w:tc>
          <w:tcPr>
            <w:tcW w:w="5000" w:type="pct"/>
            <w:gridSpan w:val="3"/>
          </w:tcPr>
          <w:p w:rsidR="00171994" w:rsidRPr="007A5455" w:rsidRDefault="00791922" w:rsidP="0022676D">
            <w:pPr>
              <w:jc w:val="both"/>
              <w:rPr>
                <w:sz w:val="20"/>
                <w:szCs w:val="20"/>
                <w:lang w:val="fr-CA"/>
              </w:rPr>
            </w:pPr>
            <w:r w:rsidRPr="007A5455">
              <w:rPr>
                <w:sz w:val="20"/>
                <w:szCs w:val="20"/>
                <w:lang w:val="fr-CA"/>
              </w:rPr>
              <w:t>Contrats – Contrats commerciaux – Violation – Dommages-intérêts – Dommages-intérêts punitifs – L’auteur du tort est décédé avant l’introduction de l’action du demandeur en première instance – Le tribunal peut-il condamner la succession à des dommages-intérêts punitifs et, dans l’affirmative, quels principes directeurs et politiques d’orientation le tribunal doit-il appliquer?</w:t>
            </w:r>
          </w:p>
          <w:p w:rsidR="00791922" w:rsidRPr="007A5455" w:rsidRDefault="00791922" w:rsidP="0022676D">
            <w:pPr>
              <w:jc w:val="both"/>
              <w:rPr>
                <w:rFonts w:eastAsia="Calibri"/>
                <w:sz w:val="20"/>
                <w:szCs w:val="20"/>
                <w:lang w:val="fr-CA"/>
              </w:rPr>
            </w:pPr>
          </w:p>
        </w:tc>
      </w:tr>
      <w:tr w:rsidR="00171994" w:rsidRPr="007A5455" w:rsidTr="0022676D">
        <w:tc>
          <w:tcPr>
            <w:tcW w:w="5000" w:type="pct"/>
            <w:gridSpan w:val="3"/>
          </w:tcPr>
          <w:p w:rsidR="003D5F2E" w:rsidRPr="007A5455" w:rsidRDefault="003D5F2E" w:rsidP="003D5F2E">
            <w:pPr>
              <w:rPr>
                <w:sz w:val="20"/>
                <w:szCs w:val="20"/>
                <w:lang w:val="fr-CA"/>
              </w:rPr>
            </w:pPr>
            <w:r w:rsidRPr="007A5455">
              <w:rPr>
                <w:sz w:val="20"/>
                <w:szCs w:val="20"/>
                <w:lang w:val="fr-CA"/>
              </w:rPr>
              <w:t>Le demandeur, M. </w:t>
            </w:r>
            <w:proofErr w:type="spellStart"/>
            <w:r w:rsidRPr="007A5455">
              <w:rPr>
                <w:sz w:val="20"/>
                <w:szCs w:val="20"/>
                <w:lang w:val="fr-CA"/>
              </w:rPr>
              <w:t>Foustanellas</w:t>
            </w:r>
            <w:proofErr w:type="spellEnd"/>
            <w:r w:rsidRPr="007A5455">
              <w:rPr>
                <w:sz w:val="20"/>
                <w:szCs w:val="20"/>
                <w:lang w:val="fr-CA"/>
              </w:rPr>
              <w:t xml:space="preserve">, est l’unique actionnaire, président et administrateur d’Argos </w:t>
            </w:r>
            <w:proofErr w:type="spellStart"/>
            <w:r w:rsidRPr="007A5455">
              <w:rPr>
                <w:sz w:val="20"/>
                <w:szCs w:val="20"/>
                <w:lang w:val="fr-CA"/>
              </w:rPr>
              <w:t>Carpets</w:t>
            </w:r>
            <w:proofErr w:type="spellEnd"/>
            <w:r w:rsidRPr="007A5455">
              <w:rPr>
                <w:sz w:val="20"/>
                <w:szCs w:val="20"/>
                <w:lang w:val="fr-CA"/>
              </w:rPr>
              <w:t xml:space="preserve"> Ltd. (« ACL »), une entreprise de tapis. Monsieur Grimes, maintenant décédé, était un ancien employé d’ACL. L’intimée, Ottawa </w:t>
            </w:r>
            <w:proofErr w:type="spellStart"/>
            <w:r w:rsidRPr="007A5455">
              <w:rPr>
                <w:sz w:val="20"/>
                <w:szCs w:val="20"/>
                <w:lang w:val="fr-CA"/>
              </w:rPr>
              <w:t>Community</w:t>
            </w:r>
            <w:proofErr w:type="spellEnd"/>
            <w:r w:rsidRPr="007A5455">
              <w:rPr>
                <w:sz w:val="20"/>
                <w:szCs w:val="20"/>
                <w:lang w:val="fr-CA"/>
              </w:rPr>
              <w:t xml:space="preserve"> </w:t>
            </w:r>
            <w:proofErr w:type="spellStart"/>
            <w:r w:rsidRPr="007A5455">
              <w:rPr>
                <w:sz w:val="20"/>
                <w:szCs w:val="20"/>
                <w:lang w:val="fr-CA"/>
              </w:rPr>
              <w:t>Housing</w:t>
            </w:r>
            <w:proofErr w:type="spellEnd"/>
            <w:r w:rsidRPr="007A5455">
              <w:rPr>
                <w:sz w:val="20"/>
                <w:szCs w:val="20"/>
                <w:lang w:val="fr-CA"/>
              </w:rPr>
              <w:t xml:space="preserve"> Corporation (« OCHC »), est un organisme qui fournit des logements sociaux subventionnés pour personnes à faible revenu à Ottawa. En 2004, OCHC a fait un appel d’offres pour un contrat d’un an ayant pour objet la fourniture et l’installation de tapis et de sous-tapis dans certains de ses logements. Elle a fini par accepter la soumission la plus basse présentée par « Argos </w:t>
            </w:r>
            <w:proofErr w:type="spellStart"/>
            <w:r w:rsidRPr="007A5455">
              <w:rPr>
                <w:sz w:val="20"/>
                <w:szCs w:val="20"/>
                <w:lang w:val="fr-CA"/>
              </w:rPr>
              <w:t>Carpets</w:t>
            </w:r>
            <w:proofErr w:type="spellEnd"/>
            <w:r w:rsidRPr="007A5455">
              <w:rPr>
                <w:sz w:val="20"/>
                <w:szCs w:val="20"/>
                <w:lang w:val="fr-CA"/>
              </w:rPr>
              <w:t> » (« Argos »). La soumission a été signée par M. Grimes et approuvée par M. </w:t>
            </w:r>
            <w:proofErr w:type="spellStart"/>
            <w:r w:rsidRPr="007A5455">
              <w:rPr>
                <w:sz w:val="20"/>
                <w:szCs w:val="20"/>
                <w:lang w:val="fr-CA"/>
              </w:rPr>
              <w:t>Foustanellas</w:t>
            </w:r>
            <w:proofErr w:type="spellEnd"/>
            <w:r w:rsidRPr="007A5455">
              <w:rPr>
                <w:sz w:val="20"/>
                <w:szCs w:val="20"/>
                <w:lang w:val="fr-CA"/>
              </w:rPr>
              <w:t>. Le contrat entre OCHC et Argos prévoyait un prix fixe par verge carrée de tapis et de sous-tapis installés, sans frais supplémentaires pour gaspillage. Le contrat énonçait aussi certains critères de qualité et d’autres spécifications des produits et services qu’Argos devait fournir. Après le début des travaux, OCHC a commencé à soupçonner qu’Argos la surfacturait pour les quantités de tapis et de sous-tapis installés dans ses logements et elle a mené une enquête. De plus, une bonne partie du tapis fourni et les installations effectuées étaient non conformes aux normes. En mai 2006, OCHC a donné un avis en application du contrat comme quoi elle retirait à Argos le reste des travaux. Elle a également retenu le paiement censément dû et payable à Argos pour les travaux exécutés. ACL a réagi en intentant une action contre OCHC au titre des sommes censément payables, et en dommages-intérêts pour résiliation abusive et violation de contrat. OCHC a poursuivi M. </w:t>
            </w:r>
            <w:proofErr w:type="spellStart"/>
            <w:r w:rsidRPr="007A5455">
              <w:rPr>
                <w:sz w:val="20"/>
                <w:szCs w:val="20"/>
                <w:lang w:val="fr-CA"/>
              </w:rPr>
              <w:t>Foustanellas</w:t>
            </w:r>
            <w:proofErr w:type="spellEnd"/>
            <w:r w:rsidRPr="007A5455">
              <w:rPr>
                <w:sz w:val="20"/>
                <w:szCs w:val="20"/>
                <w:lang w:val="fr-CA"/>
              </w:rPr>
              <w:t>, M. Grimes, Argos et ACL en dommages-intérêts compensatoires, exemplaires et punitifs pour violation de contrat et assertion frauduleuse ou négligente et inexacte. Les deux actions ont été jointes et entendues ensemble.</w:t>
            </w:r>
          </w:p>
          <w:p w:rsidR="00171994" w:rsidRPr="007A5455" w:rsidRDefault="00171994" w:rsidP="0022676D">
            <w:pPr>
              <w:jc w:val="both"/>
              <w:rPr>
                <w:sz w:val="20"/>
                <w:lang w:val="fr-CA"/>
              </w:rPr>
            </w:pPr>
          </w:p>
        </w:tc>
      </w:tr>
      <w:tr w:rsidR="00171994" w:rsidRPr="007A5455" w:rsidTr="0022676D">
        <w:trPr>
          <w:cantSplit/>
        </w:trPr>
        <w:tc>
          <w:tcPr>
            <w:tcW w:w="2427" w:type="pct"/>
          </w:tcPr>
          <w:p w:rsidR="003D5F2E" w:rsidRPr="007A5455" w:rsidRDefault="003D5F2E" w:rsidP="003D5F2E">
            <w:pPr>
              <w:rPr>
                <w:sz w:val="20"/>
                <w:szCs w:val="20"/>
                <w:lang w:val="fr-CA"/>
              </w:rPr>
            </w:pPr>
            <w:r w:rsidRPr="007A5455">
              <w:rPr>
                <w:sz w:val="20"/>
                <w:szCs w:val="20"/>
                <w:lang w:val="fr-CA"/>
              </w:rPr>
              <w:t>12 février 2013</w:t>
            </w:r>
          </w:p>
          <w:p w:rsidR="003D5F2E" w:rsidRPr="007A5455" w:rsidRDefault="003D5F2E" w:rsidP="003D5F2E">
            <w:pPr>
              <w:rPr>
                <w:sz w:val="20"/>
                <w:szCs w:val="20"/>
                <w:lang w:val="fr-CA"/>
              </w:rPr>
            </w:pPr>
            <w:r w:rsidRPr="007A5455">
              <w:rPr>
                <w:sz w:val="20"/>
                <w:szCs w:val="20"/>
                <w:lang w:val="fr-CA"/>
              </w:rPr>
              <w:t>Cour supérieure de justice de l’Ontario</w:t>
            </w:r>
          </w:p>
          <w:p w:rsidR="003D5F2E" w:rsidRPr="007A5455" w:rsidRDefault="003D5F2E" w:rsidP="003D5F2E">
            <w:pPr>
              <w:rPr>
                <w:sz w:val="20"/>
                <w:szCs w:val="20"/>
                <w:lang w:val="fr-CA"/>
              </w:rPr>
            </w:pPr>
            <w:r w:rsidRPr="007A5455">
              <w:rPr>
                <w:sz w:val="20"/>
                <w:szCs w:val="20"/>
                <w:lang w:val="fr-CA"/>
              </w:rPr>
              <w:t>(Juge Rutherford)</w:t>
            </w:r>
          </w:p>
          <w:p w:rsidR="003D5F2E" w:rsidRPr="007A5455" w:rsidRDefault="001F68BE" w:rsidP="003D5F2E">
            <w:pPr>
              <w:rPr>
                <w:sz w:val="20"/>
                <w:szCs w:val="20"/>
                <w:lang w:val="fr-CA"/>
              </w:rPr>
            </w:pPr>
            <w:hyperlink r:id="rId37" w:history="1">
              <w:r w:rsidR="003D5F2E" w:rsidRPr="007A5455">
                <w:rPr>
                  <w:rStyle w:val="Hyperlink"/>
                  <w:sz w:val="20"/>
                  <w:szCs w:val="20"/>
                  <w:lang w:val="fr-CA"/>
                </w:rPr>
                <w:t>2013 ONSC 973</w:t>
              </w:r>
            </w:hyperlink>
          </w:p>
          <w:p w:rsidR="00171994" w:rsidRPr="007A5455" w:rsidRDefault="00171994" w:rsidP="0022676D">
            <w:pPr>
              <w:jc w:val="both"/>
              <w:rPr>
                <w:rFonts w:eastAsia="Calibri"/>
                <w:sz w:val="20"/>
                <w:lang w:val="fr-CA"/>
              </w:rPr>
            </w:pPr>
          </w:p>
        </w:tc>
        <w:tc>
          <w:tcPr>
            <w:tcW w:w="243" w:type="pct"/>
          </w:tcPr>
          <w:p w:rsidR="00171994" w:rsidRPr="007A5455" w:rsidRDefault="00171994" w:rsidP="0022676D">
            <w:pPr>
              <w:jc w:val="both"/>
              <w:rPr>
                <w:rFonts w:eastAsia="Calibri"/>
                <w:sz w:val="20"/>
                <w:lang w:val="fr-CA"/>
              </w:rPr>
            </w:pPr>
          </w:p>
        </w:tc>
        <w:tc>
          <w:tcPr>
            <w:tcW w:w="2330" w:type="pct"/>
          </w:tcPr>
          <w:p w:rsidR="003D5F2E" w:rsidRPr="007A5455" w:rsidRDefault="003D5F2E" w:rsidP="003D5F2E">
            <w:pPr>
              <w:rPr>
                <w:sz w:val="20"/>
                <w:szCs w:val="20"/>
                <w:lang w:val="fr-CA"/>
              </w:rPr>
            </w:pPr>
            <w:r w:rsidRPr="007A5455">
              <w:rPr>
                <w:sz w:val="20"/>
                <w:szCs w:val="20"/>
                <w:lang w:val="fr-CA"/>
              </w:rPr>
              <w:t>Jugement accueillant l’action d’OCHC en violation de contrat et en assertion frauduleuse et inexacte; condamnation à des dommages-intérêts compensatoires et punitifs à titre solidaire</w:t>
            </w:r>
          </w:p>
          <w:p w:rsidR="00171994" w:rsidRPr="007A5455" w:rsidRDefault="00171994" w:rsidP="0022676D">
            <w:pPr>
              <w:jc w:val="both"/>
              <w:rPr>
                <w:rFonts w:eastAsia="Calibri"/>
                <w:sz w:val="20"/>
                <w:lang w:val="fr-CA"/>
              </w:rPr>
            </w:pPr>
          </w:p>
        </w:tc>
      </w:tr>
      <w:tr w:rsidR="00171994" w:rsidRPr="007A5455" w:rsidTr="0022676D">
        <w:trPr>
          <w:cantSplit/>
        </w:trPr>
        <w:tc>
          <w:tcPr>
            <w:tcW w:w="2427" w:type="pct"/>
          </w:tcPr>
          <w:p w:rsidR="003D5F2E" w:rsidRPr="007A5455" w:rsidRDefault="003D5F2E" w:rsidP="003D5F2E">
            <w:pPr>
              <w:rPr>
                <w:sz w:val="20"/>
                <w:szCs w:val="20"/>
                <w:lang w:val="fr-CA"/>
              </w:rPr>
            </w:pPr>
            <w:r w:rsidRPr="007A5455">
              <w:rPr>
                <w:sz w:val="20"/>
                <w:szCs w:val="20"/>
                <w:lang w:val="fr-CA"/>
              </w:rPr>
              <w:t>23 août 2013</w:t>
            </w:r>
          </w:p>
          <w:p w:rsidR="003D5F2E" w:rsidRPr="007A5455" w:rsidRDefault="003D5F2E" w:rsidP="003D5F2E">
            <w:pPr>
              <w:rPr>
                <w:sz w:val="20"/>
                <w:szCs w:val="20"/>
                <w:lang w:val="fr-CA"/>
              </w:rPr>
            </w:pPr>
            <w:r w:rsidRPr="007A5455">
              <w:rPr>
                <w:sz w:val="20"/>
                <w:szCs w:val="20"/>
                <w:lang w:val="fr-CA"/>
              </w:rPr>
              <w:t>Cour supérieure de justice de l’Ontario</w:t>
            </w:r>
          </w:p>
          <w:p w:rsidR="003D5F2E" w:rsidRPr="007A5455" w:rsidRDefault="003D5F2E" w:rsidP="003D5F2E">
            <w:pPr>
              <w:rPr>
                <w:sz w:val="20"/>
                <w:szCs w:val="20"/>
                <w:lang w:val="fr-CA"/>
              </w:rPr>
            </w:pPr>
            <w:r w:rsidRPr="007A5455">
              <w:rPr>
                <w:sz w:val="20"/>
                <w:szCs w:val="20"/>
                <w:lang w:val="fr-CA"/>
              </w:rPr>
              <w:t>(Juge Rutherford)</w:t>
            </w:r>
          </w:p>
          <w:p w:rsidR="003D5F2E" w:rsidRPr="007A5455" w:rsidRDefault="001F68BE" w:rsidP="003D5F2E">
            <w:pPr>
              <w:rPr>
                <w:sz w:val="20"/>
                <w:szCs w:val="20"/>
                <w:lang w:val="fr-CA"/>
              </w:rPr>
            </w:pPr>
            <w:hyperlink r:id="rId38" w:history="1">
              <w:r w:rsidR="003D5F2E" w:rsidRPr="007A5455">
                <w:rPr>
                  <w:rStyle w:val="Hyperlink"/>
                  <w:sz w:val="20"/>
                  <w:szCs w:val="20"/>
                  <w:lang w:val="fr-CA"/>
                </w:rPr>
                <w:t>2013 ONSC 5443</w:t>
              </w:r>
            </w:hyperlink>
            <w:r w:rsidR="003D5F2E" w:rsidRPr="007A5455">
              <w:rPr>
                <w:sz w:val="20"/>
                <w:szCs w:val="20"/>
                <w:lang w:val="fr-CA"/>
              </w:rPr>
              <w:t xml:space="preserve"> </w:t>
            </w:r>
          </w:p>
          <w:p w:rsidR="00171994" w:rsidRPr="007A5455" w:rsidRDefault="00171994" w:rsidP="0022676D">
            <w:pPr>
              <w:jc w:val="both"/>
              <w:rPr>
                <w:rFonts w:eastAsia="Calibri"/>
                <w:sz w:val="20"/>
                <w:lang w:val="fr-CA"/>
              </w:rPr>
            </w:pPr>
          </w:p>
        </w:tc>
        <w:tc>
          <w:tcPr>
            <w:tcW w:w="243" w:type="pct"/>
          </w:tcPr>
          <w:p w:rsidR="00171994" w:rsidRPr="007A5455" w:rsidRDefault="00171994" w:rsidP="0022676D">
            <w:pPr>
              <w:jc w:val="both"/>
              <w:rPr>
                <w:rFonts w:eastAsia="Calibri"/>
                <w:sz w:val="20"/>
                <w:lang w:val="fr-CA"/>
              </w:rPr>
            </w:pPr>
          </w:p>
        </w:tc>
        <w:tc>
          <w:tcPr>
            <w:tcW w:w="2330" w:type="pct"/>
          </w:tcPr>
          <w:p w:rsidR="003D5F2E" w:rsidRPr="007A5455" w:rsidRDefault="003D5F2E" w:rsidP="003D5F2E">
            <w:pPr>
              <w:rPr>
                <w:sz w:val="20"/>
                <w:szCs w:val="20"/>
                <w:lang w:val="fr-CA"/>
              </w:rPr>
            </w:pPr>
            <w:r w:rsidRPr="007A5455">
              <w:rPr>
                <w:sz w:val="20"/>
                <w:szCs w:val="20"/>
                <w:lang w:val="fr-CA"/>
              </w:rPr>
              <w:t xml:space="preserve">Ordonnance accordant les dépens à OCHC sur la base de l’indemnisation intégrale et précisant les modalités de la condamnation à titre solidaire en ce qui concerne les dommages-intérêts punitifs </w:t>
            </w:r>
          </w:p>
          <w:p w:rsidR="00171994" w:rsidRPr="007A5455" w:rsidRDefault="00171994" w:rsidP="0022676D">
            <w:pPr>
              <w:jc w:val="both"/>
              <w:rPr>
                <w:rFonts w:eastAsia="Calibri"/>
                <w:sz w:val="20"/>
                <w:lang w:val="fr-CA"/>
              </w:rPr>
            </w:pPr>
          </w:p>
        </w:tc>
      </w:tr>
      <w:tr w:rsidR="003D5F2E" w:rsidRPr="007A5455" w:rsidTr="0022676D">
        <w:trPr>
          <w:cantSplit/>
        </w:trPr>
        <w:tc>
          <w:tcPr>
            <w:tcW w:w="2427" w:type="pct"/>
          </w:tcPr>
          <w:p w:rsidR="003D5F2E" w:rsidRPr="007A5455" w:rsidRDefault="003D5F2E" w:rsidP="003D5F2E">
            <w:pPr>
              <w:rPr>
                <w:sz w:val="20"/>
                <w:szCs w:val="20"/>
                <w:lang w:val="fr-CA"/>
              </w:rPr>
            </w:pPr>
            <w:r w:rsidRPr="007A5455">
              <w:rPr>
                <w:sz w:val="20"/>
                <w:szCs w:val="20"/>
                <w:lang w:val="fr-CA"/>
              </w:rPr>
              <w:t>21 avril 2015</w:t>
            </w:r>
          </w:p>
          <w:p w:rsidR="003D5F2E" w:rsidRPr="007A5455" w:rsidRDefault="003D5F2E" w:rsidP="003D5F2E">
            <w:pPr>
              <w:rPr>
                <w:sz w:val="20"/>
                <w:szCs w:val="20"/>
                <w:lang w:val="fr-CA"/>
              </w:rPr>
            </w:pPr>
            <w:r w:rsidRPr="007A5455">
              <w:rPr>
                <w:sz w:val="20"/>
                <w:szCs w:val="20"/>
                <w:lang w:val="fr-CA"/>
              </w:rPr>
              <w:t>Cour d’appel de l’Ontario</w:t>
            </w:r>
          </w:p>
          <w:p w:rsidR="003D5F2E" w:rsidRPr="007A5455" w:rsidRDefault="003D5F2E" w:rsidP="003D5F2E">
            <w:pPr>
              <w:rPr>
                <w:sz w:val="20"/>
                <w:szCs w:val="20"/>
                <w:lang w:val="fr-CA"/>
              </w:rPr>
            </w:pPr>
            <w:r w:rsidRPr="007A5455">
              <w:rPr>
                <w:sz w:val="20"/>
                <w:szCs w:val="20"/>
                <w:lang w:val="fr-CA"/>
              </w:rPr>
              <w:t xml:space="preserve">(Juges </w:t>
            </w:r>
            <w:proofErr w:type="spellStart"/>
            <w:r w:rsidRPr="007A5455">
              <w:rPr>
                <w:sz w:val="20"/>
                <w:szCs w:val="20"/>
                <w:lang w:val="fr-CA"/>
              </w:rPr>
              <w:t>Cronk</w:t>
            </w:r>
            <w:proofErr w:type="spellEnd"/>
            <w:r w:rsidRPr="007A5455">
              <w:rPr>
                <w:sz w:val="20"/>
                <w:szCs w:val="20"/>
                <w:lang w:val="fr-CA"/>
              </w:rPr>
              <w:t xml:space="preserve">, </w:t>
            </w:r>
            <w:proofErr w:type="spellStart"/>
            <w:r w:rsidRPr="007A5455">
              <w:rPr>
                <w:sz w:val="20"/>
                <w:szCs w:val="20"/>
                <w:lang w:val="fr-CA"/>
              </w:rPr>
              <w:t>Pepall</w:t>
            </w:r>
            <w:proofErr w:type="spellEnd"/>
            <w:r w:rsidRPr="007A5455">
              <w:rPr>
                <w:sz w:val="20"/>
                <w:szCs w:val="20"/>
                <w:lang w:val="fr-CA"/>
              </w:rPr>
              <w:t xml:space="preserve"> et </w:t>
            </w:r>
            <w:proofErr w:type="spellStart"/>
            <w:r w:rsidRPr="007A5455">
              <w:rPr>
                <w:sz w:val="20"/>
                <w:szCs w:val="20"/>
                <w:lang w:val="fr-CA"/>
              </w:rPr>
              <w:t>Benotto</w:t>
            </w:r>
            <w:proofErr w:type="spellEnd"/>
            <w:r w:rsidRPr="007A5455">
              <w:rPr>
                <w:sz w:val="20"/>
                <w:szCs w:val="20"/>
                <w:lang w:val="fr-CA"/>
              </w:rPr>
              <w:t>)</w:t>
            </w:r>
          </w:p>
          <w:p w:rsidR="003D5F2E" w:rsidRPr="007A5455" w:rsidRDefault="001F68BE" w:rsidP="003D5F2E">
            <w:pPr>
              <w:rPr>
                <w:sz w:val="20"/>
                <w:szCs w:val="20"/>
                <w:lang w:val="fr-CA"/>
              </w:rPr>
            </w:pPr>
            <w:hyperlink r:id="rId39" w:history="1">
              <w:r w:rsidR="003D5F2E" w:rsidRPr="007A5455">
                <w:rPr>
                  <w:rStyle w:val="Hyperlink"/>
                  <w:sz w:val="20"/>
                  <w:szCs w:val="20"/>
                  <w:lang w:val="fr-CA"/>
                </w:rPr>
                <w:t>2015 ONCA 276</w:t>
              </w:r>
            </w:hyperlink>
          </w:p>
          <w:p w:rsidR="003D5F2E" w:rsidRPr="007A5455" w:rsidRDefault="003D5F2E" w:rsidP="0022676D">
            <w:pPr>
              <w:jc w:val="both"/>
              <w:rPr>
                <w:rFonts w:eastAsia="Calibri"/>
                <w:sz w:val="20"/>
                <w:lang w:val="fr-CA"/>
              </w:rPr>
            </w:pPr>
          </w:p>
        </w:tc>
        <w:tc>
          <w:tcPr>
            <w:tcW w:w="243" w:type="pct"/>
          </w:tcPr>
          <w:p w:rsidR="003D5F2E" w:rsidRPr="007A5455" w:rsidRDefault="003D5F2E" w:rsidP="0022676D">
            <w:pPr>
              <w:jc w:val="both"/>
              <w:rPr>
                <w:rFonts w:eastAsia="Calibri"/>
                <w:sz w:val="20"/>
                <w:lang w:val="fr-CA"/>
              </w:rPr>
            </w:pPr>
          </w:p>
        </w:tc>
        <w:tc>
          <w:tcPr>
            <w:tcW w:w="2330" w:type="pct"/>
          </w:tcPr>
          <w:p w:rsidR="003D5F2E" w:rsidRPr="007A5455" w:rsidRDefault="003D5F2E" w:rsidP="003D5F2E">
            <w:pPr>
              <w:rPr>
                <w:sz w:val="20"/>
                <w:szCs w:val="20"/>
                <w:lang w:val="fr-CA"/>
              </w:rPr>
            </w:pPr>
            <w:r w:rsidRPr="007A5455">
              <w:rPr>
                <w:sz w:val="20"/>
                <w:szCs w:val="20"/>
                <w:lang w:val="fr-CA"/>
              </w:rPr>
              <w:t xml:space="preserve">Annulation de la condamnation, par le juge de première instance, d’un des intimés et de la succession à des dommages-intérêts punitifs </w:t>
            </w:r>
          </w:p>
          <w:p w:rsidR="003D5F2E" w:rsidRPr="007A5455" w:rsidRDefault="003D5F2E" w:rsidP="003D5F2E">
            <w:pPr>
              <w:jc w:val="center"/>
              <w:rPr>
                <w:rFonts w:eastAsia="Calibri"/>
                <w:sz w:val="20"/>
                <w:szCs w:val="20"/>
                <w:lang w:val="fr-CA"/>
              </w:rPr>
            </w:pPr>
          </w:p>
        </w:tc>
      </w:tr>
      <w:tr w:rsidR="00171994" w:rsidRPr="007A5455" w:rsidTr="0022676D">
        <w:trPr>
          <w:cantSplit/>
        </w:trPr>
        <w:tc>
          <w:tcPr>
            <w:tcW w:w="2427" w:type="pct"/>
          </w:tcPr>
          <w:p w:rsidR="00171994" w:rsidRPr="007A5455" w:rsidRDefault="00345C04" w:rsidP="0022676D">
            <w:pPr>
              <w:jc w:val="both"/>
              <w:rPr>
                <w:rFonts w:eastAsia="Calibri"/>
                <w:sz w:val="20"/>
                <w:lang w:val="fr-CA"/>
              </w:rPr>
            </w:pPr>
            <w:r w:rsidRPr="007A5455">
              <w:rPr>
                <w:rFonts w:eastAsia="Calibri"/>
                <w:sz w:val="20"/>
                <w:lang w:val="fr-CA"/>
              </w:rPr>
              <w:t>13</w:t>
            </w:r>
            <w:r w:rsidR="00171994" w:rsidRPr="007A5455">
              <w:rPr>
                <w:rFonts w:eastAsia="Calibri"/>
                <w:sz w:val="20"/>
                <w:lang w:val="fr-CA"/>
              </w:rPr>
              <w:t xml:space="preserve"> j</w:t>
            </w:r>
            <w:r w:rsidRPr="007A5455">
              <w:rPr>
                <w:rFonts w:eastAsia="Calibri"/>
                <w:sz w:val="20"/>
                <w:lang w:val="fr-CA"/>
              </w:rPr>
              <w:t>uillet 2015</w:t>
            </w:r>
          </w:p>
          <w:p w:rsidR="00171994" w:rsidRPr="007A5455" w:rsidRDefault="00171994" w:rsidP="0022676D">
            <w:pPr>
              <w:jc w:val="both"/>
              <w:rPr>
                <w:rFonts w:eastAsia="Calibri"/>
                <w:sz w:val="20"/>
                <w:lang w:val="fr-CA"/>
              </w:rPr>
            </w:pPr>
            <w:r w:rsidRPr="007A5455">
              <w:rPr>
                <w:rFonts w:eastAsia="Calibri"/>
                <w:sz w:val="20"/>
                <w:lang w:val="fr-CA"/>
              </w:rPr>
              <w:t>Cour suprême du Canada</w:t>
            </w:r>
          </w:p>
        </w:tc>
        <w:tc>
          <w:tcPr>
            <w:tcW w:w="243" w:type="pct"/>
          </w:tcPr>
          <w:p w:rsidR="00171994" w:rsidRPr="007A5455" w:rsidRDefault="00171994" w:rsidP="0022676D">
            <w:pPr>
              <w:jc w:val="both"/>
              <w:rPr>
                <w:rFonts w:eastAsia="Calibri"/>
                <w:sz w:val="20"/>
                <w:lang w:val="fr-CA"/>
              </w:rPr>
            </w:pPr>
          </w:p>
        </w:tc>
        <w:tc>
          <w:tcPr>
            <w:tcW w:w="2330" w:type="pct"/>
          </w:tcPr>
          <w:p w:rsidR="00171994" w:rsidRPr="007A5455" w:rsidRDefault="00345C04" w:rsidP="000500C1">
            <w:pPr>
              <w:spacing w:line="276" w:lineRule="auto"/>
              <w:jc w:val="both"/>
              <w:rPr>
                <w:rFonts w:eastAsia="Calibri"/>
                <w:sz w:val="20"/>
                <w:lang w:val="fr-CA"/>
              </w:rPr>
            </w:pPr>
            <w:r w:rsidRPr="007A5455">
              <w:rPr>
                <w:sz w:val="20"/>
                <w:szCs w:val="20"/>
                <w:lang w:val="fr-CA"/>
              </w:rPr>
              <w:t>Dépôt de la requête en prorogation de délai de signification et de dépôt de la demande d’autorisation d’appel et de la demande d’autorisation d’appel</w:t>
            </w:r>
          </w:p>
        </w:tc>
      </w:tr>
    </w:tbl>
    <w:p w:rsidR="00171994" w:rsidRPr="007A5455" w:rsidRDefault="00171994" w:rsidP="00171994">
      <w:pPr>
        <w:rPr>
          <w:sz w:val="20"/>
          <w:szCs w:val="20"/>
        </w:rPr>
      </w:pPr>
    </w:p>
    <w:p w:rsidR="006357E7" w:rsidRPr="007A5455" w:rsidRDefault="001F68BE" w:rsidP="00171994">
      <w:pPr>
        <w:rPr>
          <w:sz w:val="20"/>
          <w:szCs w:val="20"/>
          <w:lang w:val="fr-CA"/>
        </w:rPr>
      </w:pPr>
      <w:r>
        <w:rPr>
          <w:sz w:val="20"/>
          <w:szCs w:val="20"/>
          <w:lang w:val="fr-CA"/>
        </w:rPr>
        <w:pict>
          <v:rect id="_x0000_i1045"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C001E" w:rsidRPr="007A5455" w:rsidTr="0022676D">
        <w:trPr>
          <w:cantSplit/>
        </w:trPr>
        <w:tc>
          <w:tcPr>
            <w:tcW w:w="1458" w:type="dxa"/>
          </w:tcPr>
          <w:p w:rsidR="002C001E" w:rsidRPr="007A5455" w:rsidRDefault="002C001E" w:rsidP="0022676D">
            <w:pPr>
              <w:rPr>
                <w:sz w:val="20"/>
                <w:szCs w:val="20"/>
              </w:rPr>
            </w:pPr>
            <w:r w:rsidRPr="007A5455">
              <w:rPr>
                <w:rStyle w:val="SCCFileNumberChar"/>
                <w:sz w:val="20"/>
                <w:szCs w:val="20"/>
              </w:rPr>
              <w:lastRenderedPageBreak/>
              <w:t>36533</w:t>
            </w:r>
          </w:p>
          <w:p w:rsidR="002C001E" w:rsidRPr="007A5455" w:rsidRDefault="002C001E" w:rsidP="0022676D">
            <w:pPr>
              <w:rPr>
                <w:b/>
                <w:sz w:val="20"/>
                <w:szCs w:val="20"/>
                <w:lang w:val="fr-CA"/>
              </w:rPr>
            </w:pPr>
          </w:p>
        </w:tc>
        <w:tc>
          <w:tcPr>
            <w:tcW w:w="8118" w:type="dxa"/>
          </w:tcPr>
          <w:p w:rsidR="002C001E" w:rsidRPr="007A5455" w:rsidRDefault="002C001E" w:rsidP="0022676D">
            <w:pPr>
              <w:rPr>
                <w:sz w:val="20"/>
                <w:szCs w:val="20"/>
              </w:rPr>
            </w:pPr>
            <w:r w:rsidRPr="007A5455">
              <w:rPr>
                <w:b/>
                <w:iCs/>
                <w:sz w:val="20"/>
                <w:szCs w:val="20"/>
                <w:u w:val="single"/>
              </w:rPr>
              <w:t xml:space="preserve">Michael </w:t>
            </w:r>
            <w:proofErr w:type="spellStart"/>
            <w:r w:rsidRPr="007A5455">
              <w:rPr>
                <w:b/>
                <w:iCs/>
                <w:sz w:val="20"/>
                <w:szCs w:val="20"/>
                <w:u w:val="single"/>
              </w:rPr>
              <w:t>Witen</w:t>
            </w:r>
            <w:proofErr w:type="spellEnd"/>
            <w:r w:rsidRPr="007A5455">
              <w:rPr>
                <w:b/>
                <w:iCs/>
                <w:sz w:val="20"/>
                <w:szCs w:val="20"/>
                <w:u w:val="single"/>
              </w:rPr>
              <w:t xml:space="preserve"> v. Her Majesty the Queen</w:t>
            </w:r>
            <w:r w:rsidRPr="007A5455">
              <w:rPr>
                <w:iCs/>
                <w:sz w:val="20"/>
                <w:szCs w:val="20"/>
              </w:rPr>
              <w:t xml:space="preserve"> </w:t>
            </w:r>
            <w:r w:rsidRPr="007A5455">
              <w:rPr>
                <w:sz w:val="20"/>
                <w:szCs w:val="20"/>
              </w:rPr>
              <w:t>(Ont.) (Criminal) (By Leave)</w:t>
            </w:r>
          </w:p>
          <w:p w:rsidR="002C001E" w:rsidRPr="007A5455" w:rsidRDefault="002C001E" w:rsidP="0022676D">
            <w:pPr>
              <w:rPr>
                <w:sz w:val="20"/>
                <w:szCs w:val="20"/>
              </w:rPr>
            </w:pPr>
          </w:p>
        </w:tc>
      </w:tr>
      <w:tr w:rsidR="002C001E" w:rsidRPr="007A5455" w:rsidTr="0022676D">
        <w:trPr>
          <w:cantSplit/>
        </w:trPr>
        <w:tc>
          <w:tcPr>
            <w:tcW w:w="1458" w:type="dxa"/>
          </w:tcPr>
          <w:p w:rsidR="002C001E" w:rsidRPr="007A5455" w:rsidRDefault="002C001E" w:rsidP="0022676D">
            <w:pPr>
              <w:rPr>
                <w:sz w:val="20"/>
                <w:szCs w:val="20"/>
              </w:rPr>
            </w:pPr>
            <w:r w:rsidRPr="007A5455">
              <w:rPr>
                <w:sz w:val="20"/>
                <w:szCs w:val="20"/>
              </w:rPr>
              <w:t>Coram :</w:t>
            </w:r>
          </w:p>
        </w:tc>
        <w:tc>
          <w:tcPr>
            <w:tcW w:w="8118" w:type="dxa"/>
          </w:tcPr>
          <w:p w:rsidR="002C001E" w:rsidRPr="007A5455" w:rsidRDefault="002F355E" w:rsidP="0022676D">
            <w:pPr>
              <w:rPr>
                <w:sz w:val="20"/>
                <w:szCs w:val="20"/>
              </w:rPr>
            </w:pPr>
            <w:r w:rsidRPr="007A5455">
              <w:rPr>
                <w:rStyle w:val="SCCCoramChar"/>
                <w:sz w:val="20"/>
                <w:szCs w:val="20"/>
                <w:lang w:val="en-CA"/>
              </w:rPr>
              <w:t>Cromwell</w:t>
            </w:r>
            <w:r w:rsidR="002C001E" w:rsidRPr="007A5455">
              <w:rPr>
                <w:rStyle w:val="SCCCoramChar"/>
                <w:sz w:val="20"/>
                <w:szCs w:val="20"/>
                <w:lang w:val="en-CA"/>
              </w:rPr>
              <w:t xml:space="preserve">, </w:t>
            </w:r>
            <w:r w:rsidRPr="007A5455">
              <w:rPr>
                <w:rStyle w:val="SCCCoramChar"/>
                <w:sz w:val="20"/>
                <w:szCs w:val="20"/>
                <w:lang w:val="en-CA"/>
              </w:rPr>
              <w:t>Wagner</w:t>
            </w:r>
            <w:r w:rsidR="002C001E" w:rsidRPr="007A5455">
              <w:rPr>
                <w:rStyle w:val="SCCCoramChar"/>
                <w:sz w:val="20"/>
                <w:szCs w:val="20"/>
                <w:lang w:val="en-CA"/>
              </w:rPr>
              <w:t xml:space="preserve"> and </w:t>
            </w:r>
            <w:proofErr w:type="spellStart"/>
            <w:r w:rsidRPr="007A5455">
              <w:rPr>
                <w:rStyle w:val="SCCCoramChar"/>
                <w:sz w:val="20"/>
                <w:szCs w:val="20"/>
                <w:lang w:val="en-CA"/>
              </w:rPr>
              <w:t>Côté</w:t>
            </w:r>
            <w:proofErr w:type="spellEnd"/>
            <w:r w:rsidR="002C001E" w:rsidRPr="007A5455">
              <w:rPr>
                <w:rStyle w:val="SCCCoramChar"/>
                <w:sz w:val="20"/>
                <w:szCs w:val="20"/>
                <w:lang w:val="en-CA"/>
              </w:rPr>
              <w:t> JJ.</w:t>
            </w:r>
          </w:p>
          <w:p w:rsidR="002C001E" w:rsidRPr="007A5455" w:rsidRDefault="002C001E" w:rsidP="0022676D">
            <w:pPr>
              <w:rPr>
                <w:sz w:val="20"/>
                <w:szCs w:val="20"/>
                <w:u w:val="single"/>
              </w:rPr>
            </w:pPr>
          </w:p>
        </w:tc>
      </w:tr>
      <w:tr w:rsidR="002C001E" w:rsidRPr="007A5455" w:rsidTr="0022676D">
        <w:trPr>
          <w:cantSplit/>
        </w:trPr>
        <w:tc>
          <w:tcPr>
            <w:tcW w:w="9576" w:type="dxa"/>
            <w:gridSpan w:val="2"/>
          </w:tcPr>
          <w:p w:rsidR="002C001E" w:rsidRPr="007A5455" w:rsidRDefault="00CE4C7B" w:rsidP="0022676D">
            <w:pPr>
              <w:pStyle w:val="SCCShortJudgment"/>
              <w:rPr>
                <w:szCs w:val="20"/>
              </w:rPr>
            </w:pPr>
            <w:r w:rsidRPr="007A5455">
              <w:t>The motion for an extension of time to serve and file the application for leave to appeal from the judgment of the Court of Appeal for Ontario, Number C55620, 2014 ONCA 694, dated October 9, 2014, is dismissed. In any event, had such a motion been granted, the application for leave to appeal would have been dismissed.</w:t>
            </w:r>
          </w:p>
          <w:p w:rsidR="002C001E" w:rsidRPr="007A5455" w:rsidRDefault="002C001E" w:rsidP="0022676D">
            <w:pPr>
              <w:pStyle w:val="SCCShortJudgment"/>
              <w:ind w:firstLine="0"/>
              <w:rPr>
                <w:szCs w:val="20"/>
              </w:rPr>
            </w:pPr>
          </w:p>
          <w:p w:rsidR="002C001E" w:rsidRPr="007A5455" w:rsidRDefault="00CE4C7B" w:rsidP="00CE4C7B">
            <w:pPr>
              <w:pStyle w:val="SCCShortJudgment"/>
              <w:rPr>
                <w:szCs w:val="20"/>
                <w:lang w:val="fr-CA"/>
              </w:rPr>
            </w:pPr>
            <w:r w:rsidRPr="007A5455">
              <w:rPr>
                <w:lang w:val="fr-CA"/>
              </w:rPr>
              <w:t>La requête en prorogation du délai de signification et de dépôt de la demande d’autorisation d’appel de l’arrêt de la Cour d’appel de l’Ontario, numéro C55620, 2014 ONCA 694, daté du 9 octobre 2014, est rejetée. Quoi qu’il en soit, même si la requête avait été accueillie, la demande d’autorisation d’appel aurait été rejetée.</w:t>
            </w:r>
          </w:p>
        </w:tc>
      </w:tr>
    </w:tbl>
    <w:p w:rsidR="002C001E" w:rsidRPr="007A5455" w:rsidRDefault="002C001E" w:rsidP="002C001E">
      <w:pPr>
        <w:rPr>
          <w:sz w:val="20"/>
          <w:szCs w:val="20"/>
          <w:lang w:val="fr-CA"/>
        </w:rPr>
      </w:pPr>
    </w:p>
    <w:p w:rsidR="002C001E" w:rsidRPr="007A5455" w:rsidRDefault="002C001E" w:rsidP="002C001E">
      <w:pPr>
        <w:rPr>
          <w:sz w:val="20"/>
          <w:szCs w:val="20"/>
          <w:u w:val="single"/>
        </w:rPr>
      </w:pPr>
      <w:r w:rsidRPr="007A5455">
        <w:rPr>
          <w:sz w:val="20"/>
          <w:szCs w:val="20"/>
          <w:u w:val="single"/>
        </w:rPr>
        <w:t>CASE SUMMARY</w:t>
      </w:r>
    </w:p>
    <w:p w:rsidR="002C001E" w:rsidRPr="007A5455" w:rsidRDefault="002C001E" w:rsidP="002C001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001E" w:rsidRPr="007A5455" w:rsidTr="0022676D">
        <w:tc>
          <w:tcPr>
            <w:tcW w:w="5000" w:type="pct"/>
            <w:gridSpan w:val="3"/>
          </w:tcPr>
          <w:p w:rsidR="002C001E" w:rsidRPr="007A5455" w:rsidRDefault="00B877A6" w:rsidP="0022676D">
            <w:pPr>
              <w:jc w:val="both"/>
              <w:rPr>
                <w:sz w:val="20"/>
                <w:szCs w:val="20"/>
                <w:lang w:val="en-US"/>
              </w:rPr>
            </w:pPr>
            <w:r w:rsidRPr="007A5455">
              <w:rPr>
                <w:i/>
                <w:sz w:val="20"/>
                <w:szCs w:val="20"/>
              </w:rPr>
              <w:t>Charter of Rights</w:t>
            </w:r>
            <w:r w:rsidRPr="007A5455">
              <w:rPr>
                <w:sz w:val="20"/>
                <w:szCs w:val="20"/>
              </w:rPr>
              <w:t xml:space="preserve"> – Criminal law – Trial within a reasonable time – Application for stay of proceedings under s. 11(b) of the </w:t>
            </w:r>
            <w:r w:rsidRPr="007A5455">
              <w:rPr>
                <w:i/>
                <w:sz w:val="20"/>
                <w:szCs w:val="20"/>
              </w:rPr>
              <w:t>Charter</w:t>
            </w:r>
            <w:r w:rsidRPr="007A5455">
              <w:rPr>
                <w:sz w:val="20"/>
                <w:szCs w:val="20"/>
              </w:rPr>
              <w:t xml:space="preserve"> dismissed – Search and Seizure – Whether </w:t>
            </w:r>
            <w:r w:rsidRPr="007A5455">
              <w:rPr>
                <w:rFonts w:cs="Times New Roman"/>
                <w:sz w:val="20"/>
                <w:szCs w:val="20"/>
              </w:rPr>
              <w:t xml:space="preserve">documents </w:t>
            </w:r>
            <w:r w:rsidRPr="007A5455">
              <w:rPr>
                <w:sz w:val="20"/>
                <w:szCs w:val="20"/>
              </w:rPr>
              <w:t xml:space="preserve">seized resulted in a violation of applicant’s s. 8 </w:t>
            </w:r>
            <w:r w:rsidRPr="007A5455">
              <w:rPr>
                <w:rFonts w:cs="Times New Roman"/>
                <w:i/>
                <w:iCs/>
                <w:sz w:val="20"/>
                <w:szCs w:val="20"/>
              </w:rPr>
              <w:t>Charter</w:t>
            </w:r>
            <w:r w:rsidRPr="007A5455">
              <w:rPr>
                <w:sz w:val="20"/>
                <w:szCs w:val="20"/>
              </w:rPr>
              <w:t xml:space="preserve"> rights – </w:t>
            </w:r>
            <w:r w:rsidRPr="007A5455">
              <w:rPr>
                <w:sz w:val="20"/>
                <w:szCs w:val="20"/>
                <w:lang w:val="en-US"/>
              </w:rPr>
              <w:t xml:space="preserve">What are the limits to the police seizure power granted by section 289 of the </w:t>
            </w:r>
            <w:r w:rsidRPr="007A5455">
              <w:rPr>
                <w:i/>
                <w:sz w:val="20"/>
                <w:szCs w:val="20"/>
                <w:lang w:val="en-US"/>
              </w:rPr>
              <w:t xml:space="preserve">Criminal </w:t>
            </w:r>
            <w:r w:rsidRPr="007A5455">
              <w:rPr>
                <w:i/>
                <w:iCs/>
                <w:sz w:val="20"/>
                <w:szCs w:val="20"/>
                <w:lang w:val="en-US"/>
              </w:rPr>
              <w:t xml:space="preserve">Code, </w:t>
            </w:r>
            <w:r w:rsidRPr="007A5455">
              <w:rPr>
                <w:sz w:val="20"/>
                <w:szCs w:val="20"/>
                <w:lang w:val="en-US"/>
              </w:rPr>
              <w:t xml:space="preserve">and to what extent do the elements of the plain view doctrine inform the limits of that power </w:t>
            </w:r>
            <w:r w:rsidRPr="007A5455">
              <w:rPr>
                <w:sz w:val="20"/>
                <w:szCs w:val="20"/>
              </w:rPr>
              <w:t xml:space="preserve">– </w:t>
            </w:r>
            <w:r w:rsidRPr="007A5455">
              <w:rPr>
                <w:sz w:val="20"/>
                <w:szCs w:val="20"/>
                <w:lang w:val="en-US"/>
              </w:rPr>
              <w:t xml:space="preserve">Does the party bringing a frivolous motion bear the responsibility for the resulting delay in the section 11(b) </w:t>
            </w:r>
            <w:r w:rsidRPr="007A5455">
              <w:rPr>
                <w:i/>
                <w:sz w:val="20"/>
                <w:szCs w:val="20"/>
                <w:lang w:val="en-US"/>
              </w:rPr>
              <w:t xml:space="preserve">Charter </w:t>
            </w:r>
            <w:r w:rsidRPr="007A5455">
              <w:rPr>
                <w:sz w:val="20"/>
                <w:szCs w:val="20"/>
                <w:lang w:val="en-US"/>
              </w:rPr>
              <w:t xml:space="preserve">calculation – </w:t>
            </w:r>
            <w:r w:rsidRPr="007A5455">
              <w:rPr>
                <w:i/>
                <w:sz w:val="20"/>
                <w:szCs w:val="20"/>
                <w:lang w:val="en-US"/>
              </w:rPr>
              <w:t>Charter</w:t>
            </w:r>
            <w:r w:rsidRPr="007A5455">
              <w:rPr>
                <w:sz w:val="20"/>
                <w:szCs w:val="20"/>
                <w:lang w:val="en-US"/>
              </w:rPr>
              <w:t xml:space="preserve"> ss. 8 and 11(b).</w:t>
            </w:r>
          </w:p>
          <w:p w:rsidR="00B877A6" w:rsidRPr="007A5455" w:rsidRDefault="00B877A6" w:rsidP="0022676D">
            <w:pPr>
              <w:jc w:val="both"/>
              <w:rPr>
                <w:rFonts w:eastAsia="Calibri"/>
                <w:sz w:val="20"/>
                <w:szCs w:val="20"/>
              </w:rPr>
            </w:pPr>
          </w:p>
        </w:tc>
      </w:tr>
      <w:tr w:rsidR="00E06C22" w:rsidRPr="007A5455" w:rsidTr="0022676D">
        <w:tc>
          <w:tcPr>
            <w:tcW w:w="5000" w:type="pct"/>
            <w:gridSpan w:val="3"/>
          </w:tcPr>
          <w:p w:rsidR="00E06C22" w:rsidRPr="007A5455" w:rsidRDefault="00E06C22" w:rsidP="00E06C22">
            <w:pPr>
              <w:rPr>
                <w:sz w:val="20"/>
                <w:szCs w:val="20"/>
              </w:rPr>
            </w:pPr>
            <w:r w:rsidRPr="007A5455">
              <w:rPr>
                <w:rFonts w:cs="Times New Roman"/>
                <w:sz w:val="20"/>
                <w:szCs w:val="20"/>
              </w:rPr>
              <w:t xml:space="preserve">The applicant was a tax preparer who was charged with two counts of fraud. At trial, the applicant unsuccessfully moved for a stay, claiming that his right to a trial within a reasonable time as guaranteed by s. 11(b) of the </w:t>
            </w:r>
            <w:r w:rsidRPr="007A5455">
              <w:rPr>
                <w:rFonts w:cs="Times New Roman"/>
                <w:i/>
                <w:iCs/>
                <w:sz w:val="20"/>
                <w:szCs w:val="20"/>
              </w:rPr>
              <w:t>Charter</w:t>
            </w:r>
            <w:r w:rsidRPr="007A5455">
              <w:rPr>
                <w:rFonts w:cs="Times New Roman"/>
                <w:sz w:val="20"/>
                <w:szCs w:val="20"/>
              </w:rPr>
              <w:t xml:space="preserve"> had been infringed. He then sought to exclude certain documents from evidence under s. 24(2) of the </w:t>
            </w:r>
            <w:r w:rsidRPr="007A5455">
              <w:rPr>
                <w:rFonts w:cs="Times New Roman"/>
                <w:i/>
                <w:iCs/>
                <w:sz w:val="20"/>
                <w:szCs w:val="20"/>
              </w:rPr>
              <w:t>Charter</w:t>
            </w:r>
            <w:r w:rsidRPr="007A5455">
              <w:rPr>
                <w:rFonts w:cs="Times New Roman"/>
                <w:sz w:val="20"/>
                <w:szCs w:val="20"/>
              </w:rPr>
              <w:t xml:space="preserve">, claiming that the authorities had seized the documents from his office and home in violation of his rights under s. 8 of the </w:t>
            </w:r>
            <w:r w:rsidRPr="007A5455">
              <w:rPr>
                <w:rFonts w:cs="Times New Roman"/>
                <w:i/>
                <w:iCs/>
                <w:sz w:val="20"/>
                <w:szCs w:val="20"/>
              </w:rPr>
              <w:t>Charter</w:t>
            </w:r>
            <w:r w:rsidRPr="007A5455">
              <w:rPr>
                <w:rFonts w:cs="Times New Roman"/>
                <w:sz w:val="20"/>
                <w:szCs w:val="20"/>
              </w:rPr>
              <w:t>. The trial judge dismissed the motions.</w:t>
            </w:r>
            <w:r w:rsidRPr="007A5455">
              <w:rPr>
                <w:sz w:val="20"/>
                <w:szCs w:val="20"/>
              </w:rPr>
              <w:t xml:space="preserve"> The applicant was convicted of two counts of fraud. The applicant was sentenced to 3 years imprisonment and a fine of $448,000. The Court of Appeal dismissed the conviction and sentence appeals.</w:t>
            </w:r>
          </w:p>
          <w:p w:rsidR="00E06C22" w:rsidRPr="007A5455" w:rsidRDefault="00E06C22" w:rsidP="00E06C22">
            <w:pPr>
              <w:rPr>
                <w:sz w:val="20"/>
                <w:szCs w:val="20"/>
              </w:rPr>
            </w:pPr>
          </w:p>
        </w:tc>
      </w:tr>
      <w:tr w:rsidR="00E06C22" w:rsidRPr="007A5455" w:rsidTr="0022676D">
        <w:trPr>
          <w:cantSplit/>
        </w:trPr>
        <w:tc>
          <w:tcPr>
            <w:tcW w:w="2427" w:type="pct"/>
          </w:tcPr>
          <w:p w:rsidR="003539E8" w:rsidRPr="007A5455" w:rsidRDefault="003539E8" w:rsidP="003539E8">
            <w:pPr>
              <w:jc w:val="both"/>
              <w:rPr>
                <w:sz w:val="20"/>
                <w:szCs w:val="20"/>
              </w:rPr>
            </w:pPr>
            <w:r w:rsidRPr="007A5455">
              <w:rPr>
                <w:sz w:val="20"/>
                <w:szCs w:val="20"/>
              </w:rPr>
              <w:t>November 22, 2010</w:t>
            </w:r>
          </w:p>
          <w:p w:rsidR="003539E8" w:rsidRPr="007A5455" w:rsidRDefault="003539E8" w:rsidP="003539E8">
            <w:pPr>
              <w:jc w:val="both"/>
              <w:rPr>
                <w:sz w:val="20"/>
                <w:szCs w:val="20"/>
              </w:rPr>
            </w:pPr>
            <w:r w:rsidRPr="007A5455">
              <w:rPr>
                <w:sz w:val="20"/>
                <w:szCs w:val="20"/>
              </w:rPr>
              <w:t>Ontario Superior Court of Justice</w:t>
            </w:r>
          </w:p>
          <w:p w:rsidR="003539E8" w:rsidRPr="007A5455" w:rsidRDefault="003539E8" w:rsidP="003539E8">
            <w:pPr>
              <w:jc w:val="both"/>
              <w:rPr>
                <w:sz w:val="20"/>
                <w:szCs w:val="20"/>
              </w:rPr>
            </w:pPr>
            <w:r w:rsidRPr="007A5455">
              <w:rPr>
                <w:sz w:val="20"/>
                <w:szCs w:val="20"/>
              </w:rPr>
              <w:t>(</w:t>
            </w:r>
            <w:proofErr w:type="spellStart"/>
            <w:r w:rsidRPr="007A5455">
              <w:rPr>
                <w:sz w:val="20"/>
                <w:szCs w:val="20"/>
              </w:rPr>
              <w:t>Hambly</w:t>
            </w:r>
            <w:proofErr w:type="spellEnd"/>
            <w:r w:rsidRPr="007A5455">
              <w:rPr>
                <w:sz w:val="20"/>
                <w:szCs w:val="20"/>
              </w:rPr>
              <w:t xml:space="preserve"> J.)</w:t>
            </w:r>
          </w:p>
          <w:p w:rsidR="003539E8" w:rsidRPr="007A5455" w:rsidRDefault="003539E8" w:rsidP="003539E8">
            <w:pPr>
              <w:jc w:val="both"/>
              <w:rPr>
                <w:sz w:val="20"/>
                <w:szCs w:val="20"/>
              </w:rPr>
            </w:pPr>
            <w:r w:rsidRPr="007A5455">
              <w:rPr>
                <w:sz w:val="20"/>
                <w:szCs w:val="20"/>
              </w:rPr>
              <w:t>2010 ONSC 6327</w:t>
            </w:r>
          </w:p>
          <w:p w:rsidR="003539E8" w:rsidRPr="007A5455" w:rsidRDefault="001F68BE" w:rsidP="003539E8">
            <w:pPr>
              <w:jc w:val="both"/>
              <w:rPr>
                <w:sz w:val="20"/>
                <w:szCs w:val="20"/>
              </w:rPr>
            </w:pPr>
            <w:hyperlink r:id="rId40" w:history="1">
              <w:r w:rsidR="003539E8" w:rsidRPr="007A5455">
                <w:rPr>
                  <w:color w:val="0000FF"/>
                  <w:sz w:val="20"/>
                  <w:szCs w:val="20"/>
                  <w:u w:val="single"/>
                </w:rPr>
                <w:t>http://canlii.ca/t/fm71z</w:t>
              </w:r>
            </w:hyperlink>
          </w:p>
          <w:p w:rsidR="00E06C22" w:rsidRPr="007A5455" w:rsidRDefault="00E06C22" w:rsidP="00E06C22">
            <w:pPr>
              <w:jc w:val="both"/>
              <w:rPr>
                <w:rFonts w:eastAsia="Calibri"/>
                <w:sz w:val="20"/>
              </w:rPr>
            </w:pPr>
          </w:p>
        </w:tc>
        <w:tc>
          <w:tcPr>
            <w:tcW w:w="243" w:type="pct"/>
          </w:tcPr>
          <w:p w:rsidR="00E06C22" w:rsidRPr="007A5455" w:rsidRDefault="00E06C22" w:rsidP="00E06C22">
            <w:pPr>
              <w:jc w:val="both"/>
              <w:rPr>
                <w:rFonts w:eastAsia="Calibri"/>
                <w:sz w:val="20"/>
              </w:rPr>
            </w:pPr>
          </w:p>
        </w:tc>
        <w:tc>
          <w:tcPr>
            <w:tcW w:w="2330" w:type="pct"/>
          </w:tcPr>
          <w:p w:rsidR="003539E8" w:rsidRPr="007A5455" w:rsidRDefault="003539E8" w:rsidP="003539E8">
            <w:pPr>
              <w:jc w:val="both"/>
              <w:rPr>
                <w:sz w:val="20"/>
                <w:szCs w:val="20"/>
              </w:rPr>
            </w:pPr>
            <w:r w:rsidRPr="007A5455">
              <w:rPr>
                <w:sz w:val="20"/>
                <w:szCs w:val="20"/>
              </w:rPr>
              <w:t xml:space="preserve">Application for stay of proceedings under s. 11(b) of the </w:t>
            </w:r>
            <w:r w:rsidRPr="007A5455">
              <w:rPr>
                <w:i/>
                <w:sz w:val="20"/>
                <w:szCs w:val="20"/>
              </w:rPr>
              <w:t>Charter</w:t>
            </w:r>
            <w:r w:rsidRPr="007A5455">
              <w:rPr>
                <w:sz w:val="20"/>
                <w:szCs w:val="20"/>
              </w:rPr>
              <w:t xml:space="preserve"> dismissed</w:t>
            </w:r>
          </w:p>
          <w:p w:rsidR="00E06C22" w:rsidRPr="007A5455" w:rsidRDefault="00E06C22" w:rsidP="00E06C22">
            <w:pPr>
              <w:jc w:val="both"/>
              <w:rPr>
                <w:rFonts w:eastAsia="Calibri"/>
                <w:sz w:val="20"/>
              </w:rPr>
            </w:pPr>
          </w:p>
        </w:tc>
      </w:tr>
      <w:tr w:rsidR="00E06C22" w:rsidRPr="007A5455" w:rsidTr="0022676D">
        <w:trPr>
          <w:cantSplit/>
        </w:trPr>
        <w:tc>
          <w:tcPr>
            <w:tcW w:w="2427" w:type="pct"/>
          </w:tcPr>
          <w:p w:rsidR="003539E8" w:rsidRPr="007A5455" w:rsidRDefault="003539E8" w:rsidP="003539E8">
            <w:pPr>
              <w:jc w:val="both"/>
              <w:rPr>
                <w:sz w:val="20"/>
                <w:szCs w:val="20"/>
              </w:rPr>
            </w:pPr>
            <w:r w:rsidRPr="007A5455">
              <w:rPr>
                <w:sz w:val="20"/>
                <w:szCs w:val="20"/>
              </w:rPr>
              <w:t>May 5, 2011</w:t>
            </w:r>
          </w:p>
          <w:p w:rsidR="003539E8" w:rsidRPr="007A5455" w:rsidRDefault="003539E8" w:rsidP="003539E8">
            <w:pPr>
              <w:jc w:val="both"/>
              <w:rPr>
                <w:sz w:val="20"/>
                <w:szCs w:val="20"/>
              </w:rPr>
            </w:pPr>
            <w:r w:rsidRPr="007A5455">
              <w:rPr>
                <w:sz w:val="20"/>
                <w:szCs w:val="20"/>
              </w:rPr>
              <w:t>Ontario Superior Court of Justice</w:t>
            </w:r>
          </w:p>
          <w:p w:rsidR="003539E8" w:rsidRPr="007A5455" w:rsidRDefault="003539E8" w:rsidP="003539E8">
            <w:pPr>
              <w:jc w:val="both"/>
              <w:rPr>
                <w:sz w:val="20"/>
                <w:szCs w:val="20"/>
              </w:rPr>
            </w:pPr>
            <w:r w:rsidRPr="007A5455">
              <w:rPr>
                <w:sz w:val="20"/>
                <w:szCs w:val="20"/>
              </w:rPr>
              <w:t>(</w:t>
            </w:r>
            <w:proofErr w:type="spellStart"/>
            <w:r w:rsidRPr="007A5455">
              <w:rPr>
                <w:sz w:val="20"/>
                <w:szCs w:val="20"/>
              </w:rPr>
              <w:t>Hambly</w:t>
            </w:r>
            <w:proofErr w:type="spellEnd"/>
            <w:r w:rsidRPr="007A5455">
              <w:rPr>
                <w:sz w:val="20"/>
                <w:szCs w:val="20"/>
              </w:rPr>
              <w:t xml:space="preserve"> J.)</w:t>
            </w:r>
          </w:p>
          <w:p w:rsidR="003539E8" w:rsidRPr="007A5455" w:rsidRDefault="003539E8" w:rsidP="003539E8">
            <w:pPr>
              <w:jc w:val="both"/>
              <w:rPr>
                <w:sz w:val="20"/>
                <w:szCs w:val="20"/>
              </w:rPr>
            </w:pPr>
            <w:r w:rsidRPr="007A5455">
              <w:rPr>
                <w:sz w:val="20"/>
                <w:szCs w:val="20"/>
              </w:rPr>
              <w:t>2011 ONSC 2671</w:t>
            </w:r>
          </w:p>
          <w:p w:rsidR="003539E8" w:rsidRPr="007A5455" w:rsidRDefault="001F68BE" w:rsidP="003539E8">
            <w:pPr>
              <w:jc w:val="both"/>
              <w:rPr>
                <w:sz w:val="20"/>
                <w:szCs w:val="20"/>
              </w:rPr>
            </w:pPr>
            <w:hyperlink r:id="rId41" w:history="1">
              <w:r w:rsidR="003539E8" w:rsidRPr="007A5455">
                <w:rPr>
                  <w:color w:val="0000FF"/>
                  <w:sz w:val="20"/>
                  <w:szCs w:val="20"/>
                  <w:u w:val="single"/>
                </w:rPr>
                <w:t>http://canlii.ca/t/flfkm</w:t>
              </w:r>
            </w:hyperlink>
          </w:p>
          <w:p w:rsidR="00E06C22" w:rsidRPr="007A5455" w:rsidRDefault="00E06C22" w:rsidP="00E06C22">
            <w:pPr>
              <w:jc w:val="both"/>
              <w:rPr>
                <w:rFonts w:eastAsia="Calibri"/>
                <w:sz w:val="20"/>
              </w:rPr>
            </w:pPr>
          </w:p>
        </w:tc>
        <w:tc>
          <w:tcPr>
            <w:tcW w:w="243" w:type="pct"/>
          </w:tcPr>
          <w:p w:rsidR="00E06C22" w:rsidRPr="007A5455" w:rsidRDefault="00E06C22" w:rsidP="00E06C22">
            <w:pPr>
              <w:jc w:val="both"/>
              <w:rPr>
                <w:rFonts w:eastAsia="Calibri"/>
                <w:sz w:val="20"/>
              </w:rPr>
            </w:pPr>
          </w:p>
        </w:tc>
        <w:tc>
          <w:tcPr>
            <w:tcW w:w="2330" w:type="pct"/>
          </w:tcPr>
          <w:p w:rsidR="003539E8" w:rsidRPr="007A5455" w:rsidRDefault="003539E8" w:rsidP="003539E8">
            <w:pPr>
              <w:jc w:val="both"/>
              <w:rPr>
                <w:sz w:val="20"/>
                <w:szCs w:val="20"/>
              </w:rPr>
            </w:pPr>
            <w:r w:rsidRPr="007A5455">
              <w:rPr>
                <w:sz w:val="20"/>
                <w:szCs w:val="20"/>
              </w:rPr>
              <w:t xml:space="preserve">S. 8 </w:t>
            </w:r>
            <w:r w:rsidRPr="007A5455">
              <w:rPr>
                <w:i/>
                <w:sz w:val="20"/>
                <w:szCs w:val="20"/>
              </w:rPr>
              <w:t>Charter</w:t>
            </w:r>
            <w:r w:rsidRPr="007A5455">
              <w:rPr>
                <w:sz w:val="20"/>
                <w:szCs w:val="20"/>
              </w:rPr>
              <w:t xml:space="preserve"> application dismissed </w:t>
            </w:r>
          </w:p>
          <w:p w:rsidR="00E06C22" w:rsidRPr="007A5455" w:rsidRDefault="00E06C22" w:rsidP="00E06C22">
            <w:pPr>
              <w:jc w:val="both"/>
              <w:rPr>
                <w:rFonts w:eastAsia="Calibri"/>
                <w:sz w:val="20"/>
              </w:rPr>
            </w:pPr>
          </w:p>
        </w:tc>
      </w:tr>
      <w:tr w:rsidR="003539E8" w:rsidRPr="007A5455" w:rsidTr="0022676D">
        <w:trPr>
          <w:cantSplit/>
        </w:trPr>
        <w:tc>
          <w:tcPr>
            <w:tcW w:w="2427" w:type="pct"/>
          </w:tcPr>
          <w:p w:rsidR="003539E8" w:rsidRPr="007A5455" w:rsidRDefault="003539E8" w:rsidP="003539E8">
            <w:pPr>
              <w:jc w:val="both"/>
              <w:rPr>
                <w:sz w:val="20"/>
                <w:szCs w:val="20"/>
              </w:rPr>
            </w:pPr>
            <w:r w:rsidRPr="007A5455">
              <w:rPr>
                <w:sz w:val="20"/>
                <w:szCs w:val="20"/>
              </w:rPr>
              <w:t>October 9, 2014</w:t>
            </w:r>
          </w:p>
          <w:p w:rsidR="003539E8" w:rsidRPr="007A5455" w:rsidRDefault="003539E8" w:rsidP="003539E8">
            <w:pPr>
              <w:jc w:val="both"/>
              <w:rPr>
                <w:sz w:val="20"/>
                <w:szCs w:val="20"/>
              </w:rPr>
            </w:pPr>
            <w:r w:rsidRPr="007A5455">
              <w:rPr>
                <w:sz w:val="20"/>
                <w:szCs w:val="20"/>
              </w:rPr>
              <w:t>Court of Appeal for Ontario</w:t>
            </w:r>
          </w:p>
          <w:p w:rsidR="003539E8" w:rsidRPr="007A5455" w:rsidRDefault="003539E8" w:rsidP="003539E8">
            <w:pPr>
              <w:jc w:val="both"/>
              <w:rPr>
                <w:sz w:val="20"/>
                <w:szCs w:val="20"/>
              </w:rPr>
            </w:pPr>
            <w:r w:rsidRPr="007A5455">
              <w:rPr>
                <w:sz w:val="20"/>
                <w:szCs w:val="20"/>
              </w:rPr>
              <w:t xml:space="preserve">(Doherty, </w:t>
            </w:r>
            <w:proofErr w:type="spellStart"/>
            <w:r w:rsidRPr="007A5455">
              <w:rPr>
                <w:sz w:val="20"/>
                <w:szCs w:val="20"/>
              </w:rPr>
              <w:t>Pepall</w:t>
            </w:r>
            <w:proofErr w:type="spellEnd"/>
            <w:r w:rsidRPr="007A5455">
              <w:rPr>
                <w:sz w:val="20"/>
                <w:szCs w:val="20"/>
              </w:rPr>
              <w:t>, Tulloch JJ.A.)</w:t>
            </w:r>
          </w:p>
          <w:p w:rsidR="003539E8" w:rsidRPr="007A5455" w:rsidRDefault="003539E8" w:rsidP="003539E8">
            <w:pPr>
              <w:jc w:val="both"/>
              <w:rPr>
                <w:sz w:val="20"/>
                <w:szCs w:val="20"/>
              </w:rPr>
            </w:pPr>
            <w:r w:rsidRPr="007A5455">
              <w:rPr>
                <w:sz w:val="20"/>
                <w:szCs w:val="20"/>
              </w:rPr>
              <w:t>2014 ONCA 694; C55620</w:t>
            </w:r>
          </w:p>
          <w:p w:rsidR="003539E8" w:rsidRPr="007A5455" w:rsidRDefault="001F68BE" w:rsidP="003539E8">
            <w:pPr>
              <w:jc w:val="both"/>
              <w:rPr>
                <w:sz w:val="20"/>
                <w:szCs w:val="20"/>
              </w:rPr>
            </w:pPr>
            <w:hyperlink r:id="rId42" w:history="1">
              <w:r w:rsidR="003539E8" w:rsidRPr="007A5455">
                <w:rPr>
                  <w:rFonts w:eastAsiaTheme="majorEastAsia"/>
                  <w:color w:val="0000FF"/>
                  <w:sz w:val="20"/>
                  <w:szCs w:val="20"/>
                  <w:u w:val="single"/>
                </w:rPr>
                <w:t>http://canlii.ca/t/gdw4b</w:t>
              </w:r>
            </w:hyperlink>
          </w:p>
          <w:p w:rsidR="003539E8" w:rsidRPr="007A5455" w:rsidRDefault="003539E8" w:rsidP="00E06C22">
            <w:pPr>
              <w:jc w:val="both"/>
              <w:rPr>
                <w:rFonts w:eastAsia="Calibri"/>
                <w:sz w:val="20"/>
              </w:rPr>
            </w:pPr>
          </w:p>
        </w:tc>
        <w:tc>
          <w:tcPr>
            <w:tcW w:w="243" w:type="pct"/>
          </w:tcPr>
          <w:p w:rsidR="003539E8" w:rsidRPr="007A5455" w:rsidRDefault="003539E8" w:rsidP="00E06C22">
            <w:pPr>
              <w:jc w:val="both"/>
              <w:rPr>
                <w:rFonts w:eastAsia="Calibri"/>
                <w:sz w:val="20"/>
              </w:rPr>
            </w:pPr>
          </w:p>
        </w:tc>
        <w:tc>
          <w:tcPr>
            <w:tcW w:w="2330" w:type="pct"/>
          </w:tcPr>
          <w:p w:rsidR="003539E8" w:rsidRPr="007A5455" w:rsidRDefault="003539E8" w:rsidP="003539E8">
            <w:pPr>
              <w:rPr>
                <w:sz w:val="20"/>
                <w:szCs w:val="20"/>
              </w:rPr>
            </w:pPr>
            <w:r w:rsidRPr="007A5455">
              <w:rPr>
                <w:sz w:val="20"/>
                <w:szCs w:val="20"/>
              </w:rPr>
              <w:t>Conviction and sentence appeals dismissed</w:t>
            </w:r>
          </w:p>
          <w:p w:rsidR="003539E8" w:rsidRPr="007A5455" w:rsidRDefault="003539E8" w:rsidP="003539E8">
            <w:pPr>
              <w:tabs>
                <w:tab w:val="left" w:pos="948"/>
              </w:tabs>
              <w:rPr>
                <w:rFonts w:eastAsia="Calibri"/>
                <w:sz w:val="20"/>
              </w:rPr>
            </w:pPr>
          </w:p>
        </w:tc>
      </w:tr>
      <w:tr w:rsidR="00E11427" w:rsidRPr="007A5455" w:rsidTr="0022676D">
        <w:trPr>
          <w:cantSplit/>
        </w:trPr>
        <w:tc>
          <w:tcPr>
            <w:tcW w:w="2427" w:type="pct"/>
          </w:tcPr>
          <w:p w:rsidR="00E11427" w:rsidRPr="007A5455" w:rsidRDefault="00E11427" w:rsidP="00E11427">
            <w:pPr>
              <w:jc w:val="both"/>
              <w:rPr>
                <w:rFonts w:eastAsia="Calibri"/>
                <w:sz w:val="20"/>
              </w:rPr>
            </w:pPr>
            <w:r w:rsidRPr="007A5455">
              <w:rPr>
                <w:rFonts w:eastAsia="Calibri"/>
                <w:sz w:val="20"/>
              </w:rPr>
              <w:t>July 31, 2015</w:t>
            </w:r>
          </w:p>
          <w:p w:rsidR="00E11427" w:rsidRPr="007A5455" w:rsidRDefault="00E11427" w:rsidP="00E11427">
            <w:pPr>
              <w:jc w:val="both"/>
              <w:rPr>
                <w:rFonts w:eastAsia="Calibri"/>
                <w:sz w:val="20"/>
              </w:rPr>
            </w:pPr>
            <w:r w:rsidRPr="007A5455">
              <w:rPr>
                <w:rFonts w:eastAsia="Calibri"/>
                <w:sz w:val="20"/>
              </w:rPr>
              <w:t>Supreme Court of Canada</w:t>
            </w:r>
          </w:p>
        </w:tc>
        <w:tc>
          <w:tcPr>
            <w:tcW w:w="243" w:type="pct"/>
          </w:tcPr>
          <w:p w:rsidR="00E11427" w:rsidRPr="007A5455" w:rsidRDefault="00E11427" w:rsidP="00E11427">
            <w:pPr>
              <w:jc w:val="both"/>
              <w:rPr>
                <w:rFonts w:eastAsia="Calibri"/>
                <w:sz w:val="20"/>
              </w:rPr>
            </w:pPr>
          </w:p>
        </w:tc>
        <w:tc>
          <w:tcPr>
            <w:tcW w:w="2330" w:type="pct"/>
          </w:tcPr>
          <w:p w:rsidR="00E11427" w:rsidRPr="007A5455" w:rsidRDefault="00E11427" w:rsidP="00E11427">
            <w:pPr>
              <w:rPr>
                <w:sz w:val="20"/>
                <w:szCs w:val="20"/>
              </w:rPr>
            </w:pPr>
            <w:r w:rsidRPr="007A5455">
              <w:rPr>
                <w:sz w:val="20"/>
                <w:szCs w:val="20"/>
              </w:rPr>
              <w:t>Motion for an extension of time to serve and file the application for leave to appeal and application for leave to appeal filed</w:t>
            </w:r>
          </w:p>
        </w:tc>
      </w:tr>
    </w:tbl>
    <w:p w:rsidR="002C001E" w:rsidRPr="007A5455" w:rsidRDefault="001F68BE" w:rsidP="002C001E">
      <w:pPr>
        <w:rPr>
          <w:sz w:val="20"/>
          <w:szCs w:val="20"/>
        </w:rPr>
      </w:pPr>
      <w:r>
        <w:rPr>
          <w:sz w:val="20"/>
          <w:szCs w:val="20"/>
          <w:lang w:val="fr-CA"/>
        </w:rPr>
        <w:lastRenderedPageBreak/>
        <w:pict>
          <v:rect id="_x0000_i1046" style="width:2in;height:1pt" o:hrpct="0" o:hralign="center" o:hrstd="t" o:hrnoshade="t" o:hr="t" fillcolor="black [3213]" stroked="f"/>
        </w:pict>
      </w:r>
    </w:p>
    <w:p w:rsidR="002C001E" w:rsidRPr="007A5455" w:rsidRDefault="002C001E" w:rsidP="002C001E">
      <w:pPr>
        <w:rPr>
          <w:sz w:val="20"/>
          <w:szCs w:val="20"/>
        </w:rPr>
      </w:pPr>
    </w:p>
    <w:p w:rsidR="002C001E" w:rsidRPr="007A5455" w:rsidRDefault="002C001E" w:rsidP="002C001E">
      <w:pPr>
        <w:rPr>
          <w:sz w:val="20"/>
          <w:szCs w:val="20"/>
          <w:u w:val="single"/>
          <w:lang w:val="fr-CA"/>
        </w:rPr>
      </w:pPr>
      <w:r w:rsidRPr="007A5455">
        <w:rPr>
          <w:sz w:val="20"/>
          <w:szCs w:val="20"/>
          <w:u w:val="single"/>
          <w:lang w:val="fr-CA"/>
        </w:rPr>
        <w:t>RÉSUMÉ DE L’AFFAIRE</w:t>
      </w:r>
    </w:p>
    <w:p w:rsidR="002C001E" w:rsidRPr="007A5455" w:rsidRDefault="002C001E" w:rsidP="002C001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001E" w:rsidRPr="007A5455" w:rsidTr="0022676D">
        <w:tc>
          <w:tcPr>
            <w:tcW w:w="5000" w:type="pct"/>
            <w:gridSpan w:val="3"/>
          </w:tcPr>
          <w:p w:rsidR="009A16B6" w:rsidRPr="007A5455" w:rsidRDefault="009A16B6" w:rsidP="009A16B6">
            <w:pPr>
              <w:spacing w:line="276" w:lineRule="auto"/>
              <w:jc w:val="both"/>
              <w:rPr>
                <w:i/>
                <w:sz w:val="20"/>
                <w:szCs w:val="20"/>
                <w:lang w:val="fr-CA"/>
              </w:rPr>
            </w:pPr>
          </w:p>
          <w:p w:rsidR="002C001E" w:rsidRPr="007A5455" w:rsidRDefault="009A16B6" w:rsidP="009A16B6">
            <w:pPr>
              <w:jc w:val="both"/>
              <w:rPr>
                <w:sz w:val="20"/>
                <w:szCs w:val="20"/>
                <w:lang w:val="fr-CA"/>
              </w:rPr>
            </w:pPr>
            <w:r w:rsidRPr="007A5455">
              <w:rPr>
                <w:i/>
                <w:sz w:val="20"/>
                <w:szCs w:val="20"/>
                <w:lang w:val="fr-CA"/>
              </w:rPr>
              <w:t>Charte des droits</w:t>
            </w:r>
            <w:r w:rsidRPr="007A5455">
              <w:rPr>
                <w:sz w:val="20"/>
                <w:szCs w:val="20"/>
                <w:lang w:val="fr-CA"/>
              </w:rPr>
              <w:t xml:space="preserve"> – Droit criminel – Procès dans un délai raisonnable – Rejet de la demande  d’arrêt des procédures fondée sur l’al. 11</w:t>
            </w:r>
            <w:r w:rsidRPr="007A5455">
              <w:rPr>
                <w:i/>
                <w:sz w:val="20"/>
                <w:szCs w:val="20"/>
                <w:lang w:val="fr-CA"/>
              </w:rPr>
              <w:t>b</w:t>
            </w:r>
            <w:r w:rsidRPr="007A5455">
              <w:rPr>
                <w:sz w:val="20"/>
                <w:szCs w:val="20"/>
                <w:lang w:val="fr-CA"/>
              </w:rPr>
              <w:t xml:space="preserve">) de la </w:t>
            </w:r>
            <w:r w:rsidRPr="007A5455">
              <w:rPr>
                <w:i/>
                <w:sz w:val="20"/>
                <w:szCs w:val="20"/>
                <w:lang w:val="fr-CA"/>
              </w:rPr>
              <w:t>Charte</w:t>
            </w:r>
            <w:r w:rsidRPr="007A5455">
              <w:rPr>
                <w:sz w:val="20"/>
                <w:szCs w:val="20"/>
                <w:lang w:val="fr-CA"/>
              </w:rPr>
              <w:t xml:space="preserve"> – Fouilles et perquisitions – La saisie des documents a-t-elle donné lieu à une violation des droits que l’art. 8 de la </w:t>
            </w:r>
            <w:r w:rsidRPr="007A5455">
              <w:rPr>
                <w:rFonts w:cs="Times New Roman"/>
                <w:i/>
                <w:iCs/>
                <w:sz w:val="20"/>
                <w:szCs w:val="20"/>
                <w:lang w:val="fr-CA"/>
              </w:rPr>
              <w:t>Charte</w:t>
            </w:r>
            <w:r w:rsidRPr="007A5455">
              <w:rPr>
                <w:sz w:val="20"/>
                <w:szCs w:val="20"/>
                <w:lang w:val="fr-CA"/>
              </w:rPr>
              <w:t xml:space="preserve"> garantit au demandeur? – Quelles sont les limites du pouvoir de saisie des policiers accordé par l’article 289 du </w:t>
            </w:r>
            <w:r w:rsidRPr="007A5455">
              <w:rPr>
                <w:i/>
                <w:sz w:val="20"/>
                <w:szCs w:val="20"/>
                <w:lang w:val="fr-CA"/>
              </w:rPr>
              <w:t>Code criminel</w:t>
            </w:r>
            <w:r w:rsidRPr="007A5455">
              <w:rPr>
                <w:i/>
                <w:iCs/>
                <w:sz w:val="20"/>
                <w:szCs w:val="20"/>
                <w:lang w:val="fr-CA"/>
              </w:rPr>
              <w:t xml:space="preserve">, </w:t>
            </w:r>
            <w:r w:rsidRPr="007A5455">
              <w:rPr>
                <w:sz w:val="20"/>
                <w:szCs w:val="20"/>
                <w:lang w:val="fr-CA"/>
              </w:rPr>
              <w:t>et dans quelle mesure les éléments de la théorie dite « des objets bien en vue » déterminent-ils les limites de ce pouvoir? – La partie qui présente une motion frivole assume-t-elle la responsabilité du retard qui en résulte aux fins du calcul en application de l’al 11</w:t>
            </w:r>
            <w:r w:rsidRPr="007A5455">
              <w:rPr>
                <w:i/>
                <w:sz w:val="20"/>
                <w:szCs w:val="20"/>
                <w:lang w:val="fr-CA"/>
              </w:rPr>
              <w:t>b</w:t>
            </w:r>
            <w:r w:rsidRPr="007A5455">
              <w:rPr>
                <w:sz w:val="20"/>
                <w:szCs w:val="20"/>
                <w:lang w:val="fr-CA"/>
              </w:rPr>
              <w:t xml:space="preserve">) de la </w:t>
            </w:r>
            <w:r w:rsidRPr="007A5455">
              <w:rPr>
                <w:i/>
                <w:sz w:val="20"/>
                <w:szCs w:val="20"/>
                <w:lang w:val="fr-CA"/>
              </w:rPr>
              <w:t>Charte</w:t>
            </w:r>
            <w:r w:rsidRPr="007A5455">
              <w:rPr>
                <w:sz w:val="20"/>
                <w:szCs w:val="20"/>
                <w:lang w:val="fr-CA"/>
              </w:rPr>
              <w:t xml:space="preserve">? – </w:t>
            </w:r>
            <w:r w:rsidRPr="007A5455">
              <w:rPr>
                <w:i/>
                <w:sz w:val="20"/>
                <w:szCs w:val="20"/>
                <w:lang w:val="fr-CA"/>
              </w:rPr>
              <w:t>Charte</w:t>
            </w:r>
            <w:r w:rsidRPr="007A5455">
              <w:rPr>
                <w:sz w:val="20"/>
                <w:szCs w:val="20"/>
                <w:lang w:val="fr-CA"/>
              </w:rPr>
              <w:t xml:space="preserve"> art. 8 et 11</w:t>
            </w:r>
            <w:r w:rsidRPr="007A5455">
              <w:rPr>
                <w:i/>
                <w:sz w:val="20"/>
                <w:szCs w:val="20"/>
                <w:lang w:val="fr-CA"/>
              </w:rPr>
              <w:t>b</w:t>
            </w:r>
            <w:r w:rsidRPr="007A5455">
              <w:rPr>
                <w:sz w:val="20"/>
                <w:szCs w:val="20"/>
                <w:lang w:val="fr-CA"/>
              </w:rPr>
              <w:t>).</w:t>
            </w:r>
          </w:p>
          <w:p w:rsidR="009A16B6" w:rsidRPr="007A5455" w:rsidRDefault="009A16B6" w:rsidP="009A16B6">
            <w:pPr>
              <w:jc w:val="both"/>
              <w:rPr>
                <w:rFonts w:eastAsia="Calibri"/>
                <w:sz w:val="20"/>
                <w:szCs w:val="20"/>
                <w:lang w:val="fr-CA"/>
              </w:rPr>
            </w:pPr>
          </w:p>
        </w:tc>
      </w:tr>
      <w:tr w:rsidR="002C001E" w:rsidRPr="007A5455" w:rsidTr="0022676D">
        <w:tc>
          <w:tcPr>
            <w:tcW w:w="5000" w:type="pct"/>
            <w:gridSpan w:val="3"/>
          </w:tcPr>
          <w:p w:rsidR="00F7291A" w:rsidRPr="007A5455" w:rsidRDefault="00F7291A" w:rsidP="00F7291A">
            <w:pPr>
              <w:spacing w:line="276" w:lineRule="auto"/>
              <w:jc w:val="both"/>
              <w:rPr>
                <w:sz w:val="20"/>
                <w:szCs w:val="20"/>
                <w:lang w:val="fr-CA"/>
              </w:rPr>
            </w:pPr>
            <w:r w:rsidRPr="007A5455">
              <w:rPr>
                <w:rFonts w:cs="Times New Roman"/>
                <w:sz w:val="20"/>
                <w:szCs w:val="20"/>
                <w:lang w:val="fr-CA"/>
              </w:rPr>
              <w:t>Le demandeur était un spécialiste en déclarations de revenus, inculpé sous deux chefs d’accusation de fraude. Au procès, le demandeur a été débouté de sa motion d’arrêt des procédures dans laquelle il alléguait que son droit d’être jugé dans un délai raisonnable, garanti par l’al. 11</w:t>
            </w:r>
            <w:r w:rsidRPr="007A5455">
              <w:rPr>
                <w:rFonts w:cs="Times New Roman"/>
                <w:i/>
                <w:sz w:val="20"/>
                <w:szCs w:val="20"/>
                <w:lang w:val="fr-CA"/>
              </w:rPr>
              <w:t>b</w:t>
            </w:r>
            <w:r w:rsidRPr="007A5455">
              <w:rPr>
                <w:rFonts w:cs="Times New Roman"/>
                <w:sz w:val="20"/>
                <w:szCs w:val="20"/>
                <w:lang w:val="fr-CA"/>
              </w:rPr>
              <w:t xml:space="preserve">) de la </w:t>
            </w:r>
            <w:r w:rsidRPr="007A5455">
              <w:rPr>
                <w:rFonts w:cs="Times New Roman"/>
                <w:i/>
                <w:iCs/>
                <w:sz w:val="20"/>
                <w:szCs w:val="20"/>
                <w:lang w:val="fr-CA"/>
              </w:rPr>
              <w:t>Charte</w:t>
            </w:r>
            <w:r w:rsidRPr="007A5455">
              <w:rPr>
                <w:rFonts w:cs="Times New Roman"/>
                <w:iCs/>
                <w:sz w:val="20"/>
                <w:szCs w:val="20"/>
                <w:lang w:val="fr-CA"/>
              </w:rPr>
              <w:t>,</w:t>
            </w:r>
            <w:r w:rsidRPr="007A5455">
              <w:rPr>
                <w:rFonts w:cs="Times New Roman"/>
                <w:sz w:val="20"/>
                <w:szCs w:val="20"/>
                <w:lang w:val="fr-CA"/>
              </w:rPr>
              <w:t xml:space="preserve"> avait été violé. Il a ensuite cherché à exclure certains documents de la preuve en application du par. 24(2) de la </w:t>
            </w:r>
            <w:r w:rsidRPr="007A5455">
              <w:rPr>
                <w:rFonts w:cs="Times New Roman"/>
                <w:i/>
                <w:iCs/>
                <w:sz w:val="20"/>
                <w:szCs w:val="20"/>
                <w:lang w:val="fr-CA"/>
              </w:rPr>
              <w:t>Charte</w:t>
            </w:r>
            <w:r w:rsidRPr="007A5455">
              <w:rPr>
                <w:rFonts w:cs="Times New Roman"/>
                <w:sz w:val="20"/>
                <w:szCs w:val="20"/>
                <w:lang w:val="fr-CA"/>
              </w:rPr>
              <w:t xml:space="preserve">, alléguant que les autorités avaient saisi les documents de son bureau et de son domicile en violation des droits que lui garantit l’art. 8 de la </w:t>
            </w:r>
            <w:r w:rsidRPr="007A5455">
              <w:rPr>
                <w:rFonts w:cs="Times New Roman"/>
                <w:i/>
                <w:iCs/>
                <w:sz w:val="20"/>
                <w:szCs w:val="20"/>
                <w:lang w:val="fr-CA"/>
              </w:rPr>
              <w:t>Charte</w:t>
            </w:r>
            <w:r w:rsidRPr="007A5455">
              <w:rPr>
                <w:rFonts w:cs="Times New Roman"/>
                <w:sz w:val="20"/>
                <w:szCs w:val="20"/>
                <w:lang w:val="fr-CA"/>
              </w:rPr>
              <w:t>. Le juge du procès a rejeté ces motions.</w:t>
            </w:r>
            <w:r w:rsidRPr="007A5455">
              <w:rPr>
                <w:sz w:val="20"/>
                <w:szCs w:val="20"/>
                <w:lang w:val="fr-CA"/>
              </w:rPr>
              <w:t xml:space="preserve"> Le demandeur a été déclaré coupable sous deux chefs d’accusation de fraude. Le demandeur a été condamné à une peine d’emprisonnement de trois ans et à une amende de 448 000 $. La Cour d’appel a rejeté les appels de la déclaration de culpabilité et de la peine.</w:t>
            </w:r>
          </w:p>
          <w:p w:rsidR="002C001E" w:rsidRPr="007A5455" w:rsidRDefault="002C001E" w:rsidP="0022676D">
            <w:pPr>
              <w:jc w:val="both"/>
              <w:rPr>
                <w:sz w:val="20"/>
                <w:lang w:val="fr-CA"/>
              </w:rPr>
            </w:pPr>
          </w:p>
        </w:tc>
      </w:tr>
      <w:tr w:rsidR="002C001E" w:rsidRPr="007A5455" w:rsidTr="0022676D">
        <w:trPr>
          <w:cantSplit/>
        </w:trPr>
        <w:tc>
          <w:tcPr>
            <w:tcW w:w="2427" w:type="pct"/>
          </w:tcPr>
          <w:p w:rsidR="004828F7" w:rsidRPr="007A5455" w:rsidRDefault="004828F7" w:rsidP="004828F7">
            <w:pPr>
              <w:rPr>
                <w:sz w:val="20"/>
                <w:szCs w:val="20"/>
                <w:lang w:val="fr-CA"/>
              </w:rPr>
            </w:pPr>
            <w:r w:rsidRPr="007A5455">
              <w:rPr>
                <w:sz w:val="20"/>
                <w:szCs w:val="20"/>
                <w:lang w:val="fr-CA"/>
              </w:rPr>
              <w:t>22 novembre 2010</w:t>
            </w:r>
          </w:p>
          <w:p w:rsidR="004828F7" w:rsidRPr="007A5455" w:rsidRDefault="004828F7" w:rsidP="004828F7">
            <w:pPr>
              <w:rPr>
                <w:sz w:val="20"/>
                <w:szCs w:val="20"/>
                <w:lang w:val="fr-CA"/>
              </w:rPr>
            </w:pPr>
            <w:r w:rsidRPr="007A5455">
              <w:rPr>
                <w:sz w:val="20"/>
                <w:szCs w:val="20"/>
                <w:lang w:val="fr-CA"/>
              </w:rPr>
              <w:t>Cour supérieure de justice de l’Ontario</w:t>
            </w:r>
          </w:p>
          <w:p w:rsidR="004828F7" w:rsidRPr="007A5455" w:rsidRDefault="004828F7" w:rsidP="004828F7">
            <w:pPr>
              <w:rPr>
                <w:sz w:val="20"/>
                <w:szCs w:val="20"/>
                <w:lang w:val="en-US"/>
              </w:rPr>
            </w:pPr>
            <w:r w:rsidRPr="007A5455">
              <w:rPr>
                <w:sz w:val="20"/>
                <w:szCs w:val="20"/>
                <w:lang w:val="en-US"/>
              </w:rPr>
              <w:t>(</w:t>
            </w:r>
            <w:proofErr w:type="spellStart"/>
            <w:r w:rsidRPr="007A5455">
              <w:rPr>
                <w:sz w:val="20"/>
                <w:szCs w:val="20"/>
                <w:lang w:val="en-US"/>
              </w:rPr>
              <w:t>Juge</w:t>
            </w:r>
            <w:proofErr w:type="spellEnd"/>
            <w:r w:rsidRPr="007A5455">
              <w:rPr>
                <w:sz w:val="20"/>
                <w:szCs w:val="20"/>
                <w:lang w:val="en-US"/>
              </w:rPr>
              <w:t xml:space="preserve"> </w:t>
            </w:r>
            <w:proofErr w:type="spellStart"/>
            <w:r w:rsidRPr="007A5455">
              <w:rPr>
                <w:sz w:val="20"/>
                <w:szCs w:val="20"/>
                <w:lang w:val="en-US"/>
              </w:rPr>
              <w:t>Hambly</w:t>
            </w:r>
            <w:proofErr w:type="spellEnd"/>
            <w:r w:rsidRPr="007A5455">
              <w:rPr>
                <w:sz w:val="20"/>
                <w:szCs w:val="20"/>
                <w:lang w:val="en-US"/>
              </w:rPr>
              <w:t>)</w:t>
            </w:r>
          </w:p>
          <w:p w:rsidR="004828F7" w:rsidRPr="007A5455" w:rsidRDefault="004828F7" w:rsidP="004828F7">
            <w:pPr>
              <w:rPr>
                <w:sz w:val="20"/>
                <w:szCs w:val="20"/>
                <w:lang w:val="en-US"/>
              </w:rPr>
            </w:pPr>
            <w:r w:rsidRPr="007A5455">
              <w:rPr>
                <w:sz w:val="20"/>
                <w:szCs w:val="20"/>
                <w:lang w:val="en-US"/>
              </w:rPr>
              <w:t>2010 ONSC 6327</w:t>
            </w:r>
          </w:p>
          <w:p w:rsidR="004828F7" w:rsidRPr="007A5455" w:rsidRDefault="001F68BE" w:rsidP="004828F7">
            <w:pPr>
              <w:rPr>
                <w:rStyle w:val="documentstaticurl"/>
                <w:sz w:val="20"/>
                <w:szCs w:val="20"/>
              </w:rPr>
            </w:pPr>
            <w:hyperlink r:id="rId43" w:history="1">
              <w:r w:rsidR="004828F7" w:rsidRPr="007A5455">
                <w:rPr>
                  <w:rStyle w:val="Hyperlink"/>
                  <w:sz w:val="20"/>
                  <w:szCs w:val="20"/>
                  <w:lang w:val="en-US"/>
                </w:rPr>
                <w:t>http://canlii.ca/t/fm71z</w:t>
              </w:r>
            </w:hyperlink>
          </w:p>
          <w:p w:rsidR="002C001E" w:rsidRPr="007A5455" w:rsidRDefault="002C001E" w:rsidP="0022676D">
            <w:pPr>
              <w:jc w:val="both"/>
              <w:rPr>
                <w:rFonts w:eastAsia="Calibri"/>
                <w:sz w:val="20"/>
                <w:lang w:val="fr-CA"/>
              </w:rPr>
            </w:pPr>
          </w:p>
        </w:tc>
        <w:tc>
          <w:tcPr>
            <w:tcW w:w="243" w:type="pct"/>
          </w:tcPr>
          <w:p w:rsidR="002C001E" w:rsidRPr="007A5455" w:rsidRDefault="002C001E" w:rsidP="0022676D">
            <w:pPr>
              <w:jc w:val="both"/>
              <w:rPr>
                <w:rFonts w:eastAsia="Calibri"/>
                <w:sz w:val="20"/>
                <w:lang w:val="fr-CA"/>
              </w:rPr>
            </w:pPr>
          </w:p>
        </w:tc>
        <w:tc>
          <w:tcPr>
            <w:tcW w:w="2330" w:type="pct"/>
          </w:tcPr>
          <w:p w:rsidR="004828F7" w:rsidRPr="007A5455" w:rsidRDefault="004828F7" w:rsidP="004828F7">
            <w:pPr>
              <w:rPr>
                <w:sz w:val="20"/>
                <w:szCs w:val="20"/>
                <w:lang w:val="fr-CA"/>
              </w:rPr>
            </w:pPr>
            <w:r w:rsidRPr="007A5455">
              <w:rPr>
                <w:sz w:val="20"/>
                <w:szCs w:val="20"/>
                <w:lang w:val="fr-CA"/>
              </w:rPr>
              <w:t>Rejet de la demande d’arrêt des procédures fondée sur l’al. 11</w:t>
            </w:r>
            <w:r w:rsidRPr="007A5455">
              <w:rPr>
                <w:i/>
                <w:sz w:val="20"/>
                <w:szCs w:val="20"/>
                <w:lang w:val="fr-CA"/>
              </w:rPr>
              <w:t>b</w:t>
            </w:r>
            <w:r w:rsidRPr="007A5455">
              <w:rPr>
                <w:sz w:val="20"/>
                <w:szCs w:val="20"/>
                <w:lang w:val="fr-CA"/>
              </w:rPr>
              <w:t xml:space="preserve">) de la </w:t>
            </w:r>
            <w:r w:rsidRPr="007A5455">
              <w:rPr>
                <w:i/>
                <w:sz w:val="20"/>
                <w:szCs w:val="20"/>
                <w:lang w:val="fr-CA"/>
              </w:rPr>
              <w:t>Charte</w:t>
            </w:r>
          </w:p>
          <w:p w:rsidR="002C001E" w:rsidRPr="007A5455" w:rsidRDefault="002C001E" w:rsidP="0022676D">
            <w:pPr>
              <w:jc w:val="both"/>
              <w:rPr>
                <w:rFonts w:eastAsia="Calibri"/>
                <w:sz w:val="20"/>
                <w:lang w:val="fr-CA"/>
              </w:rPr>
            </w:pPr>
          </w:p>
        </w:tc>
      </w:tr>
      <w:tr w:rsidR="002C001E" w:rsidRPr="007A5455" w:rsidTr="0022676D">
        <w:trPr>
          <w:cantSplit/>
        </w:trPr>
        <w:tc>
          <w:tcPr>
            <w:tcW w:w="2427" w:type="pct"/>
          </w:tcPr>
          <w:p w:rsidR="00311D3C" w:rsidRPr="007A5455" w:rsidRDefault="00311D3C" w:rsidP="00311D3C">
            <w:pPr>
              <w:rPr>
                <w:sz w:val="20"/>
                <w:szCs w:val="20"/>
                <w:lang w:val="fr-CA"/>
              </w:rPr>
            </w:pPr>
            <w:r w:rsidRPr="007A5455">
              <w:rPr>
                <w:sz w:val="20"/>
                <w:szCs w:val="20"/>
                <w:lang w:val="fr-CA"/>
              </w:rPr>
              <w:t>5 mai 2011</w:t>
            </w:r>
          </w:p>
          <w:p w:rsidR="00311D3C" w:rsidRPr="007A5455" w:rsidRDefault="00311D3C" w:rsidP="00311D3C">
            <w:pPr>
              <w:rPr>
                <w:sz w:val="20"/>
                <w:szCs w:val="20"/>
                <w:lang w:val="fr-CA"/>
              </w:rPr>
            </w:pPr>
            <w:r w:rsidRPr="007A5455">
              <w:rPr>
                <w:sz w:val="20"/>
                <w:szCs w:val="20"/>
                <w:lang w:val="fr-CA"/>
              </w:rPr>
              <w:t>Cour supérieure de justice de l’Ontario</w:t>
            </w:r>
          </w:p>
          <w:p w:rsidR="00311D3C" w:rsidRPr="007A5455" w:rsidRDefault="00311D3C" w:rsidP="00311D3C">
            <w:pPr>
              <w:rPr>
                <w:sz w:val="20"/>
                <w:szCs w:val="20"/>
                <w:lang w:val="en-US"/>
              </w:rPr>
            </w:pPr>
            <w:r w:rsidRPr="007A5455">
              <w:rPr>
                <w:sz w:val="20"/>
                <w:szCs w:val="20"/>
                <w:lang w:val="en-US"/>
              </w:rPr>
              <w:t>(</w:t>
            </w:r>
            <w:proofErr w:type="spellStart"/>
            <w:r w:rsidRPr="007A5455">
              <w:rPr>
                <w:sz w:val="20"/>
                <w:szCs w:val="20"/>
                <w:lang w:val="en-US"/>
              </w:rPr>
              <w:t>Juge</w:t>
            </w:r>
            <w:proofErr w:type="spellEnd"/>
            <w:r w:rsidRPr="007A5455">
              <w:rPr>
                <w:sz w:val="20"/>
                <w:szCs w:val="20"/>
                <w:lang w:val="en-US"/>
              </w:rPr>
              <w:t xml:space="preserve"> </w:t>
            </w:r>
            <w:proofErr w:type="spellStart"/>
            <w:r w:rsidRPr="007A5455">
              <w:rPr>
                <w:sz w:val="20"/>
                <w:szCs w:val="20"/>
                <w:lang w:val="en-US"/>
              </w:rPr>
              <w:t>Hambly</w:t>
            </w:r>
            <w:proofErr w:type="spellEnd"/>
            <w:r w:rsidRPr="007A5455">
              <w:rPr>
                <w:sz w:val="20"/>
                <w:szCs w:val="20"/>
                <w:lang w:val="en-US"/>
              </w:rPr>
              <w:t>)</w:t>
            </w:r>
          </w:p>
          <w:p w:rsidR="00311D3C" w:rsidRPr="007A5455" w:rsidRDefault="00311D3C" w:rsidP="00311D3C">
            <w:pPr>
              <w:rPr>
                <w:sz w:val="20"/>
                <w:szCs w:val="20"/>
                <w:lang w:val="en-US"/>
              </w:rPr>
            </w:pPr>
            <w:r w:rsidRPr="007A5455">
              <w:rPr>
                <w:sz w:val="20"/>
                <w:szCs w:val="20"/>
                <w:lang w:val="en-US"/>
              </w:rPr>
              <w:t>2011 ONSC 2671</w:t>
            </w:r>
          </w:p>
          <w:p w:rsidR="00311D3C" w:rsidRPr="007A5455" w:rsidRDefault="001F68BE" w:rsidP="00311D3C">
            <w:pPr>
              <w:rPr>
                <w:rStyle w:val="documentstaticurl"/>
                <w:sz w:val="20"/>
                <w:szCs w:val="20"/>
              </w:rPr>
            </w:pPr>
            <w:hyperlink r:id="rId44" w:history="1">
              <w:r w:rsidR="00311D3C" w:rsidRPr="007A5455">
                <w:rPr>
                  <w:rStyle w:val="Hyperlink"/>
                  <w:sz w:val="20"/>
                  <w:szCs w:val="20"/>
                  <w:lang w:val="en-US"/>
                </w:rPr>
                <w:t>http://canlii.ca/t/flfkm</w:t>
              </w:r>
            </w:hyperlink>
          </w:p>
          <w:p w:rsidR="002C001E" w:rsidRPr="007A5455" w:rsidRDefault="002C001E" w:rsidP="0022676D">
            <w:pPr>
              <w:jc w:val="both"/>
              <w:rPr>
                <w:rFonts w:eastAsia="Calibri"/>
                <w:sz w:val="20"/>
                <w:lang w:val="fr-CA"/>
              </w:rPr>
            </w:pPr>
          </w:p>
        </w:tc>
        <w:tc>
          <w:tcPr>
            <w:tcW w:w="243" w:type="pct"/>
          </w:tcPr>
          <w:p w:rsidR="002C001E" w:rsidRPr="007A5455" w:rsidRDefault="002C001E" w:rsidP="0022676D">
            <w:pPr>
              <w:jc w:val="both"/>
              <w:rPr>
                <w:rFonts w:eastAsia="Calibri"/>
                <w:sz w:val="20"/>
                <w:lang w:val="fr-CA"/>
              </w:rPr>
            </w:pPr>
          </w:p>
        </w:tc>
        <w:tc>
          <w:tcPr>
            <w:tcW w:w="2330" w:type="pct"/>
          </w:tcPr>
          <w:p w:rsidR="00311D3C" w:rsidRPr="007A5455" w:rsidRDefault="00311D3C" w:rsidP="00311D3C">
            <w:pPr>
              <w:rPr>
                <w:sz w:val="20"/>
                <w:szCs w:val="20"/>
                <w:lang w:val="fr-CA"/>
              </w:rPr>
            </w:pPr>
            <w:r w:rsidRPr="007A5455">
              <w:rPr>
                <w:sz w:val="20"/>
                <w:szCs w:val="20"/>
                <w:lang w:val="fr-CA"/>
              </w:rPr>
              <w:t xml:space="preserve">Rejet de la demande fondée sur l’art. 8 de la </w:t>
            </w:r>
            <w:r w:rsidRPr="007A5455">
              <w:rPr>
                <w:i/>
                <w:sz w:val="20"/>
                <w:szCs w:val="20"/>
                <w:lang w:val="fr-CA"/>
              </w:rPr>
              <w:t>Charte</w:t>
            </w:r>
            <w:r w:rsidRPr="007A5455">
              <w:rPr>
                <w:sz w:val="20"/>
                <w:szCs w:val="20"/>
                <w:lang w:val="fr-CA"/>
              </w:rPr>
              <w:t xml:space="preserve"> </w:t>
            </w:r>
          </w:p>
          <w:p w:rsidR="002C001E" w:rsidRPr="007A5455" w:rsidRDefault="002C001E" w:rsidP="0022676D">
            <w:pPr>
              <w:jc w:val="both"/>
              <w:rPr>
                <w:rFonts w:eastAsia="Calibri"/>
                <w:sz w:val="20"/>
                <w:lang w:val="fr-CA"/>
              </w:rPr>
            </w:pPr>
          </w:p>
        </w:tc>
      </w:tr>
      <w:tr w:rsidR="00311D3C" w:rsidRPr="007A5455" w:rsidTr="0022676D">
        <w:trPr>
          <w:cantSplit/>
        </w:trPr>
        <w:tc>
          <w:tcPr>
            <w:tcW w:w="2427" w:type="pct"/>
          </w:tcPr>
          <w:p w:rsidR="00311D3C" w:rsidRPr="007A5455" w:rsidRDefault="00311D3C" w:rsidP="00311D3C">
            <w:pPr>
              <w:rPr>
                <w:sz w:val="20"/>
                <w:szCs w:val="20"/>
                <w:lang w:val="fr-CA"/>
              </w:rPr>
            </w:pPr>
            <w:r w:rsidRPr="007A5455">
              <w:rPr>
                <w:sz w:val="20"/>
                <w:szCs w:val="20"/>
                <w:lang w:val="fr-CA"/>
              </w:rPr>
              <w:t>9 octobre 2014</w:t>
            </w:r>
          </w:p>
          <w:p w:rsidR="00311D3C" w:rsidRPr="007A5455" w:rsidRDefault="00311D3C" w:rsidP="00311D3C">
            <w:pPr>
              <w:rPr>
                <w:sz w:val="20"/>
                <w:szCs w:val="20"/>
                <w:lang w:val="fr-CA"/>
              </w:rPr>
            </w:pPr>
            <w:r w:rsidRPr="007A5455">
              <w:rPr>
                <w:sz w:val="20"/>
                <w:szCs w:val="20"/>
                <w:lang w:val="fr-CA"/>
              </w:rPr>
              <w:t>Cour d’appel de l’Ontario</w:t>
            </w:r>
          </w:p>
          <w:p w:rsidR="00311D3C" w:rsidRPr="007A5455" w:rsidRDefault="00311D3C" w:rsidP="00311D3C">
            <w:pPr>
              <w:rPr>
                <w:sz w:val="20"/>
                <w:szCs w:val="20"/>
                <w:lang w:val="fr-CA"/>
              </w:rPr>
            </w:pPr>
            <w:r w:rsidRPr="007A5455">
              <w:rPr>
                <w:sz w:val="20"/>
                <w:szCs w:val="20"/>
                <w:lang w:val="fr-CA"/>
              </w:rPr>
              <w:t xml:space="preserve">(Juges Doherty, </w:t>
            </w:r>
            <w:proofErr w:type="spellStart"/>
            <w:r w:rsidRPr="007A5455">
              <w:rPr>
                <w:sz w:val="20"/>
                <w:szCs w:val="20"/>
                <w:lang w:val="fr-CA"/>
              </w:rPr>
              <w:t>Pepall</w:t>
            </w:r>
            <w:proofErr w:type="spellEnd"/>
            <w:r w:rsidRPr="007A5455">
              <w:rPr>
                <w:sz w:val="20"/>
                <w:szCs w:val="20"/>
                <w:lang w:val="fr-CA"/>
              </w:rPr>
              <w:t xml:space="preserve"> et </w:t>
            </w:r>
            <w:proofErr w:type="spellStart"/>
            <w:r w:rsidRPr="007A5455">
              <w:rPr>
                <w:sz w:val="20"/>
                <w:szCs w:val="20"/>
                <w:lang w:val="fr-CA"/>
              </w:rPr>
              <w:t>Tulloch</w:t>
            </w:r>
            <w:proofErr w:type="spellEnd"/>
            <w:r w:rsidRPr="007A5455">
              <w:rPr>
                <w:sz w:val="20"/>
                <w:szCs w:val="20"/>
                <w:lang w:val="fr-CA"/>
              </w:rPr>
              <w:t>)</w:t>
            </w:r>
          </w:p>
          <w:p w:rsidR="00311D3C" w:rsidRPr="007A5455" w:rsidRDefault="00311D3C" w:rsidP="00311D3C">
            <w:pPr>
              <w:rPr>
                <w:sz w:val="20"/>
                <w:szCs w:val="20"/>
                <w:lang w:val="en-US"/>
              </w:rPr>
            </w:pPr>
            <w:r w:rsidRPr="007A5455">
              <w:rPr>
                <w:sz w:val="20"/>
                <w:szCs w:val="20"/>
                <w:lang w:val="en-US"/>
              </w:rPr>
              <w:t>2014 ONCA 694; C55620</w:t>
            </w:r>
          </w:p>
          <w:p w:rsidR="00311D3C" w:rsidRPr="007A5455" w:rsidRDefault="001F68BE" w:rsidP="00311D3C">
            <w:pPr>
              <w:rPr>
                <w:sz w:val="20"/>
                <w:szCs w:val="20"/>
                <w:lang w:val="en-US"/>
              </w:rPr>
            </w:pPr>
            <w:hyperlink r:id="rId45" w:history="1">
              <w:r w:rsidR="00311D3C" w:rsidRPr="007A5455">
                <w:rPr>
                  <w:rStyle w:val="Hyperlink"/>
                  <w:rFonts w:eastAsiaTheme="majorEastAsia"/>
                  <w:sz w:val="20"/>
                  <w:szCs w:val="20"/>
                  <w:lang w:val="en-US"/>
                </w:rPr>
                <w:t>http://canlii.ca/t/gdw4b</w:t>
              </w:r>
            </w:hyperlink>
          </w:p>
          <w:p w:rsidR="00311D3C" w:rsidRPr="007A5455" w:rsidRDefault="00311D3C" w:rsidP="0022676D">
            <w:pPr>
              <w:jc w:val="both"/>
              <w:rPr>
                <w:rFonts w:eastAsia="Calibri"/>
                <w:sz w:val="20"/>
                <w:lang w:val="fr-CA"/>
              </w:rPr>
            </w:pPr>
          </w:p>
        </w:tc>
        <w:tc>
          <w:tcPr>
            <w:tcW w:w="243" w:type="pct"/>
          </w:tcPr>
          <w:p w:rsidR="00311D3C" w:rsidRPr="007A5455" w:rsidRDefault="00311D3C" w:rsidP="0022676D">
            <w:pPr>
              <w:jc w:val="both"/>
              <w:rPr>
                <w:rFonts w:eastAsia="Calibri"/>
                <w:sz w:val="20"/>
                <w:lang w:val="fr-CA"/>
              </w:rPr>
            </w:pPr>
          </w:p>
        </w:tc>
        <w:tc>
          <w:tcPr>
            <w:tcW w:w="2330" w:type="pct"/>
          </w:tcPr>
          <w:p w:rsidR="00311D3C" w:rsidRPr="007A5455" w:rsidRDefault="00311D3C" w:rsidP="00311D3C">
            <w:pPr>
              <w:rPr>
                <w:sz w:val="20"/>
                <w:szCs w:val="20"/>
                <w:lang w:val="fr-CA"/>
              </w:rPr>
            </w:pPr>
            <w:r w:rsidRPr="007A5455">
              <w:rPr>
                <w:sz w:val="20"/>
                <w:szCs w:val="20"/>
                <w:lang w:val="fr-CA"/>
              </w:rPr>
              <w:t>Rejet des appels de la déclaration de culpabilité et de la peine</w:t>
            </w:r>
          </w:p>
          <w:p w:rsidR="00311D3C" w:rsidRPr="007A5455" w:rsidRDefault="00311D3C" w:rsidP="0022676D">
            <w:pPr>
              <w:jc w:val="both"/>
              <w:rPr>
                <w:rFonts w:eastAsia="Calibri"/>
                <w:sz w:val="20"/>
                <w:lang w:val="fr-CA"/>
              </w:rPr>
            </w:pPr>
          </w:p>
        </w:tc>
      </w:tr>
      <w:tr w:rsidR="002C001E" w:rsidRPr="007A5455" w:rsidTr="0022676D">
        <w:trPr>
          <w:cantSplit/>
        </w:trPr>
        <w:tc>
          <w:tcPr>
            <w:tcW w:w="2427" w:type="pct"/>
          </w:tcPr>
          <w:p w:rsidR="002C001E" w:rsidRPr="007A5455" w:rsidRDefault="003A47E3" w:rsidP="0022676D">
            <w:pPr>
              <w:jc w:val="both"/>
              <w:rPr>
                <w:rFonts w:eastAsia="Calibri"/>
                <w:sz w:val="20"/>
                <w:lang w:val="fr-CA"/>
              </w:rPr>
            </w:pPr>
            <w:r w:rsidRPr="007A5455">
              <w:rPr>
                <w:rFonts w:eastAsia="Calibri"/>
                <w:sz w:val="20"/>
                <w:lang w:val="fr-CA"/>
              </w:rPr>
              <w:t>31</w:t>
            </w:r>
            <w:r w:rsidR="002C001E" w:rsidRPr="007A5455">
              <w:rPr>
                <w:rFonts w:eastAsia="Calibri"/>
                <w:sz w:val="20"/>
                <w:lang w:val="fr-CA"/>
              </w:rPr>
              <w:t xml:space="preserve"> j</w:t>
            </w:r>
            <w:r w:rsidRPr="007A5455">
              <w:rPr>
                <w:rFonts w:eastAsia="Calibri"/>
                <w:sz w:val="20"/>
                <w:lang w:val="fr-CA"/>
              </w:rPr>
              <w:t>uillet 2015</w:t>
            </w:r>
          </w:p>
          <w:p w:rsidR="002C001E" w:rsidRPr="007A5455" w:rsidRDefault="002C001E" w:rsidP="0022676D">
            <w:pPr>
              <w:jc w:val="both"/>
              <w:rPr>
                <w:rFonts w:eastAsia="Calibri"/>
                <w:sz w:val="20"/>
                <w:lang w:val="fr-CA"/>
              </w:rPr>
            </w:pPr>
            <w:r w:rsidRPr="007A5455">
              <w:rPr>
                <w:rFonts w:eastAsia="Calibri"/>
                <w:sz w:val="20"/>
                <w:lang w:val="fr-CA"/>
              </w:rPr>
              <w:t>Cour suprême du Canada</w:t>
            </w:r>
          </w:p>
        </w:tc>
        <w:tc>
          <w:tcPr>
            <w:tcW w:w="243" w:type="pct"/>
          </w:tcPr>
          <w:p w:rsidR="002C001E" w:rsidRPr="007A5455" w:rsidRDefault="002C001E" w:rsidP="0022676D">
            <w:pPr>
              <w:jc w:val="both"/>
              <w:rPr>
                <w:rFonts w:eastAsia="Calibri"/>
                <w:sz w:val="20"/>
                <w:lang w:val="fr-CA"/>
              </w:rPr>
            </w:pPr>
          </w:p>
        </w:tc>
        <w:tc>
          <w:tcPr>
            <w:tcW w:w="2330" w:type="pct"/>
          </w:tcPr>
          <w:p w:rsidR="002C001E" w:rsidRPr="007A5455" w:rsidRDefault="003A47E3" w:rsidP="00CB2042">
            <w:pPr>
              <w:spacing w:line="276" w:lineRule="auto"/>
              <w:jc w:val="both"/>
              <w:rPr>
                <w:rFonts w:eastAsia="Calibri"/>
                <w:sz w:val="20"/>
                <w:lang w:val="fr-CA"/>
              </w:rPr>
            </w:pPr>
            <w:r w:rsidRPr="007A5455">
              <w:rPr>
                <w:sz w:val="20"/>
                <w:szCs w:val="20"/>
                <w:lang w:val="fr-CA"/>
              </w:rPr>
              <w:t>Dépôt de la requête en prorogation du délai de signification et de dépôt de la demande d’autorisation d’appel et de la demande d’autorisation d’appel</w:t>
            </w:r>
          </w:p>
        </w:tc>
      </w:tr>
    </w:tbl>
    <w:p w:rsidR="002C001E" w:rsidRPr="007A5455" w:rsidRDefault="002C001E" w:rsidP="002C001E">
      <w:pPr>
        <w:rPr>
          <w:sz w:val="20"/>
          <w:szCs w:val="20"/>
        </w:rPr>
      </w:pPr>
    </w:p>
    <w:p w:rsidR="002C001E" w:rsidRPr="007A5455" w:rsidRDefault="001F68BE" w:rsidP="002C001E">
      <w:pPr>
        <w:rPr>
          <w:sz w:val="20"/>
          <w:szCs w:val="20"/>
        </w:rPr>
      </w:pPr>
      <w:r>
        <w:rPr>
          <w:sz w:val="20"/>
          <w:szCs w:val="20"/>
          <w:lang w:val="fr-CA"/>
        </w:rPr>
        <w:pict>
          <v:rect id="_x0000_i1047" style="width:2in;height:1pt" o:hrpct="0" o:hralign="center" o:hrstd="t" o:hrnoshade="t" o:hr="t" fillcolor="black [3213]" stroked="f"/>
        </w:pict>
      </w:r>
    </w:p>
    <w:p w:rsidR="008C60BF" w:rsidRPr="007A5455" w:rsidRDefault="008C60BF">
      <w:pPr>
        <w:rPr>
          <w:sz w:val="20"/>
          <w:szCs w:val="20"/>
        </w:rPr>
      </w:pPr>
      <w:r w:rsidRPr="007A5455">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05FF3" w:rsidRPr="007A5455" w:rsidTr="0022676D">
        <w:trPr>
          <w:cantSplit/>
        </w:trPr>
        <w:tc>
          <w:tcPr>
            <w:tcW w:w="1458" w:type="dxa"/>
          </w:tcPr>
          <w:p w:rsidR="00405FF3" w:rsidRPr="007A5455" w:rsidRDefault="00405FF3" w:rsidP="0022676D">
            <w:pPr>
              <w:rPr>
                <w:sz w:val="20"/>
                <w:szCs w:val="20"/>
              </w:rPr>
            </w:pPr>
            <w:r w:rsidRPr="007A5455">
              <w:rPr>
                <w:rStyle w:val="SCCFileNumberChar"/>
                <w:sz w:val="20"/>
                <w:szCs w:val="20"/>
              </w:rPr>
              <w:lastRenderedPageBreak/>
              <w:t>36535</w:t>
            </w:r>
          </w:p>
          <w:p w:rsidR="00405FF3" w:rsidRPr="007A5455" w:rsidRDefault="00405FF3" w:rsidP="0022676D">
            <w:pPr>
              <w:rPr>
                <w:b/>
                <w:sz w:val="20"/>
                <w:szCs w:val="20"/>
                <w:lang w:val="fr-CA"/>
              </w:rPr>
            </w:pPr>
          </w:p>
        </w:tc>
        <w:tc>
          <w:tcPr>
            <w:tcW w:w="8118" w:type="dxa"/>
          </w:tcPr>
          <w:p w:rsidR="00405FF3" w:rsidRPr="007A5455" w:rsidRDefault="00405FF3" w:rsidP="0022676D">
            <w:pPr>
              <w:rPr>
                <w:sz w:val="20"/>
                <w:szCs w:val="20"/>
              </w:rPr>
            </w:pPr>
            <w:r w:rsidRPr="007A5455">
              <w:rPr>
                <w:b/>
                <w:iCs/>
                <w:sz w:val="20"/>
                <w:szCs w:val="20"/>
                <w:u w:val="single"/>
              </w:rPr>
              <w:t xml:space="preserve">Adrien </w:t>
            </w:r>
            <w:proofErr w:type="spellStart"/>
            <w:proofErr w:type="gramStart"/>
            <w:r w:rsidRPr="007A5455">
              <w:rPr>
                <w:b/>
                <w:iCs/>
                <w:sz w:val="20"/>
                <w:szCs w:val="20"/>
                <w:u w:val="single"/>
              </w:rPr>
              <w:t>Stefanita</w:t>
            </w:r>
            <w:proofErr w:type="spellEnd"/>
            <w:r w:rsidRPr="007A5455">
              <w:rPr>
                <w:b/>
                <w:iCs/>
                <w:sz w:val="20"/>
                <w:szCs w:val="20"/>
                <w:u w:val="single"/>
              </w:rPr>
              <w:t xml:space="preserve">  </w:t>
            </w:r>
            <w:proofErr w:type="spellStart"/>
            <w:r w:rsidRPr="007A5455">
              <w:rPr>
                <w:b/>
                <w:iCs/>
                <w:sz w:val="20"/>
                <w:szCs w:val="20"/>
                <w:u w:val="single"/>
              </w:rPr>
              <w:t>Tuduce</w:t>
            </w:r>
            <w:proofErr w:type="spellEnd"/>
            <w:proofErr w:type="gramEnd"/>
            <w:r w:rsidRPr="007A5455">
              <w:rPr>
                <w:b/>
                <w:iCs/>
                <w:sz w:val="20"/>
                <w:szCs w:val="20"/>
                <w:u w:val="single"/>
              </w:rPr>
              <w:t xml:space="preserve"> v. Her Majesty the Queen</w:t>
            </w:r>
            <w:r w:rsidRPr="007A5455">
              <w:rPr>
                <w:iCs/>
                <w:sz w:val="20"/>
                <w:szCs w:val="20"/>
              </w:rPr>
              <w:t xml:space="preserve"> </w:t>
            </w:r>
            <w:r w:rsidRPr="007A5455">
              <w:rPr>
                <w:sz w:val="20"/>
                <w:szCs w:val="20"/>
              </w:rPr>
              <w:t>(Ont.) (Criminal) (By Leave)</w:t>
            </w:r>
          </w:p>
          <w:p w:rsidR="00405FF3" w:rsidRPr="007A5455" w:rsidRDefault="00405FF3" w:rsidP="0022676D">
            <w:pPr>
              <w:rPr>
                <w:sz w:val="20"/>
                <w:szCs w:val="20"/>
              </w:rPr>
            </w:pPr>
          </w:p>
        </w:tc>
      </w:tr>
      <w:tr w:rsidR="00405FF3" w:rsidRPr="007A5455" w:rsidTr="0022676D">
        <w:trPr>
          <w:cantSplit/>
        </w:trPr>
        <w:tc>
          <w:tcPr>
            <w:tcW w:w="1458" w:type="dxa"/>
          </w:tcPr>
          <w:p w:rsidR="00405FF3" w:rsidRPr="007A5455" w:rsidRDefault="00405FF3" w:rsidP="0022676D">
            <w:pPr>
              <w:rPr>
                <w:sz w:val="20"/>
                <w:szCs w:val="20"/>
              </w:rPr>
            </w:pPr>
            <w:r w:rsidRPr="007A5455">
              <w:rPr>
                <w:sz w:val="20"/>
                <w:szCs w:val="20"/>
              </w:rPr>
              <w:t>Coram :</w:t>
            </w:r>
          </w:p>
        </w:tc>
        <w:tc>
          <w:tcPr>
            <w:tcW w:w="8118" w:type="dxa"/>
          </w:tcPr>
          <w:p w:rsidR="00405FF3" w:rsidRPr="007A5455" w:rsidRDefault="00910199" w:rsidP="0022676D">
            <w:pPr>
              <w:rPr>
                <w:sz w:val="20"/>
                <w:szCs w:val="20"/>
              </w:rPr>
            </w:pPr>
            <w:proofErr w:type="spellStart"/>
            <w:r w:rsidRPr="007A5455">
              <w:rPr>
                <w:rStyle w:val="SCCCoramChar"/>
                <w:sz w:val="20"/>
                <w:szCs w:val="20"/>
                <w:lang w:val="en-CA"/>
              </w:rPr>
              <w:t>McLachlin</w:t>
            </w:r>
            <w:proofErr w:type="spellEnd"/>
            <w:r w:rsidRPr="007A5455">
              <w:rPr>
                <w:rStyle w:val="SCCCoramChar"/>
                <w:sz w:val="20"/>
                <w:szCs w:val="20"/>
                <w:lang w:val="en-CA"/>
              </w:rPr>
              <w:t xml:space="preserve"> </w:t>
            </w:r>
            <w:r w:rsidR="0022676D" w:rsidRPr="007A5455">
              <w:rPr>
                <w:rStyle w:val="SCCCoramChar"/>
                <w:sz w:val="20"/>
                <w:szCs w:val="20"/>
                <w:lang w:val="en-CA"/>
              </w:rPr>
              <w:t xml:space="preserve">C.J. </w:t>
            </w:r>
            <w:r w:rsidRPr="007A5455">
              <w:rPr>
                <w:rStyle w:val="SCCCoramChar"/>
                <w:sz w:val="20"/>
                <w:szCs w:val="20"/>
                <w:lang w:val="en-CA"/>
              </w:rPr>
              <w:t xml:space="preserve">and </w:t>
            </w:r>
            <w:proofErr w:type="spellStart"/>
            <w:r w:rsidRPr="007A5455">
              <w:rPr>
                <w:rStyle w:val="SCCCoramChar"/>
                <w:sz w:val="20"/>
                <w:szCs w:val="20"/>
                <w:lang w:val="en-CA"/>
              </w:rPr>
              <w:t>Moldaver</w:t>
            </w:r>
            <w:proofErr w:type="spellEnd"/>
            <w:r w:rsidR="00405FF3" w:rsidRPr="007A5455">
              <w:rPr>
                <w:rStyle w:val="SCCCoramChar"/>
                <w:sz w:val="20"/>
                <w:szCs w:val="20"/>
                <w:lang w:val="en-CA"/>
              </w:rPr>
              <w:t xml:space="preserve"> and </w:t>
            </w:r>
            <w:proofErr w:type="spellStart"/>
            <w:r w:rsidRPr="007A5455">
              <w:rPr>
                <w:rStyle w:val="SCCCoramChar"/>
                <w:sz w:val="20"/>
                <w:szCs w:val="20"/>
                <w:lang w:val="en-CA"/>
              </w:rPr>
              <w:t>Gascon</w:t>
            </w:r>
            <w:proofErr w:type="spellEnd"/>
            <w:r w:rsidR="00405FF3" w:rsidRPr="007A5455">
              <w:rPr>
                <w:rStyle w:val="SCCCoramChar"/>
                <w:sz w:val="20"/>
                <w:szCs w:val="20"/>
                <w:lang w:val="en-CA"/>
              </w:rPr>
              <w:t> JJ.</w:t>
            </w:r>
          </w:p>
          <w:p w:rsidR="00405FF3" w:rsidRPr="007A5455" w:rsidRDefault="00405FF3" w:rsidP="0022676D">
            <w:pPr>
              <w:rPr>
                <w:sz w:val="20"/>
                <w:szCs w:val="20"/>
                <w:u w:val="single"/>
              </w:rPr>
            </w:pPr>
          </w:p>
        </w:tc>
      </w:tr>
      <w:tr w:rsidR="00405FF3" w:rsidRPr="007A5455" w:rsidTr="0022676D">
        <w:trPr>
          <w:cantSplit/>
        </w:trPr>
        <w:tc>
          <w:tcPr>
            <w:tcW w:w="9576" w:type="dxa"/>
            <w:gridSpan w:val="2"/>
          </w:tcPr>
          <w:p w:rsidR="00405FF3" w:rsidRPr="007A5455" w:rsidRDefault="003600A4" w:rsidP="0022676D">
            <w:pPr>
              <w:pStyle w:val="SCCShortJudgment"/>
              <w:rPr>
                <w:szCs w:val="20"/>
              </w:rPr>
            </w:pPr>
            <w:r w:rsidRPr="007A5455">
              <w:t>The motion for an extension of time to serve and file the application for leave to appeal is granted.  The application for leave to appeal from the judgment of the Court of Appeal for Ontario, Number C55028, 2014 ONCA 547, dated July 17, 2014, is dismissed.</w:t>
            </w:r>
          </w:p>
          <w:p w:rsidR="00405FF3" w:rsidRPr="007A5455" w:rsidRDefault="00405FF3" w:rsidP="0022676D">
            <w:pPr>
              <w:pStyle w:val="SCCShortJudgment"/>
              <w:ind w:firstLine="0"/>
              <w:rPr>
                <w:szCs w:val="20"/>
              </w:rPr>
            </w:pPr>
          </w:p>
          <w:p w:rsidR="00405FF3" w:rsidRPr="007A5455" w:rsidRDefault="003600A4" w:rsidP="003600A4">
            <w:pPr>
              <w:pStyle w:val="SCCShortJudgment"/>
              <w:rPr>
                <w:szCs w:val="20"/>
                <w:lang w:val="fr-CA"/>
              </w:rPr>
            </w:pPr>
            <w:r w:rsidRPr="007A5455">
              <w:rPr>
                <w:lang w:val="fr-CA"/>
              </w:rPr>
              <w:t>La requ</w:t>
            </w:r>
            <w:r w:rsidRPr="007A5455">
              <w:rPr>
                <w:rFonts w:cs="Times New Roman"/>
                <w:lang w:val="fr-CA"/>
              </w:rPr>
              <w:t>ê</w:t>
            </w:r>
            <w:r w:rsidRPr="007A5455">
              <w:rPr>
                <w:lang w:val="fr-CA"/>
              </w:rPr>
              <w:t>te en prorogation du d</w:t>
            </w:r>
            <w:r w:rsidRPr="007A5455">
              <w:rPr>
                <w:rFonts w:cs="Times New Roman"/>
                <w:lang w:val="fr-CA"/>
              </w:rPr>
              <w:t>é</w:t>
            </w:r>
            <w:r w:rsidRPr="007A5455">
              <w:rPr>
                <w:lang w:val="fr-CA"/>
              </w:rPr>
              <w:t>lai de signification et de d</w:t>
            </w:r>
            <w:r w:rsidRPr="007A5455">
              <w:rPr>
                <w:rFonts w:cs="Times New Roman"/>
                <w:lang w:val="fr-CA"/>
              </w:rPr>
              <w:t>é</w:t>
            </w:r>
            <w:r w:rsidRPr="007A5455">
              <w:rPr>
                <w:lang w:val="fr-CA"/>
              </w:rPr>
              <w:t>p</w:t>
            </w:r>
            <w:r w:rsidRPr="007A5455">
              <w:rPr>
                <w:rFonts w:cs="Times New Roman"/>
                <w:lang w:val="fr-CA"/>
              </w:rPr>
              <w:t>ô</w:t>
            </w:r>
            <w:r w:rsidRPr="007A5455">
              <w:rPr>
                <w:lang w:val="fr-CA"/>
              </w:rPr>
              <w:t xml:space="preserve">t de la demande d’autorisation d’appel est accueillie. La demande d’autorisation d’appel de l’arrêt de la </w:t>
            </w:r>
            <w:r w:rsidRPr="007A5455">
              <w:rPr>
                <w:lang w:val="fr-FR"/>
              </w:rPr>
              <w:t>Cour d’appel de l’Ontario</w:t>
            </w:r>
            <w:r w:rsidRPr="007A5455">
              <w:rPr>
                <w:lang w:val="fr-CA"/>
              </w:rPr>
              <w:t xml:space="preserve">, numéro </w:t>
            </w:r>
            <w:r w:rsidRPr="007A5455">
              <w:rPr>
                <w:lang w:val="fr-FR"/>
              </w:rPr>
              <w:t>C55028, 2014 ONCA 547</w:t>
            </w:r>
            <w:r w:rsidRPr="007A5455">
              <w:rPr>
                <w:lang w:val="fr-CA"/>
              </w:rPr>
              <w:t xml:space="preserve">, daté du </w:t>
            </w:r>
            <w:r w:rsidRPr="007A5455">
              <w:rPr>
                <w:lang w:val="fr-FR"/>
              </w:rPr>
              <w:t>17 juillet 2014</w:t>
            </w:r>
            <w:r w:rsidRPr="007A5455">
              <w:rPr>
                <w:lang w:val="fr-CA"/>
              </w:rPr>
              <w:t>, est rejet</w:t>
            </w:r>
            <w:r w:rsidRPr="007A5455">
              <w:rPr>
                <w:rFonts w:cs="Times New Roman"/>
                <w:lang w:val="fr-CA"/>
              </w:rPr>
              <w:t>é</w:t>
            </w:r>
            <w:r w:rsidRPr="007A5455">
              <w:rPr>
                <w:lang w:val="fr-CA"/>
              </w:rPr>
              <w:t>e.</w:t>
            </w:r>
          </w:p>
        </w:tc>
      </w:tr>
    </w:tbl>
    <w:p w:rsidR="00405FF3" w:rsidRPr="007A5455" w:rsidRDefault="00405FF3" w:rsidP="00405FF3">
      <w:pPr>
        <w:rPr>
          <w:sz w:val="20"/>
          <w:szCs w:val="20"/>
          <w:lang w:val="fr-CA"/>
        </w:rPr>
      </w:pPr>
    </w:p>
    <w:p w:rsidR="00405FF3" w:rsidRPr="007A5455" w:rsidRDefault="00405FF3" w:rsidP="00405FF3">
      <w:pPr>
        <w:rPr>
          <w:sz w:val="20"/>
          <w:szCs w:val="20"/>
          <w:u w:val="single"/>
        </w:rPr>
      </w:pPr>
      <w:r w:rsidRPr="007A5455">
        <w:rPr>
          <w:sz w:val="20"/>
          <w:szCs w:val="20"/>
          <w:u w:val="single"/>
        </w:rPr>
        <w:t>CASE SUMMARY</w:t>
      </w:r>
    </w:p>
    <w:p w:rsidR="00405FF3" w:rsidRPr="007A5455" w:rsidRDefault="00405FF3" w:rsidP="00405FF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D20F6" w:rsidRPr="007A5455" w:rsidTr="0022676D">
        <w:tc>
          <w:tcPr>
            <w:tcW w:w="5000" w:type="pct"/>
            <w:gridSpan w:val="3"/>
          </w:tcPr>
          <w:p w:rsidR="006D20F6" w:rsidRPr="007A5455" w:rsidRDefault="006D20F6" w:rsidP="006D20F6">
            <w:pPr>
              <w:rPr>
                <w:rFonts w:cs="Times New Roman"/>
                <w:sz w:val="20"/>
                <w:szCs w:val="20"/>
              </w:rPr>
            </w:pPr>
            <w:r w:rsidRPr="007A5455">
              <w:rPr>
                <w:rFonts w:cs="Times New Roman"/>
                <w:sz w:val="20"/>
                <w:szCs w:val="20"/>
              </w:rPr>
              <w:t>Criminal law – Offences – Elements of offence –</w:t>
            </w:r>
            <w:r w:rsidRPr="007A5455">
              <w:rPr>
                <w:sz w:val="20"/>
                <w:szCs w:val="20"/>
              </w:rPr>
              <w:t xml:space="preserve"> </w:t>
            </w:r>
            <w:r w:rsidRPr="007A5455">
              <w:rPr>
                <w:rFonts w:cs="Times New Roman"/>
                <w:sz w:val="20"/>
                <w:szCs w:val="20"/>
              </w:rPr>
              <w:t xml:space="preserve">Conviction for credit card fraud-related offences – Possession of credit card data contrary to s. 342(3) of the </w:t>
            </w:r>
            <w:r w:rsidRPr="007A5455">
              <w:rPr>
                <w:rFonts w:cs="Times New Roman"/>
                <w:i/>
                <w:sz w:val="20"/>
                <w:szCs w:val="20"/>
              </w:rPr>
              <w:t>Criminal Code</w:t>
            </w:r>
            <w:r w:rsidRPr="007A5455">
              <w:rPr>
                <w:rFonts w:cs="Times New Roman"/>
                <w:sz w:val="20"/>
                <w:szCs w:val="20"/>
              </w:rPr>
              <w:t xml:space="preserve"> – Does s. 342(3) of the </w:t>
            </w:r>
            <w:r w:rsidRPr="007A5455">
              <w:rPr>
                <w:rFonts w:cs="Times New Roman"/>
                <w:i/>
                <w:sz w:val="20"/>
                <w:szCs w:val="20"/>
              </w:rPr>
              <w:t>Criminal Code</w:t>
            </w:r>
            <w:r w:rsidRPr="007A5455">
              <w:rPr>
                <w:rFonts w:cs="Times New Roman"/>
                <w:sz w:val="20"/>
                <w:szCs w:val="20"/>
              </w:rPr>
              <w:t xml:space="preserve"> allow for a conviction where the data in question cannot be used – What constitutes proof of data to ground a conviction under s. 342(3) of the </w:t>
            </w:r>
            <w:r w:rsidRPr="007A5455">
              <w:rPr>
                <w:rFonts w:cs="Times New Roman"/>
                <w:i/>
                <w:sz w:val="20"/>
                <w:szCs w:val="20"/>
              </w:rPr>
              <w:t>Code</w:t>
            </w:r>
            <w:r w:rsidRPr="007A5455">
              <w:rPr>
                <w:rFonts w:cs="Times New Roman"/>
                <w:sz w:val="20"/>
                <w:szCs w:val="20"/>
              </w:rPr>
              <w:t>.</w:t>
            </w:r>
          </w:p>
          <w:p w:rsidR="006D20F6" w:rsidRPr="007A5455" w:rsidRDefault="006D20F6" w:rsidP="006D20F6">
            <w:pPr>
              <w:rPr>
                <w:sz w:val="20"/>
                <w:szCs w:val="20"/>
              </w:rPr>
            </w:pPr>
          </w:p>
        </w:tc>
      </w:tr>
      <w:tr w:rsidR="006D20F6" w:rsidRPr="007A5455" w:rsidTr="0022676D">
        <w:tc>
          <w:tcPr>
            <w:tcW w:w="5000" w:type="pct"/>
            <w:gridSpan w:val="3"/>
          </w:tcPr>
          <w:p w:rsidR="006D20F6" w:rsidRPr="007A5455" w:rsidRDefault="006D20F6" w:rsidP="006D20F6">
            <w:pPr>
              <w:jc w:val="both"/>
              <w:rPr>
                <w:rFonts w:cs="Times New Roman"/>
                <w:sz w:val="20"/>
                <w:szCs w:val="20"/>
              </w:rPr>
            </w:pPr>
            <w:r w:rsidRPr="007A5455">
              <w:rPr>
                <w:rFonts w:cs="Times New Roman"/>
                <w:sz w:val="20"/>
                <w:szCs w:val="20"/>
              </w:rPr>
              <w:t>The applicant was found in possession of 48 LCBO gift cards and a Scotiabank debit card, each of which had been encoded with data from a valid debit card account. Some of the cards had been used to complete transactions. He was also found in possession of equipment used to skim data from credit and debit cards. He was convicted of seven credit card fraud-related offences and sentenced to two years less a day’s imprisonment followed by two years’ probation. He was granted leave to appeal sentence. His conviction and sentence appeals were dismissed.</w:t>
            </w:r>
          </w:p>
          <w:p w:rsidR="006D20F6" w:rsidRPr="007A5455" w:rsidRDefault="006D20F6" w:rsidP="006D20F6">
            <w:pPr>
              <w:jc w:val="both"/>
              <w:rPr>
                <w:rFonts w:eastAsia="Calibri"/>
                <w:sz w:val="20"/>
              </w:rPr>
            </w:pPr>
          </w:p>
        </w:tc>
      </w:tr>
      <w:tr w:rsidR="006D20F6" w:rsidRPr="007A5455" w:rsidTr="0022676D">
        <w:trPr>
          <w:cantSplit/>
        </w:trPr>
        <w:tc>
          <w:tcPr>
            <w:tcW w:w="2427" w:type="pct"/>
          </w:tcPr>
          <w:p w:rsidR="00BF5F29" w:rsidRPr="007A5455" w:rsidRDefault="00BF5F29" w:rsidP="00BF5F29">
            <w:pPr>
              <w:jc w:val="both"/>
              <w:rPr>
                <w:sz w:val="20"/>
                <w:szCs w:val="20"/>
              </w:rPr>
            </w:pPr>
            <w:r w:rsidRPr="007A5455">
              <w:rPr>
                <w:sz w:val="20"/>
                <w:szCs w:val="20"/>
              </w:rPr>
              <w:t>June 27, 2011</w:t>
            </w:r>
          </w:p>
          <w:p w:rsidR="00BF5F29" w:rsidRPr="007A5455" w:rsidRDefault="00BF5F29" w:rsidP="00BF5F29">
            <w:pPr>
              <w:jc w:val="both"/>
              <w:rPr>
                <w:sz w:val="20"/>
                <w:szCs w:val="20"/>
              </w:rPr>
            </w:pPr>
            <w:r w:rsidRPr="007A5455">
              <w:rPr>
                <w:sz w:val="20"/>
                <w:szCs w:val="20"/>
              </w:rPr>
              <w:t>Ontario Superior Court of Justice</w:t>
            </w:r>
          </w:p>
          <w:p w:rsidR="00BF5F29" w:rsidRPr="007A5455" w:rsidRDefault="00BF5F29" w:rsidP="00BF5F29">
            <w:pPr>
              <w:jc w:val="both"/>
              <w:rPr>
                <w:sz w:val="20"/>
                <w:szCs w:val="20"/>
              </w:rPr>
            </w:pPr>
            <w:r w:rsidRPr="007A5455">
              <w:rPr>
                <w:sz w:val="20"/>
                <w:szCs w:val="20"/>
              </w:rPr>
              <w:t>(Taylor J.)</w:t>
            </w:r>
          </w:p>
          <w:p w:rsidR="006D20F6" w:rsidRPr="007A5455" w:rsidRDefault="006D20F6" w:rsidP="006D20F6">
            <w:pPr>
              <w:jc w:val="both"/>
              <w:rPr>
                <w:rFonts w:eastAsia="Calibri"/>
                <w:sz w:val="20"/>
              </w:rPr>
            </w:pPr>
          </w:p>
        </w:tc>
        <w:tc>
          <w:tcPr>
            <w:tcW w:w="243" w:type="pct"/>
          </w:tcPr>
          <w:p w:rsidR="006D20F6" w:rsidRPr="007A5455" w:rsidRDefault="006D20F6" w:rsidP="006D20F6">
            <w:pPr>
              <w:jc w:val="both"/>
              <w:rPr>
                <w:rFonts w:eastAsia="Calibri"/>
                <w:sz w:val="20"/>
              </w:rPr>
            </w:pPr>
          </w:p>
        </w:tc>
        <w:tc>
          <w:tcPr>
            <w:tcW w:w="2330" w:type="pct"/>
          </w:tcPr>
          <w:p w:rsidR="00BF5F29" w:rsidRPr="007A5455" w:rsidRDefault="00BF5F29" w:rsidP="00BF5F29">
            <w:pPr>
              <w:jc w:val="both"/>
              <w:rPr>
                <w:sz w:val="20"/>
                <w:szCs w:val="20"/>
              </w:rPr>
            </w:pPr>
            <w:r w:rsidRPr="007A5455">
              <w:rPr>
                <w:sz w:val="20"/>
                <w:szCs w:val="20"/>
              </w:rPr>
              <w:t>Conviction: possession of materials intended for use on forging credit cards; possession of property obtained by the commission of an offence; fraudulent possession of credit card data; possession of a counterfeit mark</w:t>
            </w:r>
          </w:p>
          <w:p w:rsidR="006D20F6" w:rsidRPr="007A5455" w:rsidRDefault="006D20F6" w:rsidP="006D20F6">
            <w:pPr>
              <w:jc w:val="both"/>
              <w:rPr>
                <w:rFonts w:eastAsia="Calibri"/>
                <w:sz w:val="20"/>
              </w:rPr>
            </w:pPr>
          </w:p>
        </w:tc>
      </w:tr>
      <w:tr w:rsidR="006D20F6" w:rsidRPr="007A5455" w:rsidTr="0022676D">
        <w:trPr>
          <w:cantSplit/>
        </w:trPr>
        <w:tc>
          <w:tcPr>
            <w:tcW w:w="2427" w:type="pct"/>
          </w:tcPr>
          <w:p w:rsidR="00BF5F29" w:rsidRPr="007A5455" w:rsidRDefault="00BF5F29" w:rsidP="00BF5F29">
            <w:pPr>
              <w:jc w:val="both"/>
              <w:rPr>
                <w:sz w:val="20"/>
                <w:szCs w:val="20"/>
              </w:rPr>
            </w:pPr>
            <w:r w:rsidRPr="007A5455">
              <w:rPr>
                <w:sz w:val="20"/>
                <w:szCs w:val="20"/>
              </w:rPr>
              <w:t>July 17, 2014</w:t>
            </w:r>
          </w:p>
          <w:p w:rsidR="00BF5F29" w:rsidRPr="007A5455" w:rsidRDefault="00BF5F29" w:rsidP="00BF5F29">
            <w:pPr>
              <w:jc w:val="both"/>
              <w:rPr>
                <w:sz w:val="20"/>
                <w:szCs w:val="20"/>
              </w:rPr>
            </w:pPr>
            <w:r w:rsidRPr="007A5455">
              <w:rPr>
                <w:sz w:val="20"/>
                <w:szCs w:val="20"/>
              </w:rPr>
              <w:t>Court of Appeal for Ontario</w:t>
            </w:r>
          </w:p>
          <w:p w:rsidR="00BF5F29" w:rsidRPr="007A5455" w:rsidRDefault="00BF5F29" w:rsidP="00BF5F29">
            <w:pPr>
              <w:jc w:val="both"/>
              <w:rPr>
                <w:sz w:val="20"/>
                <w:szCs w:val="20"/>
                <w:lang w:val="fr-FR"/>
              </w:rPr>
            </w:pPr>
            <w:r w:rsidRPr="007A5455">
              <w:rPr>
                <w:sz w:val="20"/>
                <w:szCs w:val="20"/>
                <w:lang w:val="fr-FR"/>
              </w:rPr>
              <w:t>(</w:t>
            </w:r>
            <w:proofErr w:type="spellStart"/>
            <w:r w:rsidRPr="007A5455">
              <w:rPr>
                <w:sz w:val="20"/>
                <w:szCs w:val="20"/>
                <w:lang w:val="fr-FR"/>
              </w:rPr>
              <w:t>Gillese</w:t>
            </w:r>
            <w:proofErr w:type="spellEnd"/>
            <w:r w:rsidRPr="007A5455">
              <w:rPr>
                <w:sz w:val="20"/>
                <w:szCs w:val="20"/>
                <w:lang w:val="fr-FR"/>
              </w:rPr>
              <w:t xml:space="preserve">, Rouleau, </w:t>
            </w:r>
            <w:proofErr w:type="spellStart"/>
            <w:r w:rsidRPr="007A5455">
              <w:rPr>
                <w:sz w:val="20"/>
                <w:szCs w:val="20"/>
                <w:lang w:val="fr-FR"/>
              </w:rPr>
              <w:t>Pepall</w:t>
            </w:r>
            <w:proofErr w:type="spellEnd"/>
            <w:r w:rsidRPr="007A5455">
              <w:rPr>
                <w:sz w:val="20"/>
                <w:szCs w:val="20"/>
                <w:lang w:val="fr-FR"/>
              </w:rPr>
              <w:t xml:space="preserve"> JJ.A.)</w:t>
            </w:r>
          </w:p>
          <w:p w:rsidR="00BF5F29" w:rsidRPr="007A5455" w:rsidRDefault="00BF5F29" w:rsidP="00BF5F29">
            <w:pPr>
              <w:jc w:val="both"/>
              <w:rPr>
                <w:sz w:val="20"/>
                <w:szCs w:val="20"/>
              </w:rPr>
            </w:pPr>
            <w:r w:rsidRPr="007A5455">
              <w:rPr>
                <w:sz w:val="20"/>
                <w:szCs w:val="20"/>
              </w:rPr>
              <w:t>2014 ONCA 547, C55028</w:t>
            </w:r>
          </w:p>
          <w:p w:rsidR="00BF5F29" w:rsidRPr="007A5455" w:rsidRDefault="001F68BE" w:rsidP="00BF5F29">
            <w:pPr>
              <w:jc w:val="both"/>
              <w:rPr>
                <w:sz w:val="20"/>
                <w:szCs w:val="20"/>
              </w:rPr>
            </w:pPr>
            <w:hyperlink r:id="rId46" w:history="1">
              <w:r w:rsidR="00BF5F29" w:rsidRPr="007A5455">
                <w:rPr>
                  <w:rFonts w:eastAsiaTheme="majorEastAsia"/>
                  <w:color w:val="0000FF"/>
                  <w:sz w:val="20"/>
                  <w:szCs w:val="20"/>
                  <w:u w:val="single"/>
                </w:rPr>
                <w:t>http://canlii.ca/t/g836g</w:t>
              </w:r>
            </w:hyperlink>
          </w:p>
          <w:p w:rsidR="006D20F6" w:rsidRPr="007A5455" w:rsidRDefault="006D20F6" w:rsidP="006D20F6">
            <w:pPr>
              <w:jc w:val="both"/>
              <w:rPr>
                <w:rFonts w:eastAsia="Calibri"/>
                <w:sz w:val="20"/>
              </w:rPr>
            </w:pPr>
          </w:p>
        </w:tc>
        <w:tc>
          <w:tcPr>
            <w:tcW w:w="243" w:type="pct"/>
          </w:tcPr>
          <w:p w:rsidR="006D20F6" w:rsidRPr="007A5455" w:rsidRDefault="006D20F6" w:rsidP="006D20F6">
            <w:pPr>
              <w:jc w:val="both"/>
              <w:rPr>
                <w:rFonts w:eastAsia="Calibri"/>
                <w:sz w:val="20"/>
              </w:rPr>
            </w:pPr>
          </w:p>
        </w:tc>
        <w:tc>
          <w:tcPr>
            <w:tcW w:w="2330" w:type="pct"/>
          </w:tcPr>
          <w:p w:rsidR="00BF5F29" w:rsidRPr="007A5455" w:rsidRDefault="00BF5F29" w:rsidP="00BF5F29">
            <w:pPr>
              <w:jc w:val="both"/>
              <w:rPr>
                <w:sz w:val="20"/>
                <w:szCs w:val="20"/>
              </w:rPr>
            </w:pPr>
            <w:r w:rsidRPr="007A5455">
              <w:rPr>
                <w:sz w:val="20"/>
                <w:szCs w:val="20"/>
              </w:rPr>
              <w:t>Appeal against conviction dismissed, leave to appeal sentence granted and sentence appeal dismissed</w:t>
            </w:r>
          </w:p>
          <w:p w:rsidR="006D20F6" w:rsidRPr="007A5455" w:rsidRDefault="006D20F6" w:rsidP="00BF5F29">
            <w:pPr>
              <w:tabs>
                <w:tab w:val="left" w:pos="1476"/>
              </w:tabs>
              <w:jc w:val="both"/>
              <w:rPr>
                <w:rFonts w:eastAsia="Calibri"/>
                <w:sz w:val="20"/>
                <w:szCs w:val="20"/>
              </w:rPr>
            </w:pPr>
          </w:p>
        </w:tc>
      </w:tr>
      <w:tr w:rsidR="00BF5F29" w:rsidRPr="007A5455" w:rsidTr="0022676D">
        <w:trPr>
          <w:cantSplit/>
        </w:trPr>
        <w:tc>
          <w:tcPr>
            <w:tcW w:w="2427" w:type="pct"/>
          </w:tcPr>
          <w:p w:rsidR="00BF5F29" w:rsidRPr="007A5455" w:rsidRDefault="00BF5F29" w:rsidP="00BF5F29">
            <w:pPr>
              <w:jc w:val="both"/>
              <w:rPr>
                <w:sz w:val="20"/>
                <w:szCs w:val="20"/>
              </w:rPr>
            </w:pPr>
            <w:r w:rsidRPr="007A5455">
              <w:rPr>
                <w:sz w:val="20"/>
                <w:szCs w:val="20"/>
              </w:rPr>
              <w:t>August 4, 2015</w:t>
            </w:r>
          </w:p>
          <w:p w:rsidR="00BF5F29" w:rsidRPr="007A5455" w:rsidRDefault="00BF5F29" w:rsidP="00BF5F29">
            <w:pPr>
              <w:jc w:val="both"/>
              <w:rPr>
                <w:rFonts w:eastAsia="Calibri"/>
                <w:sz w:val="20"/>
              </w:rPr>
            </w:pPr>
            <w:r w:rsidRPr="007A5455">
              <w:rPr>
                <w:rFonts w:eastAsia="Calibri"/>
                <w:sz w:val="20"/>
                <w:szCs w:val="20"/>
              </w:rPr>
              <w:t>Supreme Court of Canada</w:t>
            </w:r>
          </w:p>
        </w:tc>
        <w:tc>
          <w:tcPr>
            <w:tcW w:w="243" w:type="pct"/>
          </w:tcPr>
          <w:p w:rsidR="00BF5F29" w:rsidRPr="007A5455" w:rsidRDefault="00BF5F29" w:rsidP="00BF5F29">
            <w:pPr>
              <w:jc w:val="both"/>
              <w:rPr>
                <w:rFonts w:eastAsia="Calibri"/>
                <w:sz w:val="20"/>
              </w:rPr>
            </w:pPr>
          </w:p>
        </w:tc>
        <w:tc>
          <w:tcPr>
            <w:tcW w:w="2330" w:type="pct"/>
          </w:tcPr>
          <w:p w:rsidR="00BF5F29" w:rsidRPr="007A5455" w:rsidRDefault="00BF5F29" w:rsidP="00BF5F29">
            <w:pPr>
              <w:rPr>
                <w:sz w:val="20"/>
                <w:szCs w:val="20"/>
              </w:rPr>
            </w:pPr>
            <w:r w:rsidRPr="007A5455">
              <w:rPr>
                <w:sz w:val="20"/>
                <w:szCs w:val="20"/>
              </w:rPr>
              <w:t>Motion for an extension of time to serve and file the application for leave to appeal and application for leave to appeal filed</w:t>
            </w:r>
          </w:p>
        </w:tc>
      </w:tr>
    </w:tbl>
    <w:p w:rsidR="00405FF3" w:rsidRPr="007A5455" w:rsidRDefault="00405FF3" w:rsidP="00405FF3">
      <w:pPr>
        <w:rPr>
          <w:sz w:val="20"/>
          <w:szCs w:val="20"/>
        </w:rPr>
      </w:pPr>
    </w:p>
    <w:p w:rsidR="00405FF3" w:rsidRPr="007A5455" w:rsidRDefault="001F68BE" w:rsidP="00405FF3">
      <w:pPr>
        <w:rPr>
          <w:sz w:val="20"/>
          <w:szCs w:val="20"/>
        </w:rPr>
      </w:pPr>
      <w:r>
        <w:rPr>
          <w:sz w:val="20"/>
          <w:szCs w:val="20"/>
          <w:lang w:val="fr-CA"/>
        </w:rPr>
        <w:pict>
          <v:rect id="_x0000_i1048" style="width:2in;height:1pt" o:hrpct="0" o:hralign="center" o:hrstd="t" o:hrnoshade="t" o:hr="t" fillcolor="black [3213]" stroked="f"/>
        </w:pict>
      </w:r>
    </w:p>
    <w:p w:rsidR="00405FF3" w:rsidRPr="007A5455" w:rsidRDefault="00405FF3" w:rsidP="00405FF3">
      <w:pPr>
        <w:rPr>
          <w:sz w:val="20"/>
          <w:szCs w:val="20"/>
        </w:rPr>
      </w:pPr>
    </w:p>
    <w:p w:rsidR="00405FF3" w:rsidRPr="007A5455" w:rsidRDefault="00405FF3" w:rsidP="00405FF3">
      <w:pPr>
        <w:rPr>
          <w:sz w:val="20"/>
          <w:szCs w:val="20"/>
          <w:u w:val="single"/>
          <w:lang w:val="fr-CA"/>
        </w:rPr>
      </w:pPr>
      <w:r w:rsidRPr="007A5455">
        <w:rPr>
          <w:sz w:val="20"/>
          <w:szCs w:val="20"/>
          <w:u w:val="single"/>
          <w:lang w:val="fr-CA"/>
        </w:rPr>
        <w:t>RÉSUMÉ DE L’AFFAIRE</w:t>
      </w:r>
    </w:p>
    <w:p w:rsidR="00405FF3" w:rsidRPr="007A5455" w:rsidRDefault="00405FF3" w:rsidP="00405FF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5FF3" w:rsidRPr="007A5455" w:rsidTr="0022676D">
        <w:tc>
          <w:tcPr>
            <w:tcW w:w="5000" w:type="pct"/>
            <w:gridSpan w:val="3"/>
          </w:tcPr>
          <w:p w:rsidR="00B34EF9" w:rsidRPr="007A5455" w:rsidRDefault="00B34EF9" w:rsidP="00B34EF9">
            <w:pPr>
              <w:spacing w:line="276" w:lineRule="auto"/>
              <w:jc w:val="both"/>
              <w:rPr>
                <w:rFonts w:cs="Times New Roman"/>
                <w:sz w:val="20"/>
                <w:szCs w:val="20"/>
                <w:lang w:val="fr-CA"/>
              </w:rPr>
            </w:pPr>
          </w:p>
          <w:p w:rsidR="00405FF3" w:rsidRPr="007A5455" w:rsidRDefault="00B34EF9" w:rsidP="00B34EF9">
            <w:pPr>
              <w:jc w:val="both"/>
              <w:rPr>
                <w:rFonts w:cs="Times New Roman"/>
                <w:sz w:val="20"/>
                <w:szCs w:val="20"/>
                <w:lang w:val="fr-CA"/>
              </w:rPr>
            </w:pPr>
            <w:r w:rsidRPr="007A5455">
              <w:rPr>
                <w:rFonts w:cs="Times New Roman"/>
                <w:sz w:val="20"/>
                <w:szCs w:val="20"/>
                <w:lang w:val="fr-CA"/>
              </w:rPr>
              <w:t>Droit criminel – Infractions – Éléments de l’infraction –</w:t>
            </w:r>
            <w:r w:rsidRPr="007A5455">
              <w:rPr>
                <w:sz w:val="20"/>
                <w:szCs w:val="20"/>
                <w:lang w:val="fr-CA"/>
              </w:rPr>
              <w:t xml:space="preserve"> </w:t>
            </w:r>
            <w:r w:rsidRPr="007A5455">
              <w:rPr>
                <w:rFonts w:cs="Times New Roman"/>
                <w:sz w:val="20"/>
                <w:szCs w:val="20"/>
                <w:lang w:val="fr-CA"/>
              </w:rPr>
              <w:t xml:space="preserve">Déclaration de culpabilité d’infractions liées à la fraude par carte de crédit – Possession de données relatives à une carte de crédit contrairement au </w:t>
            </w:r>
            <w:proofErr w:type="spellStart"/>
            <w:r w:rsidRPr="007A5455">
              <w:rPr>
                <w:rFonts w:cs="Times New Roman"/>
                <w:sz w:val="20"/>
                <w:szCs w:val="20"/>
                <w:lang w:val="fr-CA"/>
              </w:rPr>
              <w:t>par</w:t>
            </w:r>
            <w:proofErr w:type="spellEnd"/>
            <w:r w:rsidRPr="007A5455">
              <w:rPr>
                <w:rFonts w:cs="Times New Roman"/>
                <w:sz w:val="20"/>
                <w:szCs w:val="20"/>
                <w:lang w:val="fr-CA"/>
              </w:rPr>
              <w:t xml:space="preserve">. 342(3) du </w:t>
            </w:r>
            <w:r w:rsidRPr="007A5455">
              <w:rPr>
                <w:rFonts w:cs="Times New Roman"/>
                <w:i/>
                <w:sz w:val="20"/>
                <w:szCs w:val="20"/>
                <w:lang w:val="fr-CA"/>
              </w:rPr>
              <w:t>Code criminel</w:t>
            </w:r>
            <w:r w:rsidRPr="007A5455">
              <w:rPr>
                <w:rFonts w:cs="Times New Roman"/>
                <w:sz w:val="20"/>
                <w:szCs w:val="20"/>
                <w:lang w:val="fr-CA"/>
              </w:rPr>
              <w:t xml:space="preserve"> – Le par. 342(3) du </w:t>
            </w:r>
            <w:r w:rsidRPr="007A5455">
              <w:rPr>
                <w:rFonts w:cs="Times New Roman"/>
                <w:i/>
                <w:sz w:val="20"/>
                <w:szCs w:val="20"/>
                <w:lang w:val="fr-CA"/>
              </w:rPr>
              <w:t>Code criminel</w:t>
            </w:r>
            <w:r w:rsidRPr="007A5455">
              <w:rPr>
                <w:rFonts w:cs="Times New Roman"/>
                <w:sz w:val="20"/>
                <w:szCs w:val="20"/>
                <w:lang w:val="fr-CA"/>
              </w:rPr>
              <w:t xml:space="preserve"> permet-il une déclaration de culpabilité lorsque les données en question ne peuvent pas être utilisées? – En quoi consiste la preuve de données pour justifier une déclaration de culpabilité en application du par. 342(3) du </w:t>
            </w:r>
            <w:r w:rsidRPr="007A5455">
              <w:rPr>
                <w:rFonts w:cs="Times New Roman"/>
                <w:i/>
                <w:sz w:val="20"/>
                <w:szCs w:val="20"/>
                <w:lang w:val="fr-CA"/>
              </w:rPr>
              <w:t>Code</w:t>
            </w:r>
            <w:r w:rsidRPr="007A5455">
              <w:rPr>
                <w:rFonts w:cs="Times New Roman"/>
                <w:sz w:val="20"/>
                <w:szCs w:val="20"/>
                <w:lang w:val="fr-CA"/>
              </w:rPr>
              <w:t>?</w:t>
            </w:r>
          </w:p>
          <w:p w:rsidR="00B34EF9" w:rsidRPr="007A5455" w:rsidRDefault="00B34EF9" w:rsidP="00B34EF9">
            <w:pPr>
              <w:jc w:val="both"/>
              <w:rPr>
                <w:rFonts w:eastAsia="Calibri"/>
                <w:sz w:val="20"/>
                <w:szCs w:val="20"/>
                <w:lang w:val="fr-CA"/>
              </w:rPr>
            </w:pPr>
          </w:p>
        </w:tc>
      </w:tr>
      <w:tr w:rsidR="00405FF3" w:rsidRPr="007A5455" w:rsidTr="0022676D">
        <w:tc>
          <w:tcPr>
            <w:tcW w:w="5000" w:type="pct"/>
            <w:gridSpan w:val="3"/>
          </w:tcPr>
          <w:p w:rsidR="00B34EF9" w:rsidRPr="007A5455" w:rsidRDefault="00B34EF9" w:rsidP="00B34EF9">
            <w:pPr>
              <w:rPr>
                <w:rFonts w:cs="Times New Roman"/>
                <w:sz w:val="20"/>
                <w:szCs w:val="20"/>
                <w:lang w:val="fr-CA"/>
              </w:rPr>
            </w:pPr>
            <w:r w:rsidRPr="007A5455">
              <w:rPr>
                <w:rFonts w:cs="Times New Roman"/>
                <w:sz w:val="20"/>
                <w:szCs w:val="20"/>
                <w:lang w:val="fr-CA"/>
              </w:rPr>
              <w:lastRenderedPageBreak/>
              <w:t xml:space="preserve">Le demandeur a été trouvé en possession de quarante-huit cartes-cadeaux de la LCBO et d’une carte de débit de la Banque </w:t>
            </w:r>
            <w:proofErr w:type="spellStart"/>
            <w:r w:rsidRPr="007A5455">
              <w:rPr>
                <w:rFonts w:cs="Times New Roman"/>
                <w:sz w:val="20"/>
                <w:szCs w:val="20"/>
                <w:lang w:val="fr-CA"/>
              </w:rPr>
              <w:t>Scotia</w:t>
            </w:r>
            <w:proofErr w:type="spellEnd"/>
            <w:r w:rsidRPr="007A5455">
              <w:rPr>
                <w:rFonts w:cs="Times New Roman"/>
                <w:sz w:val="20"/>
                <w:szCs w:val="20"/>
                <w:lang w:val="fr-CA"/>
              </w:rPr>
              <w:t>, chacune ayant été encodée avec des données obtenues d’un compte de carte de débit valide. Certaines cartes avaient été utilisées pour effectuer des opérations. Le demandeur a également été trouvé en possession de matériel utilisé pour « écrémer » des données de cartes de crédit ou de débit. Il a été déclaré coupable de sept infractions liées à la fraude par carte de crédit et condamné à une peine d’emprisonnement de deux ans moins un jour, suivi d’une probation de deux ans. Il s’est vu accorder l’autorisation d’en appeler de sa peine. Ses appels de la déclaration de culpabilité et de la peine ont été rejetés.</w:t>
            </w:r>
          </w:p>
          <w:p w:rsidR="00405FF3" w:rsidRPr="007A5455" w:rsidRDefault="00405FF3" w:rsidP="0022676D">
            <w:pPr>
              <w:jc w:val="both"/>
              <w:rPr>
                <w:sz w:val="20"/>
                <w:lang w:val="fr-CA"/>
              </w:rPr>
            </w:pPr>
          </w:p>
        </w:tc>
      </w:tr>
      <w:tr w:rsidR="00405FF3" w:rsidRPr="007A5455" w:rsidTr="0022676D">
        <w:trPr>
          <w:cantSplit/>
        </w:trPr>
        <w:tc>
          <w:tcPr>
            <w:tcW w:w="2427" w:type="pct"/>
          </w:tcPr>
          <w:p w:rsidR="005F0F3B" w:rsidRPr="007A5455" w:rsidRDefault="005F0F3B" w:rsidP="005F0F3B">
            <w:pPr>
              <w:rPr>
                <w:sz w:val="20"/>
                <w:szCs w:val="20"/>
                <w:lang w:val="fr-CA"/>
              </w:rPr>
            </w:pPr>
            <w:r w:rsidRPr="007A5455">
              <w:rPr>
                <w:sz w:val="20"/>
                <w:szCs w:val="20"/>
                <w:lang w:val="fr-CA"/>
              </w:rPr>
              <w:t>27 juin 2011</w:t>
            </w:r>
          </w:p>
          <w:p w:rsidR="005F0F3B" w:rsidRPr="007A5455" w:rsidRDefault="005F0F3B" w:rsidP="005F0F3B">
            <w:pPr>
              <w:rPr>
                <w:sz w:val="20"/>
                <w:szCs w:val="20"/>
                <w:lang w:val="fr-CA"/>
              </w:rPr>
            </w:pPr>
            <w:r w:rsidRPr="007A5455">
              <w:rPr>
                <w:sz w:val="20"/>
                <w:szCs w:val="20"/>
                <w:lang w:val="fr-CA"/>
              </w:rPr>
              <w:t>Cour supérieure de justice de l’Ontario</w:t>
            </w:r>
          </w:p>
          <w:p w:rsidR="005F0F3B" w:rsidRPr="007A5455" w:rsidRDefault="005F0F3B" w:rsidP="005F0F3B">
            <w:pPr>
              <w:rPr>
                <w:sz w:val="20"/>
                <w:szCs w:val="20"/>
                <w:lang w:val="fr-CA"/>
              </w:rPr>
            </w:pPr>
            <w:r w:rsidRPr="007A5455">
              <w:rPr>
                <w:sz w:val="20"/>
                <w:szCs w:val="20"/>
                <w:lang w:val="fr-CA"/>
              </w:rPr>
              <w:t>(Juge Taylor)</w:t>
            </w:r>
          </w:p>
          <w:p w:rsidR="00405FF3" w:rsidRPr="007A5455" w:rsidRDefault="00405FF3" w:rsidP="0022676D">
            <w:pPr>
              <w:jc w:val="both"/>
              <w:rPr>
                <w:rFonts w:eastAsia="Calibri"/>
                <w:sz w:val="20"/>
                <w:lang w:val="fr-CA"/>
              </w:rPr>
            </w:pPr>
          </w:p>
        </w:tc>
        <w:tc>
          <w:tcPr>
            <w:tcW w:w="243" w:type="pct"/>
          </w:tcPr>
          <w:p w:rsidR="00405FF3" w:rsidRPr="007A5455" w:rsidRDefault="00405FF3" w:rsidP="0022676D">
            <w:pPr>
              <w:jc w:val="both"/>
              <w:rPr>
                <w:rFonts w:eastAsia="Calibri"/>
                <w:sz w:val="20"/>
                <w:lang w:val="fr-CA"/>
              </w:rPr>
            </w:pPr>
          </w:p>
        </w:tc>
        <w:tc>
          <w:tcPr>
            <w:tcW w:w="2330" w:type="pct"/>
          </w:tcPr>
          <w:p w:rsidR="005F0F3B" w:rsidRPr="007A5455" w:rsidRDefault="005F0F3B" w:rsidP="005F0F3B">
            <w:pPr>
              <w:rPr>
                <w:sz w:val="20"/>
                <w:szCs w:val="20"/>
                <w:lang w:val="fr-CA"/>
              </w:rPr>
            </w:pPr>
            <w:r w:rsidRPr="007A5455">
              <w:rPr>
                <w:sz w:val="20"/>
                <w:szCs w:val="20"/>
                <w:lang w:val="fr-CA"/>
              </w:rPr>
              <w:t>Déclaration de culpabilité : possession de matériel destiné à contrefaire des cartes de crédit; possession de biens criminellement obtenus; possession frauduleuse de données relatives à une carte de crédit; possession d’une marque contrefaite</w:t>
            </w:r>
          </w:p>
          <w:p w:rsidR="00405FF3" w:rsidRPr="007A5455" w:rsidRDefault="00405FF3" w:rsidP="0022676D">
            <w:pPr>
              <w:jc w:val="both"/>
              <w:rPr>
                <w:rFonts w:eastAsia="Calibri"/>
                <w:sz w:val="20"/>
                <w:lang w:val="fr-CA"/>
              </w:rPr>
            </w:pPr>
          </w:p>
        </w:tc>
      </w:tr>
      <w:tr w:rsidR="00405FF3" w:rsidRPr="007A5455" w:rsidTr="0022676D">
        <w:trPr>
          <w:cantSplit/>
        </w:trPr>
        <w:tc>
          <w:tcPr>
            <w:tcW w:w="2427" w:type="pct"/>
          </w:tcPr>
          <w:p w:rsidR="005F0F3B" w:rsidRPr="007A5455" w:rsidRDefault="005F0F3B" w:rsidP="005F0F3B">
            <w:pPr>
              <w:rPr>
                <w:sz w:val="20"/>
                <w:szCs w:val="20"/>
                <w:lang w:val="fr-CA"/>
              </w:rPr>
            </w:pPr>
            <w:r w:rsidRPr="007A5455">
              <w:rPr>
                <w:sz w:val="20"/>
                <w:szCs w:val="20"/>
                <w:lang w:val="fr-CA"/>
              </w:rPr>
              <w:t>17 juillet 2014</w:t>
            </w:r>
          </w:p>
          <w:p w:rsidR="005F0F3B" w:rsidRPr="007A5455" w:rsidRDefault="005F0F3B" w:rsidP="005F0F3B">
            <w:pPr>
              <w:rPr>
                <w:sz w:val="20"/>
                <w:szCs w:val="20"/>
                <w:lang w:val="fr-CA"/>
              </w:rPr>
            </w:pPr>
            <w:r w:rsidRPr="007A5455">
              <w:rPr>
                <w:sz w:val="20"/>
                <w:szCs w:val="20"/>
                <w:lang w:val="fr-CA"/>
              </w:rPr>
              <w:t>Cour d’appel de l’Ontario</w:t>
            </w:r>
          </w:p>
          <w:p w:rsidR="005F0F3B" w:rsidRPr="007A5455" w:rsidRDefault="005F0F3B" w:rsidP="005F0F3B">
            <w:pPr>
              <w:rPr>
                <w:sz w:val="20"/>
                <w:szCs w:val="20"/>
                <w:lang w:val="fr-CA"/>
              </w:rPr>
            </w:pPr>
            <w:r w:rsidRPr="007A5455">
              <w:rPr>
                <w:sz w:val="20"/>
                <w:szCs w:val="20"/>
                <w:lang w:val="fr-CA"/>
              </w:rPr>
              <w:t xml:space="preserve">(Juges </w:t>
            </w:r>
            <w:proofErr w:type="spellStart"/>
            <w:r w:rsidRPr="007A5455">
              <w:rPr>
                <w:sz w:val="20"/>
                <w:szCs w:val="20"/>
                <w:lang w:val="fr-CA"/>
              </w:rPr>
              <w:t>Gillese</w:t>
            </w:r>
            <w:proofErr w:type="spellEnd"/>
            <w:r w:rsidRPr="007A5455">
              <w:rPr>
                <w:sz w:val="20"/>
                <w:szCs w:val="20"/>
                <w:lang w:val="fr-CA"/>
              </w:rPr>
              <w:t xml:space="preserve">, Rouleau et </w:t>
            </w:r>
            <w:proofErr w:type="spellStart"/>
            <w:r w:rsidRPr="007A5455">
              <w:rPr>
                <w:sz w:val="20"/>
                <w:szCs w:val="20"/>
                <w:lang w:val="fr-CA"/>
              </w:rPr>
              <w:t>Pepall</w:t>
            </w:r>
            <w:proofErr w:type="spellEnd"/>
            <w:r w:rsidRPr="007A5455">
              <w:rPr>
                <w:sz w:val="20"/>
                <w:szCs w:val="20"/>
                <w:lang w:val="fr-CA"/>
              </w:rPr>
              <w:t>)</w:t>
            </w:r>
          </w:p>
          <w:p w:rsidR="005F0F3B" w:rsidRPr="007A5455" w:rsidRDefault="005F0F3B" w:rsidP="005F0F3B">
            <w:pPr>
              <w:rPr>
                <w:sz w:val="20"/>
                <w:szCs w:val="20"/>
                <w:lang w:val="en-US"/>
              </w:rPr>
            </w:pPr>
            <w:r w:rsidRPr="007A5455">
              <w:rPr>
                <w:sz w:val="20"/>
                <w:szCs w:val="20"/>
                <w:lang w:val="en-US"/>
              </w:rPr>
              <w:t>2014 ONCA 547, C55028</w:t>
            </w:r>
          </w:p>
          <w:p w:rsidR="005F0F3B" w:rsidRPr="007A5455" w:rsidRDefault="001F68BE" w:rsidP="005F0F3B">
            <w:pPr>
              <w:tabs>
                <w:tab w:val="left" w:pos="2904"/>
              </w:tabs>
              <w:rPr>
                <w:sz w:val="20"/>
                <w:szCs w:val="20"/>
                <w:lang w:val="en-US"/>
              </w:rPr>
            </w:pPr>
            <w:hyperlink r:id="rId47" w:history="1">
              <w:r w:rsidR="005F0F3B" w:rsidRPr="007A5455">
                <w:rPr>
                  <w:rStyle w:val="Hyperlink"/>
                  <w:rFonts w:eastAsiaTheme="majorEastAsia"/>
                  <w:color w:val="0000FF"/>
                  <w:sz w:val="20"/>
                  <w:szCs w:val="20"/>
                  <w:lang w:val="en-US"/>
                </w:rPr>
                <w:t>http://canlii.ca/t/g836g</w:t>
              </w:r>
            </w:hyperlink>
          </w:p>
          <w:p w:rsidR="00405FF3" w:rsidRPr="007A5455" w:rsidRDefault="00405FF3" w:rsidP="0022676D">
            <w:pPr>
              <w:jc w:val="both"/>
              <w:rPr>
                <w:rFonts w:eastAsia="Calibri"/>
                <w:sz w:val="20"/>
                <w:lang w:val="fr-CA"/>
              </w:rPr>
            </w:pPr>
          </w:p>
        </w:tc>
        <w:tc>
          <w:tcPr>
            <w:tcW w:w="243" w:type="pct"/>
          </w:tcPr>
          <w:p w:rsidR="00405FF3" w:rsidRPr="007A5455" w:rsidRDefault="00405FF3" w:rsidP="0022676D">
            <w:pPr>
              <w:jc w:val="both"/>
              <w:rPr>
                <w:rFonts w:eastAsia="Calibri"/>
                <w:sz w:val="20"/>
                <w:lang w:val="fr-CA"/>
              </w:rPr>
            </w:pPr>
          </w:p>
        </w:tc>
        <w:tc>
          <w:tcPr>
            <w:tcW w:w="2330" w:type="pct"/>
          </w:tcPr>
          <w:p w:rsidR="005F0F3B" w:rsidRPr="007A5455" w:rsidRDefault="005F0F3B" w:rsidP="005F0F3B">
            <w:pPr>
              <w:rPr>
                <w:sz w:val="20"/>
                <w:szCs w:val="20"/>
                <w:lang w:val="fr-CA"/>
              </w:rPr>
            </w:pPr>
            <w:r w:rsidRPr="007A5455">
              <w:rPr>
                <w:sz w:val="20"/>
                <w:szCs w:val="20"/>
                <w:lang w:val="fr-CA"/>
              </w:rPr>
              <w:t>Rejet de l’appel de la déclaration de culpabilité, autorisation d’en appeler de la peine et rejet de l’appel de la peine</w:t>
            </w:r>
          </w:p>
          <w:p w:rsidR="00405FF3" w:rsidRPr="007A5455" w:rsidRDefault="00405FF3" w:rsidP="0022676D">
            <w:pPr>
              <w:jc w:val="both"/>
              <w:rPr>
                <w:rFonts w:eastAsia="Calibri"/>
                <w:sz w:val="20"/>
                <w:lang w:val="fr-CA"/>
              </w:rPr>
            </w:pPr>
          </w:p>
        </w:tc>
      </w:tr>
      <w:tr w:rsidR="00405FF3" w:rsidRPr="007A5455" w:rsidTr="0022676D">
        <w:trPr>
          <w:cantSplit/>
        </w:trPr>
        <w:tc>
          <w:tcPr>
            <w:tcW w:w="2427" w:type="pct"/>
          </w:tcPr>
          <w:p w:rsidR="005F0F3B" w:rsidRPr="007A5455" w:rsidRDefault="005F0F3B" w:rsidP="005F0F3B">
            <w:pPr>
              <w:rPr>
                <w:sz w:val="20"/>
                <w:szCs w:val="20"/>
                <w:lang w:val="fr-CA"/>
              </w:rPr>
            </w:pPr>
            <w:r w:rsidRPr="007A5455">
              <w:rPr>
                <w:sz w:val="20"/>
                <w:szCs w:val="20"/>
                <w:lang w:val="fr-CA"/>
              </w:rPr>
              <w:t>4 août 2015</w:t>
            </w:r>
          </w:p>
          <w:p w:rsidR="00405FF3" w:rsidRPr="007A5455" w:rsidRDefault="00405FF3" w:rsidP="0022676D">
            <w:pPr>
              <w:jc w:val="both"/>
              <w:rPr>
                <w:rFonts w:eastAsia="Calibri"/>
                <w:sz w:val="20"/>
                <w:lang w:val="fr-CA"/>
              </w:rPr>
            </w:pPr>
            <w:r w:rsidRPr="007A5455">
              <w:rPr>
                <w:rFonts w:eastAsia="Calibri"/>
                <w:sz w:val="20"/>
                <w:lang w:val="fr-CA"/>
              </w:rPr>
              <w:t>Cour suprême du Canada</w:t>
            </w:r>
          </w:p>
        </w:tc>
        <w:tc>
          <w:tcPr>
            <w:tcW w:w="243" w:type="pct"/>
          </w:tcPr>
          <w:p w:rsidR="00405FF3" w:rsidRPr="007A5455" w:rsidRDefault="00405FF3" w:rsidP="0022676D">
            <w:pPr>
              <w:jc w:val="both"/>
              <w:rPr>
                <w:rFonts w:eastAsia="Calibri"/>
                <w:sz w:val="20"/>
                <w:lang w:val="fr-CA"/>
              </w:rPr>
            </w:pPr>
          </w:p>
        </w:tc>
        <w:tc>
          <w:tcPr>
            <w:tcW w:w="2330" w:type="pct"/>
          </w:tcPr>
          <w:p w:rsidR="00405FF3" w:rsidRPr="007A5455" w:rsidRDefault="005F0F3B" w:rsidP="005F0F3B">
            <w:pPr>
              <w:spacing w:line="276" w:lineRule="auto"/>
              <w:jc w:val="both"/>
              <w:rPr>
                <w:rFonts w:eastAsia="Calibri"/>
                <w:sz w:val="20"/>
                <w:szCs w:val="20"/>
                <w:lang w:val="fr-CA"/>
              </w:rPr>
            </w:pPr>
            <w:r w:rsidRPr="007A5455">
              <w:rPr>
                <w:sz w:val="20"/>
                <w:szCs w:val="20"/>
                <w:lang w:val="fr-CA"/>
              </w:rPr>
              <w:t>Dépôt de la requête en prorogation du délai de signification et de dépôt de la demande d’autorisation d’appel et de la demande d’autorisation d’appel</w:t>
            </w:r>
          </w:p>
        </w:tc>
      </w:tr>
    </w:tbl>
    <w:p w:rsidR="00405FF3" w:rsidRPr="007A5455" w:rsidRDefault="00405FF3" w:rsidP="00405FF3">
      <w:pPr>
        <w:rPr>
          <w:sz w:val="20"/>
          <w:szCs w:val="20"/>
        </w:rPr>
      </w:pPr>
    </w:p>
    <w:p w:rsidR="00405FF3" w:rsidRPr="007A5455" w:rsidRDefault="001F68BE" w:rsidP="00405FF3">
      <w:pPr>
        <w:rPr>
          <w:sz w:val="20"/>
          <w:szCs w:val="20"/>
        </w:rPr>
      </w:pPr>
      <w:r>
        <w:rPr>
          <w:sz w:val="20"/>
          <w:szCs w:val="20"/>
          <w:lang w:val="fr-CA"/>
        </w:rPr>
        <w:pict>
          <v:rect id="_x0000_i1049" style="width:2in;height:1pt" o:hrpct="0" o:hralign="center" o:hrstd="t" o:hrnoshade="t" o:hr="t" fillcolor="black [3213]" stroked="f"/>
        </w:pict>
      </w:r>
    </w:p>
    <w:p w:rsidR="00F83204" w:rsidRPr="007A5455" w:rsidRDefault="00F83204" w:rsidP="00F8320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83204" w:rsidRPr="007A5455" w:rsidTr="0022676D">
        <w:trPr>
          <w:cantSplit/>
        </w:trPr>
        <w:tc>
          <w:tcPr>
            <w:tcW w:w="1458" w:type="dxa"/>
          </w:tcPr>
          <w:p w:rsidR="00F83204" w:rsidRPr="007A5455" w:rsidRDefault="00F83204" w:rsidP="0022676D">
            <w:pPr>
              <w:rPr>
                <w:sz w:val="20"/>
                <w:szCs w:val="20"/>
              </w:rPr>
            </w:pPr>
            <w:r w:rsidRPr="007A5455">
              <w:rPr>
                <w:rStyle w:val="SCCFileNumberChar"/>
                <w:sz w:val="20"/>
                <w:szCs w:val="20"/>
              </w:rPr>
              <w:t>36546</w:t>
            </w:r>
          </w:p>
          <w:p w:rsidR="00F83204" w:rsidRPr="007A5455" w:rsidRDefault="00F83204" w:rsidP="0022676D">
            <w:pPr>
              <w:rPr>
                <w:b/>
                <w:sz w:val="20"/>
                <w:szCs w:val="20"/>
                <w:lang w:val="fr-CA"/>
              </w:rPr>
            </w:pPr>
          </w:p>
        </w:tc>
        <w:tc>
          <w:tcPr>
            <w:tcW w:w="8118" w:type="dxa"/>
          </w:tcPr>
          <w:p w:rsidR="00146D53" w:rsidRPr="007A5455" w:rsidRDefault="00F83204" w:rsidP="0022676D">
            <w:pPr>
              <w:rPr>
                <w:b/>
                <w:iCs/>
                <w:sz w:val="20"/>
                <w:szCs w:val="20"/>
                <w:u w:val="single"/>
                <w:lang w:val="fr-CA"/>
              </w:rPr>
            </w:pPr>
            <w:r w:rsidRPr="007A5455">
              <w:rPr>
                <w:b/>
                <w:iCs/>
                <w:sz w:val="20"/>
                <w:szCs w:val="20"/>
                <w:u w:val="single"/>
                <w:lang w:val="fr-CA"/>
              </w:rPr>
              <w:t xml:space="preserve">2251420 Ontario Inc. v. 1289012 Ontario Inc. </w:t>
            </w:r>
            <w:r w:rsidR="00094175" w:rsidRPr="007A5455">
              <w:rPr>
                <w:b/>
                <w:iCs/>
                <w:sz w:val="20"/>
                <w:szCs w:val="20"/>
                <w:u w:val="single"/>
                <w:lang w:val="fr-CA"/>
              </w:rPr>
              <w:t>a</w:t>
            </w:r>
            <w:r w:rsidR="000D0CBE" w:rsidRPr="007A5455">
              <w:rPr>
                <w:b/>
                <w:iCs/>
                <w:sz w:val="20"/>
                <w:szCs w:val="20"/>
                <w:u w:val="single"/>
                <w:lang w:val="fr-CA"/>
              </w:rPr>
              <w:t xml:space="preserve">nd </w:t>
            </w:r>
            <w:proofErr w:type="spellStart"/>
            <w:r w:rsidR="000D0CBE" w:rsidRPr="007A5455">
              <w:rPr>
                <w:b/>
                <w:iCs/>
                <w:sz w:val="20"/>
                <w:szCs w:val="20"/>
                <w:u w:val="single"/>
                <w:lang w:val="fr-CA"/>
              </w:rPr>
              <w:t>Ossom</w:t>
            </w:r>
            <w:proofErr w:type="spellEnd"/>
            <w:r w:rsidR="000D0CBE" w:rsidRPr="007A5455">
              <w:rPr>
                <w:b/>
                <w:iCs/>
                <w:sz w:val="20"/>
                <w:szCs w:val="20"/>
                <w:u w:val="single"/>
                <w:lang w:val="fr-CA"/>
              </w:rPr>
              <w:t xml:space="preserve"> </w:t>
            </w:r>
            <w:r w:rsidR="00146D53" w:rsidRPr="007A5455">
              <w:rPr>
                <w:b/>
                <w:iCs/>
                <w:sz w:val="20"/>
                <w:szCs w:val="20"/>
                <w:u w:val="single"/>
                <w:lang w:val="fr-CA"/>
              </w:rPr>
              <w:t xml:space="preserve">International </w:t>
            </w:r>
            <w:proofErr w:type="spellStart"/>
            <w:r w:rsidR="00146D53" w:rsidRPr="007A5455">
              <w:rPr>
                <w:b/>
                <w:iCs/>
                <w:sz w:val="20"/>
                <w:szCs w:val="20"/>
                <w:u w:val="single"/>
                <w:lang w:val="fr-CA"/>
              </w:rPr>
              <w:t>Developments</w:t>
            </w:r>
            <w:proofErr w:type="spellEnd"/>
            <w:r w:rsidR="00146D53" w:rsidRPr="007A5455">
              <w:rPr>
                <w:b/>
                <w:iCs/>
                <w:sz w:val="20"/>
                <w:szCs w:val="20"/>
                <w:u w:val="single"/>
                <w:lang w:val="fr-CA"/>
              </w:rPr>
              <w:t xml:space="preserve"> Inc.</w:t>
            </w:r>
          </w:p>
          <w:p w:rsidR="00F83204" w:rsidRPr="007A5455" w:rsidRDefault="000D0CBE" w:rsidP="0022676D">
            <w:pPr>
              <w:rPr>
                <w:sz w:val="20"/>
                <w:szCs w:val="20"/>
              </w:rPr>
            </w:pPr>
            <w:r w:rsidRPr="007A5455">
              <w:rPr>
                <w:b/>
                <w:iCs/>
                <w:sz w:val="20"/>
                <w:szCs w:val="20"/>
                <w:u w:val="single"/>
                <w:lang w:val="fr-CA"/>
              </w:rPr>
              <w:t>– AND BETWEEN – 2251420 Ontario Inc.</w:t>
            </w:r>
            <w:r w:rsidR="004C7B9D" w:rsidRPr="007A5455">
              <w:rPr>
                <w:b/>
                <w:iCs/>
                <w:sz w:val="20"/>
                <w:szCs w:val="20"/>
                <w:u w:val="single"/>
                <w:lang w:val="fr-CA"/>
              </w:rPr>
              <w:t>,</w:t>
            </w:r>
            <w:r w:rsidRPr="007A5455">
              <w:rPr>
                <w:b/>
                <w:iCs/>
                <w:sz w:val="20"/>
                <w:szCs w:val="20"/>
                <w:u w:val="single"/>
                <w:lang w:val="fr-CA"/>
              </w:rPr>
              <w:t xml:space="preserve"> </w:t>
            </w:r>
            <w:proofErr w:type="spellStart"/>
            <w:r w:rsidRPr="007A5455">
              <w:rPr>
                <w:b/>
                <w:iCs/>
                <w:sz w:val="20"/>
                <w:szCs w:val="20"/>
                <w:u w:val="single"/>
                <w:lang w:val="fr-CA"/>
              </w:rPr>
              <w:t>Aliasghar</w:t>
            </w:r>
            <w:proofErr w:type="spellEnd"/>
            <w:r w:rsidRPr="007A5455">
              <w:rPr>
                <w:b/>
                <w:iCs/>
                <w:sz w:val="20"/>
                <w:szCs w:val="20"/>
                <w:u w:val="single"/>
                <w:lang w:val="fr-CA"/>
              </w:rPr>
              <w:t xml:space="preserve"> </w:t>
            </w:r>
            <w:proofErr w:type="spellStart"/>
            <w:r w:rsidRPr="007A5455">
              <w:rPr>
                <w:b/>
                <w:iCs/>
                <w:sz w:val="20"/>
                <w:szCs w:val="20"/>
                <w:u w:val="single"/>
                <w:lang w:val="fr-CA"/>
              </w:rPr>
              <w:t>Hairi</w:t>
            </w:r>
            <w:proofErr w:type="spellEnd"/>
            <w:r w:rsidRPr="007A5455">
              <w:rPr>
                <w:b/>
                <w:iCs/>
                <w:sz w:val="20"/>
                <w:szCs w:val="20"/>
                <w:u w:val="single"/>
                <w:lang w:val="fr-CA"/>
              </w:rPr>
              <w:t xml:space="preserve"> and </w:t>
            </w:r>
            <w:proofErr w:type="spellStart"/>
            <w:r w:rsidRPr="007A5455">
              <w:rPr>
                <w:b/>
                <w:iCs/>
                <w:sz w:val="20"/>
                <w:szCs w:val="20"/>
                <w:u w:val="single"/>
                <w:lang w:val="fr-CA"/>
              </w:rPr>
              <w:t>Tayebe</w:t>
            </w:r>
            <w:proofErr w:type="spellEnd"/>
            <w:r w:rsidRPr="007A5455">
              <w:rPr>
                <w:b/>
                <w:iCs/>
                <w:sz w:val="20"/>
                <w:szCs w:val="20"/>
                <w:u w:val="single"/>
                <w:lang w:val="fr-CA"/>
              </w:rPr>
              <w:t xml:space="preserve"> </w:t>
            </w:r>
            <w:proofErr w:type="spellStart"/>
            <w:r w:rsidRPr="007A5455">
              <w:rPr>
                <w:b/>
                <w:iCs/>
                <w:sz w:val="20"/>
                <w:szCs w:val="20"/>
                <w:u w:val="single"/>
                <w:lang w:val="fr-CA"/>
              </w:rPr>
              <w:t>Vahidtary</w:t>
            </w:r>
            <w:proofErr w:type="spellEnd"/>
            <w:r w:rsidRPr="007A5455">
              <w:rPr>
                <w:b/>
                <w:iCs/>
                <w:sz w:val="20"/>
                <w:szCs w:val="20"/>
                <w:u w:val="single"/>
                <w:lang w:val="fr-CA"/>
              </w:rPr>
              <w:t xml:space="preserve"> v. 1289012 Ontario Inc. </w:t>
            </w:r>
            <w:r w:rsidR="00094175" w:rsidRPr="007A5455">
              <w:rPr>
                <w:b/>
                <w:iCs/>
                <w:sz w:val="20"/>
                <w:szCs w:val="20"/>
                <w:u w:val="single"/>
                <w:lang w:val="fr-CA"/>
              </w:rPr>
              <w:t>a</w:t>
            </w:r>
            <w:r w:rsidRPr="007A5455">
              <w:rPr>
                <w:b/>
                <w:iCs/>
                <w:sz w:val="20"/>
                <w:szCs w:val="20"/>
                <w:u w:val="single"/>
                <w:lang w:val="fr-CA"/>
              </w:rPr>
              <w:t xml:space="preserve">nd </w:t>
            </w:r>
            <w:proofErr w:type="spellStart"/>
            <w:r w:rsidRPr="007A5455">
              <w:rPr>
                <w:b/>
                <w:iCs/>
                <w:sz w:val="20"/>
                <w:szCs w:val="20"/>
                <w:u w:val="single"/>
                <w:lang w:val="fr-CA"/>
              </w:rPr>
              <w:t>Ossom</w:t>
            </w:r>
            <w:proofErr w:type="spellEnd"/>
            <w:r w:rsidRPr="007A5455">
              <w:rPr>
                <w:b/>
                <w:iCs/>
                <w:sz w:val="20"/>
                <w:szCs w:val="20"/>
                <w:u w:val="single"/>
                <w:lang w:val="fr-CA"/>
              </w:rPr>
              <w:t xml:space="preserve"> International </w:t>
            </w:r>
            <w:proofErr w:type="spellStart"/>
            <w:r w:rsidRPr="007A5455">
              <w:rPr>
                <w:b/>
                <w:iCs/>
                <w:sz w:val="20"/>
                <w:szCs w:val="20"/>
                <w:u w:val="single"/>
                <w:lang w:val="fr-CA"/>
              </w:rPr>
              <w:t>Developments</w:t>
            </w:r>
            <w:proofErr w:type="spellEnd"/>
            <w:r w:rsidRPr="007A5455">
              <w:rPr>
                <w:b/>
                <w:iCs/>
                <w:sz w:val="20"/>
                <w:szCs w:val="20"/>
                <w:u w:val="single"/>
                <w:lang w:val="fr-CA"/>
              </w:rPr>
              <w:t xml:space="preserve"> Inc.</w:t>
            </w:r>
            <w:r w:rsidR="00F83204" w:rsidRPr="007A5455">
              <w:rPr>
                <w:iCs/>
                <w:sz w:val="20"/>
                <w:szCs w:val="20"/>
              </w:rPr>
              <w:t xml:space="preserve"> </w:t>
            </w:r>
            <w:r w:rsidR="00F83204" w:rsidRPr="007A5455">
              <w:rPr>
                <w:sz w:val="20"/>
                <w:szCs w:val="20"/>
              </w:rPr>
              <w:t>(Ont.) (Civil) (By Leave)</w:t>
            </w:r>
          </w:p>
          <w:p w:rsidR="00F83204" w:rsidRPr="007A5455" w:rsidRDefault="00F83204" w:rsidP="0022676D">
            <w:pPr>
              <w:rPr>
                <w:sz w:val="20"/>
                <w:szCs w:val="20"/>
              </w:rPr>
            </w:pPr>
          </w:p>
        </w:tc>
      </w:tr>
      <w:tr w:rsidR="00F83204" w:rsidRPr="007A5455" w:rsidTr="0022676D">
        <w:trPr>
          <w:cantSplit/>
        </w:trPr>
        <w:tc>
          <w:tcPr>
            <w:tcW w:w="1458" w:type="dxa"/>
          </w:tcPr>
          <w:p w:rsidR="00F83204" w:rsidRPr="007A5455" w:rsidRDefault="00F83204" w:rsidP="0022676D">
            <w:pPr>
              <w:rPr>
                <w:sz w:val="20"/>
                <w:szCs w:val="20"/>
              </w:rPr>
            </w:pPr>
            <w:r w:rsidRPr="007A5455">
              <w:rPr>
                <w:sz w:val="20"/>
                <w:szCs w:val="20"/>
              </w:rPr>
              <w:t>Coram :</w:t>
            </w:r>
          </w:p>
        </w:tc>
        <w:tc>
          <w:tcPr>
            <w:tcW w:w="8118" w:type="dxa"/>
          </w:tcPr>
          <w:p w:rsidR="00F83204" w:rsidRPr="007A5455" w:rsidRDefault="0031095C" w:rsidP="0022676D">
            <w:pPr>
              <w:rPr>
                <w:sz w:val="20"/>
                <w:szCs w:val="20"/>
              </w:rPr>
            </w:pPr>
            <w:proofErr w:type="spellStart"/>
            <w:r w:rsidRPr="007A5455">
              <w:rPr>
                <w:rStyle w:val="SCCCoramChar"/>
                <w:sz w:val="20"/>
                <w:szCs w:val="20"/>
                <w:lang w:val="en-CA"/>
              </w:rPr>
              <w:t>Abella</w:t>
            </w:r>
            <w:proofErr w:type="spellEnd"/>
            <w:r w:rsidR="00F83204" w:rsidRPr="007A5455">
              <w:rPr>
                <w:rStyle w:val="SCCCoramChar"/>
                <w:sz w:val="20"/>
                <w:szCs w:val="20"/>
                <w:lang w:val="en-CA"/>
              </w:rPr>
              <w:t xml:space="preserve">, </w:t>
            </w:r>
            <w:proofErr w:type="spellStart"/>
            <w:r w:rsidR="00F83204" w:rsidRPr="007A5455">
              <w:rPr>
                <w:rStyle w:val="SCCCoramChar"/>
                <w:sz w:val="20"/>
                <w:szCs w:val="20"/>
                <w:lang w:val="en-CA"/>
              </w:rPr>
              <w:t>Karakatsanis</w:t>
            </w:r>
            <w:proofErr w:type="spellEnd"/>
            <w:r w:rsidR="00F83204" w:rsidRPr="007A5455">
              <w:rPr>
                <w:rStyle w:val="SCCCoramChar"/>
                <w:sz w:val="20"/>
                <w:szCs w:val="20"/>
                <w:lang w:val="en-CA"/>
              </w:rPr>
              <w:t xml:space="preserve"> and </w:t>
            </w:r>
            <w:r w:rsidRPr="007A5455">
              <w:rPr>
                <w:rStyle w:val="SCCCoramChar"/>
                <w:sz w:val="20"/>
                <w:szCs w:val="20"/>
                <w:lang w:val="en-CA"/>
              </w:rPr>
              <w:t>Brown</w:t>
            </w:r>
            <w:r w:rsidR="00F83204" w:rsidRPr="007A5455">
              <w:rPr>
                <w:rStyle w:val="SCCCoramChar"/>
                <w:sz w:val="20"/>
                <w:szCs w:val="20"/>
                <w:lang w:val="en-CA"/>
              </w:rPr>
              <w:t> JJ.</w:t>
            </w:r>
          </w:p>
          <w:p w:rsidR="00F83204" w:rsidRPr="007A5455" w:rsidRDefault="00F83204" w:rsidP="0022676D">
            <w:pPr>
              <w:rPr>
                <w:sz w:val="20"/>
                <w:szCs w:val="20"/>
                <w:u w:val="single"/>
              </w:rPr>
            </w:pPr>
          </w:p>
        </w:tc>
      </w:tr>
      <w:tr w:rsidR="00F83204" w:rsidRPr="007A5455" w:rsidTr="0022676D">
        <w:trPr>
          <w:cantSplit/>
        </w:trPr>
        <w:tc>
          <w:tcPr>
            <w:tcW w:w="9576" w:type="dxa"/>
            <w:gridSpan w:val="2"/>
          </w:tcPr>
          <w:p w:rsidR="00F83204" w:rsidRPr="007A5455" w:rsidRDefault="00080AB2" w:rsidP="0022676D">
            <w:pPr>
              <w:pStyle w:val="SCCShortJudgment"/>
              <w:rPr>
                <w:szCs w:val="20"/>
              </w:rPr>
            </w:pPr>
            <w:r w:rsidRPr="007A5455">
              <w:t>The motion for an extension of time to serve and file the response to the application for leave to appeal is granted. The application for leave to appeal from the judgment of the Court of Appeal for Ontario, Number C59186, 2015 ONCA 524, dated July 13, 2015, is dismissed with costs.</w:t>
            </w:r>
          </w:p>
          <w:p w:rsidR="00F83204" w:rsidRPr="007A5455" w:rsidRDefault="00F83204" w:rsidP="0022676D">
            <w:pPr>
              <w:pStyle w:val="SCCShortJudgment"/>
              <w:ind w:firstLine="0"/>
              <w:rPr>
                <w:szCs w:val="20"/>
              </w:rPr>
            </w:pPr>
          </w:p>
          <w:p w:rsidR="00F83204" w:rsidRPr="007A5455" w:rsidRDefault="00080AB2" w:rsidP="00080AB2">
            <w:pPr>
              <w:pStyle w:val="SCCShortJudgment"/>
              <w:rPr>
                <w:szCs w:val="20"/>
                <w:lang w:val="fr-CA"/>
              </w:rPr>
            </w:pPr>
            <w:r w:rsidRPr="007A5455">
              <w:rPr>
                <w:lang w:val="fr-CA"/>
              </w:rPr>
              <w:t xml:space="preserve">La requête en prorogation du délai de signification et de dépôt de la réponse à la  demande d’autorisation d’appel est accueille. La demande d’autorisation d’appel de l’arrêt de la </w:t>
            </w:r>
            <w:r w:rsidRPr="007A5455">
              <w:rPr>
                <w:lang w:val="fr-FR"/>
              </w:rPr>
              <w:t>Cour d’appel de l’Ontario</w:t>
            </w:r>
            <w:r w:rsidRPr="007A5455">
              <w:rPr>
                <w:lang w:val="fr-CA"/>
              </w:rPr>
              <w:t xml:space="preserve">, numéro </w:t>
            </w:r>
            <w:r w:rsidRPr="007A5455">
              <w:rPr>
                <w:lang w:val="fr-FR"/>
              </w:rPr>
              <w:t>C59186, 2015 ONCA 524</w:t>
            </w:r>
            <w:r w:rsidRPr="007A5455">
              <w:rPr>
                <w:lang w:val="fr-CA"/>
              </w:rPr>
              <w:t xml:space="preserve">, daté du </w:t>
            </w:r>
            <w:r w:rsidRPr="007A5455">
              <w:rPr>
                <w:lang w:val="fr-FR"/>
              </w:rPr>
              <w:t>13 juillet 2015</w:t>
            </w:r>
            <w:r w:rsidRPr="007A5455">
              <w:rPr>
                <w:lang w:val="fr-CA"/>
              </w:rPr>
              <w:t>, est rejetée avec dépens.</w:t>
            </w:r>
          </w:p>
        </w:tc>
      </w:tr>
    </w:tbl>
    <w:p w:rsidR="00F83204" w:rsidRPr="007A5455" w:rsidRDefault="00F83204" w:rsidP="00F83204">
      <w:pPr>
        <w:rPr>
          <w:sz w:val="20"/>
          <w:szCs w:val="20"/>
          <w:lang w:val="fr-CA"/>
        </w:rPr>
      </w:pPr>
    </w:p>
    <w:p w:rsidR="00F83204" w:rsidRPr="007A5455" w:rsidRDefault="00F83204" w:rsidP="00F83204">
      <w:pPr>
        <w:rPr>
          <w:sz w:val="20"/>
          <w:szCs w:val="20"/>
          <w:u w:val="single"/>
        </w:rPr>
      </w:pPr>
      <w:r w:rsidRPr="007A5455">
        <w:rPr>
          <w:sz w:val="20"/>
          <w:szCs w:val="20"/>
          <w:u w:val="single"/>
        </w:rPr>
        <w:t>CASE SUMMARY</w:t>
      </w:r>
    </w:p>
    <w:p w:rsidR="00F83204" w:rsidRPr="007A5455" w:rsidRDefault="00F83204" w:rsidP="00F832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213D" w:rsidRPr="007A5455" w:rsidTr="0022676D">
        <w:tc>
          <w:tcPr>
            <w:tcW w:w="5000" w:type="pct"/>
            <w:gridSpan w:val="3"/>
          </w:tcPr>
          <w:p w:rsidR="0057213D" w:rsidRPr="007A5455" w:rsidRDefault="0057213D" w:rsidP="0057213D">
            <w:pPr>
              <w:rPr>
                <w:sz w:val="20"/>
                <w:szCs w:val="20"/>
              </w:rPr>
            </w:pPr>
            <w:r w:rsidRPr="007A5455">
              <w:rPr>
                <w:sz w:val="20"/>
                <w:szCs w:val="20"/>
              </w:rPr>
              <w:t xml:space="preserve">Commercial law – Contracts – Commercial leases – Whether and in what circumstances a court can disregard the limits on the scope and role of a contract’s factual matrix as set out in </w:t>
            </w:r>
            <w:r w:rsidRPr="007A5455">
              <w:rPr>
                <w:i/>
                <w:sz w:val="20"/>
                <w:szCs w:val="20"/>
              </w:rPr>
              <w:t>Sattva Capital Corp v. Creston Moly Corp.</w:t>
            </w:r>
            <w:r w:rsidRPr="007A5455">
              <w:rPr>
                <w:sz w:val="20"/>
                <w:szCs w:val="20"/>
              </w:rPr>
              <w:t>, 2014 SCC 53, [2014] 2 S.C.R. 633 – Whether there was a valid and enforceable lease between the parties.</w:t>
            </w:r>
          </w:p>
          <w:p w:rsidR="0057213D" w:rsidRPr="007A5455" w:rsidRDefault="0057213D" w:rsidP="0057213D">
            <w:pPr>
              <w:rPr>
                <w:sz w:val="20"/>
                <w:szCs w:val="20"/>
              </w:rPr>
            </w:pPr>
          </w:p>
        </w:tc>
      </w:tr>
      <w:tr w:rsidR="0057213D" w:rsidRPr="007A5455" w:rsidTr="0022676D">
        <w:tc>
          <w:tcPr>
            <w:tcW w:w="5000" w:type="pct"/>
            <w:gridSpan w:val="3"/>
          </w:tcPr>
          <w:p w:rsidR="008962C7" w:rsidRPr="007A5455" w:rsidRDefault="008962C7" w:rsidP="008962C7">
            <w:pPr>
              <w:jc w:val="both"/>
              <w:rPr>
                <w:sz w:val="20"/>
                <w:szCs w:val="20"/>
              </w:rPr>
            </w:pPr>
            <w:r w:rsidRPr="007A5455">
              <w:rPr>
                <w:sz w:val="20"/>
                <w:szCs w:val="20"/>
              </w:rPr>
              <w:t xml:space="preserve">The applicant, 2251420 Ontario Inc., asserts that an agreement to lease a service station between it and the respondent, 1280012 Ontario Inc., is not a valid and enforceable lease. The applicant claims that the lease was void </w:t>
            </w:r>
            <w:r w:rsidRPr="007A5455">
              <w:rPr>
                <w:i/>
                <w:sz w:val="20"/>
                <w:szCs w:val="20"/>
              </w:rPr>
              <w:t>ab initio</w:t>
            </w:r>
            <w:r w:rsidRPr="007A5455">
              <w:rPr>
                <w:sz w:val="20"/>
                <w:szCs w:val="20"/>
              </w:rPr>
              <w:t xml:space="preserve"> because </w:t>
            </w:r>
            <w:r w:rsidRPr="007A5455">
              <w:rPr>
                <w:sz w:val="20"/>
                <w:szCs w:val="20"/>
              </w:rPr>
              <w:lastRenderedPageBreak/>
              <w:t>the respondent had previously leased the service station to Imperial Oil and was collecting rent from Imperial. In a counterclaim, the applicants sought the return of the rent it paid, as well as damages for wrongful taking of possession.</w:t>
            </w:r>
          </w:p>
          <w:p w:rsidR="008962C7" w:rsidRPr="007A5455" w:rsidRDefault="008962C7" w:rsidP="008962C7">
            <w:pPr>
              <w:jc w:val="both"/>
              <w:rPr>
                <w:sz w:val="20"/>
                <w:szCs w:val="20"/>
              </w:rPr>
            </w:pPr>
          </w:p>
          <w:p w:rsidR="0057213D" w:rsidRPr="007A5455" w:rsidRDefault="008962C7" w:rsidP="008962C7">
            <w:pPr>
              <w:jc w:val="both"/>
              <w:rPr>
                <w:sz w:val="20"/>
                <w:szCs w:val="20"/>
              </w:rPr>
            </w:pPr>
            <w:r w:rsidRPr="007A5455">
              <w:rPr>
                <w:sz w:val="20"/>
                <w:szCs w:val="20"/>
              </w:rPr>
              <w:t>The Ontario Superior Court of Justice held that the agreement was a valid and enforceable lease, and awarded damages for rent due under the lease to the respondents. The Ontario Court of Appeal dismissed the applicants’ appeal.</w:t>
            </w:r>
          </w:p>
          <w:p w:rsidR="008962C7" w:rsidRPr="007A5455" w:rsidRDefault="008962C7" w:rsidP="008962C7">
            <w:pPr>
              <w:jc w:val="both"/>
              <w:rPr>
                <w:rFonts w:eastAsia="Calibri"/>
                <w:sz w:val="20"/>
              </w:rPr>
            </w:pPr>
          </w:p>
        </w:tc>
      </w:tr>
      <w:tr w:rsidR="0057213D" w:rsidRPr="007A5455" w:rsidTr="0022676D">
        <w:trPr>
          <w:cantSplit/>
        </w:trPr>
        <w:tc>
          <w:tcPr>
            <w:tcW w:w="2427" w:type="pct"/>
          </w:tcPr>
          <w:p w:rsidR="00E471FA" w:rsidRPr="007A5455" w:rsidRDefault="00E471FA" w:rsidP="00E471FA">
            <w:pPr>
              <w:jc w:val="both"/>
              <w:rPr>
                <w:sz w:val="20"/>
                <w:szCs w:val="20"/>
              </w:rPr>
            </w:pPr>
            <w:r w:rsidRPr="007A5455">
              <w:rPr>
                <w:sz w:val="20"/>
                <w:szCs w:val="20"/>
              </w:rPr>
              <w:lastRenderedPageBreak/>
              <w:t>July 8, 2014</w:t>
            </w:r>
          </w:p>
          <w:p w:rsidR="00E471FA" w:rsidRPr="007A5455" w:rsidRDefault="00E471FA" w:rsidP="00E471FA">
            <w:pPr>
              <w:jc w:val="both"/>
              <w:rPr>
                <w:sz w:val="20"/>
                <w:szCs w:val="20"/>
              </w:rPr>
            </w:pPr>
            <w:r w:rsidRPr="007A5455">
              <w:rPr>
                <w:sz w:val="20"/>
                <w:szCs w:val="20"/>
              </w:rPr>
              <w:t>Ontario Superior Court of Justice</w:t>
            </w:r>
          </w:p>
          <w:p w:rsidR="00E471FA" w:rsidRPr="007A5455" w:rsidRDefault="00E471FA" w:rsidP="00E471FA">
            <w:pPr>
              <w:jc w:val="both"/>
              <w:rPr>
                <w:sz w:val="20"/>
                <w:szCs w:val="20"/>
              </w:rPr>
            </w:pPr>
            <w:r w:rsidRPr="007A5455">
              <w:rPr>
                <w:sz w:val="20"/>
                <w:szCs w:val="20"/>
              </w:rPr>
              <w:t>(Mullins J.)</w:t>
            </w:r>
          </w:p>
          <w:p w:rsidR="00E471FA" w:rsidRPr="007A5455" w:rsidRDefault="00E471FA" w:rsidP="00E471FA">
            <w:pPr>
              <w:jc w:val="both"/>
              <w:rPr>
                <w:sz w:val="20"/>
                <w:szCs w:val="20"/>
              </w:rPr>
            </w:pPr>
            <w:r w:rsidRPr="007A5455">
              <w:rPr>
                <w:sz w:val="20"/>
                <w:szCs w:val="20"/>
              </w:rPr>
              <w:t>2014 ONSC 4129</w:t>
            </w:r>
          </w:p>
          <w:p w:rsidR="00E471FA" w:rsidRPr="007A5455" w:rsidRDefault="00E471FA" w:rsidP="00E471FA">
            <w:pPr>
              <w:jc w:val="both"/>
              <w:rPr>
                <w:sz w:val="20"/>
                <w:szCs w:val="20"/>
              </w:rPr>
            </w:pPr>
            <w:r w:rsidRPr="007A5455">
              <w:rPr>
                <w:sz w:val="20"/>
                <w:szCs w:val="20"/>
              </w:rPr>
              <w:t xml:space="preserve">(Not reported in </w:t>
            </w:r>
            <w:proofErr w:type="spellStart"/>
            <w:r w:rsidRPr="007A5455">
              <w:rPr>
                <w:sz w:val="20"/>
                <w:szCs w:val="20"/>
              </w:rPr>
              <w:t>CanLii</w:t>
            </w:r>
            <w:proofErr w:type="spellEnd"/>
            <w:r w:rsidRPr="007A5455">
              <w:rPr>
                <w:sz w:val="20"/>
                <w:szCs w:val="20"/>
              </w:rPr>
              <w:t>)</w:t>
            </w:r>
          </w:p>
          <w:p w:rsidR="0057213D" w:rsidRPr="007A5455" w:rsidRDefault="0057213D" w:rsidP="0057213D">
            <w:pPr>
              <w:jc w:val="both"/>
              <w:rPr>
                <w:rFonts w:eastAsia="Calibri"/>
                <w:sz w:val="20"/>
              </w:rPr>
            </w:pPr>
          </w:p>
        </w:tc>
        <w:tc>
          <w:tcPr>
            <w:tcW w:w="243" w:type="pct"/>
          </w:tcPr>
          <w:p w:rsidR="0057213D" w:rsidRPr="007A5455" w:rsidRDefault="0057213D" w:rsidP="0057213D">
            <w:pPr>
              <w:jc w:val="both"/>
              <w:rPr>
                <w:rFonts w:eastAsia="Calibri"/>
                <w:sz w:val="20"/>
              </w:rPr>
            </w:pPr>
          </w:p>
        </w:tc>
        <w:tc>
          <w:tcPr>
            <w:tcW w:w="2330" w:type="pct"/>
          </w:tcPr>
          <w:p w:rsidR="00E471FA" w:rsidRPr="007A5455" w:rsidRDefault="00E471FA" w:rsidP="00E471FA">
            <w:pPr>
              <w:jc w:val="both"/>
              <w:rPr>
                <w:sz w:val="20"/>
                <w:szCs w:val="20"/>
              </w:rPr>
            </w:pPr>
            <w:r w:rsidRPr="007A5455">
              <w:rPr>
                <w:sz w:val="20"/>
                <w:szCs w:val="20"/>
              </w:rPr>
              <w:t>Respondents’ action, allowed; applicants’ counterclaim, dismissed.</w:t>
            </w:r>
          </w:p>
          <w:p w:rsidR="0057213D" w:rsidRPr="007A5455" w:rsidRDefault="0057213D" w:rsidP="0057213D">
            <w:pPr>
              <w:jc w:val="both"/>
              <w:rPr>
                <w:rFonts w:eastAsia="Calibri"/>
                <w:sz w:val="20"/>
              </w:rPr>
            </w:pPr>
          </w:p>
        </w:tc>
      </w:tr>
      <w:tr w:rsidR="0057213D" w:rsidRPr="007A5455" w:rsidTr="0022676D">
        <w:trPr>
          <w:cantSplit/>
        </w:trPr>
        <w:tc>
          <w:tcPr>
            <w:tcW w:w="2427" w:type="pct"/>
          </w:tcPr>
          <w:p w:rsidR="00E471FA" w:rsidRPr="007A5455" w:rsidRDefault="00E471FA" w:rsidP="00E471FA">
            <w:pPr>
              <w:jc w:val="both"/>
              <w:rPr>
                <w:sz w:val="20"/>
                <w:szCs w:val="20"/>
              </w:rPr>
            </w:pPr>
            <w:r w:rsidRPr="007A5455">
              <w:rPr>
                <w:sz w:val="20"/>
                <w:szCs w:val="20"/>
              </w:rPr>
              <w:t>July 13, 2015</w:t>
            </w:r>
          </w:p>
          <w:p w:rsidR="00E471FA" w:rsidRPr="007A5455" w:rsidRDefault="00E471FA" w:rsidP="00E471FA">
            <w:pPr>
              <w:jc w:val="both"/>
              <w:rPr>
                <w:sz w:val="20"/>
                <w:szCs w:val="20"/>
              </w:rPr>
            </w:pPr>
            <w:r w:rsidRPr="007A5455">
              <w:rPr>
                <w:sz w:val="20"/>
                <w:szCs w:val="20"/>
              </w:rPr>
              <w:t>Court of Appeal for Ontario</w:t>
            </w:r>
          </w:p>
          <w:p w:rsidR="00E471FA" w:rsidRPr="007A5455" w:rsidRDefault="00E471FA" w:rsidP="00E471FA">
            <w:pPr>
              <w:jc w:val="both"/>
              <w:rPr>
                <w:sz w:val="20"/>
                <w:szCs w:val="20"/>
              </w:rPr>
            </w:pPr>
            <w:r w:rsidRPr="007A5455">
              <w:rPr>
                <w:sz w:val="20"/>
                <w:szCs w:val="20"/>
              </w:rPr>
              <w:t xml:space="preserve">(Strathy C.J.O. and Epstein and </w:t>
            </w:r>
            <w:proofErr w:type="spellStart"/>
            <w:r w:rsidRPr="007A5455">
              <w:rPr>
                <w:sz w:val="20"/>
                <w:szCs w:val="20"/>
              </w:rPr>
              <w:t>Huscroft</w:t>
            </w:r>
            <w:proofErr w:type="spellEnd"/>
            <w:r w:rsidRPr="007A5455">
              <w:rPr>
                <w:sz w:val="20"/>
                <w:szCs w:val="20"/>
              </w:rPr>
              <w:t xml:space="preserve"> JJ.A.)</w:t>
            </w:r>
          </w:p>
          <w:p w:rsidR="0057213D" w:rsidRPr="007A5455" w:rsidRDefault="001F68BE" w:rsidP="00E471FA">
            <w:pPr>
              <w:jc w:val="both"/>
              <w:rPr>
                <w:rFonts w:eastAsia="Calibri"/>
                <w:sz w:val="20"/>
              </w:rPr>
            </w:pPr>
            <w:hyperlink r:id="rId48" w:history="1">
              <w:r w:rsidR="00E471FA" w:rsidRPr="007A5455">
                <w:rPr>
                  <w:color w:val="0000FF" w:themeColor="hyperlink"/>
                  <w:sz w:val="20"/>
                  <w:szCs w:val="20"/>
                  <w:u w:val="single"/>
                </w:rPr>
                <w:t>2015 ONCA 524</w:t>
              </w:r>
            </w:hyperlink>
          </w:p>
        </w:tc>
        <w:tc>
          <w:tcPr>
            <w:tcW w:w="243" w:type="pct"/>
          </w:tcPr>
          <w:p w:rsidR="0057213D" w:rsidRPr="007A5455" w:rsidRDefault="0057213D" w:rsidP="0057213D">
            <w:pPr>
              <w:jc w:val="both"/>
              <w:rPr>
                <w:rFonts w:eastAsia="Calibri"/>
                <w:sz w:val="20"/>
              </w:rPr>
            </w:pPr>
          </w:p>
        </w:tc>
        <w:tc>
          <w:tcPr>
            <w:tcW w:w="2330" w:type="pct"/>
          </w:tcPr>
          <w:p w:rsidR="00E471FA" w:rsidRPr="007A5455" w:rsidRDefault="00E471FA" w:rsidP="00E471FA">
            <w:pPr>
              <w:jc w:val="both"/>
              <w:rPr>
                <w:sz w:val="20"/>
                <w:szCs w:val="20"/>
              </w:rPr>
            </w:pPr>
            <w:r w:rsidRPr="007A5455">
              <w:rPr>
                <w:sz w:val="20"/>
                <w:szCs w:val="20"/>
              </w:rPr>
              <w:t>Applicants’ appeal, dismissed.</w:t>
            </w:r>
          </w:p>
          <w:p w:rsidR="0057213D" w:rsidRPr="007A5455" w:rsidRDefault="0057213D" w:rsidP="0057213D">
            <w:pPr>
              <w:jc w:val="both"/>
              <w:rPr>
                <w:rFonts w:eastAsia="Calibri"/>
                <w:sz w:val="20"/>
              </w:rPr>
            </w:pPr>
          </w:p>
        </w:tc>
      </w:tr>
      <w:tr w:rsidR="00E471FA" w:rsidRPr="007A5455" w:rsidTr="0022676D">
        <w:trPr>
          <w:cantSplit/>
        </w:trPr>
        <w:tc>
          <w:tcPr>
            <w:tcW w:w="2427" w:type="pct"/>
          </w:tcPr>
          <w:p w:rsidR="00E471FA" w:rsidRPr="007A5455" w:rsidRDefault="00E471FA" w:rsidP="00E471FA">
            <w:pPr>
              <w:jc w:val="both"/>
              <w:rPr>
                <w:sz w:val="20"/>
                <w:szCs w:val="20"/>
              </w:rPr>
            </w:pPr>
            <w:r w:rsidRPr="007A5455">
              <w:rPr>
                <w:sz w:val="20"/>
                <w:szCs w:val="20"/>
              </w:rPr>
              <w:t>September 9, 2015</w:t>
            </w:r>
          </w:p>
          <w:p w:rsidR="00E471FA" w:rsidRPr="007A5455" w:rsidRDefault="00E471FA" w:rsidP="00E471FA">
            <w:pPr>
              <w:jc w:val="both"/>
              <w:rPr>
                <w:sz w:val="20"/>
                <w:szCs w:val="20"/>
              </w:rPr>
            </w:pPr>
            <w:r w:rsidRPr="007A5455">
              <w:rPr>
                <w:sz w:val="20"/>
                <w:szCs w:val="20"/>
              </w:rPr>
              <w:t>Court of Appeal for Ontario</w:t>
            </w:r>
          </w:p>
          <w:p w:rsidR="00E471FA" w:rsidRPr="007A5455" w:rsidRDefault="00E471FA" w:rsidP="00E471FA">
            <w:pPr>
              <w:jc w:val="both"/>
              <w:rPr>
                <w:sz w:val="20"/>
                <w:szCs w:val="20"/>
              </w:rPr>
            </w:pPr>
            <w:r w:rsidRPr="007A5455">
              <w:rPr>
                <w:sz w:val="20"/>
                <w:szCs w:val="20"/>
              </w:rPr>
              <w:t>(</w:t>
            </w:r>
            <w:proofErr w:type="spellStart"/>
            <w:r w:rsidRPr="007A5455">
              <w:rPr>
                <w:sz w:val="20"/>
                <w:szCs w:val="20"/>
              </w:rPr>
              <w:t>Huscroft</w:t>
            </w:r>
            <w:proofErr w:type="spellEnd"/>
            <w:r w:rsidRPr="007A5455">
              <w:rPr>
                <w:sz w:val="20"/>
                <w:szCs w:val="20"/>
              </w:rPr>
              <w:t xml:space="preserve"> J.A.) </w:t>
            </w:r>
          </w:p>
          <w:p w:rsidR="00E471FA" w:rsidRPr="007A5455" w:rsidRDefault="00E471FA" w:rsidP="00E471FA">
            <w:pPr>
              <w:jc w:val="both"/>
              <w:rPr>
                <w:sz w:val="20"/>
                <w:szCs w:val="20"/>
              </w:rPr>
            </w:pPr>
            <w:r w:rsidRPr="007A5455">
              <w:rPr>
                <w:sz w:val="20"/>
                <w:szCs w:val="20"/>
              </w:rPr>
              <w:t>(Unreported endorsement)</w:t>
            </w:r>
          </w:p>
          <w:p w:rsidR="00E471FA" w:rsidRPr="007A5455" w:rsidRDefault="00E471FA" w:rsidP="0057213D">
            <w:pPr>
              <w:jc w:val="both"/>
              <w:rPr>
                <w:rFonts w:eastAsia="Calibri"/>
                <w:sz w:val="20"/>
              </w:rPr>
            </w:pPr>
          </w:p>
        </w:tc>
        <w:tc>
          <w:tcPr>
            <w:tcW w:w="243" w:type="pct"/>
          </w:tcPr>
          <w:p w:rsidR="00E471FA" w:rsidRPr="007A5455" w:rsidRDefault="00E471FA" w:rsidP="0057213D">
            <w:pPr>
              <w:jc w:val="both"/>
              <w:rPr>
                <w:rFonts w:eastAsia="Calibri"/>
                <w:sz w:val="20"/>
              </w:rPr>
            </w:pPr>
          </w:p>
        </w:tc>
        <w:tc>
          <w:tcPr>
            <w:tcW w:w="2330" w:type="pct"/>
          </w:tcPr>
          <w:p w:rsidR="00E471FA" w:rsidRPr="007A5455" w:rsidRDefault="00E471FA" w:rsidP="00E471FA">
            <w:pPr>
              <w:jc w:val="both"/>
              <w:rPr>
                <w:sz w:val="20"/>
                <w:szCs w:val="20"/>
              </w:rPr>
            </w:pPr>
            <w:r w:rsidRPr="007A5455">
              <w:rPr>
                <w:sz w:val="20"/>
                <w:szCs w:val="20"/>
              </w:rPr>
              <w:t>Applicants’ motion to stay the Court of Appeal’s judgment pending an order from the Supreme Court of Canada on the application for leave to appeal, dismissed.</w:t>
            </w:r>
          </w:p>
          <w:p w:rsidR="00E471FA" w:rsidRPr="007A5455" w:rsidRDefault="00E471FA" w:rsidP="0057213D">
            <w:pPr>
              <w:jc w:val="both"/>
              <w:rPr>
                <w:rFonts w:eastAsia="Calibri"/>
                <w:sz w:val="20"/>
              </w:rPr>
            </w:pPr>
          </w:p>
        </w:tc>
      </w:tr>
      <w:tr w:rsidR="0057213D" w:rsidRPr="007A5455" w:rsidTr="0022676D">
        <w:trPr>
          <w:cantSplit/>
        </w:trPr>
        <w:tc>
          <w:tcPr>
            <w:tcW w:w="2427" w:type="pct"/>
          </w:tcPr>
          <w:p w:rsidR="0057213D" w:rsidRPr="007A5455" w:rsidRDefault="00E471FA" w:rsidP="0057213D">
            <w:pPr>
              <w:jc w:val="both"/>
              <w:rPr>
                <w:rFonts w:eastAsia="Calibri"/>
                <w:sz w:val="20"/>
              </w:rPr>
            </w:pPr>
            <w:r w:rsidRPr="007A5455">
              <w:rPr>
                <w:rFonts w:eastAsia="Calibri"/>
                <w:sz w:val="20"/>
              </w:rPr>
              <w:t>September</w:t>
            </w:r>
            <w:r w:rsidR="0057213D" w:rsidRPr="007A5455">
              <w:rPr>
                <w:rFonts w:eastAsia="Calibri"/>
                <w:sz w:val="20"/>
              </w:rPr>
              <w:t xml:space="preserve"> </w:t>
            </w:r>
            <w:r w:rsidRPr="007A5455">
              <w:rPr>
                <w:rFonts w:eastAsia="Calibri"/>
                <w:sz w:val="20"/>
              </w:rPr>
              <w:t>28, 2015</w:t>
            </w:r>
          </w:p>
          <w:p w:rsidR="0057213D" w:rsidRPr="007A5455" w:rsidRDefault="0057213D" w:rsidP="0057213D">
            <w:pPr>
              <w:jc w:val="both"/>
              <w:rPr>
                <w:rFonts w:eastAsia="Calibri"/>
                <w:sz w:val="20"/>
              </w:rPr>
            </w:pPr>
            <w:r w:rsidRPr="007A5455">
              <w:rPr>
                <w:rFonts w:eastAsia="Calibri"/>
                <w:sz w:val="20"/>
              </w:rPr>
              <w:t>Supreme Court of Canada</w:t>
            </w:r>
          </w:p>
        </w:tc>
        <w:tc>
          <w:tcPr>
            <w:tcW w:w="243" w:type="pct"/>
          </w:tcPr>
          <w:p w:rsidR="0057213D" w:rsidRPr="007A5455" w:rsidRDefault="0057213D" w:rsidP="0057213D">
            <w:pPr>
              <w:jc w:val="both"/>
              <w:rPr>
                <w:rFonts w:eastAsia="Calibri"/>
                <w:sz w:val="20"/>
              </w:rPr>
            </w:pPr>
          </w:p>
        </w:tc>
        <w:tc>
          <w:tcPr>
            <w:tcW w:w="2330" w:type="pct"/>
          </w:tcPr>
          <w:p w:rsidR="0057213D" w:rsidRPr="007A5455" w:rsidRDefault="0057213D" w:rsidP="0057213D">
            <w:pPr>
              <w:jc w:val="both"/>
              <w:rPr>
                <w:rFonts w:eastAsia="Calibri"/>
                <w:sz w:val="20"/>
              </w:rPr>
            </w:pPr>
            <w:r w:rsidRPr="007A5455">
              <w:rPr>
                <w:rFonts w:eastAsia="Calibri"/>
                <w:sz w:val="20"/>
              </w:rPr>
              <w:t>Application for leave to appeal</w:t>
            </w:r>
            <w:r w:rsidR="00E471FA" w:rsidRPr="007A5455">
              <w:rPr>
                <w:rFonts w:eastAsia="Calibri"/>
                <w:sz w:val="20"/>
              </w:rPr>
              <w:t>,</w:t>
            </w:r>
            <w:r w:rsidRPr="007A5455">
              <w:rPr>
                <w:rFonts w:eastAsia="Calibri"/>
                <w:sz w:val="20"/>
              </w:rPr>
              <w:t xml:space="preserve"> filed.</w:t>
            </w:r>
          </w:p>
        </w:tc>
      </w:tr>
    </w:tbl>
    <w:p w:rsidR="00F83204" w:rsidRPr="007A5455" w:rsidRDefault="00F83204" w:rsidP="00F83204">
      <w:pPr>
        <w:rPr>
          <w:sz w:val="20"/>
          <w:szCs w:val="20"/>
        </w:rPr>
      </w:pPr>
    </w:p>
    <w:p w:rsidR="00F83204" w:rsidRPr="007A5455" w:rsidRDefault="001F68BE" w:rsidP="00F83204">
      <w:pPr>
        <w:rPr>
          <w:sz w:val="20"/>
          <w:szCs w:val="20"/>
        </w:rPr>
      </w:pPr>
      <w:r>
        <w:rPr>
          <w:sz w:val="20"/>
          <w:szCs w:val="20"/>
          <w:lang w:val="fr-CA"/>
        </w:rPr>
        <w:pict>
          <v:rect id="_x0000_i1050" style="width:2in;height:1pt" o:hrpct="0" o:hralign="center" o:hrstd="t" o:hrnoshade="t" o:hr="t" fillcolor="black [3213]" stroked="f"/>
        </w:pict>
      </w:r>
    </w:p>
    <w:p w:rsidR="00F83204" w:rsidRPr="007A5455" w:rsidRDefault="00F83204" w:rsidP="00F83204">
      <w:pPr>
        <w:rPr>
          <w:sz w:val="20"/>
          <w:szCs w:val="20"/>
        </w:rPr>
      </w:pPr>
    </w:p>
    <w:p w:rsidR="00F83204" w:rsidRPr="007A5455" w:rsidRDefault="00F83204" w:rsidP="00F83204">
      <w:pPr>
        <w:rPr>
          <w:sz w:val="20"/>
          <w:szCs w:val="20"/>
          <w:u w:val="single"/>
          <w:lang w:val="fr-CA"/>
        </w:rPr>
      </w:pPr>
      <w:r w:rsidRPr="007A5455">
        <w:rPr>
          <w:sz w:val="20"/>
          <w:szCs w:val="20"/>
          <w:u w:val="single"/>
          <w:lang w:val="fr-CA"/>
        </w:rPr>
        <w:t>RÉSUMÉ DE L’AFFAIRE</w:t>
      </w:r>
    </w:p>
    <w:p w:rsidR="00F83204" w:rsidRPr="007A5455" w:rsidRDefault="00F83204" w:rsidP="00F832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3204" w:rsidRPr="007A5455" w:rsidTr="0022676D">
        <w:tc>
          <w:tcPr>
            <w:tcW w:w="5000" w:type="pct"/>
            <w:gridSpan w:val="3"/>
          </w:tcPr>
          <w:p w:rsidR="00F83204" w:rsidRPr="007A5455" w:rsidRDefault="00A53164" w:rsidP="00A53164">
            <w:pPr>
              <w:jc w:val="both"/>
              <w:rPr>
                <w:sz w:val="20"/>
                <w:szCs w:val="20"/>
                <w:lang w:val="fr-CA"/>
              </w:rPr>
            </w:pPr>
            <w:r w:rsidRPr="007A5455">
              <w:rPr>
                <w:sz w:val="20"/>
                <w:szCs w:val="20"/>
                <w:lang w:val="fr-CA"/>
              </w:rPr>
              <w:t xml:space="preserve">Droit commercial – Contrats – Baux commerciaux – Un tribunal peut-il faire abstraction des limites à la portée et au rôle du fondement factuel d’un contrat comme il est énoncé dans l’arrêt </w:t>
            </w:r>
            <w:r w:rsidRPr="007A5455">
              <w:rPr>
                <w:i/>
                <w:sz w:val="20"/>
                <w:szCs w:val="20"/>
                <w:lang w:val="fr-CA"/>
              </w:rPr>
              <w:t xml:space="preserve">Sattva Capital </w:t>
            </w:r>
            <w:proofErr w:type="spellStart"/>
            <w:r w:rsidRPr="007A5455">
              <w:rPr>
                <w:i/>
                <w:sz w:val="20"/>
                <w:szCs w:val="20"/>
                <w:lang w:val="fr-CA"/>
              </w:rPr>
              <w:t>Corp</w:t>
            </w:r>
            <w:proofErr w:type="spellEnd"/>
            <w:r w:rsidRPr="007A5455">
              <w:rPr>
                <w:i/>
                <w:sz w:val="20"/>
                <w:szCs w:val="20"/>
                <w:lang w:val="fr-CA"/>
              </w:rPr>
              <w:t xml:space="preserve"> c. Creston Moly Corp.</w:t>
            </w:r>
            <w:r w:rsidRPr="007A5455">
              <w:rPr>
                <w:sz w:val="20"/>
                <w:szCs w:val="20"/>
                <w:lang w:val="fr-CA"/>
              </w:rPr>
              <w:t>, 2014 CSC 53, [2014] 2 R.C.S. 633 et, dans l’affirmative, dans quelles situations peut-il le faire? – Existe-t-il un bail valide et exécutoire entre les parties?</w:t>
            </w:r>
          </w:p>
          <w:p w:rsidR="00A53164" w:rsidRPr="007A5455" w:rsidRDefault="00A53164" w:rsidP="00A53164">
            <w:pPr>
              <w:jc w:val="both"/>
              <w:rPr>
                <w:rFonts w:eastAsia="Calibri"/>
                <w:sz w:val="20"/>
                <w:szCs w:val="20"/>
                <w:lang w:val="fr-CA"/>
              </w:rPr>
            </w:pPr>
          </w:p>
        </w:tc>
      </w:tr>
      <w:tr w:rsidR="00F83204" w:rsidRPr="007A5455" w:rsidTr="0022676D">
        <w:tc>
          <w:tcPr>
            <w:tcW w:w="5000" w:type="pct"/>
            <w:gridSpan w:val="3"/>
          </w:tcPr>
          <w:p w:rsidR="00A53164" w:rsidRPr="007A5455" w:rsidRDefault="00A53164" w:rsidP="00A53164">
            <w:pPr>
              <w:rPr>
                <w:sz w:val="20"/>
                <w:szCs w:val="20"/>
                <w:lang w:val="fr-CA"/>
              </w:rPr>
            </w:pPr>
            <w:r w:rsidRPr="007A5455">
              <w:rPr>
                <w:sz w:val="20"/>
                <w:szCs w:val="20"/>
                <w:lang w:val="fr-CA"/>
              </w:rPr>
              <w:t xml:space="preserve">La demanderesse, 2251420 Ontario Inc., prétend qu’un contrat de location d’une station-service qu’elle a conclu avec l’intimée, 1280012 Ontario Inc., n’est pas un bail valide et exécutoire. La demanderesse allègue que le bail était nul </w:t>
            </w:r>
            <w:r w:rsidRPr="007A5455">
              <w:rPr>
                <w:i/>
                <w:sz w:val="20"/>
                <w:szCs w:val="20"/>
                <w:lang w:val="fr-CA"/>
              </w:rPr>
              <w:t xml:space="preserve">ab </w:t>
            </w:r>
            <w:proofErr w:type="spellStart"/>
            <w:r w:rsidRPr="007A5455">
              <w:rPr>
                <w:i/>
                <w:sz w:val="20"/>
                <w:szCs w:val="20"/>
                <w:lang w:val="fr-CA"/>
              </w:rPr>
              <w:t>initio</w:t>
            </w:r>
            <w:proofErr w:type="spellEnd"/>
            <w:r w:rsidRPr="007A5455">
              <w:rPr>
                <w:sz w:val="20"/>
                <w:szCs w:val="20"/>
                <w:lang w:val="fr-CA"/>
              </w:rPr>
              <w:t xml:space="preserve"> parce que l’intimée avait déjà loué la station-service à Impériale et qu’elle percevait un loyer d’Impériale. Dans une demande reconventionnelle, les demandeurs ont sollicité le remboursement du loyer qu’ils avaient payé, en sus de dommages-intérêts pour prise de possession illégitime.</w:t>
            </w:r>
          </w:p>
          <w:p w:rsidR="00A53164" w:rsidRPr="007A5455" w:rsidRDefault="00A53164" w:rsidP="00A53164">
            <w:pPr>
              <w:rPr>
                <w:sz w:val="20"/>
                <w:szCs w:val="20"/>
                <w:lang w:val="fr-CA"/>
              </w:rPr>
            </w:pPr>
          </w:p>
          <w:p w:rsidR="00F83204" w:rsidRPr="007A5455" w:rsidRDefault="00A53164" w:rsidP="00A53164">
            <w:pPr>
              <w:jc w:val="both"/>
              <w:rPr>
                <w:sz w:val="20"/>
                <w:szCs w:val="20"/>
                <w:lang w:val="fr-CA"/>
              </w:rPr>
            </w:pPr>
            <w:r w:rsidRPr="007A5455">
              <w:rPr>
                <w:sz w:val="20"/>
                <w:szCs w:val="20"/>
                <w:lang w:val="fr-CA"/>
              </w:rPr>
              <w:t>La Cour supérieure de justice de l’Ontario a statué que le contrat était un bail valide et exécutoire, et a accordé aux intimées des dommages-intérêts pour le loyer dû en exécution du bail. La Cour d’appel de l’Ontario a rejeté l’appel des demandeurs.</w:t>
            </w:r>
          </w:p>
          <w:p w:rsidR="00A53164" w:rsidRPr="007A5455" w:rsidRDefault="00A53164" w:rsidP="00A53164">
            <w:pPr>
              <w:jc w:val="both"/>
              <w:rPr>
                <w:sz w:val="20"/>
                <w:lang w:val="fr-CA"/>
              </w:rPr>
            </w:pPr>
          </w:p>
        </w:tc>
      </w:tr>
      <w:tr w:rsidR="00F83204" w:rsidRPr="007A5455" w:rsidTr="0022676D">
        <w:trPr>
          <w:cantSplit/>
        </w:trPr>
        <w:tc>
          <w:tcPr>
            <w:tcW w:w="2427" w:type="pct"/>
          </w:tcPr>
          <w:p w:rsidR="00352C72" w:rsidRPr="007A5455" w:rsidRDefault="00352C72" w:rsidP="00352C72">
            <w:pPr>
              <w:rPr>
                <w:sz w:val="20"/>
                <w:szCs w:val="20"/>
                <w:lang w:val="fr-CA"/>
              </w:rPr>
            </w:pPr>
            <w:r w:rsidRPr="007A5455">
              <w:rPr>
                <w:sz w:val="20"/>
                <w:szCs w:val="20"/>
                <w:lang w:val="fr-CA"/>
              </w:rPr>
              <w:t>8 juillet 2014</w:t>
            </w:r>
          </w:p>
          <w:p w:rsidR="00352C72" w:rsidRPr="007A5455" w:rsidRDefault="00352C72" w:rsidP="00352C72">
            <w:pPr>
              <w:rPr>
                <w:sz w:val="20"/>
                <w:szCs w:val="20"/>
                <w:lang w:val="fr-CA"/>
              </w:rPr>
            </w:pPr>
            <w:r w:rsidRPr="007A5455">
              <w:rPr>
                <w:sz w:val="20"/>
                <w:szCs w:val="20"/>
                <w:lang w:val="fr-CA"/>
              </w:rPr>
              <w:t>Cour supérieure de justice de l’Ontario</w:t>
            </w:r>
          </w:p>
          <w:p w:rsidR="00352C72" w:rsidRPr="007A5455" w:rsidRDefault="00352C72" w:rsidP="00352C72">
            <w:pPr>
              <w:rPr>
                <w:sz w:val="20"/>
                <w:szCs w:val="20"/>
                <w:lang w:val="fr-CA"/>
              </w:rPr>
            </w:pPr>
            <w:r w:rsidRPr="007A5455">
              <w:rPr>
                <w:sz w:val="20"/>
                <w:szCs w:val="20"/>
                <w:lang w:val="fr-CA"/>
              </w:rPr>
              <w:t>(Juge Mullins)</w:t>
            </w:r>
          </w:p>
          <w:p w:rsidR="00352C72" w:rsidRPr="007A5455" w:rsidRDefault="00352C72" w:rsidP="00352C72">
            <w:pPr>
              <w:rPr>
                <w:sz w:val="20"/>
                <w:szCs w:val="20"/>
                <w:lang w:val="fr-CA"/>
              </w:rPr>
            </w:pPr>
            <w:r w:rsidRPr="007A5455">
              <w:rPr>
                <w:sz w:val="20"/>
                <w:szCs w:val="20"/>
                <w:lang w:val="fr-CA"/>
              </w:rPr>
              <w:t>2014 ONSC 4129</w:t>
            </w:r>
          </w:p>
          <w:p w:rsidR="00352C72" w:rsidRPr="007A5455" w:rsidRDefault="00352C72" w:rsidP="00352C72">
            <w:pPr>
              <w:rPr>
                <w:sz w:val="20"/>
                <w:szCs w:val="20"/>
                <w:lang w:val="fr-CA"/>
              </w:rPr>
            </w:pPr>
            <w:r w:rsidRPr="007A5455">
              <w:rPr>
                <w:sz w:val="20"/>
                <w:szCs w:val="20"/>
                <w:lang w:val="fr-CA"/>
              </w:rPr>
              <w:t xml:space="preserve">(Non publié dans </w:t>
            </w:r>
            <w:proofErr w:type="spellStart"/>
            <w:r w:rsidRPr="007A5455">
              <w:rPr>
                <w:sz w:val="20"/>
                <w:szCs w:val="20"/>
                <w:lang w:val="fr-CA"/>
              </w:rPr>
              <w:t>CanLii</w:t>
            </w:r>
            <w:proofErr w:type="spellEnd"/>
            <w:r w:rsidRPr="007A5455">
              <w:rPr>
                <w:sz w:val="20"/>
                <w:szCs w:val="20"/>
                <w:lang w:val="fr-CA"/>
              </w:rPr>
              <w:t>)</w:t>
            </w:r>
          </w:p>
          <w:p w:rsidR="00F83204" w:rsidRPr="007A5455" w:rsidRDefault="00F83204" w:rsidP="0022676D">
            <w:pPr>
              <w:jc w:val="both"/>
              <w:rPr>
                <w:rFonts w:eastAsia="Calibri"/>
                <w:sz w:val="20"/>
                <w:lang w:val="fr-CA"/>
              </w:rPr>
            </w:pPr>
          </w:p>
        </w:tc>
        <w:tc>
          <w:tcPr>
            <w:tcW w:w="243" w:type="pct"/>
          </w:tcPr>
          <w:p w:rsidR="00F83204" w:rsidRPr="007A5455" w:rsidRDefault="00F83204" w:rsidP="0022676D">
            <w:pPr>
              <w:jc w:val="both"/>
              <w:rPr>
                <w:rFonts w:eastAsia="Calibri"/>
                <w:sz w:val="20"/>
                <w:lang w:val="fr-CA"/>
              </w:rPr>
            </w:pPr>
          </w:p>
        </w:tc>
        <w:tc>
          <w:tcPr>
            <w:tcW w:w="2330" w:type="pct"/>
          </w:tcPr>
          <w:p w:rsidR="00352C72" w:rsidRPr="007A5455" w:rsidRDefault="00352C72" w:rsidP="00352C72">
            <w:pPr>
              <w:rPr>
                <w:sz w:val="20"/>
                <w:szCs w:val="20"/>
                <w:lang w:val="fr-CA"/>
              </w:rPr>
            </w:pPr>
            <w:r w:rsidRPr="007A5455">
              <w:rPr>
                <w:sz w:val="20"/>
                <w:szCs w:val="20"/>
                <w:lang w:val="fr-CA"/>
              </w:rPr>
              <w:t>Jugement accueillant l’action des intimées; rejet de la demande reconventionnelle des demandeurs.</w:t>
            </w:r>
          </w:p>
          <w:p w:rsidR="00F83204" w:rsidRPr="007A5455" w:rsidRDefault="00F83204" w:rsidP="0022676D">
            <w:pPr>
              <w:jc w:val="both"/>
              <w:rPr>
                <w:rFonts w:eastAsia="Calibri"/>
                <w:sz w:val="20"/>
                <w:lang w:val="fr-CA"/>
              </w:rPr>
            </w:pPr>
          </w:p>
        </w:tc>
      </w:tr>
      <w:tr w:rsidR="00F83204" w:rsidRPr="007A5455" w:rsidTr="0022676D">
        <w:trPr>
          <w:cantSplit/>
        </w:trPr>
        <w:tc>
          <w:tcPr>
            <w:tcW w:w="2427" w:type="pct"/>
          </w:tcPr>
          <w:p w:rsidR="00352C72" w:rsidRPr="007A5455" w:rsidRDefault="00352C72" w:rsidP="00352C72">
            <w:pPr>
              <w:rPr>
                <w:sz w:val="20"/>
                <w:szCs w:val="20"/>
                <w:lang w:val="fr-CA"/>
              </w:rPr>
            </w:pPr>
            <w:r w:rsidRPr="007A5455">
              <w:rPr>
                <w:sz w:val="20"/>
                <w:szCs w:val="20"/>
                <w:lang w:val="fr-CA"/>
              </w:rPr>
              <w:lastRenderedPageBreak/>
              <w:t>13 juillet 2015</w:t>
            </w:r>
          </w:p>
          <w:p w:rsidR="00352C72" w:rsidRPr="007A5455" w:rsidRDefault="00352C72" w:rsidP="00352C72">
            <w:pPr>
              <w:rPr>
                <w:sz w:val="20"/>
                <w:szCs w:val="20"/>
                <w:lang w:val="fr-CA"/>
              </w:rPr>
            </w:pPr>
            <w:r w:rsidRPr="007A5455">
              <w:rPr>
                <w:sz w:val="20"/>
                <w:szCs w:val="20"/>
                <w:lang w:val="fr-CA"/>
              </w:rPr>
              <w:t>Cour d’appel de l’Ontario</w:t>
            </w:r>
          </w:p>
          <w:p w:rsidR="00352C72" w:rsidRPr="007A5455" w:rsidRDefault="00352C72" w:rsidP="00352C72">
            <w:pPr>
              <w:rPr>
                <w:sz w:val="20"/>
                <w:szCs w:val="20"/>
                <w:lang w:val="fr-CA"/>
              </w:rPr>
            </w:pPr>
            <w:r w:rsidRPr="007A5455">
              <w:rPr>
                <w:sz w:val="20"/>
                <w:szCs w:val="20"/>
                <w:lang w:val="fr-CA"/>
              </w:rPr>
              <w:t xml:space="preserve">(Juge en chef </w:t>
            </w:r>
            <w:proofErr w:type="spellStart"/>
            <w:r w:rsidRPr="007A5455">
              <w:rPr>
                <w:sz w:val="20"/>
                <w:szCs w:val="20"/>
                <w:lang w:val="fr-CA"/>
              </w:rPr>
              <w:t>Strathy</w:t>
            </w:r>
            <w:proofErr w:type="spellEnd"/>
            <w:r w:rsidRPr="007A5455">
              <w:rPr>
                <w:sz w:val="20"/>
                <w:szCs w:val="20"/>
                <w:lang w:val="fr-CA"/>
              </w:rPr>
              <w:t xml:space="preserve">, juges Epstein et </w:t>
            </w:r>
            <w:proofErr w:type="spellStart"/>
            <w:r w:rsidRPr="007A5455">
              <w:rPr>
                <w:sz w:val="20"/>
                <w:szCs w:val="20"/>
                <w:lang w:val="fr-CA"/>
              </w:rPr>
              <w:t>Huscroft</w:t>
            </w:r>
            <w:proofErr w:type="spellEnd"/>
            <w:r w:rsidRPr="007A5455">
              <w:rPr>
                <w:sz w:val="20"/>
                <w:szCs w:val="20"/>
                <w:lang w:val="fr-CA"/>
              </w:rPr>
              <w:t>)</w:t>
            </w:r>
          </w:p>
          <w:p w:rsidR="00F83204" w:rsidRPr="007A5455" w:rsidRDefault="001F68BE" w:rsidP="00352C72">
            <w:pPr>
              <w:jc w:val="both"/>
              <w:rPr>
                <w:rFonts w:eastAsia="Calibri"/>
                <w:sz w:val="20"/>
                <w:lang w:val="fr-CA"/>
              </w:rPr>
            </w:pPr>
            <w:hyperlink r:id="rId49" w:history="1">
              <w:r w:rsidR="00352C72" w:rsidRPr="007A5455">
                <w:rPr>
                  <w:rStyle w:val="Hyperlink"/>
                  <w:sz w:val="20"/>
                  <w:szCs w:val="20"/>
                  <w:lang w:val="fr-CA"/>
                </w:rPr>
                <w:t>2015 ONCA 524</w:t>
              </w:r>
            </w:hyperlink>
          </w:p>
        </w:tc>
        <w:tc>
          <w:tcPr>
            <w:tcW w:w="243" w:type="pct"/>
          </w:tcPr>
          <w:p w:rsidR="00F83204" w:rsidRPr="007A5455" w:rsidRDefault="00F83204" w:rsidP="0022676D">
            <w:pPr>
              <w:jc w:val="both"/>
              <w:rPr>
                <w:rFonts w:eastAsia="Calibri"/>
                <w:sz w:val="20"/>
                <w:lang w:val="fr-CA"/>
              </w:rPr>
            </w:pPr>
          </w:p>
        </w:tc>
        <w:tc>
          <w:tcPr>
            <w:tcW w:w="2330" w:type="pct"/>
          </w:tcPr>
          <w:p w:rsidR="00352C72" w:rsidRPr="007A5455" w:rsidRDefault="00352C72" w:rsidP="00352C72">
            <w:pPr>
              <w:rPr>
                <w:sz w:val="20"/>
                <w:szCs w:val="20"/>
                <w:lang w:val="fr-CA"/>
              </w:rPr>
            </w:pPr>
            <w:r w:rsidRPr="007A5455">
              <w:rPr>
                <w:sz w:val="20"/>
                <w:szCs w:val="20"/>
                <w:lang w:val="fr-CA"/>
              </w:rPr>
              <w:t>Rejet de l’appel des demandeurs.</w:t>
            </w:r>
          </w:p>
          <w:p w:rsidR="00F83204" w:rsidRPr="007A5455" w:rsidRDefault="00F83204" w:rsidP="0022676D">
            <w:pPr>
              <w:jc w:val="both"/>
              <w:rPr>
                <w:rFonts w:eastAsia="Calibri"/>
                <w:sz w:val="20"/>
                <w:lang w:val="fr-CA"/>
              </w:rPr>
            </w:pPr>
          </w:p>
        </w:tc>
      </w:tr>
      <w:tr w:rsidR="00352C72" w:rsidRPr="007A5455" w:rsidTr="0022676D">
        <w:trPr>
          <w:cantSplit/>
        </w:trPr>
        <w:tc>
          <w:tcPr>
            <w:tcW w:w="2427" w:type="pct"/>
          </w:tcPr>
          <w:p w:rsidR="00352C72" w:rsidRPr="007A5455" w:rsidRDefault="00352C72" w:rsidP="00352C72">
            <w:pPr>
              <w:rPr>
                <w:sz w:val="20"/>
                <w:szCs w:val="20"/>
                <w:lang w:val="fr-CA"/>
              </w:rPr>
            </w:pPr>
            <w:r w:rsidRPr="007A5455">
              <w:rPr>
                <w:sz w:val="20"/>
                <w:szCs w:val="20"/>
                <w:lang w:val="fr-CA"/>
              </w:rPr>
              <w:t>9 septembre 2015</w:t>
            </w:r>
          </w:p>
          <w:p w:rsidR="00352C72" w:rsidRPr="007A5455" w:rsidRDefault="00352C72" w:rsidP="00352C72">
            <w:pPr>
              <w:rPr>
                <w:sz w:val="20"/>
                <w:szCs w:val="20"/>
                <w:lang w:val="fr-CA"/>
              </w:rPr>
            </w:pPr>
            <w:r w:rsidRPr="007A5455">
              <w:rPr>
                <w:sz w:val="20"/>
                <w:szCs w:val="20"/>
                <w:lang w:val="fr-CA"/>
              </w:rPr>
              <w:t>Cour d’appel de l’Ontario</w:t>
            </w:r>
          </w:p>
          <w:p w:rsidR="00352C72" w:rsidRPr="007A5455" w:rsidRDefault="00352C72" w:rsidP="00352C72">
            <w:pPr>
              <w:rPr>
                <w:sz w:val="20"/>
                <w:szCs w:val="20"/>
                <w:lang w:val="fr-CA"/>
              </w:rPr>
            </w:pPr>
            <w:r w:rsidRPr="007A5455">
              <w:rPr>
                <w:sz w:val="20"/>
                <w:szCs w:val="20"/>
                <w:lang w:val="fr-CA"/>
              </w:rPr>
              <w:t xml:space="preserve">(Juge </w:t>
            </w:r>
            <w:proofErr w:type="spellStart"/>
            <w:r w:rsidRPr="007A5455">
              <w:rPr>
                <w:sz w:val="20"/>
                <w:szCs w:val="20"/>
                <w:lang w:val="fr-CA"/>
              </w:rPr>
              <w:t>Huscroft</w:t>
            </w:r>
            <w:proofErr w:type="spellEnd"/>
            <w:r w:rsidRPr="007A5455">
              <w:rPr>
                <w:sz w:val="20"/>
                <w:szCs w:val="20"/>
                <w:lang w:val="fr-CA"/>
              </w:rPr>
              <w:t xml:space="preserve">) </w:t>
            </w:r>
          </w:p>
          <w:p w:rsidR="00352C72" w:rsidRPr="007A5455" w:rsidRDefault="00352C72" w:rsidP="00352C72">
            <w:pPr>
              <w:rPr>
                <w:sz w:val="20"/>
                <w:szCs w:val="20"/>
                <w:lang w:val="fr-CA"/>
              </w:rPr>
            </w:pPr>
            <w:r w:rsidRPr="007A5455">
              <w:rPr>
                <w:sz w:val="20"/>
                <w:szCs w:val="20"/>
                <w:lang w:val="fr-CA"/>
              </w:rPr>
              <w:t>(Certificat non publié)</w:t>
            </w:r>
          </w:p>
          <w:p w:rsidR="00352C72" w:rsidRPr="007A5455" w:rsidRDefault="00352C72" w:rsidP="0022676D">
            <w:pPr>
              <w:jc w:val="both"/>
              <w:rPr>
                <w:rFonts w:eastAsia="Calibri"/>
                <w:sz w:val="20"/>
                <w:lang w:val="fr-CA"/>
              </w:rPr>
            </w:pPr>
          </w:p>
        </w:tc>
        <w:tc>
          <w:tcPr>
            <w:tcW w:w="243" w:type="pct"/>
          </w:tcPr>
          <w:p w:rsidR="00352C72" w:rsidRPr="007A5455" w:rsidRDefault="00352C72" w:rsidP="0022676D">
            <w:pPr>
              <w:jc w:val="both"/>
              <w:rPr>
                <w:rFonts w:eastAsia="Calibri"/>
                <w:sz w:val="20"/>
                <w:lang w:val="fr-CA"/>
              </w:rPr>
            </w:pPr>
          </w:p>
        </w:tc>
        <w:tc>
          <w:tcPr>
            <w:tcW w:w="2330" w:type="pct"/>
          </w:tcPr>
          <w:p w:rsidR="00352C72" w:rsidRPr="007A5455" w:rsidRDefault="00352C72" w:rsidP="00352C72">
            <w:pPr>
              <w:rPr>
                <w:sz w:val="20"/>
                <w:szCs w:val="20"/>
                <w:lang w:val="fr-CA"/>
              </w:rPr>
            </w:pPr>
            <w:r w:rsidRPr="007A5455">
              <w:rPr>
                <w:sz w:val="20"/>
                <w:szCs w:val="20"/>
                <w:lang w:val="fr-CA"/>
              </w:rPr>
              <w:t>Rejet de la motion des demandeurs en suspension de l’arrêt de la Cour d’appel en attendant que la Cour suprême du Canada statue sur la demande d’autorisation d’appel.</w:t>
            </w:r>
          </w:p>
          <w:p w:rsidR="00352C72" w:rsidRPr="007A5455" w:rsidRDefault="00352C72" w:rsidP="0022676D">
            <w:pPr>
              <w:jc w:val="both"/>
              <w:rPr>
                <w:rFonts w:eastAsia="Calibri"/>
                <w:sz w:val="20"/>
                <w:lang w:val="fr-CA"/>
              </w:rPr>
            </w:pPr>
          </w:p>
        </w:tc>
      </w:tr>
      <w:tr w:rsidR="00F83204" w:rsidRPr="007A5455" w:rsidTr="0022676D">
        <w:trPr>
          <w:cantSplit/>
        </w:trPr>
        <w:tc>
          <w:tcPr>
            <w:tcW w:w="2427" w:type="pct"/>
          </w:tcPr>
          <w:p w:rsidR="00352C72" w:rsidRPr="007A5455" w:rsidRDefault="00352C72" w:rsidP="00352C72">
            <w:pPr>
              <w:rPr>
                <w:sz w:val="20"/>
                <w:szCs w:val="20"/>
                <w:lang w:val="fr-CA"/>
              </w:rPr>
            </w:pPr>
            <w:r w:rsidRPr="007A5455">
              <w:rPr>
                <w:sz w:val="20"/>
                <w:szCs w:val="20"/>
                <w:lang w:val="fr-CA"/>
              </w:rPr>
              <w:t>28 septembre 2015</w:t>
            </w:r>
          </w:p>
          <w:p w:rsidR="00F83204" w:rsidRPr="007A5455" w:rsidRDefault="00F83204" w:rsidP="0022676D">
            <w:pPr>
              <w:jc w:val="both"/>
              <w:rPr>
                <w:rFonts w:eastAsia="Calibri"/>
                <w:sz w:val="20"/>
                <w:lang w:val="fr-CA"/>
              </w:rPr>
            </w:pPr>
            <w:r w:rsidRPr="007A5455">
              <w:rPr>
                <w:rFonts w:eastAsia="Calibri"/>
                <w:sz w:val="20"/>
                <w:lang w:val="fr-CA"/>
              </w:rPr>
              <w:t>Cour suprême du Canada</w:t>
            </w:r>
          </w:p>
        </w:tc>
        <w:tc>
          <w:tcPr>
            <w:tcW w:w="243" w:type="pct"/>
          </w:tcPr>
          <w:p w:rsidR="00F83204" w:rsidRPr="007A5455" w:rsidRDefault="00F83204" w:rsidP="0022676D">
            <w:pPr>
              <w:jc w:val="both"/>
              <w:rPr>
                <w:rFonts w:eastAsia="Calibri"/>
                <w:sz w:val="20"/>
                <w:lang w:val="fr-CA"/>
              </w:rPr>
            </w:pPr>
          </w:p>
        </w:tc>
        <w:tc>
          <w:tcPr>
            <w:tcW w:w="2330" w:type="pct"/>
          </w:tcPr>
          <w:p w:rsidR="00352C72" w:rsidRPr="007A5455" w:rsidRDefault="00352C72" w:rsidP="00352C72">
            <w:pPr>
              <w:spacing w:line="276" w:lineRule="auto"/>
              <w:jc w:val="both"/>
              <w:rPr>
                <w:sz w:val="20"/>
                <w:szCs w:val="20"/>
                <w:lang w:val="fr-CA"/>
              </w:rPr>
            </w:pPr>
            <w:r w:rsidRPr="007A5455">
              <w:rPr>
                <w:sz w:val="20"/>
                <w:szCs w:val="20"/>
                <w:lang w:val="fr-CA"/>
              </w:rPr>
              <w:t>Dépôt de la demande d’autorisation d’appel.</w:t>
            </w:r>
          </w:p>
          <w:p w:rsidR="00F83204" w:rsidRPr="007A5455" w:rsidRDefault="00F83204" w:rsidP="0022676D">
            <w:pPr>
              <w:jc w:val="both"/>
              <w:rPr>
                <w:rFonts w:eastAsia="Calibri"/>
                <w:sz w:val="20"/>
                <w:lang w:val="fr-CA"/>
              </w:rPr>
            </w:pPr>
          </w:p>
        </w:tc>
      </w:tr>
    </w:tbl>
    <w:p w:rsidR="00F83204" w:rsidRPr="007A5455" w:rsidRDefault="00F83204" w:rsidP="00F83204">
      <w:pPr>
        <w:rPr>
          <w:sz w:val="20"/>
          <w:szCs w:val="20"/>
        </w:rPr>
      </w:pPr>
    </w:p>
    <w:p w:rsidR="00F83204" w:rsidRPr="007A5455" w:rsidRDefault="001F68BE" w:rsidP="00F83204">
      <w:pPr>
        <w:rPr>
          <w:sz w:val="20"/>
          <w:szCs w:val="20"/>
        </w:rPr>
      </w:pPr>
      <w:r>
        <w:rPr>
          <w:sz w:val="20"/>
          <w:szCs w:val="20"/>
          <w:lang w:val="fr-CA"/>
        </w:rPr>
        <w:pict>
          <v:rect id="_x0000_i1051" style="width:2in;height:1pt" o:hrpct="0" o:hralign="center" o:hrstd="t" o:hrnoshade="t" o:hr="t" fillcolor="black [3213]" stroked="f"/>
        </w:pict>
      </w:r>
    </w:p>
    <w:p w:rsidR="00F83204" w:rsidRPr="007A5455" w:rsidRDefault="00F83204" w:rsidP="00F8320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8685F" w:rsidRPr="007A5455" w:rsidTr="0022676D">
        <w:trPr>
          <w:cantSplit/>
        </w:trPr>
        <w:tc>
          <w:tcPr>
            <w:tcW w:w="1458" w:type="dxa"/>
          </w:tcPr>
          <w:p w:rsidR="0068685F" w:rsidRPr="007A5455" w:rsidRDefault="0068685F" w:rsidP="0022676D">
            <w:pPr>
              <w:rPr>
                <w:sz w:val="20"/>
                <w:szCs w:val="20"/>
              </w:rPr>
            </w:pPr>
            <w:r w:rsidRPr="007A5455">
              <w:rPr>
                <w:rStyle w:val="SCCFileNumberChar"/>
                <w:sz w:val="20"/>
                <w:szCs w:val="20"/>
              </w:rPr>
              <w:t>36573</w:t>
            </w:r>
          </w:p>
          <w:p w:rsidR="0068685F" w:rsidRPr="007A5455" w:rsidRDefault="0068685F" w:rsidP="0022676D">
            <w:pPr>
              <w:rPr>
                <w:b/>
                <w:sz w:val="20"/>
                <w:szCs w:val="20"/>
                <w:lang w:val="fr-CA"/>
              </w:rPr>
            </w:pPr>
          </w:p>
        </w:tc>
        <w:tc>
          <w:tcPr>
            <w:tcW w:w="8118" w:type="dxa"/>
          </w:tcPr>
          <w:p w:rsidR="0068685F" w:rsidRPr="007A5455" w:rsidRDefault="0068685F" w:rsidP="0022676D">
            <w:pPr>
              <w:rPr>
                <w:sz w:val="20"/>
                <w:szCs w:val="20"/>
              </w:rPr>
            </w:pPr>
            <w:r w:rsidRPr="007A5455">
              <w:rPr>
                <w:b/>
                <w:iCs/>
                <w:sz w:val="20"/>
                <w:szCs w:val="20"/>
                <w:u w:val="single"/>
                <w:lang w:val="fr-CA"/>
              </w:rPr>
              <w:t xml:space="preserve">Angela Carbone v. Peter </w:t>
            </w:r>
            <w:proofErr w:type="spellStart"/>
            <w:r w:rsidRPr="007A5455">
              <w:rPr>
                <w:b/>
                <w:iCs/>
                <w:sz w:val="20"/>
                <w:szCs w:val="20"/>
                <w:u w:val="single"/>
                <w:lang w:val="fr-CA"/>
              </w:rPr>
              <w:t>Whidden</w:t>
            </w:r>
            <w:proofErr w:type="spellEnd"/>
            <w:r w:rsidR="001C2A78" w:rsidRPr="007A5455">
              <w:rPr>
                <w:b/>
                <w:iCs/>
                <w:sz w:val="20"/>
                <w:szCs w:val="20"/>
                <w:u w:val="single"/>
                <w:lang w:val="fr-CA"/>
              </w:rPr>
              <w:t xml:space="preserve"> and Peter G. </w:t>
            </w:r>
            <w:proofErr w:type="spellStart"/>
            <w:r w:rsidR="001C2A78" w:rsidRPr="007A5455">
              <w:rPr>
                <w:b/>
                <w:iCs/>
                <w:sz w:val="20"/>
                <w:szCs w:val="20"/>
                <w:u w:val="single"/>
                <w:lang w:val="fr-CA"/>
              </w:rPr>
              <w:t>Whidden</w:t>
            </w:r>
            <w:proofErr w:type="spellEnd"/>
            <w:r w:rsidR="001C2A78" w:rsidRPr="007A5455">
              <w:rPr>
                <w:b/>
                <w:iCs/>
                <w:sz w:val="20"/>
                <w:szCs w:val="20"/>
                <w:u w:val="single"/>
                <w:lang w:val="fr-CA"/>
              </w:rPr>
              <w:t xml:space="preserve"> Professional Corporation</w:t>
            </w:r>
            <w:r w:rsidRPr="007A5455">
              <w:rPr>
                <w:b/>
                <w:iCs/>
                <w:sz w:val="20"/>
                <w:szCs w:val="20"/>
                <w:u w:val="single"/>
                <w:lang w:val="fr-CA"/>
              </w:rPr>
              <w:t xml:space="preserve"> </w:t>
            </w:r>
            <w:r w:rsidRPr="007A5455">
              <w:rPr>
                <w:iCs/>
                <w:sz w:val="20"/>
                <w:szCs w:val="20"/>
              </w:rPr>
              <w:t xml:space="preserve"> </w:t>
            </w:r>
            <w:r w:rsidRPr="007A5455">
              <w:rPr>
                <w:sz w:val="20"/>
                <w:szCs w:val="20"/>
              </w:rPr>
              <w:t>(Alta.) (Civil) (By Leave)</w:t>
            </w:r>
          </w:p>
          <w:p w:rsidR="0068685F" w:rsidRPr="007A5455" w:rsidRDefault="0068685F" w:rsidP="0022676D">
            <w:pPr>
              <w:rPr>
                <w:sz w:val="20"/>
                <w:szCs w:val="20"/>
              </w:rPr>
            </w:pPr>
          </w:p>
        </w:tc>
      </w:tr>
      <w:tr w:rsidR="0068685F" w:rsidRPr="007A5455" w:rsidTr="0022676D">
        <w:trPr>
          <w:cantSplit/>
        </w:trPr>
        <w:tc>
          <w:tcPr>
            <w:tcW w:w="1458" w:type="dxa"/>
          </w:tcPr>
          <w:p w:rsidR="0068685F" w:rsidRPr="007A5455" w:rsidRDefault="0068685F" w:rsidP="0022676D">
            <w:pPr>
              <w:rPr>
                <w:sz w:val="20"/>
                <w:szCs w:val="20"/>
              </w:rPr>
            </w:pPr>
            <w:r w:rsidRPr="007A5455">
              <w:rPr>
                <w:sz w:val="20"/>
                <w:szCs w:val="20"/>
              </w:rPr>
              <w:t>Coram :</w:t>
            </w:r>
          </w:p>
        </w:tc>
        <w:tc>
          <w:tcPr>
            <w:tcW w:w="8118" w:type="dxa"/>
          </w:tcPr>
          <w:p w:rsidR="0068685F" w:rsidRPr="007A5455" w:rsidRDefault="00D119F3" w:rsidP="0022676D">
            <w:pPr>
              <w:rPr>
                <w:sz w:val="20"/>
                <w:szCs w:val="20"/>
              </w:rPr>
            </w:pPr>
            <w:r w:rsidRPr="007A5455">
              <w:rPr>
                <w:rStyle w:val="SCCCoramChar"/>
                <w:sz w:val="20"/>
                <w:szCs w:val="20"/>
                <w:lang w:val="en-CA"/>
              </w:rPr>
              <w:t>Cromwell</w:t>
            </w:r>
            <w:r w:rsidR="0068685F" w:rsidRPr="007A5455">
              <w:rPr>
                <w:rStyle w:val="SCCCoramChar"/>
                <w:sz w:val="20"/>
                <w:szCs w:val="20"/>
                <w:lang w:val="en-CA"/>
              </w:rPr>
              <w:t xml:space="preserve">, </w:t>
            </w:r>
            <w:r w:rsidRPr="007A5455">
              <w:rPr>
                <w:rStyle w:val="SCCCoramChar"/>
                <w:sz w:val="20"/>
                <w:szCs w:val="20"/>
                <w:lang w:val="en-CA"/>
              </w:rPr>
              <w:t>Wagner</w:t>
            </w:r>
            <w:r w:rsidR="0068685F" w:rsidRPr="007A5455">
              <w:rPr>
                <w:rStyle w:val="SCCCoramChar"/>
                <w:sz w:val="20"/>
                <w:szCs w:val="20"/>
                <w:lang w:val="en-CA"/>
              </w:rPr>
              <w:t xml:space="preserve"> and </w:t>
            </w:r>
            <w:proofErr w:type="spellStart"/>
            <w:r w:rsidRPr="007A5455">
              <w:rPr>
                <w:rStyle w:val="SCCCoramChar"/>
                <w:sz w:val="20"/>
                <w:szCs w:val="20"/>
                <w:lang w:val="en-CA"/>
              </w:rPr>
              <w:t>Côté</w:t>
            </w:r>
            <w:proofErr w:type="spellEnd"/>
            <w:r w:rsidR="0068685F" w:rsidRPr="007A5455">
              <w:rPr>
                <w:rStyle w:val="SCCCoramChar"/>
                <w:sz w:val="20"/>
                <w:szCs w:val="20"/>
                <w:lang w:val="en-CA"/>
              </w:rPr>
              <w:t> JJ.</w:t>
            </w:r>
          </w:p>
          <w:p w:rsidR="0068685F" w:rsidRPr="007A5455" w:rsidRDefault="0068685F" w:rsidP="0022676D">
            <w:pPr>
              <w:rPr>
                <w:sz w:val="20"/>
                <w:szCs w:val="20"/>
                <w:u w:val="single"/>
              </w:rPr>
            </w:pPr>
          </w:p>
        </w:tc>
      </w:tr>
      <w:tr w:rsidR="0068685F" w:rsidRPr="007A5455" w:rsidTr="0022676D">
        <w:trPr>
          <w:cantSplit/>
        </w:trPr>
        <w:tc>
          <w:tcPr>
            <w:tcW w:w="9576" w:type="dxa"/>
            <w:gridSpan w:val="2"/>
          </w:tcPr>
          <w:p w:rsidR="0068685F" w:rsidRPr="007A5455" w:rsidRDefault="00C4050A" w:rsidP="0022676D">
            <w:pPr>
              <w:pStyle w:val="SCCShortJudgment"/>
              <w:rPr>
                <w:szCs w:val="20"/>
              </w:rPr>
            </w:pPr>
            <w:r w:rsidRPr="007A5455">
              <w:t>The application for leave to appeal from the judgment of the Court of Appeal of Alberta (Calgary), Numbers 1401-0135-AC and  1401-0191-AC, 2015 ABCA 181, dated May 27, 2015, is dismissed with costs.</w:t>
            </w:r>
          </w:p>
          <w:p w:rsidR="0068685F" w:rsidRPr="007A5455" w:rsidRDefault="0068685F" w:rsidP="0022676D">
            <w:pPr>
              <w:pStyle w:val="SCCShortJudgment"/>
              <w:ind w:firstLine="0"/>
              <w:rPr>
                <w:szCs w:val="20"/>
              </w:rPr>
            </w:pPr>
          </w:p>
          <w:p w:rsidR="0068685F" w:rsidRPr="007A5455" w:rsidRDefault="00C4050A" w:rsidP="00C4050A">
            <w:pPr>
              <w:pStyle w:val="SCCShortJudgment"/>
              <w:rPr>
                <w:szCs w:val="20"/>
                <w:lang w:val="fr-CA"/>
              </w:rPr>
            </w:pPr>
            <w:r w:rsidRPr="007A5455">
              <w:rPr>
                <w:lang w:val="fr-CA"/>
              </w:rPr>
              <w:t>La demande d’autorisation d’appel de l’arrêt de la Cour d’appel de l’Alberta (Calgary), numéros 1401-0135-AC et 1401-0191-AC, 2015 ABCA 181, daté du 27 mai 2015, est rejetée avec dépens.</w:t>
            </w:r>
          </w:p>
        </w:tc>
      </w:tr>
    </w:tbl>
    <w:p w:rsidR="0068685F" w:rsidRPr="007A5455" w:rsidRDefault="0068685F" w:rsidP="0068685F">
      <w:pPr>
        <w:rPr>
          <w:sz w:val="20"/>
          <w:szCs w:val="20"/>
          <w:lang w:val="fr-CA"/>
        </w:rPr>
      </w:pPr>
    </w:p>
    <w:p w:rsidR="0068685F" w:rsidRPr="007A5455" w:rsidRDefault="0068685F" w:rsidP="0068685F">
      <w:pPr>
        <w:rPr>
          <w:sz w:val="20"/>
          <w:szCs w:val="20"/>
          <w:u w:val="single"/>
        </w:rPr>
      </w:pPr>
      <w:r w:rsidRPr="007A5455">
        <w:rPr>
          <w:sz w:val="20"/>
          <w:szCs w:val="20"/>
          <w:u w:val="single"/>
        </w:rPr>
        <w:t>CASE SUMMARY</w:t>
      </w:r>
    </w:p>
    <w:p w:rsidR="0068685F" w:rsidRPr="007A5455" w:rsidRDefault="0068685F" w:rsidP="0068685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6575C" w:rsidRPr="007A5455" w:rsidTr="0022676D">
        <w:tc>
          <w:tcPr>
            <w:tcW w:w="5000" w:type="pct"/>
            <w:gridSpan w:val="3"/>
          </w:tcPr>
          <w:p w:rsidR="0036575C" w:rsidRPr="007A5455" w:rsidRDefault="0036575C" w:rsidP="0036575C">
            <w:pPr>
              <w:rPr>
                <w:sz w:val="20"/>
                <w:szCs w:val="20"/>
              </w:rPr>
            </w:pPr>
            <w:r w:rsidRPr="007A5455">
              <w:rPr>
                <w:sz w:val="20"/>
                <w:szCs w:val="20"/>
              </w:rPr>
              <w:t>Courts – Jurisdiction – Applicant’s action against respondents dismissed – Applicant seeking to file further materials and to have one opposing counsel removed from record – Does the inherent jurisdiction of the courts include the jurisdiction to disqualify an opposing lawyer? – Should application of current discretionary rulings on procedural matters be standardized to reduce disparity on treatment of self-represented people and further progress access to justice?</w:t>
            </w:r>
          </w:p>
          <w:p w:rsidR="0036575C" w:rsidRPr="007A5455" w:rsidRDefault="0036575C" w:rsidP="0036575C">
            <w:pPr>
              <w:rPr>
                <w:sz w:val="20"/>
                <w:szCs w:val="20"/>
              </w:rPr>
            </w:pPr>
          </w:p>
        </w:tc>
      </w:tr>
      <w:tr w:rsidR="0036575C" w:rsidRPr="007A5455" w:rsidTr="0022676D">
        <w:tc>
          <w:tcPr>
            <w:tcW w:w="5000" w:type="pct"/>
            <w:gridSpan w:val="3"/>
          </w:tcPr>
          <w:p w:rsidR="0036575C" w:rsidRPr="007A5455" w:rsidRDefault="0036575C" w:rsidP="0036575C">
            <w:pPr>
              <w:jc w:val="both"/>
              <w:rPr>
                <w:sz w:val="20"/>
                <w:szCs w:val="20"/>
              </w:rPr>
            </w:pPr>
            <w:r w:rsidRPr="007A5455">
              <w:rPr>
                <w:sz w:val="20"/>
                <w:szCs w:val="20"/>
              </w:rPr>
              <w:t>In 2003, the applicant underwent a cosmetic liposuction surgery performed by the respondent. She alleged that the surgery was more extensive than that she had consented to and was unhappy with the results. She brought an action against the respondents alleging battery, lack of informed consent and medical negligence.</w:t>
            </w:r>
          </w:p>
          <w:p w:rsidR="0036575C" w:rsidRPr="007A5455" w:rsidRDefault="0036575C" w:rsidP="0036575C">
            <w:pPr>
              <w:jc w:val="both"/>
              <w:rPr>
                <w:rFonts w:eastAsia="Calibri"/>
                <w:sz w:val="20"/>
              </w:rPr>
            </w:pPr>
          </w:p>
        </w:tc>
      </w:tr>
      <w:tr w:rsidR="0036575C" w:rsidRPr="007A5455" w:rsidTr="0022676D">
        <w:trPr>
          <w:cantSplit/>
        </w:trPr>
        <w:tc>
          <w:tcPr>
            <w:tcW w:w="2427" w:type="pct"/>
          </w:tcPr>
          <w:p w:rsidR="0039189F" w:rsidRPr="007A5455" w:rsidRDefault="0039189F" w:rsidP="0039189F">
            <w:pPr>
              <w:jc w:val="both"/>
              <w:rPr>
                <w:sz w:val="20"/>
                <w:szCs w:val="20"/>
              </w:rPr>
            </w:pPr>
            <w:r w:rsidRPr="007A5455">
              <w:rPr>
                <w:sz w:val="20"/>
                <w:szCs w:val="20"/>
              </w:rPr>
              <w:t>June 11, 2014</w:t>
            </w:r>
          </w:p>
          <w:p w:rsidR="0039189F" w:rsidRPr="007A5455" w:rsidRDefault="0039189F" w:rsidP="0039189F">
            <w:pPr>
              <w:jc w:val="both"/>
              <w:rPr>
                <w:sz w:val="20"/>
                <w:szCs w:val="20"/>
              </w:rPr>
            </w:pPr>
            <w:r w:rsidRPr="007A5455">
              <w:rPr>
                <w:sz w:val="20"/>
                <w:szCs w:val="20"/>
              </w:rPr>
              <w:t>Court of Queen’s Bench of Alberta</w:t>
            </w:r>
          </w:p>
          <w:p w:rsidR="0039189F" w:rsidRPr="007A5455" w:rsidRDefault="0039189F" w:rsidP="0039189F">
            <w:pPr>
              <w:jc w:val="both"/>
              <w:rPr>
                <w:sz w:val="20"/>
                <w:szCs w:val="20"/>
              </w:rPr>
            </w:pPr>
            <w:r w:rsidRPr="007A5455">
              <w:rPr>
                <w:sz w:val="20"/>
                <w:szCs w:val="20"/>
              </w:rPr>
              <w:t>(Anderson J.)</w:t>
            </w:r>
          </w:p>
          <w:p w:rsidR="0039189F" w:rsidRPr="007A5455" w:rsidRDefault="0039189F" w:rsidP="0039189F">
            <w:pPr>
              <w:jc w:val="both"/>
              <w:rPr>
                <w:sz w:val="20"/>
                <w:szCs w:val="20"/>
              </w:rPr>
            </w:pPr>
            <w:r w:rsidRPr="007A5455">
              <w:rPr>
                <w:sz w:val="20"/>
                <w:szCs w:val="20"/>
              </w:rPr>
              <w:t>Unreported</w:t>
            </w:r>
          </w:p>
          <w:p w:rsidR="0036575C" w:rsidRPr="007A5455" w:rsidRDefault="0036575C" w:rsidP="0036575C">
            <w:pPr>
              <w:jc w:val="both"/>
              <w:rPr>
                <w:rFonts w:eastAsia="Calibri"/>
                <w:sz w:val="20"/>
              </w:rPr>
            </w:pPr>
          </w:p>
        </w:tc>
        <w:tc>
          <w:tcPr>
            <w:tcW w:w="243" w:type="pct"/>
          </w:tcPr>
          <w:p w:rsidR="0036575C" w:rsidRPr="007A5455" w:rsidRDefault="0036575C" w:rsidP="0036575C">
            <w:pPr>
              <w:jc w:val="both"/>
              <w:rPr>
                <w:rFonts w:eastAsia="Calibri"/>
                <w:sz w:val="20"/>
              </w:rPr>
            </w:pPr>
          </w:p>
        </w:tc>
        <w:tc>
          <w:tcPr>
            <w:tcW w:w="2330" w:type="pct"/>
          </w:tcPr>
          <w:p w:rsidR="0039189F" w:rsidRPr="007A5455" w:rsidRDefault="0039189F" w:rsidP="0039189F">
            <w:pPr>
              <w:jc w:val="both"/>
              <w:rPr>
                <w:sz w:val="20"/>
                <w:szCs w:val="20"/>
              </w:rPr>
            </w:pPr>
            <w:r w:rsidRPr="007A5455">
              <w:rPr>
                <w:sz w:val="20"/>
                <w:szCs w:val="20"/>
              </w:rPr>
              <w:t>Applicant’s action dismissed</w:t>
            </w:r>
          </w:p>
          <w:p w:rsidR="0036575C" w:rsidRPr="007A5455" w:rsidRDefault="0036575C" w:rsidP="0036575C">
            <w:pPr>
              <w:jc w:val="both"/>
              <w:rPr>
                <w:rFonts w:eastAsia="Calibri"/>
                <w:sz w:val="20"/>
              </w:rPr>
            </w:pPr>
          </w:p>
        </w:tc>
      </w:tr>
      <w:tr w:rsidR="0036575C" w:rsidRPr="007A5455" w:rsidTr="0022676D">
        <w:trPr>
          <w:cantSplit/>
        </w:trPr>
        <w:tc>
          <w:tcPr>
            <w:tcW w:w="2427" w:type="pct"/>
          </w:tcPr>
          <w:p w:rsidR="0039189F" w:rsidRPr="007A5455" w:rsidRDefault="0039189F" w:rsidP="0039189F">
            <w:pPr>
              <w:jc w:val="both"/>
              <w:rPr>
                <w:sz w:val="20"/>
                <w:szCs w:val="20"/>
              </w:rPr>
            </w:pPr>
            <w:r w:rsidRPr="007A5455">
              <w:rPr>
                <w:sz w:val="20"/>
                <w:szCs w:val="20"/>
              </w:rPr>
              <w:t>May 21, 2015</w:t>
            </w:r>
          </w:p>
          <w:p w:rsidR="0039189F" w:rsidRPr="007A5455" w:rsidRDefault="0039189F" w:rsidP="0039189F">
            <w:pPr>
              <w:jc w:val="both"/>
              <w:rPr>
                <w:sz w:val="20"/>
                <w:szCs w:val="20"/>
              </w:rPr>
            </w:pPr>
            <w:r w:rsidRPr="007A5455">
              <w:rPr>
                <w:sz w:val="20"/>
                <w:szCs w:val="20"/>
              </w:rPr>
              <w:t>Court of Appeal of Alberta (Calgary)</w:t>
            </w:r>
          </w:p>
          <w:p w:rsidR="0039189F" w:rsidRPr="007A5455" w:rsidRDefault="0039189F" w:rsidP="0039189F">
            <w:pPr>
              <w:jc w:val="both"/>
              <w:rPr>
                <w:sz w:val="20"/>
                <w:szCs w:val="20"/>
              </w:rPr>
            </w:pPr>
            <w:r w:rsidRPr="007A5455">
              <w:rPr>
                <w:sz w:val="20"/>
                <w:szCs w:val="20"/>
              </w:rPr>
              <w:t>(</w:t>
            </w:r>
            <w:proofErr w:type="spellStart"/>
            <w:r w:rsidRPr="007A5455">
              <w:rPr>
                <w:sz w:val="20"/>
                <w:szCs w:val="20"/>
              </w:rPr>
              <w:t>Côté</w:t>
            </w:r>
            <w:proofErr w:type="spellEnd"/>
            <w:r w:rsidRPr="007A5455">
              <w:rPr>
                <w:sz w:val="20"/>
                <w:szCs w:val="20"/>
              </w:rPr>
              <w:t xml:space="preserve"> J.A.)</w:t>
            </w:r>
          </w:p>
          <w:p w:rsidR="0039189F" w:rsidRPr="007A5455" w:rsidRDefault="001F68BE" w:rsidP="0039189F">
            <w:pPr>
              <w:jc w:val="both"/>
              <w:rPr>
                <w:sz w:val="20"/>
                <w:szCs w:val="20"/>
                <w:lang w:val="en-US"/>
              </w:rPr>
            </w:pPr>
            <w:hyperlink r:id="rId50" w:history="1">
              <w:r w:rsidR="0039189F" w:rsidRPr="007A5455">
                <w:rPr>
                  <w:color w:val="0000FF" w:themeColor="hyperlink"/>
                  <w:sz w:val="20"/>
                  <w:szCs w:val="20"/>
                  <w:u w:val="single"/>
                  <w:lang w:val="en-US"/>
                </w:rPr>
                <w:t>2015 ABCA 177</w:t>
              </w:r>
            </w:hyperlink>
          </w:p>
          <w:p w:rsidR="0036575C" w:rsidRPr="007A5455" w:rsidRDefault="0036575C" w:rsidP="0036575C">
            <w:pPr>
              <w:jc w:val="both"/>
              <w:rPr>
                <w:rFonts w:eastAsia="Calibri"/>
                <w:sz w:val="20"/>
              </w:rPr>
            </w:pPr>
          </w:p>
        </w:tc>
        <w:tc>
          <w:tcPr>
            <w:tcW w:w="243" w:type="pct"/>
          </w:tcPr>
          <w:p w:rsidR="0036575C" w:rsidRPr="007A5455" w:rsidRDefault="0036575C" w:rsidP="0036575C">
            <w:pPr>
              <w:jc w:val="both"/>
              <w:rPr>
                <w:rFonts w:eastAsia="Calibri"/>
                <w:sz w:val="20"/>
              </w:rPr>
            </w:pPr>
          </w:p>
        </w:tc>
        <w:tc>
          <w:tcPr>
            <w:tcW w:w="2330" w:type="pct"/>
          </w:tcPr>
          <w:p w:rsidR="0039189F" w:rsidRPr="007A5455" w:rsidRDefault="0039189F" w:rsidP="0039189F">
            <w:pPr>
              <w:jc w:val="both"/>
              <w:rPr>
                <w:sz w:val="20"/>
                <w:szCs w:val="20"/>
              </w:rPr>
            </w:pPr>
            <w:r w:rsidRPr="007A5455">
              <w:rPr>
                <w:sz w:val="20"/>
                <w:szCs w:val="20"/>
              </w:rPr>
              <w:t>Applicant’s application for permission to obtain and add materials and remove one counsel from record dismissed</w:t>
            </w:r>
          </w:p>
          <w:p w:rsidR="0036575C" w:rsidRPr="007A5455" w:rsidRDefault="0036575C" w:rsidP="0036575C">
            <w:pPr>
              <w:jc w:val="both"/>
              <w:rPr>
                <w:rFonts w:eastAsia="Calibri"/>
                <w:sz w:val="20"/>
              </w:rPr>
            </w:pPr>
          </w:p>
        </w:tc>
      </w:tr>
      <w:tr w:rsidR="0039189F" w:rsidRPr="007A5455" w:rsidTr="0022676D">
        <w:trPr>
          <w:cantSplit/>
        </w:trPr>
        <w:tc>
          <w:tcPr>
            <w:tcW w:w="2427" w:type="pct"/>
          </w:tcPr>
          <w:p w:rsidR="0039189F" w:rsidRPr="007A5455" w:rsidRDefault="0039189F" w:rsidP="0039189F">
            <w:pPr>
              <w:jc w:val="both"/>
              <w:rPr>
                <w:sz w:val="20"/>
                <w:szCs w:val="20"/>
              </w:rPr>
            </w:pPr>
            <w:r w:rsidRPr="007A5455">
              <w:rPr>
                <w:sz w:val="20"/>
                <w:szCs w:val="20"/>
              </w:rPr>
              <w:lastRenderedPageBreak/>
              <w:t>May 27, 2015</w:t>
            </w:r>
          </w:p>
          <w:p w:rsidR="0039189F" w:rsidRPr="007A5455" w:rsidRDefault="0039189F" w:rsidP="0039189F">
            <w:pPr>
              <w:jc w:val="both"/>
              <w:rPr>
                <w:sz w:val="20"/>
                <w:szCs w:val="20"/>
              </w:rPr>
            </w:pPr>
            <w:r w:rsidRPr="007A5455">
              <w:rPr>
                <w:sz w:val="20"/>
                <w:szCs w:val="20"/>
              </w:rPr>
              <w:t>Court of Appeal of Alberta (Calgary)</w:t>
            </w:r>
          </w:p>
          <w:p w:rsidR="0039189F" w:rsidRPr="007A5455" w:rsidRDefault="0039189F" w:rsidP="0039189F">
            <w:pPr>
              <w:jc w:val="both"/>
              <w:rPr>
                <w:sz w:val="20"/>
                <w:szCs w:val="20"/>
              </w:rPr>
            </w:pPr>
            <w:r w:rsidRPr="007A5455">
              <w:rPr>
                <w:sz w:val="20"/>
                <w:szCs w:val="20"/>
              </w:rPr>
              <w:t>(</w:t>
            </w:r>
            <w:proofErr w:type="spellStart"/>
            <w:r w:rsidRPr="007A5455">
              <w:rPr>
                <w:sz w:val="20"/>
                <w:szCs w:val="20"/>
              </w:rPr>
              <w:t>Côté</w:t>
            </w:r>
            <w:proofErr w:type="spellEnd"/>
            <w:r w:rsidRPr="007A5455">
              <w:rPr>
                <w:sz w:val="20"/>
                <w:szCs w:val="20"/>
              </w:rPr>
              <w:t xml:space="preserve"> J.A.)</w:t>
            </w:r>
          </w:p>
          <w:p w:rsidR="0039189F" w:rsidRPr="007A5455" w:rsidRDefault="001F68BE" w:rsidP="0039189F">
            <w:pPr>
              <w:jc w:val="both"/>
              <w:rPr>
                <w:sz w:val="20"/>
                <w:szCs w:val="20"/>
                <w:lang w:val="en-US"/>
              </w:rPr>
            </w:pPr>
            <w:hyperlink r:id="rId51" w:history="1">
              <w:r w:rsidR="0039189F" w:rsidRPr="007A5455">
                <w:rPr>
                  <w:color w:val="0000FF" w:themeColor="hyperlink"/>
                  <w:sz w:val="20"/>
                  <w:szCs w:val="20"/>
                  <w:u w:val="single"/>
                  <w:lang w:val="en-US"/>
                </w:rPr>
                <w:t>2015 ABCA 181</w:t>
              </w:r>
            </w:hyperlink>
          </w:p>
          <w:p w:rsidR="0039189F" w:rsidRPr="007A5455" w:rsidRDefault="0039189F" w:rsidP="0036575C">
            <w:pPr>
              <w:jc w:val="both"/>
              <w:rPr>
                <w:rFonts w:eastAsia="Calibri"/>
                <w:sz w:val="20"/>
              </w:rPr>
            </w:pPr>
          </w:p>
        </w:tc>
        <w:tc>
          <w:tcPr>
            <w:tcW w:w="243" w:type="pct"/>
          </w:tcPr>
          <w:p w:rsidR="0039189F" w:rsidRPr="007A5455" w:rsidRDefault="0039189F" w:rsidP="0036575C">
            <w:pPr>
              <w:jc w:val="both"/>
              <w:rPr>
                <w:rFonts w:eastAsia="Calibri"/>
                <w:sz w:val="20"/>
              </w:rPr>
            </w:pPr>
          </w:p>
        </w:tc>
        <w:tc>
          <w:tcPr>
            <w:tcW w:w="2330" w:type="pct"/>
          </w:tcPr>
          <w:p w:rsidR="0039189F" w:rsidRPr="007A5455" w:rsidRDefault="0039189F" w:rsidP="0039189F">
            <w:pPr>
              <w:jc w:val="both"/>
              <w:rPr>
                <w:sz w:val="20"/>
                <w:szCs w:val="20"/>
              </w:rPr>
            </w:pPr>
            <w:r w:rsidRPr="007A5455">
              <w:rPr>
                <w:sz w:val="20"/>
                <w:szCs w:val="20"/>
              </w:rPr>
              <w:t>Applicant’s application for leave to appeal dismissed</w:t>
            </w:r>
          </w:p>
          <w:p w:rsidR="0039189F" w:rsidRPr="007A5455" w:rsidRDefault="0039189F" w:rsidP="0036575C">
            <w:pPr>
              <w:jc w:val="both"/>
              <w:rPr>
                <w:rFonts w:eastAsia="Calibri"/>
                <w:sz w:val="20"/>
              </w:rPr>
            </w:pPr>
          </w:p>
        </w:tc>
      </w:tr>
      <w:tr w:rsidR="0036575C" w:rsidRPr="007A5455" w:rsidTr="0022676D">
        <w:trPr>
          <w:cantSplit/>
        </w:trPr>
        <w:tc>
          <w:tcPr>
            <w:tcW w:w="2427" w:type="pct"/>
          </w:tcPr>
          <w:p w:rsidR="0036575C" w:rsidRPr="007A5455" w:rsidRDefault="0039189F" w:rsidP="0036575C">
            <w:pPr>
              <w:jc w:val="both"/>
              <w:rPr>
                <w:rFonts w:eastAsia="Calibri"/>
                <w:sz w:val="20"/>
              </w:rPr>
            </w:pPr>
            <w:r w:rsidRPr="007A5455">
              <w:rPr>
                <w:rFonts w:eastAsia="Calibri"/>
                <w:sz w:val="20"/>
              </w:rPr>
              <w:t>August</w:t>
            </w:r>
            <w:r w:rsidR="0036575C" w:rsidRPr="007A5455">
              <w:rPr>
                <w:rFonts w:eastAsia="Calibri"/>
                <w:sz w:val="20"/>
              </w:rPr>
              <w:t xml:space="preserve"> </w:t>
            </w:r>
            <w:r w:rsidRPr="007A5455">
              <w:rPr>
                <w:rFonts w:eastAsia="Calibri"/>
                <w:sz w:val="20"/>
              </w:rPr>
              <w:t>20, 2015</w:t>
            </w:r>
          </w:p>
          <w:p w:rsidR="0036575C" w:rsidRPr="007A5455" w:rsidRDefault="0036575C" w:rsidP="0036575C">
            <w:pPr>
              <w:jc w:val="both"/>
              <w:rPr>
                <w:rFonts w:eastAsia="Calibri"/>
                <w:sz w:val="20"/>
              </w:rPr>
            </w:pPr>
            <w:r w:rsidRPr="007A5455">
              <w:rPr>
                <w:rFonts w:eastAsia="Calibri"/>
                <w:sz w:val="20"/>
              </w:rPr>
              <w:t>Supreme Court of Canada</w:t>
            </w:r>
          </w:p>
        </w:tc>
        <w:tc>
          <w:tcPr>
            <w:tcW w:w="243" w:type="pct"/>
          </w:tcPr>
          <w:p w:rsidR="0036575C" w:rsidRPr="007A5455" w:rsidRDefault="0036575C" w:rsidP="0036575C">
            <w:pPr>
              <w:jc w:val="both"/>
              <w:rPr>
                <w:rFonts w:eastAsia="Calibri"/>
                <w:sz w:val="20"/>
              </w:rPr>
            </w:pPr>
          </w:p>
        </w:tc>
        <w:tc>
          <w:tcPr>
            <w:tcW w:w="2330" w:type="pct"/>
          </w:tcPr>
          <w:p w:rsidR="0036575C" w:rsidRPr="007A5455" w:rsidRDefault="0036575C" w:rsidP="0036575C">
            <w:pPr>
              <w:jc w:val="both"/>
              <w:rPr>
                <w:rFonts w:eastAsia="Calibri"/>
                <w:sz w:val="20"/>
              </w:rPr>
            </w:pPr>
            <w:r w:rsidRPr="007A5455">
              <w:rPr>
                <w:rFonts w:eastAsia="Calibri"/>
                <w:sz w:val="20"/>
              </w:rPr>
              <w:t>Application for leave to appeal filed.</w:t>
            </w:r>
          </w:p>
        </w:tc>
      </w:tr>
    </w:tbl>
    <w:p w:rsidR="0068685F" w:rsidRPr="007A5455" w:rsidRDefault="0068685F" w:rsidP="0068685F">
      <w:pPr>
        <w:rPr>
          <w:sz w:val="20"/>
          <w:szCs w:val="20"/>
        </w:rPr>
      </w:pPr>
    </w:p>
    <w:p w:rsidR="0068685F" w:rsidRPr="007A5455" w:rsidRDefault="001F68BE" w:rsidP="0068685F">
      <w:pPr>
        <w:rPr>
          <w:sz w:val="20"/>
          <w:szCs w:val="20"/>
        </w:rPr>
      </w:pPr>
      <w:r>
        <w:rPr>
          <w:sz w:val="20"/>
          <w:szCs w:val="20"/>
          <w:lang w:val="fr-CA"/>
        </w:rPr>
        <w:pict>
          <v:rect id="_x0000_i1052" style="width:2in;height:1pt" o:hrpct="0" o:hralign="center" o:hrstd="t" o:hrnoshade="t" o:hr="t" fillcolor="black [3213]" stroked="f"/>
        </w:pict>
      </w:r>
    </w:p>
    <w:p w:rsidR="0068685F" w:rsidRPr="007A5455" w:rsidRDefault="0068685F" w:rsidP="0068685F">
      <w:pPr>
        <w:rPr>
          <w:sz w:val="20"/>
          <w:szCs w:val="20"/>
        </w:rPr>
      </w:pPr>
    </w:p>
    <w:p w:rsidR="0068685F" w:rsidRPr="007A5455" w:rsidRDefault="0068685F" w:rsidP="0068685F">
      <w:pPr>
        <w:rPr>
          <w:sz w:val="20"/>
          <w:szCs w:val="20"/>
          <w:u w:val="single"/>
          <w:lang w:val="fr-CA"/>
        </w:rPr>
      </w:pPr>
      <w:r w:rsidRPr="007A5455">
        <w:rPr>
          <w:sz w:val="20"/>
          <w:szCs w:val="20"/>
          <w:u w:val="single"/>
          <w:lang w:val="fr-CA"/>
        </w:rPr>
        <w:t>RÉSUMÉ DE L’AFFAIRE</w:t>
      </w:r>
    </w:p>
    <w:p w:rsidR="0068685F" w:rsidRPr="007A5455" w:rsidRDefault="0068685F" w:rsidP="0068685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685F" w:rsidRPr="007A5455" w:rsidTr="0022676D">
        <w:tc>
          <w:tcPr>
            <w:tcW w:w="5000" w:type="pct"/>
            <w:gridSpan w:val="3"/>
          </w:tcPr>
          <w:p w:rsidR="0068685F" w:rsidRPr="007A5455" w:rsidRDefault="00897ACD" w:rsidP="0022676D">
            <w:pPr>
              <w:jc w:val="both"/>
              <w:rPr>
                <w:sz w:val="20"/>
                <w:szCs w:val="20"/>
                <w:lang w:val="fr-CA"/>
              </w:rPr>
            </w:pPr>
            <w:r w:rsidRPr="007A5455">
              <w:rPr>
                <w:sz w:val="20"/>
                <w:szCs w:val="20"/>
                <w:lang w:val="fr-CA"/>
              </w:rPr>
              <w:t xml:space="preserve">Tribunaux – Compétence – L’action de la demanderesse contre les intimés a été rejetée – La demanderesse cherche à déposer d’autres documents et à priver un des avocats de la partie adverse du droit d’occuper – La compétence inhérente des tribunaux comprend-elle le pouvoir de déclarer un avocat de la partie adverse inhabile à occuper? – Y </w:t>
            </w:r>
            <w:proofErr w:type="spellStart"/>
            <w:r w:rsidRPr="007A5455">
              <w:rPr>
                <w:sz w:val="20"/>
                <w:szCs w:val="20"/>
                <w:lang w:val="fr-CA"/>
              </w:rPr>
              <w:t>a-t-il</w:t>
            </w:r>
            <w:proofErr w:type="spellEnd"/>
            <w:r w:rsidRPr="007A5455">
              <w:rPr>
                <w:sz w:val="20"/>
                <w:szCs w:val="20"/>
                <w:lang w:val="fr-CA"/>
              </w:rPr>
              <w:t xml:space="preserve"> lieu de normaliser l’application des décisions discrétionnaires actuelles en matière de procédure pour réduire la disparité de traitement des personnes non représentées et favoriser davantage l’accès à la justice?</w:t>
            </w:r>
          </w:p>
          <w:p w:rsidR="00897ACD" w:rsidRPr="007A5455" w:rsidRDefault="00897ACD" w:rsidP="0022676D">
            <w:pPr>
              <w:jc w:val="both"/>
              <w:rPr>
                <w:rFonts w:eastAsia="Calibri"/>
                <w:sz w:val="20"/>
                <w:szCs w:val="20"/>
                <w:lang w:val="fr-CA"/>
              </w:rPr>
            </w:pPr>
          </w:p>
        </w:tc>
      </w:tr>
      <w:tr w:rsidR="0068685F" w:rsidRPr="007A5455" w:rsidTr="0022676D">
        <w:tc>
          <w:tcPr>
            <w:tcW w:w="5000" w:type="pct"/>
            <w:gridSpan w:val="3"/>
          </w:tcPr>
          <w:p w:rsidR="00897ACD" w:rsidRPr="007A5455" w:rsidRDefault="00897ACD" w:rsidP="00897ACD">
            <w:pPr>
              <w:rPr>
                <w:sz w:val="20"/>
                <w:szCs w:val="20"/>
                <w:lang w:val="fr-CA"/>
              </w:rPr>
            </w:pPr>
            <w:r w:rsidRPr="007A5455">
              <w:rPr>
                <w:sz w:val="20"/>
                <w:szCs w:val="20"/>
                <w:lang w:val="fr-CA"/>
              </w:rPr>
              <w:t>En 2003, la demanderesse a subi une chirurgie esthétique par liposuccion pratiquée par l’intimé. Elle a allégué que la chirurgie avait été plus grande que celle à laquelle elle avait consenti et qu’elle avait été insatisfaite des résultats. Elle a intenté une action contre les intimés, alléguant la batterie, l’absence de consentement éclairé et la négligence médicale.</w:t>
            </w:r>
          </w:p>
          <w:p w:rsidR="0068685F" w:rsidRPr="007A5455" w:rsidRDefault="0068685F" w:rsidP="0022676D">
            <w:pPr>
              <w:jc w:val="both"/>
              <w:rPr>
                <w:sz w:val="20"/>
                <w:lang w:val="fr-CA"/>
              </w:rPr>
            </w:pPr>
          </w:p>
        </w:tc>
      </w:tr>
      <w:tr w:rsidR="0068685F" w:rsidRPr="007A5455" w:rsidTr="0022676D">
        <w:trPr>
          <w:cantSplit/>
        </w:trPr>
        <w:tc>
          <w:tcPr>
            <w:tcW w:w="2427" w:type="pct"/>
          </w:tcPr>
          <w:p w:rsidR="00D83251" w:rsidRPr="007A5455" w:rsidRDefault="00D83251" w:rsidP="00D83251">
            <w:pPr>
              <w:rPr>
                <w:sz w:val="20"/>
                <w:szCs w:val="20"/>
                <w:lang w:val="fr-CA"/>
              </w:rPr>
            </w:pPr>
            <w:r w:rsidRPr="007A5455">
              <w:rPr>
                <w:sz w:val="20"/>
                <w:szCs w:val="20"/>
                <w:lang w:val="fr-CA"/>
              </w:rPr>
              <w:t>11 juin 2014</w:t>
            </w:r>
          </w:p>
          <w:p w:rsidR="00D83251" w:rsidRPr="007A5455" w:rsidRDefault="00D83251" w:rsidP="00D83251">
            <w:pPr>
              <w:rPr>
                <w:sz w:val="20"/>
                <w:szCs w:val="20"/>
                <w:lang w:val="fr-CA"/>
              </w:rPr>
            </w:pPr>
            <w:r w:rsidRPr="007A5455">
              <w:rPr>
                <w:sz w:val="20"/>
                <w:szCs w:val="20"/>
                <w:lang w:val="fr-CA"/>
              </w:rPr>
              <w:t>Cour du Banc de la Reine de l’Alberta</w:t>
            </w:r>
          </w:p>
          <w:p w:rsidR="00D83251" w:rsidRPr="007A5455" w:rsidRDefault="00D83251" w:rsidP="00D83251">
            <w:pPr>
              <w:rPr>
                <w:sz w:val="20"/>
                <w:szCs w:val="20"/>
                <w:lang w:val="fr-CA"/>
              </w:rPr>
            </w:pPr>
            <w:r w:rsidRPr="007A5455">
              <w:rPr>
                <w:sz w:val="20"/>
                <w:szCs w:val="20"/>
                <w:lang w:val="fr-CA"/>
              </w:rPr>
              <w:t>(Juge Anderson)</w:t>
            </w:r>
          </w:p>
          <w:p w:rsidR="00D83251" w:rsidRPr="007A5455" w:rsidRDefault="00D83251" w:rsidP="00D83251">
            <w:pPr>
              <w:rPr>
                <w:sz w:val="20"/>
                <w:szCs w:val="20"/>
                <w:lang w:val="fr-CA"/>
              </w:rPr>
            </w:pPr>
            <w:r w:rsidRPr="007A5455">
              <w:rPr>
                <w:sz w:val="20"/>
                <w:szCs w:val="20"/>
                <w:lang w:val="fr-CA"/>
              </w:rPr>
              <w:t>Non publié</w:t>
            </w:r>
          </w:p>
          <w:p w:rsidR="0068685F" w:rsidRPr="007A5455" w:rsidRDefault="0068685F" w:rsidP="0022676D">
            <w:pPr>
              <w:jc w:val="both"/>
              <w:rPr>
                <w:rFonts w:eastAsia="Calibri"/>
                <w:sz w:val="20"/>
                <w:lang w:val="fr-CA"/>
              </w:rPr>
            </w:pPr>
          </w:p>
        </w:tc>
        <w:tc>
          <w:tcPr>
            <w:tcW w:w="243" w:type="pct"/>
          </w:tcPr>
          <w:p w:rsidR="0068685F" w:rsidRPr="007A5455" w:rsidRDefault="0068685F" w:rsidP="0022676D">
            <w:pPr>
              <w:jc w:val="both"/>
              <w:rPr>
                <w:rFonts w:eastAsia="Calibri"/>
                <w:sz w:val="20"/>
                <w:lang w:val="fr-CA"/>
              </w:rPr>
            </w:pPr>
          </w:p>
        </w:tc>
        <w:tc>
          <w:tcPr>
            <w:tcW w:w="2330" w:type="pct"/>
          </w:tcPr>
          <w:p w:rsidR="00D83251" w:rsidRPr="007A5455" w:rsidRDefault="00D83251" w:rsidP="00D83251">
            <w:pPr>
              <w:rPr>
                <w:sz w:val="20"/>
                <w:szCs w:val="20"/>
                <w:lang w:val="fr-CA"/>
              </w:rPr>
            </w:pPr>
            <w:r w:rsidRPr="007A5455">
              <w:rPr>
                <w:sz w:val="20"/>
                <w:szCs w:val="20"/>
                <w:lang w:val="fr-CA"/>
              </w:rPr>
              <w:t>Rejet de l’action de la demanderesse</w:t>
            </w:r>
          </w:p>
          <w:p w:rsidR="0068685F" w:rsidRPr="007A5455" w:rsidRDefault="0068685F" w:rsidP="0022676D">
            <w:pPr>
              <w:jc w:val="both"/>
              <w:rPr>
                <w:rFonts w:eastAsia="Calibri"/>
                <w:sz w:val="20"/>
                <w:lang w:val="fr-CA"/>
              </w:rPr>
            </w:pPr>
          </w:p>
        </w:tc>
      </w:tr>
      <w:tr w:rsidR="0068685F" w:rsidRPr="007A5455" w:rsidTr="0022676D">
        <w:trPr>
          <w:cantSplit/>
        </w:trPr>
        <w:tc>
          <w:tcPr>
            <w:tcW w:w="2427" w:type="pct"/>
          </w:tcPr>
          <w:p w:rsidR="00D83251" w:rsidRPr="007A5455" w:rsidRDefault="00D83251" w:rsidP="00D83251">
            <w:pPr>
              <w:rPr>
                <w:sz w:val="20"/>
                <w:szCs w:val="20"/>
                <w:lang w:val="fr-CA"/>
              </w:rPr>
            </w:pPr>
            <w:r w:rsidRPr="007A5455">
              <w:rPr>
                <w:sz w:val="20"/>
                <w:szCs w:val="20"/>
                <w:lang w:val="fr-CA"/>
              </w:rPr>
              <w:t>21 mai 2015</w:t>
            </w:r>
          </w:p>
          <w:p w:rsidR="00D83251" w:rsidRPr="007A5455" w:rsidRDefault="00D83251" w:rsidP="00D83251">
            <w:pPr>
              <w:rPr>
                <w:sz w:val="20"/>
                <w:szCs w:val="20"/>
                <w:lang w:val="fr-CA"/>
              </w:rPr>
            </w:pPr>
            <w:r w:rsidRPr="007A5455">
              <w:rPr>
                <w:sz w:val="20"/>
                <w:szCs w:val="20"/>
                <w:lang w:val="fr-CA"/>
              </w:rPr>
              <w:t>Cour d’appel de l’Alberta (Calgary)</w:t>
            </w:r>
          </w:p>
          <w:p w:rsidR="00D83251" w:rsidRPr="007A5455" w:rsidRDefault="00D83251" w:rsidP="00D83251">
            <w:pPr>
              <w:rPr>
                <w:sz w:val="20"/>
                <w:szCs w:val="20"/>
                <w:lang w:val="fr-CA"/>
              </w:rPr>
            </w:pPr>
            <w:r w:rsidRPr="007A5455">
              <w:rPr>
                <w:sz w:val="20"/>
                <w:szCs w:val="20"/>
                <w:lang w:val="fr-CA"/>
              </w:rPr>
              <w:t>(Juge Côté)</w:t>
            </w:r>
          </w:p>
          <w:p w:rsidR="00D83251" w:rsidRPr="007A5455" w:rsidRDefault="001F68BE" w:rsidP="00D83251">
            <w:pPr>
              <w:rPr>
                <w:sz w:val="20"/>
                <w:szCs w:val="20"/>
                <w:lang w:val="fr-CA"/>
              </w:rPr>
            </w:pPr>
            <w:hyperlink r:id="rId52" w:history="1">
              <w:r w:rsidR="00D83251" w:rsidRPr="007A5455">
                <w:rPr>
                  <w:rStyle w:val="Hyperlink"/>
                  <w:sz w:val="20"/>
                  <w:szCs w:val="20"/>
                  <w:lang w:val="fr-CA"/>
                </w:rPr>
                <w:t>2015 ABCA 177</w:t>
              </w:r>
            </w:hyperlink>
          </w:p>
          <w:p w:rsidR="0068685F" w:rsidRPr="007A5455" w:rsidRDefault="0068685F" w:rsidP="0022676D">
            <w:pPr>
              <w:jc w:val="both"/>
              <w:rPr>
                <w:rFonts w:eastAsia="Calibri"/>
                <w:sz w:val="20"/>
                <w:lang w:val="fr-CA"/>
              </w:rPr>
            </w:pPr>
          </w:p>
        </w:tc>
        <w:tc>
          <w:tcPr>
            <w:tcW w:w="243" w:type="pct"/>
          </w:tcPr>
          <w:p w:rsidR="0068685F" w:rsidRPr="007A5455" w:rsidRDefault="0068685F" w:rsidP="0022676D">
            <w:pPr>
              <w:jc w:val="both"/>
              <w:rPr>
                <w:rFonts w:eastAsia="Calibri"/>
                <w:sz w:val="20"/>
                <w:lang w:val="fr-CA"/>
              </w:rPr>
            </w:pPr>
          </w:p>
        </w:tc>
        <w:tc>
          <w:tcPr>
            <w:tcW w:w="2330" w:type="pct"/>
          </w:tcPr>
          <w:p w:rsidR="00D83251" w:rsidRPr="007A5455" w:rsidRDefault="00D83251" w:rsidP="00D83251">
            <w:pPr>
              <w:rPr>
                <w:sz w:val="20"/>
                <w:szCs w:val="20"/>
                <w:lang w:val="fr-CA"/>
              </w:rPr>
            </w:pPr>
            <w:r w:rsidRPr="007A5455">
              <w:rPr>
                <w:sz w:val="20"/>
                <w:szCs w:val="20"/>
                <w:lang w:val="fr-CA"/>
              </w:rPr>
              <w:t>Rejet de la requête de la demanderesse pour permission d’obtenir et d’ajouter des documents et de priver un des avocats du droit d’occuper</w:t>
            </w:r>
          </w:p>
          <w:p w:rsidR="0068685F" w:rsidRPr="007A5455" w:rsidRDefault="0068685F" w:rsidP="0022676D">
            <w:pPr>
              <w:jc w:val="both"/>
              <w:rPr>
                <w:rFonts w:eastAsia="Calibri"/>
                <w:sz w:val="20"/>
                <w:lang w:val="fr-CA"/>
              </w:rPr>
            </w:pPr>
          </w:p>
        </w:tc>
      </w:tr>
      <w:tr w:rsidR="00D83251" w:rsidRPr="007A5455" w:rsidTr="0022676D">
        <w:trPr>
          <w:cantSplit/>
        </w:trPr>
        <w:tc>
          <w:tcPr>
            <w:tcW w:w="2427" w:type="pct"/>
          </w:tcPr>
          <w:p w:rsidR="00D83251" w:rsidRPr="007A5455" w:rsidRDefault="00D83251" w:rsidP="00D83251">
            <w:pPr>
              <w:rPr>
                <w:sz w:val="20"/>
                <w:szCs w:val="20"/>
                <w:lang w:val="fr-CA"/>
              </w:rPr>
            </w:pPr>
            <w:r w:rsidRPr="007A5455">
              <w:rPr>
                <w:sz w:val="20"/>
                <w:szCs w:val="20"/>
                <w:lang w:val="fr-CA"/>
              </w:rPr>
              <w:t>27 mai 2015</w:t>
            </w:r>
          </w:p>
          <w:p w:rsidR="00D83251" w:rsidRPr="007A5455" w:rsidRDefault="00D83251" w:rsidP="00D83251">
            <w:pPr>
              <w:rPr>
                <w:sz w:val="20"/>
                <w:szCs w:val="20"/>
                <w:lang w:val="fr-CA"/>
              </w:rPr>
            </w:pPr>
            <w:r w:rsidRPr="007A5455">
              <w:rPr>
                <w:sz w:val="20"/>
                <w:szCs w:val="20"/>
                <w:lang w:val="fr-CA"/>
              </w:rPr>
              <w:t>Cour d’appel de l’Alberta (Calgary)</w:t>
            </w:r>
          </w:p>
          <w:p w:rsidR="00D83251" w:rsidRPr="007A5455" w:rsidRDefault="00D83251" w:rsidP="00D83251">
            <w:pPr>
              <w:rPr>
                <w:sz w:val="20"/>
                <w:szCs w:val="20"/>
                <w:lang w:val="fr-CA"/>
              </w:rPr>
            </w:pPr>
            <w:r w:rsidRPr="007A5455">
              <w:rPr>
                <w:sz w:val="20"/>
                <w:szCs w:val="20"/>
                <w:lang w:val="fr-CA"/>
              </w:rPr>
              <w:t>(Juge Côté)</w:t>
            </w:r>
          </w:p>
          <w:p w:rsidR="00D83251" w:rsidRPr="007A5455" w:rsidRDefault="001F68BE" w:rsidP="00D83251">
            <w:pPr>
              <w:rPr>
                <w:sz w:val="20"/>
                <w:szCs w:val="20"/>
                <w:lang w:val="fr-CA"/>
              </w:rPr>
            </w:pPr>
            <w:hyperlink r:id="rId53" w:history="1">
              <w:r w:rsidR="00D83251" w:rsidRPr="007A5455">
                <w:rPr>
                  <w:rStyle w:val="Hyperlink"/>
                  <w:sz w:val="20"/>
                  <w:szCs w:val="20"/>
                  <w:lang w:val="fr-CA"/>
                </w:rPr>
                <w:t>2015 ABCA 181</w:t>
              </w:r>
            </w:hyperlink>
          </w:p>
          <w:p w:rsidR="00D83251" w:rsidRPr="007A5455" w:rsidRDefault="00D83251" w:rsidP="0022676D">
            <w:pPr>
              <w:jc w:val="both"/>
              <w:rPr>
                <w:rFonts w:eastAsia="Calibri"/>
                <w:sz w:val="20"/>
                <w:lang w:val="fr-CA"/>
              </w:rPr>
            </w:pPr>
          </w:p>
        </w:tc>
        <w:tc>
          <w:tcPr>
            <w:tcW w:w="243" w:type="pct"/>
          </w:tcPr>
          <w:p w:rsidR="00D83251" w:rsidRPr="007A5455" w:rsidRDefault="00D83251" w:rsidP="0022676D">
            <w:pPr>
              <w:jc w:val="both"/>
              <w:rPr>
                <w:rFonts w:eastAsia="Calibri"/>
                <w:sz w:val="20"/>
                <w:szCs w:val="20"/>
                <w:lang w:val="fr-CA"/>
              </w:rPr>
            </w:pPr>
          </w:p>
        </w:tc>
        <w:tc>
          <w:tcPr>
            <w:tcW w:w="2330" w:type="pct"/>
          </w:tcPr>
          <w:p w:rsidR="00D83251" w:rsidRPr="007A5455" w:rsidRDefault="00D83251" w:rsidP="00D83251">
            <w:pPr>
              <w:rPr>
                <w:sz w:val="20"/>
                <w:szCs w:val="20"/>
                <w:lang w:val="fr-CA"/>
              </w:rPr>
            </w:pPr>
            <w:r w:rsidRPr="007A5455">
              <w:rPr>
                <w:sz w:val="20"/>
                <w:szCs w:val="20"/>
                <w:lang w:val="fr-CA"/>
              </w:rPr>
              <w:t>Rejet de la demande d’autorisation d’appel de la demanderesse</w:t>
            </w:r>
          </w:p>
          <w:p w:rsidR="00D83251" w:rsidRPr="007A5455" w:rsidRDefault="00D83251" w:rsidP="0022676D">
            <w:pPr>
              <w:jc w:val="both"/>
              <w:rPr>
                <w:rFonts w:eastAsia="Calibri"/>
                <w:sz w:val="20"/>
                <w:szCs w:val="20"/>
                <w:lang w:val="fr-CA"/>
              </w:rPr>
            </w:pPr>
          </w:p>
        </w:tc>
      </w:tr>
      <w:tr w:rsidR="0068685F" w:rsidRPr="007A5455" w:rsidTr="0022676D">
        <w:trPr>
          <w:cantSplit/>
        </w:trPr>
        <w:tc>
          <w:tcPr>
            <w:tcW w:w="2427" w:type="pct"/>
          </w:tcPr>
          <w:p w:rsidR="00D83251" w:rsidRPr="007A5455" w:rsidRDefault="00D83251" w:rsidP="00D83251">
            <w:pPr>
              <w:rPr>
                <w:sz w:val="20"/>
                <w:szCs w:val="20"/>
                <w:lang w:val="fr-CA"/>
              </w:rPr>
            </w:pPr>
            <w:r w:rsidRPr="007A5455">
              <w:rPr>
                <w:sz w:val="20"/>
                <w:szCs w:val="20"/>
                <w:lang w:val="fr-CA"/>
              </w:rPr>
              <w:t>20 août 2015</w:t>
            </w:r>
          </w:p>
          <w:p w:rsidR="0068685F" w:rsidRPr="007A5455" w:rsidRDefault="0068685F" w:rsidP="0022676D">
            <w:pPr>
              <w:jc w:val="both"/>
              <w:rPr>
                <w:rFonts w:eastAsia="Calibri"/>
                <w:sz w:val="20"/>
                <w:lang w:val="fr-CA"/>
              </w:rPr>
            </w:pPr>
            <w:r w:rsidRPr="007A5455">
              <w:rPr>
                <w:rFonts w:eastAsia="Calibri"/>
                <w:sz w:val="20"/>
                <w:lang w:val="fr-CA"/>
              </w:rPr>
              <w:t>Cour suprême du Canada</w:t>
            </w:r>
          </w:p>
        </w:tc>
        <w:tc>
          <w:tcPr>
            <w:tcW w:w="243" w:type="pct"/>
          </w:tcPr>
          <w:p w:rsidR="0068685F" w:rsidRPr="007A5455" w:rsidRDefault="0068685F" w:rsidP="0022676D">
            <w:pPr>
              <w:jc w:val="both"/>
              <w:rPr>
                <w:rFonts w:eastAsia="Calibri"/>
                <w:sz w:val="20"/>
                <w:lang w:val="fr-CA"/>
              </w:rPr>
            </w:pPr>
          </w:p>
        </w:tc>
        <w:tc>
          <w:tcPr>
            <w:tcW w:w="2330" w:type="pct"/>
          </w:tcPr>
          <w:p w:rsidR="00D83251" w:rsidRPr="007A5455" w:rsidRDefault="00D83251" w:rsidP="00D83251">
            <w:pPr>
              <w:rPr>
                <w:sz w:val="20"/>
                <w:szCs w:val="20"/>
                <w:lang w:val="fr-CA"/>
              </w:rPr>
            </w:pPr>
            <w:r w:rsidRPr="007A5455">
              <w:rPr>
                <w:sz w:val="20"/>
                <w:szCs w:val="20"/>
                <w:lang w:val="fr-CA"/>
              </w:rPr>
              <w:t>Dépôt de la demande d’autorisation d’appel</w:t>
            </w:r>
          </w:p>
          <w:p w:rsidR="0068685F" w:rsidRPr="007A5455" w:rsidRDefault="0068685F" w:rsidP="0022676D">
            <w:pPr>
              <w:jc w:val="both"/>
              <w:rPr>
                <w:rFonts w:eastAsia="Calibri"/>
                <w:sz w:val="20"/>
                <w:lang w:val="fr-CA"/>
              </w:rPr>
            </w:pPr>
          </w:p>
        </w:tc>
      </w:tr>
    </w:tbl>
    <w:p w:rsidR="0068685F" w:rsidRPr="007A5455" w:rsidRDefault="0068685F" w:rsidP="0068685F">
      <w:pPr>
        <w:rPr>
          <w:sz w:val="20"/>
          <w:szCs w:val="20"/>
        </w:rPr>
      </w:pPr>
    </w:p>
    <w:p w:rsidR="0068685F" w:rsidRPr="007A5455" w:rsidRDefault="001F68BE" w:rsidP="0068685F">
      <w:pPr>
        <w:rPr>
          <w:sz w:val="20"/>
          <w:szCs w:val="20"/>
        </w:rPr>
      </w:pPr>
      <w:r>
        <w:rPr>
          <w:sz w:val="20"/>
          <w:szCs w:val="20"/>
          <w:lang w:val="fr-CA"/>
        </w:rPr>
        <w:pict>
          <v:rect id="_x0000_i1053" style="width:2in;height:1pt" o:hrpct="0" o:hralign="center" o:hrstd="t" o:hrnoshade="t" o:hr="t" fillcolor="black [3213]" stroked="f"/>
        </w:pict>
      </w:r>
    </w:p>
    <w:p w:rsidR="008C60BF" w:rsidRPr="007A5455" w:rsidRDefault="008C60BF">
      <w:pPr>
        <w:rPr>
          <w:sz w:val="20"/>
          <w:szCs w:val="20"/>
        </w:rPr>
      </w:pPr>
      <w:r w:rsidRPr="007A5455">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C110C" w:rsidRPr="007A5455" w:rsidTr="0022676D">
        <w:trPr>
          <w:cantSplit/>
        </w:trPr>
        <w:tc>
          <w:tcPr>
            <w:tcW w:w="1458" w:type="dxa"/>
          </w:tcPr>
          <w:p w:rsidR="00CC110C" w:rsidRPr="007A5455" w:rsidRDefault="00CC110C" w:rsidP="0022676D">
            <w:pPr>
              <w:rPr>
                <w:sz w:val="20"/>
                <w:szCs w:val="20"/>
              </w:rPr>
            </w:pPr>
            <w:r w:rsidRPr="007A5455">
              <w:rPr>
                <w:rStyle w:val="SCCFileNumberChar"/>
                <w:sz w:val="20"/>
                <w:szCs w:val="20"/>
              </w:rPr>
              <w:lastRenderedPageBreak/>
              <w:t>36583</w:t>
            </w:r>
          </w:p>
          <w:p w:rsidR="00CC110C" w:rsidRPr="007A5455" w:rsidRDefault="00CC110C" w:rsidP="0022676D">
            <w:pPr>
              <w:rPr>
                <w:b/>
                <w:sz w:val="20"/>
                <w:szCs w:val="20"/>
                <w:lang w:val="fr-CA"/>
              </w:rPr>
            </w:pPr>
          </w:p>
        </w:tc>
        <w:tc>
          <w:tcPr>
            <w:tcW w:w="8118" w:type="dxa"/>
          </w:tcPr>
          <w:p w:rsidR="00CC110C" w:rsidRPr="007A5455" w:rsidRDefault="00CC110C" w:rsidP="0022676D">
            <w:pPr>
              <w:rPr>
                <w:sz w:val="20"/>
                <w:szCs w:val="20"/>
              </w:rPr>
            </w:pPr>
            <w:r w:rsidRPr="007A5455">
              <w:rPr>
                <w:b/>
                <w:iCs/>
                <w:sz w:val="20"/>
                <w:szCs w:val="20"/>
                <w:u w:val="single"/>
                <w:lang w:val="fr-CA"/>
              </w:rPr>
              <w:t>Sidney Green v. Law Society of Manitoba</w:t>
            </w:r>
            <w:r w:rsidRPr="007A5455">
              <w:rPr>
                <w:iCs/>
                <w:sz w:val="20"/>
                <w:szCs w:val="20"/>
              </w:rPr>
              <w:t xml:space="preserve"> </w:t>
            </w:r>
            <w:r w:rsidRPr="007A5455">
              <w:rPr>
                <w:sz w:val="20"/>
                <w:szCs w:val="20"/>
              </w:rPr>
              <w:t>(Man.) (Civil) (By Leave)</w:t>
            </w:r>
          </w:p>
          <w:p w:rsidR="00CC110C" w:rsidRPr="007A5455" w:rsidRDefault="00CC110C" w:rsidP="0022676D">
            <w:pPr>
              <w:rPr>
                <w:sz w:val="20"/>
                <w:szCs w:val="20"/>
              </w:rPr>
            </w:pPr>
          </w:p>
        </w:tc>
      </w:tr>
      <w:tr w:rsidR="00CC110C" w:rsidRPr="007A5455" w:rsidTr="0022676D">
        <w:trPr>
          <w:cantSplit/>
        </w:trPr>
        <w:tc>
          <w:tcPr>
            <w:tcW w:w="1458" w:type="dxa"/>
          </w:tcPr>
          <w:p w:rsidR="00CC110C" w:rsidRPr="007A5455" w:rsidRDefault="00CC110C" w:rsidP="0022676D">
            <w:pPr>
              <w:rPr>
                <w:sz w:val="20"/>
                <w:szCs w:val="20"/>
              </w:rPr>
            </w:pPr>
            <w:r w:rsidRPr="007A5455">
              <w:rPr>
                <w:sz w:val="20"/>
                <w:szCs w:val="20"/>
              </w:rPr>
              <w:t>Coram :</w:t>
            </w:r>
          </w:p>
        </w:tc>
        <w:tc>
          <w:tcPr>
            <w:tcW w:w="8118" w:type="dxa"/>
          </w:tcPr>
          <w:p w:rsidR="00CC110C" w:rsidRPr="007A5455" w:rsidRDefault="004F5D15" w:rsidP="0022676D">
            <w:pPr>
              <w:rPr>
                <w:sz w:val="20"/>
                <w:szCs w:val="20"/>
              </w:rPr>
            </w:pPr>
            <w:proofErr w:type="spellStart"/>
            <w:r w:rsidRPr="007A5455">
              <w:rPr>
                <w:rStyle w:val="SCCCoramChar"/>
                <w:sz w:val="20"/>
                <w:szCs w:val="20"/>
                <w:lang w:val="en-CA"/>
              </w:rPr>
              <w:t>Abella</w:t>
            </w:r>
            <w:proofErr w:type="spellEnd"/>
            <w:r w:rsidR="00CC110C" w:rsidRPr="007A5455">
              <w:rPr>
                <w:rStyle w:val="SCCCoramChar"/>
                <w:sz w:val="20"/>
                <w:szCs w:val="20"/>
                <w:lang w:val="en-CA"/>
              </w:rPr>
              <w:t xml:space="preserve">, </w:t>
            </w:r>
            <w:proofErr w:type="spellStart"/>
            <w:r w:rsidR="00CC110C" w:rsidRPr="007A5455">
              <w:rPr>
                <w:rStyle w:val="SCCCoramChar"/>
                <w:sz w:val="20"/>
                <w:szCs w:val="20"/>
                <w:lang w:val="en-CA"/>
              </w:rPr>
              <w:t>Karakatsanis</w:t>
            </w:r>
            <w:proofErr w:type="spellEnd"/>
            <w:r w:rsidR="00CC110C" w:rsidRPr="007A5455">
              <w:rPr>
                <w:rStyle w:val="SCCCoramChar"/>
                <w:sz w:val="20"/>
                <w:szCs w:val="20"/>
                <w:lang w:val="en-CA"/>
              </w:rPr>
              <w:t xml:space="preserve"> and </w:t>
            </w:r>
            <w:r w:rsidRPr="007A5455">
              <w:rPr>
                <w:rStyle w:val="SCCCoramChar"/>
                <w:sz w:val="20"/>
                <w:szCs w:val="20"/>
                <w:lang w:val="en-CA"/>
              </w:rPr>
              <w:t>Brown</w:t>
            </w:r>
            <w:r w:rsidR="00CC110C" w:rsidRPr="007A5455">
              <w:rPr>
                <w:rStyle w:val="SCCCoramChar"/>
                <w:sz w:val="20"/>
                <w:szCs w:val="20"/>
                <w:lang w:val="en-CA"/>
              </w:rPr>
              <w:t> JJ.</w:t>
            </w:r>
          </w:p>
          <w:p w:rsidR="00CC110C" w:rsidRPr="007A5455" w:rsidRDefault="00CC110C" w:rsidP="0022676D">
            <w:pPr>
              <w:rPr>
                <w:sz w:val="20"/>
                <w:szCs w:val="20"/>
                <w:u w:val="single"/>
              </w:rPr>
            </w:pPr>
          </w:p>
        </w:tc>
      </w:tr>
      <w:tr w:rsidR="00CC110C" w:rsidRPr="007A5455" w:rsidTr="0022676D">
        <w:trPr>
          <w:cantSplit/>
        </w:trPr>
        <w:tc>
          <w:tcPr>
            <w:tcW w:w="9576" w:type="dxa"/>
            <w:gridSpan w:val="2"/>
          </w:tcPr>
          <w:p w:rsidR="00CC110C" w:rsidRPr="007A5455" w:rsidRDefault="00C40FFE" w:rsidP="0022676D">
            <w:pPr>
              <w:pStyle w:val="SCCShortJudgment"/>
              <w:rPr>
                <w:szCs w:val="20"/>
              </w:rPr>
            </w:pPr>
            <w:r w:rsidRPr="007A5455">
              <w:t>The application for leave to appeal from the judgment of the Court of Appeal of Manitoba, Number AI15-30-08363, 2015 MBCA 67, dated June 17, 2015, is granted with costs in the cause.</w:t>
            </w:r>
          </w:p>
          <w:p w:rsidR="00CC110C" w:rsidRPr="007A5455" w:rsidRDefault="00CC110C" w:rsidP="0022676D">
            <w:pPr>
              <w:pStyle w:val="SCCShortJudgment"/>
              <w:ind w:firstLine="0"/>
              <w:rPr>
                <w:szCs w:val="20"/>
              </w:rPr>
            </w:pPr>
          </w:p>
          <w:p w:rsidR="00CC110C" w:rsidRPr="007A5455" w:rsidRDefault="00C40FFE" w:rsidP="00C40FFE">
            <w:pPr>
              <w:pStyle w:val="SCCShortJudgment"/>
              <w:rPr>
                <w:szCs w:val="20"/>
                <w:lang w:val="fr-CA"/>
              </w:rPr>
            </w:pPr>
            <w:r w:rsidRPr="007A5455">
              <w:rPr>
                <w:lang w:val="fr-CA"/>
              </w:rPr>
              <w:t xml:space="preserve">La demande d’autorisation d’appel de l’arrêt de la </w:t>
            </w:r>
            <w:r w:rsidRPr="007A5455">
              <w:rPr>
                <w:lang w:val="fr-FR"/>
              </w:rPr>
              <w:t>Cour d’appel du Manitoba</w:t>
            </w:r>
            <w:r w:rsidRPr="007A5455">
              <w:rPr>
                <w:lang w:val="fr-CA"/>
              </w:rPr>
              <w:t xml:space="preserve">, numéro </w:t>
            </w:r>
            <w:r w:rsidRPr="007A5455">
              <w:rPr>
                <w:lang w:val="fr-FR"/>
              </w:rPr>
              <w:t>AI15-30-08363, 2015 MBCA 67</w:t>
            </w:r>
            <w:r w:rsidRPr="007A5455">
              <w:rPr>
                <w:lang w:val="fr-CA"/>
              </w:rPr>
              <w:t xml:space="preserve">, daté du </w:t>
            </w:r>
            <w:r w:rsidRPr="007A5455">
              <w:rPr>
                <w:lang w:val="fr-FR"/>
              </w:rPr>
              <w:t>17 juin 2015</w:t>
            </w:r>
            <w:r w:rsidRPr="007A5455">
              <w:rPr>
                <w:lang w:val="fr-CA"/>
              </w:rPr>
              <w:t>, est accueillie avec dépens selon l’issue de la cause.</w:t>
            </w:r>
          </w:p>
        </w:tc>
      </w:tr>
    </w:tbl>
    <w:p w:rsidR="00CC110C" w:rsidRPr="007A5455" w:rsidRDefault="00CC110C" w:rsidP="00CC110C">
      <w:pPr>
        <w:rPr>
          <w:sz w:val="20"/>
          <w:szCs w:val="20"/>
          <w:lang w:val="fr-CA"/>
        </w:rPr>
      </w:pPr>
    </w:p>
    <w:p w:rsidR="00CC110C" w:rsidRPr="007A5455" w:rsidRDefault="00CC110C" w:rsidP="00CC110C">
      <w:pPr>
        <w:rPr>
          <w:sz w:val="20"/>
          <w:szCs w:val="20"/>
        </w:rPr>
      </w:pPr>
      <w:r w:rsidRPr="007A5455">
        <w:rPr>
          <w:sz w:val="20"/>
          <w:szCs w:val="20"/>
          <w:u w:val="single"/>
        </w:rPr>
        <w:t>CASE SUMMARY</w:t>
      </w:r>
    </w:p>
    <w:p w:rsidR="00BF4E72" w:rsidRPr="007A5455" w:rsidRDefault="00BF4E72" w:rsidP="00CC11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F4E72" w:rsidRPr="007A5455" w:rsidTr="0022676D">
        <w:tc>
          <w:tcPr>
            <w:tcW w:w="5000" w:type="pct"/>
            <w:gridSpan w:val="3"/>
          </w:tcPr>
          <w:p w:rsidR="00BF4E72" w:rsidRPr="007A5455" w:rsidRDefault="00BF4E72" w:rsidP="00BF4E72">
            <w:pPr>
              <w:jc w:val="both"/>
              <w:rPr>
                <w:sz w:val="20"/>
                <w:szCs w:val="20"/>
              </w:rPr>
            </w:pPr>
            <w:r w:rsidRPr="007A5455">
              <w:rPr>
                <w:i/>
                <w:sz w:val="20"/>
                <w:szCs w:val="20"/>
              </w:rPr>
              <w:t>Law of professions</w:t>
            </w:r>
            <w:r w:rsidRPr="007A5455">
              <w:rPr>
                <w:sz w:val="20"/>
                <w:szCs w:val="20"/>
              </w:rPr>
              <w:t xml:space="preserve"> – Barristers and solicitors – Discipline – Applicant lawyer challenging validity of Law Society mandatory continuing professional development regulations and administrative suspension sanction – Can a statutory professional association suspend and cancel the right of one of its members to practice his or her profession, as a means of compelling the member to participate in what had been a voluntary program, or as punishment for not participating, when there is no specific section in the legislation authorizing suspension or cancellation?</w:t>
            </w:r>
          </w:p>
          <w:p w:rsidR="00BF4E72" w:rsidRPr="007A5455" w:rsidRDefault="00BF4E72" w:rsidP="00BF4E72">
            <w:pPr>
              <w:jc w:val="both"/>
              <w:rPr>
                <w:sz w:val="20"/>
                <w:szCs w:val="20"/>
              </w:rPr>
            </w:pPr>
          </w:p>
        </w:tc>
      </w:tr>
      <w:tr w:rsidR="00BF4E72" w:rsidRPr="007A5455" w:rsidTr="0022676D">
        <w:tc>
          <w:tcPr>
            <w:tcW w:w="5000" w:type="pct"/>
            <w:gridSpan w:val="3"/>
          </w:tcPr>
          <w:p w:rsidR="00BF4E72" w:rsidRDefault="001F68BE" w:rsidP="00BF4E72">
            <w:pPr>
              <w:jc w:val="both"/>
              <w:rPr>
                <w:sz w:val="20"/>
                <w:szCs w:val="20"/>
              </w:rPr>
            </w:pPr>
            <w:r w:rsidRPr="001F68BE">
              <w:rPr>
                <w:sz w:val="20"/>
                <w:szCs w:val="20"/>
              </w:rPr>
              <w:t xml:space="preserve">Mr. Green is a lawyer, called to the Bar of Manitoba in 1955, who did not comply with the requirement prescribed by the Law Society of Manitoba (“LSM”) to complete a minimum of twelve hours of annual continuing professional development (“CPD”) activities. He challenged the validity of those rules under which the LSM had suspended his practicing certificate on two grounds. First, he argued that </w:t>
            </w:r>
            <w:r w:rsidRPr="001F68BE">
              <w:rPr>
                <w:i/>
                <w:sz w:val="20"/>
                <w:szCs w:val="20"/>
              </w:rPr>
              <w:t>The Legal Profession Act</w:t>
            </w:r>
            <w:r w:rsidRPr="001F68BE">
              <w:rPr>
                <w:sz w:val="20"/>
                <w:szCs w:val="20"/>
              </w:rPr>
              <w:t>, C.C.S.M., c. L107 did not explicitly permit the LSM to enact mandatory CPD rules and to enforce those rules with the imposition of a suspension. Secondly, he argued that the rules violated the principles of natural justice because they gave the LSM authority to impose a suspension without a right of hearing or appeal.</w:t>
            </w:r>
          </w:p>
          <w:p w:rsidR="001F68BE" w:rsidRPr="001F68BE" w:rsidRDefault="001F68BE" w:rsidP="00BF4E72">
            <w:pPr>
              <w:jc w:val="both"/>
              <w:rPr>
                <w:sz w:val="20"/>
                <w:szCs w:val="20"/>
              </w:rPr>
            </w:pPr>
            <w:bookmarkStart w:id="1" w:name="_GoBack"/>
            <w:bookmarkEnd w:id="1"/>
          </w:p>
        </w:tc>
      </w:tr>
      <w:tr w:rsidR="00BF4E72" w:rsidRPr="007A5455" w:rsidTr="0022676D">
        <w:tc>
          <w:tcPr>
            <w:tcW w:w="2427" w:type="pct"/>
          </w:tcPr>
          <w:p w:rsidR="00BF4E72" w:rsidRPr="007A5455" w:rsidRDefault="00BF4E72" w:rsidP="00BF4E72">
            <w:pPr>
              <w:jc w:val="both"/>
              <w:rPr>
                <w:sz w:val="20"/>
                <w:szCs w:val="20"/>
              </w:rPr>
            </w:pPr>
            <w:r w:rsidRPr="007A5455">
              <w:rPr>
                <w:sz w:val="20"/>
                <w:szCs w:val="20"/>
              </w:rPr>
              <w:t>December 17, 2014</w:t>
            </w:r>
          </w:p>
          <w:p w:rsidR="00BF4E72" w:rsidRPr="007A5455" w:rsidRDefault="00BF4E72" w:rsidP="00BF4E72">
            <w:pPr>
              <w:jc w:val="both"/>
              <w:rPr>
                <w:sz w:val="20"/>
                <w:szCs w:val="20"/>
              </w:rPr>
            </w:pPr>
            <w:r w:rsidRPr="007A5455">
              <w:rPr>
                <w:sz w:val="20"/>
                <w:szCs w:val="20"/>
              </w:rPr>
              <w:t>Court of Queen’s Bench of Manitoba</w:t>
            </w:r>
          </w:p>
          <w:p w:rsidR="00BF4E72" w:rsidRPr="007A5455" w:rsidRDefault="00BF4E72" w:rsidP="00BF4E72">
            <w:pPr>
              <w:jc w:val="both"/>
              <w:rPr>
                <w:sz w:val="20"/>
                <w:szCs w:val="20"/>
              </w:rPr>
            </w:pPr>
            <w:r w:rsidRPr="007A5455">
              <w:rPr>
                <w:sz w:val="20"/>
                <w:szCs w:val="20"/>
              </w:rPr>
              <w:t>(Rempel J.)</w:t>
            </w:r>
          </w:p>
          <w:p w:rsidR="00BF4E72" w:rsidRPr="007A5455" w:rsidRDefault="001F68BE" w:rsidP="00BF4E72">
            <w:pPr>
              <w:jc w:val="both"/>
              <w:rPr>
                <w:sz w:val="20"/>
                <w:szCs w:val="20"/>
              </w:rPr>
            </w:pPr>
            <w:hyperlink r:id="rId54" w:history="1">
              <w:r w:rsidR="00BF4E72" w:rsidRPr="007A5455">
                <w:rPr>
                  <w:color w:val="0000FF" w:themeColor="hyperlink"/>
                  <w:sz w:val="20"/>
                  <w:szCs w:val="20"/>
                  <w:u w:val="single"/>
                </w:rPr>
                <w:t>2014 MBQB 249</w:t>
              </w:r>
            </w:hyperlink>
          </w:p>
          <w:p w:rsidR="00BF4E72" w:rsidRPr="007A5455" w:rsidRDefault="00BF4E72" w:rsidP="00BF4E72">
            <w:pPr>
              <w:jc w:val="both"/>
              <w:rPr>
                <w:sz w:val="20"/>
                <w:szCs w:val="20"/>
              </w:rPr>
            </w:pPr>
          </w:p>
        </w:tc>
        <w:tc>
          <w:tcPr>
            <w:tcW w:w="243" w:type="pct"/>
          </w:tcPr>
          <w:p w:rsidR="00BF4E72" w:rsidRPr="007A5455" w:rsidRDefault="00BF4E72" w:rsidP="00BF4E72">
            <w:pPr>
              <w:jc w:val="both"/>
              <w:rPr>
                <w:sz w:val="20"/>
                <w:szCs w:val="20"/>
              </w:rPr>
            </w:pPr>
          </w:p>
        </w:tc>
        <w:tc>
          <w:tcPr>
            <w:tcW w:w="2330" w:type="pct"/>
          </w:tcPr>
          <w:p w:rsidR="00BF4E72" w:rsidRPr="007A5455" w:rsidRDefault="00BF4E72" w:rsidP="00BF4E72">
            <w:pPr>
              <w:jc w:val="both"/>
              <w:rPr>
                <w:sz w:val="20"/>
                <w:szCs w:val="20"/>
              </w:rPr>
            </w:pPr>
            <w:r w:rsidRPr="007A5455">
              <w:rPr>
                <w:sz w:val="20"/>
                <w:szCs w:val="20"/>
              </w:rPr>
              <w:t>Applicant’s application to have certain rules declared invalid dismissed</w:t>
            </w:r>
          </w:p>
          <w:p w:rsidR="00BF4E72" w:rsidRPr="007A5455" w:rsidRDefault="00BF4E72" w:rsidP="00BF4E72">
            <w:pPr>
              <w:jc w:val="both"/>
              <w:rPr>
                <w:sz w:val="20"/>
                <w:szCs w:val="20"/>
              </w:rPr>
            </w:pPr>
          </w:p>
        </w:tc>
      </w:tr>
      <w:tr w:rsidR="00BF4E72" w:rsidRPr="007A5455" w:rsidTr="0022676D">
        <w:tc>
          <w:tcPr>
            <w:tcW w:w="2427" w:type="pct"/>
          </w:tcPr>
          <w:p w:rsidR="00BF4E72" w:rsidRPr="007A5455" w:rsidRDefault="00BF4E72" w:rsidP="00BF4E72">
            <w:pPr>
              <w:jc w:val="both"/>
              <w:rPr>
                <w:sz w:val="20"/>
                <w:szCs w:val="20"/>
              </w:rPr>
            </w:pPr>
            <w:r w:rsidRPr="007A5455">
              <w:rPr>
                <w:sz w:val="20"/>
                <w:szCs w:val="20"/>
              </w:rPr>
              <w:t>June 17, 2015</w:t>
            </w:r>
          </w:p>
          <w:p w:rsidR="00BF4E72" w:rsidRPr="007A5455" w:rsidRDefault="00BF4E72" w:rsidP="00BF4E72">
            <w:pPr>
              <w:jc w:val="both"/>
              <w:rPr>
                <w:sz w:val="20"/>
                <w:szCs w:val="20"/>
              </w:rPr>
            </w:pPr>
            <w:r w:rsidRPr="007A5455">
              <w:rPr>
                <w:sz w:val="20"/>
                <w:szCs w:val="20"/>
              </w:rPr>
              <w:t>Court of Appeal of Manitoba</w:t>
            </w:r>
          </w:p>
          <w:p w:rsidR="00BF4E72" w:rsidRPr="007A5455" w:rsidRDefault="00BF4E72" w:rsidP="00BF4E72">
            <w:pPr>
              <w:jc w:val="both"/>
              <w:rPr>
                <w:sz w:val="20"/>
                <w:szCs w:val="20"/>
                <w:lang w:val="fr-CA"/>
              </w:rPr>
            </w:pPr>
            <w:r w:rsidRPr="007A5455">
              <w:rPr>
                <w:sz w:val="20"/>
                <w:szCs w:val="20"/>
                <w:lang w:val="fr-CA"/>
              </w:rPr>
              <w:t>(</w:t>
            </w:r>
            <w:proofErr w:type="spellStart"/>
            <w:r w:rsidRPr="007A5455">
              <w:rPr>
                <w:sz w:val="20"/>
                <w:szCs w:val="20"/>
                <w:lang w:val="fr-CA"/>
              </w:rPr>
              <w:t>Monnin</w:t>
            </w:r>
            <w:proofErr w:type="spellEnd"/>
            <w:r w:rsidRPr="007A5455">
              <w:rPr>
                <w:sz w:val="20"/>
                <w:szCs w:val="20"/>
                <w:lang w:val="fr-CA"/>
              </w:rPr>
              <w:t xml:space="preserve">, Cameron and </w:t>
            </w:r>
            <w:proofErr w:type="spellStart"/>
            <w:r w:rsidRPr="007A5455">
              <w:rPr>
                <w:sz w:val="20"/>
                <w:szCs w:val="20"/>
                <w:lang w:val="fr-CA"/>
              </w:rPr>
              <w:t>Mainella</w:t>
            </w:r>
            <w:proofErr w:type="spellEnd"/>
            <w:r w:rsidRPr="007A5455">
              <w:rPr>
                <w:sz w:val="20"/>
                <w:szCs w:val="20"/>
                <w:lang w:val="fr-CA"/>
              </w:rPr>
              <w:t xml:space="preserve"> JJ.A.)</w:t>
            </w:r>
          </w:p>
          <w:p w:rsidR="00BF4E72" w:rsidRPr="007A5455" w:rsidRDefault="001F68BE" w:rsidP="00BF4E72">
            <w:pPr>
              <w:jc w:val="both"/>
              <w:rPr>
                <w:sz w:val="20"/>
                <w:szCs w:val="20"/>
              </w:rPr>
            </w:pPr>
            <w:hyperlink r:id="rId55" w:history="1">
              <w:r w:rsidR="00BF4E72" w:rsidRPr="007A5455">
                <w:rPr>
                  <w:color w:val="0000FF" w:themeColor="hyperlink"/>
                  <w:sz w:val="20"/>
                  <w:szCs w:val="20"/>
                  <w:u w:val="single"/>
                </w:rPr>
                <w:t>2015 MBCA 67</w:t>
              </w:r>
            </w:hyperlink>
          </w:p>
          <w:p w:rsidR="00BF4E72" w:rsidRPr="007A5455" w:rsidRDefault="00BF4E72" w:rsidP="00BF4E72">
            <w:pPr>
              <w:jc w:val="both"/>
              <w:rPr>
                <w:sz w:val="20"/>
                <w:szCs w:val="20"/>
                <w:lang w:val="fr-CA"/>
              </w:rPr>
            </w:pPr>
          </w:p>
        </w:tc>
        <w:tc>
          <w:tcPr>
            <w:tcW w:w="243" w:type="pct"/>
          </w:tcPr>
          <w:p w:rsidR="00BF4E72" w:rsidRPr="007A5455" w:rsidRDefault="00BF4E72" w:rsidP="00BF4E72">
            <w:pPr>
              <w:jc w:val="both"/>
              <w:rPr>
                <w:sz w:val="20"/>
                <w:szCs w:val="20"/>
                <w:lang w:val="fr-CA"/>
              </w:rPr>
            </w:pPr>
          </w:p>
        </w:tc>
        <w:tc>
          <w:tcPr>
            <w:tcW w:w="2330" w:type="pct"/>
          </w:tcPr>
          <w:p w:rsidR="00BF4E72" w:rsidRPr="007A5455" w:rsidRDefault="00BF4E72" w:rsidP="00BF4E72">
            <w:pPr>
              <w:jc w:val="both"/>
              <w:rPr>
                <w:sz w:val="20"/>
                <w:szCs w:val="20"/>
              </w:rPr>
            </w:pPr>
            <w:r w:rsidRPr="007A5455">
              <w:rPr>
                <w:sz w:val="20"/>
                <w:szCs w:val="20"/>
              </w:rPr>
              <w:t>Applicant’s appeal dismissed</w:t>
            </w:r>
          </w:p>
        </w:tc>
      </w:tr>
      <w:tr w:rsidR="00BF4E72" w:rsidRPr="007A5455" w:rsidTr="0022676D">
        <w:tc>
          <w:tcPr>
            <w:tcW w:w="2427" w:type="pct"/>
          </w:tcPr>
          <w:p w:rsidR="00BF4E72" w:rsidRPr="007A5455" w:rsidRDefault="00BF4E72" w:rsidP="00BF4E72">
            <w:pPr>
              <w:jc w:val="both"/>
              <w:rPr>
                <w:sz w:val="20"/>
                <w:szCs w:val="20"/>
              </w:rPr>
            </w:pPr>
            <w:r w:rsidRPr="007A5455">
              <w:rPr>
                <w:sz w:val="20"/>
                <w:szCs w:val="20"/>
              </w:rPr>
              <w:t>August 31, 2015</w:t>
            </w:r>
          </w:p>
          <w:p w:rsidR="00BF4E72" w:rsidRPr="007A5455" w:rsidRDefault="00BF4E72" w:rsidP="00BF4E72">
            <w:pPr>
              <w:jc w:val="both"/>
              <w:rPr>
                <w:sz w:val="20"/>
                <w:szCs w:val="20"/>
              </w:rPr>
            </w:pPr>
            <w:r w:rsidRPr="007A5455">
              <w:rPr>
                <w:sz w:val="20"/>
                <w:szCs w:val="20"/>
              </w:rPr>
              <w:t>Supreme Court of Canada</w:t>
            </w:r>
          </w:p>
        </w:tc>
        <w:tc>
          <w:tcPr>
            <w:tcW w:w="243" w:type="pct"/>
          </w:tcPr>
          <w:p w:rsidR="00BF4E72" w:rsidRPr="007A5455" w:rsidRDefault="00BF4E72" w:rsidP="00BF4E72">
            <w:pPr>
              <w:jc w:val="both"/>
              <w:rPr>
                <w:sz w:val="20"/>
                <w:szCs w:val="20"/>
              </w:rPr>
            </w:pPr>
          </w:p>
        </w:tc>
        <w:tc>
          <w:tcPr>
            <w:tcW w:w="2330" w:type="pct"/>
          </w:tcPr>
          <w:p w:rsidR="00BF4E72" w:rsidRPr="007A5455" w:rsidRDefault="00BF4E72" w:rsidP="00BF4E72">
            <w:pPr>
              <w:jc w:val="both"/>
              <w:rPr>
                <w:sz w:val="20"/>
                <w:szCs w:val="20"/>
              </w:rPr>
            </w:pPr>
            <w:r w:rsidRPr="007A5455">
              <w:rPr>
                <w:sz w:val="20"/>
                <w:szCs w:val="20"/>
              </w:rPr>
              <w:t>Application for leave to appeal filed</w:t>
            </w:r>
          </w:p>
          <w:p w:rsidR="00BF4E72" w:rsidRPr="007A5455" w:rsidRDefault="00BF4E72" w:rsidP="00BF4E72">
            <w:pPr>
              <w:jc w:val="both"/>
              <w:rPr>
                <w:sz w:val="20"/>
                <w:szCs w:val="20"/>
              </w:rPr>
            </w:pPr>
          </w:p>
        </w:tc>
      </w:tr>
    </w:tbl>
    <w:p w:rsidR="00BF4E72" w:rsidRPr="007A5455" w:rsidRDefault="00BF4E72" w:rsidP="00CC110C">
      <w:pPr>
        <w:rPr>
          <w:sz w:val="20"/>
          <w:szCs w:val="20"/>
        </w:rPr>
      </w:pPr>
    </w:p>
    <w:p w:rsidR="00CC110C" w:rsidRPr="007A5455" w:rsidRDefault="001F68BE" w:rsidP="00CC110C">
      <w:pPr>
        <w:rPr>
          <w:sz w:val="20"/>
          <w:szCs w:val="20"/>
        </w:rPr>
      </w:pPr>
      <w:r>
        <w:rPr>
          <w:sz w:val="20"/>
          <w:szCs w:val="20"/>
          <w:lang w:val="fr-CA"/>
        </w:rPr>
        <w:pict>
          <v:rect id="_x0000_i1054" style="width:2in;height:1pt" o:hrpct="0" o:hralign="center" o:hrstd="t" o:hrnoshade="t" o:hr="t" fillcolor="black [3213]" stroked="f"/>
        </w:pict>
      </w:r>
    </w:p>
    <w:p w:rsidR="00CC110C" w:rsidRPr="007A5455" w:rsidRDefault="00CC110C" w:rsidP="00CC110C">
      <w:pPr>
        <w:rPr>
          <w:sz w:val="20"/>
          <w:szCs w:val="20"/>
        </w:rPr>
      </w:pPr>
    </w:p>
    <w:p w:rsidR="00CC110C" w:rsidRPr="007A5455" w:rsidRDefault="00CC110C" w:rsidP="00CC110C">
      <w:pPr>
        <w:rPr>
          <w:sz w:val="20"/>
          <w:szCs w:val="20"/>
          <w:u w:val="single"/>
          <w:lang w:val="fr-CA"/>
        </w:rPr>
      </w:pPr>
      <w:r w:rsidRPr="007A5455">
        <w:rPr>
          <w:sz w:val="20"/>
          <w:szCs w:val="20"/>
          <w:u w:val="single"/>
          <w:lang w:val="fr-CA"/>
        </w:rPr>
        <w:t>RÉSUMÉ DE L’AFFAIRE</w:t>
      </w:r>
    </w:p>
    <w:p w:rsidR="00CC110C" w:rsidRPr="007A5455" w:rsidRDefault="00CC110C" w:rsidP="00CC11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5BE2" w:rsidRPr="007A5455" w:rsidTr="0022676D">
        <w:tc>
          <w:tcPr>
            <w:tcW w:w="5000" w:type="pct"/>
            <w:gridSpan w:val="3"/>
          </w:tcPr>
          <w:p w:rsidR="00085BE2" w:rsidRPr="007A5455" w:rsidRDefault="00085BE2" w:rsidP="00085BE2">
            <w:pPr>
              <w:jc w:val="both"/>
              <w:rPr>
                <w:sz w:val="20"/>
                <w:szCs w:val="20"/>
                <w:lang w:val="fr-CA"/>
              </w:rPr>
            </w:pPr>
            <w:r w:rsidRPr="007A5455">
              <w:rPr>
                <w:sz w:val="20"/>
                <w:szCs w:val="20"/>
                <w:lang w:val="fr-CA"/>
              </w:rPr>
              <w:t>Droit des professions – Avocats et procureurs – Discipline – L’avocat demandeur conteste la validité du règlement sur le perfectionnement professionnel permanent obligatoire de la Société du Barreau et la suspension qui lui a été imposée à titre de sanction administrative – Un ordre professionnel créé par la loi peut-il suspendre et annuler le droit d’exercice de l’un de ses membres pour le contraindre à participer à ce qui avait été jusque-là un programme volontaire ou pour le punir de ne pas avoir participé à ce programme en l’absence de disposition législative expresse autorisant la suspension ou l’annulation?</w:t>
            </w:r>
          </w:p>
          <w:p w:rsidR="00085BE2" w:rsidRPr="007A5455" w:rsidRDefault="00085BE2" w:rsidP="00085BE2">
            <w:pPr>
              <w:jc w:val="both"/>
              <w:rPr>
                <w:sz w:val="20"/>
                <w:szCs w:val="20"/>
                <w:lang w:val="fr-CA"/>
              </w:rPr>
            </w:pPr>
          </w:p>
        </w:tc>
      </w:tr>
      <w:tr w:rsidR="00085BE2" w:rsidRPr="007A5455" w:rsidTr="0022676D">
        <w:tc>
          <w:tcPr>
            <w:tcW w:w="5000" w:type="pct"/>
            <w:gridSpan w:val="3"/>
          </w:tcPr>
          <w:p w:rsidR="00085BE2" w:rsidRPr="007A5455" w:rsidRDefault="00085BE2" w:rsidP="00085BE2">
            <w:pPr>
              <w:jc w:val="both"/>
              <w:rPr>
                <w:sz w:val="20"/>
                <w:szCs w:val="20"/>
                <w:lang w:val="fr-CA"/>
              </w:rPr>
            </w:pPr>
            <w:r w:rsidRPr="007A5455">
              <w:rPr>
                <w:sz w:val="20"/>
                <w:szCs w:val="20"/>
                <w:lang w:val="fr-CA"/>
              </w:rPr>
              <w:lastRenderedPageBreak/>
              <w:t xml:space="preserve">Maître Green est un avocat, admis au Barreau du Manitoba en 1955, qui ne s’est pas conformé à l’obligation prescrite par la Société du Barreau du Manitoba (« SBM ») d’effectuer annuellement au moins douze heures d’activités de perfectionnement professionnel permanent (« PPP »). Il a contesté la validité de ces règles en vertu desquelles la SBM avait suspendu son certificat d’exercice, invoquant deux motifs. Premièrement, il a plaidé que </w:t>
            </w:r>
            <w:r w:rsidRPr="007A5455">
              <w:rPr>
                <w:i/>
                <w:sz w:val="20"/>
                <w:szCs w:val="20"/>
                <w:lang w:val="fr-CA"/>
              </w:rPr>
              <w:t>Loi sur la profession d’avocat</w:t>
            </w:r>
            <w:r w:rsidRPr="007A5455">
              <w:rPr>
                <w:sz w:val="20"/>
                <w:szCs w:val="20"/>
                <w:lang w:val="fr-CA"/>
              </w:rPr>
              <w:t>, C.P.L.M., ch. L107 ne permettait pas expressément à la SBM d’adopter des règles de PPP obligatoire et de faire respecter ces règles par l’imposition d’une suspension. Deuxièmement, il a plaidé que les règles violaient les principes de justice naturelle, puisqu’elles donnaient à la SBM le pouvoir d’imposer une suspension sans droit d’audience ou d’appel.</w:t>
            </w:r>
          </w:p>
          <w:p w:rsidR="00085BE2" w:rsidRPr="007A5455" w:rsidRDefault="00085BE2" w:rsidP="00085BE2">
            <w:pPr>
              <w:jc w:val="both"/>
              <w:rPr>
                <w:sz w:val="20"/>
                <w:szCs w:val="20"/>
                <w:lang w:val="fr-CA"/>
              </w:rPr>
            </w:pPr>
          </w:p>
        </w:tc>
      </w:tr>
      <w:tr w:rsidR="00085BE2" w:rsidRPr="007A5455" w:rsidTr="0022676D">
        <w:tc>
          <w:tcPr>
            <w:tcW w:w="2427" w:type="pct"/>
          </w:tcPr>
          <w:p w:rsidR="00085BE2" w:rsidRPr="007A5455" w:rsidRDefault="00085BE2" w:rsidP="00085BE2">
            <w:pPr>
              <w:jc w:val="both"/>
              <w:rPr>
                <w:sz w:val="20"/>
                <w:szCs w:val="20"/>
                <w:lang w:val="fr-CA"/>
              </w:rPr>
            </w:pPr>
            <w:r w:rsidRPr="007A5455">
              <w:rPr>
                <w:sz w:val="20"/>
                <w:szCs w:val="20"/>
                <w:lang w:val="fr-CA"/>
              </w:rPr>
              <w:t>17 décembre 2014</w:t>
            </w:r>
          </w:p>
          <w:p w:rsidR="00085BE2" w:rsidRPr="007A5455" w:rsidRDefault="00085BE2" w:rsidP="00085BE2">
            <w:pPr>
              <w:jc w:val="both"/>
              <w:rPr>
                <w:sz w:val="20"/>
                <w:szCs w:val="20"/>
                <w:lang w:val="fr-CA"/>
              </w:rPr>
            </w:pPr>
            <w:r w:rsidRPr="007A5455">
              <w:rPr>
                <w:sz w:val="20"/>
                <w:szCs w:val="20"/>
                <w:lang w:val="fr-CA"/>
              </w:rPr>
              <w:t>Cour du Banc de la Reine du Manitoba</w:t>
            </w:r>
          </w:p>
          <w:p w:rsidR="00085BE2" w:rsidRPr="007A5455" w:rsidRDefault="00085BE2" w:rsidP="00085BE2">
            <w:pPr>
              <w:jc w:val="both"/>
              <w:rPr>
                <w:sz w:val="20"/>
                <w:szCs w:val="20"/>
                <w:lang w:val="fr-CA"/>
              </w:rPr>
            </w:pPr>
            <w:r w:rsidRPr="007A5455">
              <w:rPr>
                <w:sz w:val="20"/>
                <w:szCs w:val="20"/>
                <w:lang w:val="fr-CA"/>
              </w:rPr>
              <w:t xml:space="preserve">(Juge </w:t>
            </w:r>
            <w:proofErr w:type="spellStart"/>
            <w:r w:rsidRPr="007A5455">
              <w:rPr>
                <w:sz w:val="20"/>
                <w:szCs w:val="20"/>
                <w:lang w:val="fr-CA"/>
              </w:rPr>
              <w:t>Rempel</w:t>
            </w:r>
            <w:proofErr w:type="spellEnd"/>
            <w:r w:rsidRPr="007A5455">
              <w:rPr>
                <w:sz w:val="20"/>
                <w:szCs w:val="20"/>
                <w:lang w:val="fr-CA"/>
              </w:rPr>
              <w:t>)</w:t>
            </w:r>
          </w:p>
          <w:p w:rsidR="00085BE2" w:rsidRPr="007A5455" w:rsidRDefault="001F68BE" w:rsidP="00085BE2">
            <w:pPr>
              <w:jc w:val="both"/>
              <w:rPr>
                <w:sz w:val="20"/>
                <w:szCs w:val="20"/>
                <w:lang w:val="fr-CA"/>
              </w:rPr>
            </w:pPr>
            <w:hyperlink r:id="rId56" w:history="1">
              <w:r w:rsidR="00085BE2" w:rsidRPr="007A5455">
                <w:rPr>
                  <w:color w:val="0000FF" w:themeColor="hyperlink"/>
                  <w:sz w:val="20"/>
                  <w:szCs w:val="20"/>
                  <w:u w:val="single"/>
                  <w:lang w:val="fr-CA"/>
                </w:rPr>
                <w:t>2014 MBQB 249</w:t>
              </w:r>
            </w:hyperlink>
          </w:p>
          <w:p w:rsidR="00085BE2" w:rsidRPr="007A5455" w:rsidRDefault="00085BE2" w:rsidP="00085BE2">
            <w:pPr>
              <w:jc w:val="both"/>
              <w:rPr>
                <w:sz w:val="20"/>
                <w:szCs w:val="20"/>
                <w:lang w:val="fr-CA"/>
              </w:rPr>
            </w:pPr>
          </w:p>
        </w:tc>
        <w:tc>
          <w:tcPr>
            <w:tcW w:w="243" w:type="pct"/>
          </w:tcPr>
          <w:p w:rsidR="00085BE2" w:rsidRPr="007A5455" w:rsidRDefault="00085BE2" w:rsidP="00085BE2">
            <w:pPr>
              <w:jc w:val="both"/>
              <w:rPr>
                <w:sz w:val="20"/>
                <w:szCs w:val="20"/>
                <w:lang w:val="fr-CA"/>
              </w:rPr>
            </w:pPr>
          </w:p>
        </w:tc>
        <w:tc>
          <w:tcPr>
            <w:tcW w:w="2330" w:type="pct"/>
          </w:tcPr>
          <w:p w:rsidR="00085BE2" w:rsidRPr="007A5455" w:rsidRDefault="00085BE2" w:rsidP="00085BE2">
            <w:pPr>
              <w:jc w:val="both"/>
              <w:rPr>
                <w:sz w:val="20"/>
                <w:szCs w:val="20"/>
                <w:lang w:val="fr-CA"/>
              </w:rPr>
            </w:pPr>
            <w:r w:rsidRPr="007A5455">
              <w:rPr>
                <w:sz w:val="20"/>
                <w:szCs w:val="20"/>
                <w:lang w:val="fr-CA"/>
              </w:rPr>
              <w:t>Rejet de la demande du demandeur afin d’obtenir un jugement déclarant l’invalidité de certaines règles</w:t>
            </w:r>
          </w:p>
          <w:p w:rsidR="00085BE2" w:rsidRPr="007A5455" w:rsidRDefault="00085BE2" w:rsidP="00085BE2">
            <w:pPr>
              <w:jc w:val="both"/>
              <w:rPr>
                <w:sz w:val="20"/>
                <w:szCs w:val="20"/>
                <w:lang w:val="fr-CA"/>
              </w:rPr>
            </w:pPr>
          </w:p>
        </w:tc>
      </w:tr>
      <w:tr w:rsidR="00085BE2" w:rsidRPr="007A5455" w:rsidTr="0022676D">
        <w:tc>
          <w:tcPr>
            <w:tcW w:w="2427" w:type="pct"/>
          </w:tcPr>
          <w:p w:rsidR="00085BE2" w:rsidRPr="007A5455" w:rsidRDefault="00085BE2" w:rsidP="00085BE2">
            <w:pPr>
              <w:jc w:val="both"/>
              <w:rPr>
                <w:sz w:val="20"/>
                <w:szCs w:val="20"/>
                <w:lang w:val="fr-CA"/>
              </w:rPr>
            </w:pPr>
            <w:r w:rsidRPr="007A5455">
              <w:rPr>
                <w:sz w:val="20"/>
                <w:szCs w:val="20"/>
                <w:lang w:val="fr-CA"/>
              </w:rPr>
              <w:t>17 juin 2015</w:t>
            </w:r>
          </w:p>
          <w:p w:rsidR="00085BE2" w:rsidRPr="007A5455" w:rsidRDefault="00085BE2" w:rsidP="00085BE2">
            <w:pPr>
              <w:jc w:val="both"/>
              <w:rPr>
                <w:sz w:val="20"/>
                <w:szCs w:val="20"/>
                <w:lang w:val="fr-CA"/>
              </w:rPr>
            </w:pPr>
            <w:r w:rsidRPr="007A5455">
              <w:rPr>
                <w:sz w:val="20"/>
                <w:szCs w:val="20"/>
                <w:lang w:val="fr-CA"/>
              </w:rPr>
              <w:t>Cour d’appel du Manitoba</w:t>
            </w:r>
          </w:p>
          <w:p w:rsidR="00085BE2" w:rsidRPr="007A5455" w:rsidRDefault="00085BE2" w:rsidP="00085BE2">
            <w:pPr>
              <w:jc w:val="both"/>
              <w:rPr>
                <w:sz w:val="20"/>
                <w:szCs w:val="20"/>
                <w:lang w:val="fr-CA"/>
              </w:rPr>
            </w:pPr>
            <w:r w:rsidRPr="007A5455">
              <w:rPr>
                <w:sz w:val="20"/>
                <w:szCs w:val="20"/>
                <w:lang w:val="fr-CA"/>
              </w:rPr>
              <w:t xml:space="preserve">(Juges </w:t>
            </w:r>
            <w:proofErr w:type="spellStart"/>
            <w:r w:rsidRPr="007A5455">
              <w:rPr>
                <w:sz w:val="20"/>
                <w:szCs w:val="20"/>
                <w:lang w:val="fr-CA"/>
              </w:rPr>
              <w:t>Monnin</w:t>
            </w:r>
            <w:proofErr w:type="spellEnd"/>
            <w:r w:rsidRPr="007A5455">
              <w:rPr>
                <w:sz w:val="20"/>
                <w:szCs w:val="20"/>
                <w:lang w:val="fr-CA"/>
              </w:rPr>
              <w:t xml:space="preserve">, Cameron et </w:t>
            </w:r>
            <w:proofErr w:type="spellStart"/>
            <w:r w:rsidRPr="007A5455">
              <w:rPr>
                <w:sz w:val="20"/>
                <w:szCs w:val="20"/>
                <w:lang w:val="fr-CA"/>
              </w:rPr>
              <w:t>Mainella</w:t>
            </w:r>
            <w:proofErr w:type="spellEnd"/>
            <w:r w:rsidRPr="007A5455">
              <w:rPr>
                <w:sz w:val="20"/>
                <w:szCs w:val="20"/>
                <w:lang w:val="fr-CA"/>
              </w:rPr>
              <w:t>)</w:t>
            </w:r>
          </w:p>
          <w:p w:rsidR="00085BE2" w:rsidRPr="007A5455" w:rsidRDefault="001F68BE" w:rsidP="00085BE2">
            <w:pPr>
              <w:jc w:val="both"/>
              <w:rPr>
                <w:sz w:val="20"/>
                <w:szCs w:val="20"/>
                <w:lang w:val="fr-CA"/>
              </w:rPr>
            </w:pPr>
            <w:hyperlink r:id="rId57" w:history="1">
              <w:r w:rsidR="00085BE2" w:rsidRPr="007A5455">
                <w:rPr>
                  <w:color w:val="0000FF" w:themeColor="hyperlink"/>
                  <w:sz w:val="20"/>
                  <w:szCs w:val="20"/>
                  <w:u w:val="single"/>
                  <w:lang w:val="fr-CA"/>
                </w:rPr>
                <w:t>2015 MBCA 67</w:t>
              </w:r>
            </w:hyperlink>
          </w:p>
          <w:p w:rsidR="00085BE2" w:rsidRPr="007A5455" w:rsidRDefault="00085BE2" w:rsidP="00085BE2">
            <w:pPr>
              <w:jc w:val="both"/>
              <w:rPr>
                <w:sz w:val="20"/>
                <w:szCs w:val="20"/>
                <w:lang w:val="fr-CA"/>
              </w:rPr>
            </w:pPr>
          </w:p>
        </w:tc>
        <w:tc>
          <w:tcPr>
            <w:tcW w:w="243" w:type="pct"/>
          </w:tcPr>
          <w:p w:rsidR="00085BE2" w:rsidRPr="007A5455" w:rsidRDefault="00085BE2" w:rsidP="00085BE2">
            <w:pPr>
              <w:jc w:val="both"/>
              <w:rPr>
                <w:sz w:val="20"/>
                <w:szCs w:val="20"/>
                <w:lang w:val="fr-CA"/>
              </w:rPr>
            </w:pPr>
          </w:p>
        </w:tc>
        <w:tc>
          <w:tcPr>
            <w:tcW w:w="2330" w:type="pct"/>
          </w:tcPr>
          <w:p w:rsidR="00085BE2" w:rsidRPr="007A5455" w:rsidRDefault="00085BE2" w:rsidP="00085BE2">
            <w:pPr>
              <w:jc w:val="both"/>
              <w:rPr>
                <w:sz w:val="20"/>
                <w:szCs w:val="20"/>
                <w:lang w:val="fr-CA"/>
              </w:rPr>
            </w:pPr>
            <w:r w:rsidRPr="007A5455">
              <w:rPr>
                <w:sz w:val="20"/>
                <w:szCs w:val="20"/>
                <w:lang w:val="fr-CA"/>
              </w:rPr>
              <w:t>Rejet de l’appel du demandeur</w:t>
            </w:r>
          </w:p>
        </w:tc>
      </w:tr>
      <w:tr w:rsidR="00085BE2" w:rsidRPr="007A5455" w:rsidTr="0022676D">
        <w:tc>
          <w:tcPr>
            <w:tcW w:w="2427" w:type="pct"/>
          </w:tcPr>
          <w:p w:rsidR="00085BE2" w:rsidRPr="007A5455" w:rsidRDefault="00085BE2" w:rsidP="00085BE2">
            <w:pPr>
              <w:jc w:val="both"/>
              <w:rPr>
                <w:sz w:val="20"/>
                <w:szCs w:val="20"/>
                <w:lang w:val="fr-CA"/>
              </w:rPr>
            </w:pPr>
            <w:r w:rsidRPr="007A5455">
              <w:rPr>
                <w:sz w:val="20"/>
                <w:szCs w:val="20"/>
                <w:lang w:val="fr-CA"/>
              </w:rPr>
              <w:t>31 août 2015</w:t>
            </w:r>
          </w:p>
          <w:p w:rsidR="00085BE2" w:rsidRPr="007A5455" w:rsidRDefault="00085BE2" w:rsidP="00085BE2">
            <w:pPr>
              <w:jc w:val="both"/>
              <w:rPr>
                <w:sz w:val="20"/>
                <w:szCs w:val="20"/>
                <w:lang w:val="fr-CA"/>
              </w:rPr>
            </w:pPr>
            <w:r w:rsidRPr="007A5455">
              <w:rPr>
                <w:sz w:val="20"/>
                <w:szCs w:val="20"/>
                <w:lang w:val="fr-CA"/>
              </w:rPr>
              <w:t>Cour suprême du Canada</w:t>
            </w:r>
          </w:p>
        </w:tc>
        <w:tc>
          <w:tcPr>
            <w:tcW w:w="243" w:type="pct"/>
          </w:tcPr>
          <w:p w:rsidR="00085BE2" w:rsidRPr="007A5455" w:rsidRDefault="00085BE2" w:rsidP="00085BE2">
            <w:pPr>
              <w:jc w:val="both"/>
              <w:rPr>
                <w:sz w:val="20"/>
                <w:szCs w:val="20"/>
                <w:lang w:val="fr-CA"/>
              </w:rPr>
            </w:pPr>
          </w:p>
        </w:tc>
        <w:tc>
          <w:tcPr>
            <w:tcW w:w="2330" w:type="pct"/>
          </w:tcPr>
          <w:p w:rsidR="00085BE2" w:rsidRPr="007A5455" w:rsidRDefault="00085BE2" w:rsidP="00085BE2">
            <w:pPr>
              <w:jc w:val="both"/>
              <w:rPr>
                <w:sz w:val="20"/>
                <w:szCs w:val="20"/>
                <w:lang w:val="fr-CA"/>
              </w:rPr>
            </w:pPr>
            <w:r w:rsidRPr="007A5455">
              <w:rPr>
                <w:sz w:val="20"/>
                <w:szCs w:val="20"/>
                <w:lang w:val="fr-CA"/>
              </w:rPr>
              <w:t>Dépôt de la demande d’autorisation d’appel</w:t>
            </w:r>
          </w:p>
          <w:p w:rsidR="00085BE2" w:rsidRPr="007A5455" w:rsidRDefault="00085BE2" w:rsidP="00085BE2">
            <w:pPr>
              <w:jc w:val="both"/>
              <w:rPr>
                <w:sz w:val="20"/>
                <w:szCs w:val="20"/>
                <w:lang w:val="fr-CA"/>
              </w:rPr>
            </w:pPr>
          </w:p>
        </w:tc>
      </w:tr>
    </w:tbl>
    <w:p w:rsidR="00085BE2" w:rsidRPr="007A5455" w:rsidRDefault="00085BE2" w:rsidP="00CC110C">
      <w:pPr>
        <w:rPr>
          <w:sz w:val="20"/>
          <w:szCs w:val="20"/>
        </w:rPr>
      </w:pPr>
    </w:p>
    <w:p w:rsidR="00CC110C" w:rsidRPr="007A5455" w:rsidRDefault="001F68BE" w:rsidP="00CC110C">
      <w:pPr>
        <w:rPr>
          <w:sz w:val="20"/>
          <w:szCs w:val="20"/>
        </w:rPr>
      </w:pPr>
      <w:r>
        <w:rPr>
          <w:sz w:val="20"/>
          <w:szCs w:val="20"/>
          <w:lang w:val="fr-CA"/>
        </w:rPr>
        <w:pict>
          <v:rect id="_x0000_i1055" style="width:2in;height:1pt" o:hrpct="0" o:hralign="center" o:hrstd="t" o:hrnoshade="t" o:hr="t" fillcolor="black [3213]" stroked="f"/>
        </w:pict>
      </w:r>
    </w:p>
    <w:p w:rsidR="001B5C95" w:rsidRPr="007A5455" w:rsidRDefault="001B5C95" w:rsidP="001B5C9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15C12" w:rsidRPr="007A5455" w:rsidTr="0022676D">
        <w:trPr>
          <w:cantSplit/>
        </w:trPr>
        <w:tc>
          <w:tcPr>
            <w:tcW w:w="1458" w:type="dxa"/>
          </w:tcPr>
          <w:p w:rsidR="001B5C95" w:rsidRPr="007A5455" w:rsidRDefault="001B5C95" w:rsidP="0022676D">
            <w:pPr>
              <w:rPr>
                <w:sz w:val="20"/>
                <w:szCs w:val="20"/>
              </w:rPr>
            </w:pPr>
            <w:r w:rsidRPr="007A5455">
              <w:rPr>
                <w:rStyle w:val="SCCFileNumberChar"/>
                <w:sz w:val="20"/>
                <w:szCs w:val="20"/>
              </w:rPr>
              <w:t>36589</w:t>
            </w:r>
          </w:p>
          <w:p w:rsidR="001B5C95" w:rsidRPr="007A5455" w:rsidRDefault="001B5C95" w:rsidP="0022676D">
            <w:pPr>
              <w:rPr>
                <w:b/>
                <w:sz w:val="20"/>
                <w:szCs w:val="20"/>
                <w:lang w:val="fr-CA"/>
              </w:rPr>
            </w:pPr>
          </w:p>
        </w:tc>
        <w:tc>
          <w:tcPr>
            <w:tcW w:w="8118" w:type="dxa"/>
          </w:tcPr>
          <w:p w:rsidR="001B5C95" w:rsidRPr="007A5455" w:rsidRDefault="001B5C95" w:rsidP="0022676D">
            <w:pPr>
              <w:rPr>
                <w:sz w:val="20"/>
                <w:szCs w:val="20"/>
              </w:rPr>
            </w:pPr>
            <w:r w:rsidRPr="007A5455">
              <w:rPr>
                <w:b/>
                <w:iCs/>
                <w:sz w:val="20"/>
                <w:szCs w:val="20"/>
                <w:u w:val="single"/>
                <w:lang w:val="fr-CA"/>
              </w:rPr>
              <w:t xml:space="preserve">Gilles </w:t>
            </w:r>
            <w:proofErr w:type="spellStart"/>
            <w:r w:rsidRPr="007A5455">
              <w:rPr>
                <w:b/>
                <w:iCs/>
                <w:sz w:val="20"/>
                <w:szCs w:val="20"/>
                <w:u w:val="single"/>
                <w:lang w:val="fr-CA"/>
              </w:rPr>
              <w:t>Patenaude</w:t>
            </w:r>
            <w:proofErr w:type="spellEnd"/>
            <w:r w:rsidRPr="007A5455">
              <w:rPr>
                <w:b/>
                <w:iCs/>
                <w:sz w:val="20"/>
                <w:szCs w:val="20"/>
                <w:u w:val="single"/>
                <w:lang w:val="fr-CA"/>
              </w:rPr>
              <w:t xml:space="preserve"> c. Ville de Longueuil et </w:t>
            </w:r>
            <w:r w:rsidR="00F51EB7" w:rsidRPr="007A5455">
              <w:rPr>
                <w:b/>
                <w:iCs/>
                <w:sz w:val="20"/>
                <w:szCs w:val="20"/>
                <w:u w:val="single"/>
                <w:lang w:val="fr-CA"/>
              </w:rPr>
              <w:t>Procureure générale du Québec</w:t>
            </w:r>
            <w:r w:rsidR="00F51EB7" w:rsidRPr="007A5455">
              <w:rPr>
                <w:b/>
                <w:iCs/>
                <w:sz w:val="20"/>
                <w:szCs w:val="20"/>
                <w:lang w:val="fr-CA"/>
              </w:rPr>
              <w:t xml:space="preserve"> </w:t>
            </w:r>
            <w:r w:rsidRPr="007A5455">
              <w:rPr>
                <w:sz w:val="20"/>
                <w:szCs w:val="20"/>
              </w:rPr>
              <w:t>(Qc) (</w:t>
            </w:r>
            <w:proofErr w:type="spellStart"/>
            <w:r w:rsidRPr="007A5455">
              <w:rPr>
                <w:sz w:val="20"/>
                <w:szCs w:val="20"/>
              </w:rPr>
              <w:t>Criminelle</w:t>
            </w:r>
            <w:proofErr w:type="spellEnd"/>
            <w:r w:rsidRPr="007A5455">
              <w:rPr>
                <w:sz w:val="20"/>
                <w:szCs w:val="20"/>
              </w:rPr>
              <w:t>) (</w:t>
            </w:r>
            <w:proofErr w:type="spellStart"/>
            <w:r w:rsidRPr="007A5455">
              <w:rPr>
                <w:sz w:val="20"/>
                <w:szCs w:val="20"/>
              </w:rPr>
              <w:t>Autorisation</w:t>
            </w:r>
            <w:proofErr w:type="spellEnd"/>
            <w:r w:rsidRPr="007A5455">
              <w:rPr>
                <w:sz w:val="20"/>
                <w:szCs w:val="20"/>
              </w:rPr>
              <w:t>)</w:t>
            </w:r>
          </w:p>
          <w:p w:rsidR="001B5C95" w:rsidRPr="007A5455" w:rsidRDefault="001B5C95" w:rsidP="0022676D">
            <w:pPr>
              <w:rPr>
                <w:sz w:val="20"/>
                <w:szCs w:val="20"/>
              </w:rPr>
            </w:pPr>
          </w:p>
        </w:tc>
      </w:tr>
      <w:tr w:rsidR="001B5C95" w:rsidRPr="007A5455" w:rsidTr="0022676D">
        <w:trPr>
          <w:cantSplit/>
        </w:trPr>
        <w:tc>
          <w:tcPr>
            <w:tcW w:w="1458" w:type="dxa"/>
          </w:tcPr>
          <w:p w:rsidR="001B5C95" w:rsidRPr="007A5455" w:rsidRDefault="001B5C95" w:rsidP="0022676D">
            <w:pPr>
              <w:rPr>
                <w:sz w:val="20"/>
                <w:szCs w:val="20"/>
              </w:rPr>
            </w:pPr>
            <w:r w:rsidRPr="007A5455">
              <w:rPr>
                <w:sz w:val="20"/>
                <w:szCs w:val="20"/>
              </w:rPr>
              <w:t>Coram :</w:t>
            </w:r>
          </w:p>
        </w:tc>
        <w:tc>
          <w:tcPr>
            <w:tcW w:w="8118" w:type="dxa"/>
          </w:tcPr>
          <w:p w:rsidR="001B5C95" w:rsidRPr="007A5455" w:rsidRDefault="004F4D3D" w:rsidP="0022676D">
            <w:pPr>
              <w:rPr>
                <w:sz w:val="20"/>
                <w:szCs w:val="20"/>
              </w:rPr>
            </w:pPr>
            <w:r w:rsidRPr="007A5455">
              <w:rPr>
                <w:rStyle w:val="SCCCoramChar"/>
                <w:sz w:val="20"/>
                <w:szCs w:val="20"/>
                <w:lang w:val="en-CA"/>
              </w:rPr>
              <w:t xml:space="preserve">Les </w:t>
            </w:r>
            <w:proofErr w:type="spellStart"/>
            <w:r w:rsidRPr="007A5455">
              <w:rPr>
                <w:rStyle w:val="SCCCoramChar"/>
                <w:sz w:val="20"/>
                <w:szCs w:val="20"/>
                <w:lang w:val="en-CA"/>
              </w:rPr>
              <w:t>juges</w:t>
            </w:r>
            <w:proofErr w:type="spellEnd"/>
            <w:r w:rsidRPr="007A5455">
              <w:rPr>
                <w:rStyle w:val="SCCCoramChar"/>
                <w:sz w:val="20"/>
                <w:szCs w:val="20"/>
                <w:lang w:val="en-CA"/>
              </w:rPr>
              <w:t xml:space="preserve"> </w:t>
            </w:r>
            <w:r w:rsidR="00E42B65" w:rsidRPr="007A5455">
              <w:rPr>
                <w:rStyle w:val="SCCCoramChar"/>
                <w:sz w:val="20"/>
                <w:szCs w:val="20"/>
                <w:lang w:val="en-CA"/>
              </w:rPr>
              <w:t>Cromwell</w:t>
            </w:r>
            <w:r w:rsidR="001B5C95" w:rsidRPr="007A5455">
              <w:rPr>
                <w:rStyle w:val="SCCCoramChar"/>
                <w:sz w:val="20"/>
                <w:szCs w:val="20"/>
                <w:lang w:val="en-CA"/>
              </w:rPr>
              <w:t xml:space="preserve">, </w:t>
            </w:r>
            <w:r w:rsidR="00E42B65" w:rsidRPr="007A5455">
              <w:rPr>
                <w:rStyle w:val="SCCCoramChar"/>
                <w:sz w:val="20"/>
                <w:szCs w:val="20"/>
                <w:lang w:val="en-CA"/>
              </w:rPr>
              <w:t>Wagner</w:t>
            </w:r>
            <w:r w:rsidR="001B5C95" w:rsidRPr="007A5455">
              <w:rPr>
                <w:rStyle w:val="SCCCoramChar"/>
                <w:sz w:val="20"/>
                <w:szCs w:val="20"/>
                <w:lang w:val="en-CA"/>
              </w:rPr>
              <w:t xml:space="preserve"> </w:t>
            </w:r>
            <w:r w:rsidR="00E42B65" w:rsidRPr="007A5455">
              <w:rPr>
                <w:rStyle w:val="SCCCoramChar"/>
                <w:sz w:val="20"/>
                <w:szCs w:val="20"/>
                <w:lang w:val="en-CA"/>
              </w:rPr>
              <w:t>et</w:t>
            </w:r>
            <w:r w:rsidR="001B5C95" w:rsidRPr="007A5455">
              <w:rPr>
                <w:rStyle w:val="SCCCoramChar"/>
                <w:sz w:val="20"/>
                <w:szCs w:val="20"/>
                <w:lang w:val="en-CA"/>
              </w:rPr>
              <w:t xml:space="preserve"> </w:t>
            </w:r>
            <w:proofErr w:type="spellStart"/>
            <w:r w:rsidR="00E42B65" w:rsidRPr="007A5455">
              <w:rPr>
                <w:rStyle w:val="SCCCoramChar"/>
                <w:sz w:val="20"/>
                <w:szCs w:val="20"/>
                <w:lang w:val="en-CA"/>
              </w:rPr>
              <w:t>Côté</w:t>
            </w:r>
            <w:proofErr w:type="spellEnd"/>
          </w:p>
          <w:p w:rsidR="001B5C95" w:rsidRPr="007A5455" w:rsidRDefault="001B5C95" w:rsidP="0022676D">
            <w:pPr>
              <w:rPr>
                <w:sz w:val="20"/>
                <w:szCs w:val="20"/>
                <w:u w:val="single"/>
              </w:rPr>
            </w:pPr>
          </w:p>
        </w:tc>
      </w:tr>
      <w:tr w:rsidR="001B5C95" w:rsidRPr="007A5455" w:rsidTr="0022676D">
        <w:trPr>
          <w:cantSplit/>
        </w:trPr>
        <w:tc>
          <w:tcPr>
            <w:tcW w:w="9576" w:type="dxa"/>
            <w:gridSpan w:val="2"/>
          </w:tcPr>
          <w:p w:rsidR="004F4D3D" w:rsidRPr="007A5455" w:rsidRDefault="00E44E09" w:rsidP="004F4D3D">
            <w:pPr>
              <w:pStyle w:val="SCCShortJudgment"/>
              <w:rPr>
                <w:szCs w:val="20"/>
              </w:rPr>
            </w:pPr>
            <w:r w:rsidRPr="007A5455">
              <w:t xml:space="preserve">La </w:t>
            </w:r>
            <w:proofErr w:type="spellStart"/>
            <w:r w:rsidRPr="007A5455">
              <w:t>demande</w:t>
            </w:r>
            <w:proofErr w:type="spellEnd"/>
            <w:r w:rsidRPr="007A5455">
              <w:t xml:space="preserve"> </w:t>
            </w:r>
            <w:proofErr w:type="spellStart"/>
            <w:r w:rsidRPr="007A5455">
              <w:t>d’autorisation</w:t>
            </w:r>
            <w:proofErr w:type="spellEnd"/>
            <w:r w:rsidRPr="007A5455">
              <w:t xml:space="preserve"> </w:t>
            </w:r>
            <w:proofErr w:type="spellStart"/>
            <w:r w:rsidRPr="007A5455">
              <w:t>d’appel</w:t>
            </w:r>
            <w:proofErr w:type="spellEnd"/>
            <w:r w:rsidRPr="007A5455">
              <w:t xml:space="preserve"> de </w:t>
            </w:r>
            <w:proofErr w:type="spellStart"/>
            <w:r w:rsidRPr="007A5455">
              <w:t>l’arrêt</w:t>
            </w:r>
            <w:proofErr w:type="spellEnd"/>
            <w:r w:rsidRPr="007A5455">
              <w:t xml:space="preserve"> de la </w:t>
            </w:r>
            <w:proofErr w:type="spellStart"/>
            <w:r w:rsidRPr="007A5455">
              <w:t>Cour</w:t>
            </w:r>
            <w:proofErr w:type="spellEnd"/>
            <w:r w:rsidRPr="007A5455">
              <w:t xml:space="preserve"> </w:t>
            </w:r>
            <w:proofErr w:type="spellStart"/>
            <w:r w:rsidRPr="007A5455">
              <w:t>d’appel</w:t>
            </w:r>
            <w:proofErr w:type="spellEnd"/>
            <w:r w:rsidRPr="007A5455">
              <w:t xml:space="preserve"> du Québec (Montréal), </w:t>
            </w:r>
            <w:proofErr w:type="spellStart"/>
            <w:r w:rsidRPr="007A5455">
              <w:t>numéro</w:t>
            </w:r>
            <w:proofErr w:type="spellEnd"/>
            <w:r w:rsidRPr="007A5455">
              <w:t xml:space="preserve"> 500-10-005913-155, 2015 QCCA 1358, </w:t>
            </w:r>
            <w:proofErr w:type="spellStart"/>
            <w:r w:rsidRPr="007A5455">
              <w:t>daté</w:t>
            </w:r>
            <w:proofErr w:type="spellEnd"/>
            <w:r w:rsidRPr="007A5455">
              <w:t xml:space="preserve"> du 19 </w:t>
            </w:r>
            <w:proofErr w:type="spellStart"/>
            <w:r w:rsidRPr="007A5455">
              <w:t>août</w:t>
            </w:r>
            <w:proofErr w:type="spellEnd"/>
            <w:r w:rsidRPr="007A5455">
              <w:t xml:space="preserve"> 2015, </w:t>
            </w:r>
            <w:proofErr w:type="spellStart"/>
            <w:r w:rsidRPr="007A5455">
              <w:t>est</w:t>
            </w:r>
            <w:proofErr w:type="spellEnd"/>
            <w:r w:rsidRPr="007A5455">
              <w:t xml:space="preserve"> </w:t>
            </w:r>
            <w:proofErr w:type="spellStart"/>
            <w:r w:rsidRPr="007A5455">
              <w:t>rejetée</w:t>
            </w:r>
            <w:proofErr w:type="spellEnd"/>
            <w:r w:rsidRPr="007A5455">
              <w:t>.</w:t>
            </w:r>
          </w:p>
          <w:p w:rsidR="004F4D3D" w:rsidRPr="007A5455" w:rsidRDefault="004F4D3D" w:rsidP="004F4D3D">
            <w:pPr>
              <w:pStyle w:val="SCCShortJudgment"/>
              <w:rPr>
                <w:szCs w:val="20"/>
              </w:rPr>
            </w:pPr>
          </w:p>
          <w:p w:rsidR="001B5C95" w:rsidRPr="007A5455" w:rsidRDefault="00E44E09" w:rsidP="00E44E09">
            <w:pPr>
              <w:pStyle w:val="SCCShortJudgment"/>
              <w:rPr>
                <w:szCs w:val="20"/>
                <w:lang w:val="fr-CA"/>
              </w:rPr>
            </w:pPr>
            <w:r w:rsidRPr="007A5455">
              <w:t>The application for leave to appeal from the judgment of the Court of Appeal of Quebec (Montréal), Number 500-10-005913-155, 2015 QCCA 1358, dated August 19, 2015, is dismissed.</w:t>
            </w:r>
          </w:p>
        </w:tc>
      </w:tr>
    </w:tbl>
    <w:p w:rsidR="001B5C95" w:rsidRPr="007A5455" w:rsidRDefault="001B5C95" w:rsidP="001B5C95">
      <w:pPr>
        <w:rPr>
          <w:sz w:val="20"/>
          <w:szCs w:val="20"/>
          <w:lang w:val="fr-CA"/>
        </w:rPr>
      </w:pPr>
    </w:p>
    <w:p w:rsidR="001B5C95" w:rsidRPr="007A5455" w:rsidRDefault="001B5C95" w:rsidP="001B5C95">
      <w:pPr>
        <w:rPr>
          <w:sz w:val="20"/>
          <w:szCs w:val="20"/>
          <w:u w:val="single"/>
        </w:rPr>
      </w:pPr>
      <w:r w:rsidRPr="007A5455">
        <w:rPr>
          <w:sz w:val="20"/>
          <w:szCs w:val="20"/>
          <w:u w:val="single"/>
        </w:rPr>
        <w:t>CASE SUMMARY</w:t>
      </w:r>
    </w:p>
    <w:p w:rsidR="001B5C95" w:rsidRPr="007A5455" w:rsidRDefault="001B5C95" w:rsidP="001B5C9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F47F1" w:rsidRPr="007A5455" w:rsidTr="0022676D">
        <w:tc>
          <w:tcPr>
            <w:tcW w:w="5000" w:type="pct"/>
            <w:gridSpan w:val="3"/>
          </w:tcPr>
          <w:p w:rsidR="00FF47F1" w:rsidRPr="007A5455" w:rsidRDefault="00FF47F1" w:rsidP="00FF47F1">
            <w:pPr>
              <w:ind w:right="300"/>
              <w:jc w:val="both"/>
              <w:rPr>
                <w:iCs/>
                <w:color w:val="000000"/>
                <w:sz w:val="20"/>
                <w:szCs w:val="20"/>
              </w:rPr>
            </w:pPr>
            <w:r w:rsidRPr="007A5455">
              <w:rPr>
                <w:sz w:val="20"/>
                <w:szCs w:val="20"/>
              </w:rPr>
              <w:t>Criminal law – Appeal – Leave to appeal – Whether applicant raising issue of law – Whether issue is of public importance.</w:t>
            </w:r>
          </w:p>
          <w:p w:rsidR="00FF47F1" w:rsidRPr="007A5455" w:rsidRDefault="00FF47F1" w:rsidP="00FF47F1">
            <w:pPr>
              <w:ind w:right="300"/>
              <w:jc w:val="both"/>
              <w:rPr>
                <w:sz w:val="20"/>
                <w:szCs w:val="20"/>
              </w:rPr>
            </w:pPr>
          </w:p>
        </w:tc>
      </w:tr>
      <w:tr w:rsidR="00FF47F1" w:rsidRPr="007A5455" w:rsidTr="0022676D">
        <w:tc>
          <w:tcPr>
            <w:tcW w:w="5000" w:type="pct"/>
            <w:gridSpan w:val="3"/>
          </w:tcPr>
          <w:p w:rsidR="00FF47F1" w:rsidRPr="007A5455" w:rsidRDefault="00FF47F1" w:rsidP="00FF47F1">
            <w:pPr>
              <w:ind w:right="300"/>
              <w:jc w:val="both"/>
              <w:rPr>
                <w:sz w:val="20"/>
                <w:szCs w:val="20"/>
              </w:rPr>
            </w:pPr>
            <w:r w:rsidRPr="007A5455">
              <w:rPr>
                <w:iCs/>
                <w:color w:val="000000"/>
                <w:sz w:val="20"/>
                <w:szCs w:val="20"/>
              </w:rPr>
              <w:t>Mr. </w:t>
            </w:r>
            <w:proofErr w:type="spellStart"/>
            <w:r w:rsidRPr="007A5455">
              <w:rPr>
                <w:iCs/>
                <w:color w:val="000000"/>
                <w:sz w:val="20"/>
                <w:szCs w:val="20"/>
              </w:rPr>
              <w:t>Patenaude</w:t>
            </w:r>
            <w:proofErr w:type="spellEnd"/>
            <w:r w:rsidRPr="007A5455">
              <w:rPr>
                <w:iCs/>
                <w:color w:val="000000"/>
                <w:sz w:val="20"/>
                <w:szCs w:val="20"/>
              </w:rPr>
              <w:t xml:space="preserve"> admitted that he had committed the offence in s. 310 of the </w:t>
            </w:r>
            <w:r w:rsidRPr="007A5455">
              <w:rPr>
                <w:i/>
                <w:iCs/>
                <w:color w:val="000000"/>
                <w:sz w:val="20"/>
                <w:szCs w:val="20"/>
              </w:rPr>
              <w:t>Highway Safety Code</w:t>
            </w:r>
            <w:r w:rsidRPr="007A5455">
              <w:rPr>
                <w:iCs/>
                <w:color w:val="000000"/>
                <w:sz w:val="20"/>
                <w:szCs w:val="20"/>
              </w:rPr>
              <w:t xml:space="preserve"> but argued that he had a constitutional defence to raise. He alleged that s. 310 of the </w:t>
            </w:r>
            <w:r w:rsidRPr="007A5455">
              <w:rPr>
                <w:i/>
                <w:iCs/>
                <w:color w:val="000000"/>
                <w:sz w:val="20"/>
                <w:szCs w:val="20"/>
              </w:rPr>
              <w:t>Highway Safety Code</w:t>
            </w:r>
            <w:r w:rsidRPr="007A5455">
              <w:rPr>
                <w:iCs/>
                <w:color w:val="000000"/>
                <w:sz w:val="20"/>
                <w:szCs w:val="20"/>
              </w:rPr>
              <w:t xml:space="preserve"> was contrary to s. 15.1 of the </w:t>
            </w:r>
            <w:r w:rsidRPr="007A5455">
              <w:rPr>
                <w:i/>
                <w:iCs/>
                <w:color w:val="000000"/>
                <w:sz w:val="20"/>
                <w:szCs w:val="20"/>
              </w:rPr>
              <w:t>Canadian Charter</w:t>
            </w:r>
            <w:r w:rsidRPr="007A5455">
              <w:rPr>
                <w:iCs/>
                <w:color w:val="000000"/>
                <w:sz w:val="20"/>
                <w:szCs w:val="20"/>
              </w:rPr>
              <w:t>. The Municipal Court rejected Mr. </w:t>
            </w:r>
            <w:proofErr w:type="spellStart"/>
            <w:r w:rsidRPr="007A5455">
              <w:rPr>
                <w:iCs/>
                <w:color w:val="000000"/>
                <w:sz w:val="20"/>
                <w:szCs w:val="20"/>
              </w:rPr>
              <w:t>Patenaude’s</w:t>
            </w:r>
            <w:proofErr w:type="spellEnd"/>
            <w:r w:rsidRPr="007A5455">
              <w:rPr>
                <w:iCs/>
                <w:color w:val="000000"/>
                <w:sz w:val="20"/>
                <w:szCs w:val="20"/>
              </w:rPr>
              <w:t xml:space="preserve"> defence. The Superior Court, which was of the opinion that the Municipal Court judge had been right to do so, found that the appeal had no reasonable chance of success and allowed the motion to dismiss the appeal. The Court of Appeal dismissed the motion for leave to appeal.</w:t>
            </w:r>
          </w:p>
          <w:p w:rsidR="00FF47F1" w:rsidRPr="007A5455" w:rsidRDefault="00FF47F1" w:rsidP="00FF47F1">
            <w:pPr>
              <w:ind w:right="300"/>
              <w:jc w:val="both"/>
              <w:rPr>
                <w:rFonts w:ascii="Verdana" w:hAnsi="Verdana"/>
                <w:color w:val="000000"/>
                <w:sz w:val="20"/>
                <w:szCs w:val="20"/>
              </w:rPr>
            </w:pPr>
          </w:p>
        </w:tc>
      </w:tr>
      <w:tr w:rsidR="00FF47F1" w:rsidRPr="007A5455" w:rsidTr="0022676D">
        <w:tc>
          <w:tcPr>
            <w:tcW w:w="2427" w:type="pct"/>
          </w:tcPr>
          <w:p w:rsidR="00FF47F1" w:rsidRPr="007A5455" w:rsidRDefault="00FF47F1" w:rsidP="00FF47F1">
            <w:pPr>
              <w:jc w:val="both"/>
              <w:rPr>
                <w:sz w:val="20"/>
                <w:szCs w:val="20"/>
              </w:rPr>
            </w:pPr>
            <w:r w:rsidRPr="007A5455">
              <w:rPr>
                <w:sz w:val="20"/>
                <w:szCs w:val="20"/>
              </w:rPr>
              <w:t>April 22, 2015</w:t>
            </w:r>
          </w:p>
          <w:p w:rsidR="00FF47F1" w:rsidRPr="007A5455" w:rsidRDefault="00FF47F1" w:rsidP="00FF47F1">
            <w:pPr>
              <w:jc w:val="both"/>
              <w:rPr>
                <w:sz w:val="20"/>
                <w:szCs w:val="20"/>
              </w:rPr>
            </w:pPr>
            <w:r w:rsidRPr="007A5455">
              <w:rPr>
                <w:sz w:val="20"/>
                <w:szCs w:val="20"/>
              </w:rPr>
              <w:t xml:space="preserve">Municipal Court of </w:t>
            </w:r>
            <w:proofErr w:type="spellStart"/>
            <w:r w:rsidRPr="007A5455">
              <w:rPr>
                <w:sz w:val="20"/>
                <w:szCs w:val="20"/>
              </w:rPr>
              <w:t>Longueuil</w:t>
            </w:r>
            <w:proofErr w:type="spellEnd"/>
          </w:p>
          <w:p w:rsidR="00FF47F1" w:rsidRPr="007A5455" w:rsidRDefault="00FF47F1" w:rsidP="00FF47F1">
            <w:pPr>
              <w:jc w:val="both"/>
              <w:rPr>
                <w:sz w:val="20"/>
                <w:szCs w:val="20"/>
              </w:rPr>
            </w:pPr>
            <w:r w:rsidRPr="007A5455">
              <w:rPr>
                <w:sz w:val="20"/>
                <w:szCs w:val="20"/>
              </w:rPr>
              <w:t xml:space="preserve">(Judge </w:t>
            </w:r>
            <w:proofErr w:type="spellStart"/>
            <w:r w:rsidRPr="007A5455">
              <w:rPr>
                <w:sz w:val="20"/>
                <w:szCs w:val="20"/>
              </w:rPr>
              <w:t>Themens</w:t>
            </w:r>
            <w:proofErr w:type="spellEnd"/>
            <w:r w:rsidRPr="007A5455">
              <w:rPr>
                <w:sz w:val="20"/>
                <w:szCs w:val="20"/>
              </w:rPr>
              <w:t>)</w:t>
            </w:r>
          </w:p>
          <w:p w:rsidR="00FF47F1" w:rsidRPr="007A5455" w:rsidRDefault="00FF47F1" w:rsidP="00FF47F1">
            <w:pPr>
              <w:jc w:val="both"/>
              <w:rPr>
                <w:sz w:val="20"/>
                <w:szCs w:val="20"/>
              </w:rPr>
            </w:pPr>
          </w:p>
        </w:tc>
        <w:tc>
          <w:tcPr>
            <w:tcW w:w="243" w:type="pct"/>
          </w:tcPr>
          <w:p w:rsidR="00FF47F1" w:rsidRPr="007A5455" w:rsidRDefault="00FF47F1" w:rsidP="00FF47F1">
            <w:pPr>
              <w:jc w:val="both"/>
              <w:rPr>
                <w:sz w:val="20"/>
                <w:szCs w:val="20"/>
              </w:rPr>
            </w:pPr>
          </w:p>
        </w:tc>
        <w:tc>
          <w:tcPr>
            <w:tcW w:w="2330" w:type="pct"/>
          </w:tcPr>
          <w:p w:rsidR="00FF47F1" w:rsidRPr="007A5455" w:rsidRDefault="00FF47F1" w:rsidP="00FF47F1">
            <w:pPr>
              <w:jc w:val="both"/>
              <w:rPr>
                <w:sz w:val="20"/>
                <w:szCs w:val="20"/>
              </w:rPr>
            </w:pPr>
            <w:r w:rsidRPr="007A5455">
              <w:rPr>
                <w:sz w:val="20"/>
                <w:szCs w:val="20"/>
              </w:rPr>
              <w:t xml:space="preserve">Applicant convicted of proceeding straight from traffic lane that required him, through specific signs or signals, to make right turn (s. 310 </w:t>
            </w:r>
            <w:r w:rsidRPr="007A5455">
              <w:rPr>
                <w:i/>
                <w:sz w:val="20"/>
                <w:szCs w:val="20"/>
              </w:rPr>
              <w:t>Highway Safety Code</w:t>
            </w:r>
            <w:r w:rsidRPr="007A5455">
              <w:rPr>
                <w:sz w:val="20"/>
                <w:szCs w:val="20"/>
              </w:rPr>
              <w:t>)</w:t>
            </w:r>
          </w:p>
          <w:p w:rsidR="00FF47F1" w:rsidRPr="007A5455" w:rsidRDefault="00FF47F1" w:rsidP="00FF47F1">
            <w:pPr>
              <w:jc w:val="both"/>
              <w:rPr>
                <w:sz w:val="20"/>
                <w:szCs w:val="20"/>
              </w:rPr>
            </w:pPr>
          </w:p>
        </w:tc>
      </w:tr>
      <w:tr w:rsidR="00FF47F1" w:rsidRPr="007A5455" w:rsidTr="0022676D">
        <w:tc>
          <w:tcPr>
            <w:tcW w:w="2427" w:type="pct"/>
          </w:tcPr>
          <w:p w:rsidR="00FF47F1" w:rsidRPr="007A5455" w:rsidRDefault="00FF47F1" w:rsidP="00FF47F1">
            <w:pPr>
              <w:jc w:val="both"/>
              <w:rPr>
                <w:sz w:val="20"/>
                <w:szCs w:val="20"/>
              </w:rPr>
            </w:pPr>
            <w:r w:rsidRPr="007A5455">
              <w:rPr>
                <w:sz w:val="20"/>
                <w:szCs w:val="20"/>
              </w:rPr>
              <w:lastRenderedPageBreak/>
              <w:t>June 3, 2015</w:t>
            </w:r>
          </w:p>
          <w:p w:rsidR="00FF47F1" w:rsidRPr="007A5455" w:rsidRDefault="00FF47F1" w:rsidP="00FF47F1">
            <w:pPr>
              <w:jc w:val="both"/>
              <w:rPr>
                <w:sz w:val="20"/>
                <w:szCs w:val="20"/>
              </w:rPr>
            </w:pPr>
            <w:r w:rsidRPr="007A5455">
              <w:rPr>
                <w:sz w:val="20"/>
                <w:szCs w:val="20"/>
              </w:rPr>
              <w:t>Quebec Superior Court</w:t>
            </w:r>
          </w:p>
          <w:p w:rsidR="00FF47F1" w:rsidRPr="007A5455" w:rsidRDefault="00FF47F1" w:rsidP="00FF47F1">
            <w:pPr>
              <w:jc w:val="both"/>
              <w:rPr>
                <w:sz w:val="20"/>
                <w:szCs w:val="20"/>
              </w:rPr>
            </w:pPr>
            <w:r w:rsidRPr="007A5455">
              <w:rPr>
                <w:sz w:val="20"/>
                <w:szCs w:val="20"/>
              </w:rPr>
              <w:t>(Di Salvo J.)</w:t>
            </w:r>
          </w:p>
          <w:p w:rsidR="00FF47F1" w:rsidRPr="007A5455" w:rsidRDefault="00FF47F1" w:rsidP="00FF47F1">
            <w:pPr>
              <w:jc w:val="both"/>
              <w:rPr>
                <w:sz w:val="20"/>
                <w:szCs w:val="20"/>
              </w:rPr>
            </w:pPr>
          </w:p>
        </w:tc>
        <w:tc>
          <w:tcPr>
            <w:tcW w:w="243" w:type="pct"/>
          </w:tcPr>
          <w:p w:rsidR="00FF47F1" w:rsidRPr="007A5455" w:rsidRDefault="00FF47F1" w:rsidP="00FF47F1">
            <w:pPr>
              <w:jc w:val="both"/>
              <w:rPr>
                <w:sz w:val="20"/>
                <w:szCs w:val="20"/>
              </w:rPr>
            </w:pPr>
          </w:p>
        </w:tc>
        <w:tc>
          <w:tcPr>
            <w:tcW w:w="2330" w:type="pct"/>
          </w:tcPr>
          <w:p w:rsidR="00FF47F1" w:rsidRPr="007A5455" w:rsidRDefault="00FF47F1" w:rsidP="00FF47F1">
            <w:pPr>
              <w:jc w:val="both"/>
              <w:rPr>
                <w:sz w:val="20"/>
                <w:szCs w:val="20"/>
              </w:rPr>
            </w:pPr>
            <w:r w:rsidRPr="007A5455">
              <w:rPr>
                <w:sz w:val="20"/>
                <w:szCs w:val="20"/>
              </w:rPr>
              <w:t>Motion to dismiss appeal allowed</w:t>
            </w:r>
          </w:p>
          <w:p w:rsidR="00FF47F1" w:rsidRPr="007A5455" w:rsidRDefault="00FF47F1" w:rsidP="00FF47F1">
            <w:pPr>
              <w:jc w:val="both"/>
              <w:rPr>
                <w:sz w:val="20"/>
                <w:szCs w:val="20"/>
              </w:rPr>
            </w:pPr>
          </w:p>
        </w:tc>
      </w:tr>
      <w:tr w:rsidR="00FF47F1" w:rsidRPr="007A5455" w:rsidTr="0022676D">
        <w:tc>
          <w:tcPr>
            <w:tcW w:w="2427" w:type="pct"/>
          </w:tcPr>
          <w:p w:rsidR="00FF47F1" w:rsidRPr="007A5455" w:rsidRDefault="00FF47F1" w:rsidP="00FF47F1">
            <w:pPr>
              <w:jc w:val="both"/>
              <w:rPr>
                <w:sz w:val="20"/>
                <w:szCs w:val="20"/>
              </w:rPr>
            </w:pPr>
            <w:r w:rsidRPr="007A5455">
              <w:rPr>
                <w:sz w:val="20"/>
                <w:szCs w:val="20"/>
              </w:rPr>
              <w:t>August 19, 2015</w:t>
            </w:r>
          </w:p>
          <w:p w:rsidR="00FF47F1" w:rsidRPr="007A5455" w:rsidRDefault="00FF47F1" w:rsidP="00FF47F1">
            <w:pPr>
              <w:jc w:val="both"/>
              <w:rPr>
                <w:sz w:val="20"/>
                <w:szCs w:val="20"/>
              </w:rPr>
            </w:pPr>
            <w:r w:rsidRPr="007A5455">
              <w:rPr>
                <w:sz w:val="20"/>
                <w:szCs w:val="20"/>
              </w:rPr>
              <w:t>Quebec Court of Appeal (Montréal)</w:t>
            </w:r>
          </w:p>
          <w:p w:rsidR="00FF47F1" w:rsidRPr="007A5455" w:rsidRDefault="00FF47F1" w:rsidP="00FF47F1">
            <w:pPr>
              <w:jc w:val="both"/>
              <w:rPr>
                <w:sz w:val="20"/>
                <w:szCs w:val="20"/>
              </w:rPr>
            </w:pPr>
            <w:r w:rsidRPr="007A5455">
              <w:rPr>
                <w:sz w:val="20"/>
                <w:szCs w:val="20"/>
              </w:rPr>
              <w:t>(St-Pierre J.A.)</w:t>
            </w:r>
          </w:p>
          <w:p w:rsidR="00FF47F1" w:rsidRPr="007A5455" w:rsidRDefault="00FF47F1" w:rsidP="00FF47F1">
            <w:pPr>
              <w:jc w:val="both"/>
              <w:rPr>
                <w:sz w:val="20"/>
                <w:szCs w:val="20"/>
              </w:rPr>
            </w:pPr>
            <w:r w:rsidRPr="007A5455">
              <w:rPr>
                <w:sz w:val="20"/>
                <w:szCs w:val="20"/>
              </w:rPr>
              <w:t xml:space="preserve">Neutral citation: </w:t>
            </w:r>
            <w:r w:rsidRPr="007A5455">
              <w:rPr>
                <w:color w:val="000000"/>
                <w:sz w:val="20"/>
                <w:szCs w:val="20"/>
              </w:rPr>
              <w:t>2015 QCCA 1358</w:t>
            </w:r>
          </w:p>
          <w:p w:rsidR="00FF47F1" w:rsidRPr="007A5455" w:rsidRDefault="00FF47F1" w:rsidP="00FF47F1">
            <w:pPr>
              <w:jc w:val="both"/>
              <w:rPr>
                <w:sz w:val="20"/>
                <w:szCs w:val="20"/>
              </w:rPr>
            </w:pPr>
          </w:p>
        </w:tc>
        <w:tc>
          <w:tcPr>
            <w:tcW w:w="243" w:type="pct"/>
          </w:tcPr>
          <w:p w:rsidR="00FF47F1" w:rsidRPr="007A5455" w:rsidRDefault="00FF47F1" w:rsidP="00FF47F1">
            <w:pPr>
              <w:jc w:val="both"/>
              <w:rPr>
                <w:sz w:val="20"/>
                <w:szCs w:val="20"/>
              </w:rPr>
            </w:pPr>
          </w:p>
        </w:tc>
        <w:tc>
          <w:tcPr>
            <w:tcW w:w="2330" w:type="pct"/>
          </w:tcPr>
          <w:p w:rsidR="00FF47F1" w:rsidRPr="007A5455" w:rsidRDefault="00FF47F1" w:rsidP="00FF47F1">
            <w:pPr>
              <w:jc w:val="both"/>
              <w:rPr>
                <w:sz w:val="20"/>
                <w:szCs w:val="20"/>
              </w:rPr>
            </w:pPr>
            <w:r w:rsidRPr="007A5455">
              <w:rPr>
                <w:sz w:val="20"/>
                <w:szCs w:val="20"/>
              </w:rPr>
              <w:t>Motion for leave to appeal dismissed</w:t>
            </w:r>
          </w:p>
          <w:p w:rsidR="00FF47F1" w:rsidRPr="007A5455" w:rsidRDefault="00FF47F1" w:rsidP="00FF47F1">
            <w:pPr>
              <w:jc w:val="both"/>
              <w:rPr>
                <w:sz w:val="20"/>
                <w:szCs w:val="20"/>
              </w:rPr>
            </w:pPr>
          </w:p>
        </w:tc>
      </w:tr>
      <w:tr w:rsidR="00FF47F1" w:rsidRPr="007A5455" w:rsidTr="0022676D">
        <w:tc>
          <w:tcPr>
            <w:tcW w:w="2427" w:type="pct"/>
          </w:tcPr>
          <w:p w:rsidR="00FF47F1" w:rsidRPr="007A5455" w:rsidRDefault="00FF47F1" w:rsidP="00FF47F1">
            <w:pPr>
              <w:jc w:val="both"/>
              <w:rPr>
                <w:sz w:val="20"/>
                <w:szCs w:val="20"/>
              </w:rPr>
            </w:pPr>
            <w:r w:rsidRPr="007A5455">
              <w:rPr>
                <w:sz w:val="20"/>
                <w:szCs w:val="20"/>
              </w:rPr>
              <w:t>September 1, 2015</w:t>
            </w:r>
          </w:p>
          <w:p w:rsidR="00FF47F1" w:rsidRPr="007A5455" w:rsidRDefault="00FF47F1" w:rsidP="00FF47F1">
            <w:pPr>
              <w:jc w:val="both"/>
              <w:rPr>
                <w:sz w:val="20"/>
                <w:szCs w:val="20"/>
              </w:rPr>
            </w:pPr>
            <w:r w:rsidRPr="007A5455">
              <w:rPr>
                <w:sz w:val="20"/>
                <w:szCs w:val="20"/>
              </w:rPr>
              <w:t>Supreme Court of Canada</w:t>
            </w:r>
          </w:p>
        </w:tc>
        <w:tc>
          <w:tcPr>
            <w:tcW w:w="243" w:type="pct"/>
          </w:tcPr>
          <w:p w:rsidR="00FF47F1" w:rsidRPr="007A5455" w:rsidRDefault="00FF47F1" w:rsidP="00FF47F1">
            <w:pPr>
              <w:jc w:val="both"/>
              <w:rPr>
                <w:sz w:val="20"/>
                <w:szCs w:val="20"/>
              </w:rPr>
            </w:pPr>
          </w:p>
        </w:tc>
        <w:tc>
          <w:tcPr>
            <w:tcW w:w="2330" w:type="pct"/>
          </w:tcPr>
          <w:p w:rsidR="00FF47F1" w:rsidRPr="007A5455" w:rsidRDefault="00FF47F1" w:rsidP="00FF47F1">
            <w:pPr>
              <w:jc w:val="both"/>
              <w:rPr>
                <w:sz w:val="20"/>
                <w:szCs w:val="20"/>
              </w:rPr>
            </w:pPr>
            <w:r w:rsidRPr="007A5455">
              <w:rPr>
                <w:sz w:val="20"/>
                <w:szCs w:val="20"/>
              </w:rPr>
              <w:t>Application for leave to appeal filed</w:t>
            </w:r>
          </w:p>
          <w:p w:rsidR="00FF47F1" w:rsidRPr="007A5455" w:rsidRDefault="00FF47F1" w:rsidP="00FF47F1">
            <w:pPr>
              <w:jc w:val="both"/>
              <w:rPr>
                <w:sz w:val="20"/>
                <w:szCs w:val="20"/>
              </w:rPr>
            </w:pPr>
          </w:p>
        </w:tc>
      </w:tr>
    </w:tbl>
    <w:p w:rsidR="00FF47F1" w:rsidRPr="007A5455" w:rsidRDefault="00FF47F1" w:rsidP="001B5C95">
      <w:pPr>
        <w:rPr>
          <w:sz w:val="20"/>
          <w:szCs w:val="20"/>
        </w:rPr>
      </w:pPr>
    </w:p>
    <w:p w:rsidR="001B5C95" w:rsidRPr="007A5455" w:rsidRDefault="001F68BE" w:rsidP="001B5C95">
      <w:pPr>
        <w:rPr>
          <w:sz w:val="20"/>
          <w:szCs w:val="20"/>
        </w:rPr>
      </w:pPr>
      <w:r>
        <w:rPr>
          <w:sz w:val="20"/>
          <w:szCs w:val="20"/>
          <w:lang w:val="fr-CA"/>
        </w:rPr>
        <w:pict>
          <v:rect id="_x0000_i1056" style="width:2in;height:1pt" o:hrpct="0" o:hralign="center" o:hrstd="t" o:hrnoshade="t" o:hr="t" fillcolor="black [3213]" stroked="f"/>
        </w:pict>
      </w:r>
    </w:p>
    <w:p w:rsidR="001B5C95" w:rsidRPr="007A5455" w:rsidRDefault="001B5C95" w:rsidP="001B5C95">
      <w:pPr>
        <w:rPr>
          <w:sz w:val="20"/>
          <w:szCs w:val="20"/>
        </w:rPr>
      </w:pPr>
    </w:p>
    <w:p w:rsidR="001B5C95" w:rsidRPr="007A5455" w:rsidRDefault="001B5C95" w:rsidP="001B5C95">
      <w:pPr>
        <w:rPr>
          <w:sz w:val="20"/>
          <w:szCs w:val="20"/>
          <w:u w:val="single"/>
          <w:lang w:val="fr-CA"/>
        </w:rPr>
      </w:pPr>
      <w:r w:rsidRPr="007A5455">
        <w:rPr>
          <w:sz w:val="20"/>
          <w:szCs w:val="20"/>
          <w:u w:val="single"/>
          <w:lang w:val="fr-CA"/>
        </w:rPr>
        <w:t>RÉSUMÉ DE L’AFFAIRE</w:t>
      </w:r>
    </w:p>
    <w:p w:rsidR="001B5C95" w:rsidRPr="007A5455" w:rsidRDefault="001B5C95" w:rsidP="001B5C9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5560" w:rsidRPr="007A5455" w:rsidTr="0022676D">
        <w:tc>
          <w:tcPr>
            <w:tcW w:w="5000" w:type="pct"/>
            <w:gridSpan w:val="3"/>
          </w:tcPr>
          <w:p w:rsidR="00955560" w:rsidRPr="007A5455" w:rsidRDefault="00955560" w:rsidP="00955560">
            <w:pPr>
              <w:ind w:right="300"/>
              <w:jc w:val="both"/>
              <w:rPr>
                <w:iCs/>
                <w:color w:val="000000"/>
                <w:sz w:val="20"/>
                <w:szCs w:val="20"/>
                <w:lang w:val="fr-FR"/>
              </w:rPr>
            </w:pPr>
            <w:r w:rsidRPr="007A5455">
              <w:rPr>
                <w:sz w:val="20"/>
                <w:szCs w:val="20"/>
                <w:lang w:val="fr-CA"/>
              </w:rPr>
              <w:t>Droit criminel – Appel – Permission d’appeler – Le demandeur soulève-t-il une question juridique? – Cette question est-elle d’importance pour le public?</w:t>
            </w:r>
          </w:p>
          <w:p w:rsidR="00955560" w:rsidRPr="007A5455" w:rsidRDefault="00955560" w:rsidP="00955560">
            <w:pPr>
              <w:ind w:right="300"/>
              <w:jc w:val="both"/>
              <w:rPr>
                <w:sz w:val="20"/>
                <w:szCs w:val="20"/>
                <w:lang w:val="fr-CA"/>
              </w:rPr>
            </w:pPr>
          </w:p>
        </w:tc>
      </w:tr>
      <w:tr w:rsidR="00955560" w:rsidRPr="007A5455" w:rsidTr="0022676D">
        <w:tc>
          <w:tcPr>
            <w:tcW w:w="5000" w:type="pct"/>
            <w:gridSpan w:val="3"/>
          </w:tcPr>
          <w:p w:rsidR="00955560" w:rsidRPr="007A5455" w:rsidRDefault="00955560" w:rsidP="00955560">
            <w:pPr>
              <w:ind w:right="300"/>
              <w:jc w:val="both"/>
              <w:rPr>
                <w:iCs/>
                <w:color w:val="000000"/>
                <w:sz w:val="20"/>
                <w:szCs w:val="20"/>
                <w:lang w:val="fr-FR"/>
              </w:rPr>
            </w:pPr>
            <w:r w:rsidRPr="007A5455">
              <w:rPr>
                <w:iCs/>
                <w:color w:val="000000"/>
                <w:sz w:val="20"/>
                <w:szCs w:val="20"/>
                <w:lang w:val="fr-FR"/>
              </w:rPr>
              <w:t xml:space="preserve">Monsieur </w:t>
            </w:r>
            <w:proofErr w:type="spellStart"/>
            <w:r w:rsidRPr="007A5455">
              <w:rPr>
                <w:iCs/>
                <w:color w:val="000000"/>
                <w:sz w:val="20"/>
                <w:szCs w:val="20"/>
                <w:lang w:val="fr-FR"/>
              </w:rPr>
              <w:t>Patenaude</w:t>
            </w:r>
            <w:proofErr w:type="spellEnd"/>
            <w:r w:rsidRPr="007A5455">
              <w:rPr>
                <w:iCs/>
                <w:color w:val="000000"/>
                <w:sz w:val="20"/>
                <w:szCs w:val="20"/>
                <w:lang w:val="fr-FR"/>
              </w:rPr>
              <w:t xml:space="preserve"> a reconnu avoir commis l’infraction à l’art. 310 du </w:t>
            </w:r>
            <w:r w:rsidRPr="007A5455">
              <w:rPr>
                <w:i/>
                <w:iCs/>
                <w:color w:val="000000"/>
                <w:sz w:val="20"/>
                <w:szCs w:val="20"/>
                <w:lang w:val="fr-FR"/>
              </w:rPr>
              <w:t>Code de la sécurité routière</w:t>
            </w:r>
            <w:r w:rsidRPr="007A5455">
              <w:rPr>
                <w:iCs/>
                <w:color w:val="000000"/>
                <w:sz w:val="20"/>
                <w:szCs w:val="20"/>
                <w:lang w:val="fr-FR"/>
              </w:rPr>
              <w:t xml:space="preserve">, mais a soutenu avoir une défense constitutionnelle à faire valoir. En effet, </w:t>
            </w:r>
            <w:proofErr w:type="gramStart"/>
            <w:r w:rsidRPr="007A5455">
              <w:rPr>
                <w:iCs/>
                <w:color w:val="000000"/>
                <w:sz w:val="20"/>
                <w:szCs w:val="20"/>
                <w:lang w:val="fr-FR"/>
              </w:rPr>
              <w:t>il a</w:t>
            </w:r>
            <w:proofErr w:type="gramEnd"/>
            <w:r w:rsidRPr="007A5455">
              <w:rPr>
                <w:iCs/>
                <w:color w:val="000000"/>
                <w:sz w:val="20"/>
                <w:szCs w:val="20"/>
                <w:lang w:val="fr-FR"/>
              </w:rPr>
              <w:t xml:space="preserve"> allégué que l’art. 310 du </w:t>
            </w:r>
            <w:r w:rsidRPr="007A5455">
              <w:rPr>
                <w:i/>
                <w:iCs/>
                <w:color w:val="000000"/>
                <w:sz w:val="20"/>
                <w:szCs w:val="20"/>
                <w:lang w:val="fr-FR"/>
              </w:rPr>
              <w:t>Code de la sécurité routière</w:t>
            </w:r>
            <w:r w:rsidRPr="007A5455">
              <w:rPr>
                <w:iCs/>
                <w:color w:val="000000"/>
                <w:sz w:val="20"/>
                <w:szCs w:val="20"/>
                <w:lang w:val="fr-FR"/>
              </w:rPr>
              <w:t xml:space="preserve"> contrevient à l’art. 15.1 de la </w:t>
            </w:r>
            <w:r w:rsidRPr="007A5455">
              <w:rPr>
                <w:i/>
                <w:iCs/>
                <w:color w:val="000000"/>
                <w:sz w:val="20"/>
                <w:szCs w:val="20"/>
                <w:lang w:val="fr-FR"/>
              </w:rPr>
              <w:t>Charte canadienne</w:t>
            </w:r>
            <w:r w:rsidRPr="007A5455">
              <w:rPr>
                <w:iCs/>
                <w:color w:val="000000"/>
                <w:sz w:val="20"/>
                <w:szCs w:val="20"/>
                <w:lang w:val="fr-FR"/>
              </w:rPr>
              <w:t>. La Cour municipale n’a pas retenu le moyen de défense invoqué par M. </w:t>
            </w:r>
            <w:proofErr w:type="spellStart"/>
            <w:r w:rsidRPr="007A5455">
              <w:rPr>
                <w:iCs/>
                <w:color w:val="000000"/>
                <w:sz w:val="20"/>
                <w:szCs w:val="20"/>
                <w:lang w:val="fr-FR"/>
              </w:rPr>
              <w:t>Patenaude</w:t>
            </w:r>
            <w:proofErr w:type="spellEnd"/>
            <w:r w:rsidRPr="007A5455">
              <w:rPr>
                <w:iCs/>
                <w:color w:val="000000"/>
                <w:sz w:val="20"/>
                <w:szCs w:val="20"/>
                <w:lang w:val="fr-FR"/>
              </w:rPr>
              <w:t>. D’avis que le juge de la Cour municipale avait eu raison de ce faire, la Cour supérieure a conclu que l’appel n’avait aucune chance de succès et elle a accueilli la requête en rejet d’appel. La Cour d’appel a rejeté la requête pour permission d’appeler.</w:t>
            </w:r>
          </w:p>
          <w:p w:rsidR="00955560" w:rsidRPr="007A5455" w:rsidRDefault="00955560" w:rsidP="00955560">
            <w:pPr>
              <w:ind w:right="300"/>
              <w:jc w:val="both"/>
              <w:rPr>
                <w:rFonts w:ascii="Verdana" w:hAnsi="Verdana"/>
                <w:color w:val="000000"/>
                <w:sz w:val="20"/>
                <w:szCs w:val="20"/>
                <w:lang w:val="fr-FR"/>
              </w:rPr>
            </w:pPr>
          </w:p>
        </w:tc>
      </w:tr>
      <w:tr w:rsidR="00955560" w:rsidRPr="007A5455" w:rsidTr="0022676D">
        <w:tc>
          <w:tcPr>
            <w:tcW w:w="2427" w:type="pct"/>
          </w:tcPr>
          <w:p w:rsidR="00955560" w:rsidRPr="007A5455" w:rsidRDefault="00955560" w:rsidP="00955560">
            <w:pPr>
              <w:jc w:val="both"/>
              <w:rPr>
                <w:sz w:val="20"/>
                <w:szCs w:val="20"/>
                <w:lang w:val="fr-CA"/>
              </w:rPr>
            </w:pPr>
            <w:r w:rsidRPr="007A5455">
              <w:rPr>
                <w:sz w:val="20"/>
                <w:szCs w:val="20"/>
                <w:lang w:val="fr-CA"/>
              </w:rPr>
              <w:t>Le 22 avril 2015</w:t>
            </w:r>
          </w:p>
          <w:p w:rsidR="00955560" w:rsidRPr="007A5455" w:rsidRDefault="00955560" w:rsidP="00955560">
            <w:pPr>
              <w:jc w:val="both"/>
              <w:rPr>
                <w:sz w:val="20"/>
                <w:szCs w:val="20"/>
                <w:lang w:val="fr-CA"/>
              </w:rPr>
            </w:pPr>
            <w:r w:rsidRPr="007A5455">
              <w:rPr>
                <w:sz w:val="20"/>
                <w:szCs w:val="20"/>
                <w:lang w:val="fr-CA"/>
              </w:rPr>
              <w:t>Cour municipale de Longueuil</w:t>
            </w:r>
          </w:p>
          <w:p w:rsidR="00955560" w:rsidRPr="007A5455" w:rsidRDefault="00955560" w:rsidP="00955560">
            <w:pPr>
              <w:jc w:val="both"/>
              <w:rPr>
                <w:sz w:val="20"/>
                <w:szCs w:val="20"/>
                <w:lang w:val="fr-CA"/>
              </w:rPr>
            </w:pPr>
            <w:r w:rsidRPr="007A5455">
              <w:rPr>
                <w:sz w:val="20"/>
                <w:szCs w:val="20"/>
                <w:lang w:val="fr-CA"/>
              </w:rPr>
              <w:t xml:space="preserve">(Le juge </w:t>
            </w:r>
            <w:proofErr w:type="spellStart"/>
            <w:r w:rsidRPr="007A5455">
              <w:rPr>
                <w:sz w:val="20"/>
                <w:szCs w:val="20"/>
                <w:lang w:val="fr-CA"/>
              </w:rPr>
              <w:t>Themens</w:t>
            </w:r>
            <w:proofErr w:type="spellEnd"/>
            <w:r w:rsidRPr="007A5455">
              <w:rPr>
                <w:sz w:val="20"/>
                <w:szCs w:val="20"/>
                <w:lang w:val="fr-CA"/>
              </w:rPr>
              <w:t>)</w:t>
            </w:r>
          </w:p>
          <w:p w:rsidR="00955560" w:rsidRPr="007A5455" w:rsidRDefault="00955560" w:rsidP="00955560">
            <w:pPr>
              <w:jc w:val="both"/>
              <w:rPr>
                <w:sz w:val="20"/>
                <w:szCs w:val="20"/>
                <w:lang w:val="fr-CA"/>
              </w:rPr>
            </w:pPr>
          </w:p>
        </w:tc>
        <w:tc>
          <w:tcPr>
            <w:tcW w:w="243" w:type="pct"/>
          </w:tcPr>
          <w:p w:rsidR="00955560" w:rsidRPr="007A5455" w:rsidRDefault="00955560" w:rsidP="00955560">
            <w:pPr>
              <w:jc w:val="both"/>
              <w:rPr>
                <w:sz w:val="20"/>
                <w:szCs w:val="20"/>
                <w:lang w:val="fr-FR"/>
              </w:rPr>
            </w:pPr>
          </w:p>
        </w:tc>
        <w:tc>
          <w:tcPr>
            <w:tcW w:w="2330" w:type="pct"/>
          </w:tcPr>
          <w:p w:rsidR="00955560" w:rsidRPr="007A5455" w:rsidRDefault="00955560" w:rsidP="00955560">
            <w:pPr>
              <w:jc w:val="both"/>
              <w:rPr>
                <w:sz w:val="20"/>
                <w:szCs w:val="20"/>
                <w:lang w:val="fr-CA"/>
              </w:rPr>
            </w:pPr>
            <w:r w:rsidRPr="007A5455">
              <w:rPr>
                <w:sz w:val="20"/>
                <w:szCs w:val="20"/>
                <w:lang w:val="fr-CA"/>
              </w:rPr>
              <w:t xml:space="preserve">Déclaration de culpabilité : Demandeur coupable d’avoir continué tout droit depuis une voie de circulation qui l’obligeait, par signalisation spécifique, à effectuer un virage à droite (art. 310 </w:t>
            </w:r>
            <w:r w:rsidRPr="007A5455">
              <w:rPr>
                <w:i/>
                <w:sz w:val="20"/>
                <w:szCs w:val="20"/>
                <w:lang w:val="fr-CA"/>
              </w:rPr>
              <w:t>Code de la sécurité routière</w:t>
            </w:r>
            <w:r w:rsidRPr="007A5455">
              <w:rPr>
                <w:sz w:val="20"/>
                <w:szCs w:val="20"/>
                <w:lang w:val="fr-CA"/>
              </w:rPr>
              <w:t>)</w:t>
            </w:r>
          </w:p>
          <w:p w:rsidR="00955560" w:rsidRPr="007A5455" w:rsidRDefault="00955560" w:rsidP="00955560">
            <w:pPr>
              <w:jc w:val="both"/>
              <w:rPr>
                <w:sz w:val="20"/>
                <w:szCs w:val="20"/>
                <w:lang w:val="fr-CA"/>
              </w:rPr>
            </w:pPr>
          </w:p>
        </w:tc>
      </w:tr>
      <w:tr w:rsidR="00955560" w:rsidRPr="007A5455" w:rsidTr="0022676D">
        <w:tc>
          <w:tcPr>
            <w:tcW w:w="2427" w:type="pct"/>
          </w:tcPr>
          <w:p w:rsidR="00955560" w:rsidRPr="007A5455" w:rsidRDefault="00955560" w:rsidP="00955560">
            <w:pPr>
              <w:jc w:val="both"/>
              <w:rPr>
                <w:sz w:val="20"/>
                <w:szCs w:val="20"/>
                <w:lang w:val="fr-CA"/>
              </w:rPr>
            </w:pPr>
            <w:r w:rsidRPr="007A5455">
              <w:rPr>
                <w:sz w:val="20"/>
                <w:szCs w:val="20"/>
                <w:lang w:val="fr-CA"/>
              </w:rPr>
              <w:t>Le 3 juin 2015</w:t>
            </w:r>
          </w:p>
          <w:p w:rsidR="00955560" w:rsidRPr="007A5455" w:rsidRDefault="00955560" w:rsidP="00955560">
            <w:pPr>
              <w:jc w:val="both"/>
              <w:rPr>
                <w:sz w:val="20"/>
                <w:szCs w:val="20"/>
                <w:lang w:val="fr-CA"/>
              </w:rPr>
            </w:pPr>
            <w:r w:rsidRPr="007A5455">
              <w:rPr>
                <w:sz w:val="20"/>
                <w:szCs w:val="20"/>
                <w:lang w:val="fr-CA"/>
              </w:rPr>
              <w:t>Cour supérieure du Québec</w:t>
            </w:r>
          </w:p>
          <w:p w:rsidR="00955560" w:rsidRPr="007A5455" w:rsidRDefault="00955560" w:rsidP="00955560">
            <w:pPr>
              <w:jc w:val="both"/>
              <w:rPr>
                <w:sz w:val="20"/>
                <w:szCs w:val="20"/>
                <w:lang w:val="fr-CA"/>
              </w:rPr>
            </w:pPr>
            <w:r w:rsidRPr="007A5455">
              <w:rPr>
                <w:sz w:val="20"/>
                <w:szCs w:val="20"/>
                <w:lang w:val="fr-CA"/>
              </w:rPr>
              <w:t xml:space="preserve">(La juge Di </w:t>
            </w:r>
            <w:proofErr w:type="spellStart"/>
            <w:r w:rsidRPr="007A5455">
              <w:rPr>
                <w:sz w:val="20"/>
                <w:szCs w:val="20"/>
                <w:lang w:val="fr-CA"/>
              </w:rPr>
              <w:t>Salvo</w:t>
            </w:r>
            <w:proofErr w:type="spellEnd"/>
            <w:r w:rsidRPr="007A5455">
              <w:rPr>
                <w:sz w:val="20"/>
                <w:szCs w:val="20"/>
                <w:lang w:val="fr-CA"/>
              </w:rPr>
              <w:t>)</w:t>
            </w:r>
          </w:p>
          <w:p w:rsidR="00955560" w:rsidRPr="007A5455" w:rsidRDefault="00955560" w:rsidP="00955560">
            <w:pPr>
              <w:jc w:val="both"/>
              <w:rPr>
                <w:sz w:val="20"/>
                <w:szCs w:val="20"/>
                <w:lang w:val="fr-FR"/>
              </w:rPr>
            </w:pPr>
          </w:p>
        </w:tc>
        <w:tc>
          <w:tcPr>
            <w:tcW w:w="243" w:type="pct"/>
          </w:tcPr>
          <w:p w:rsidR="00955560" w:rsidRPr="007A5455" w:rsidRDefault="00955560" w:rsidP="00955560">
            <w:pPr>
              <w:jc w:val="both"/>
              <w:rPr>
                <w:sz w:val="20"/>
                <w:szCs w:val="20"/>
                <w:lang w:val="fr-FR"/>
              </w:rPr>
            </w:pPr>
          </w:p>
        </w:tc>
        <w:tc>
          <w:tcPr>
            <w:tcW w:w="2330" w:type="pct"/>
          </w:tcPr>
          <w:p w:rsidR="00955560" w:rsidRPr="007A5455" w:rsidRDefault="00955560" w:rsidP="00955560">
            <w:pPr>
              <w:jc w:val="both"/>
              <w:rPr>
                <w:sz w:val="20"/>
                <w:szCs w:val="20"/>
                <w:lang w:val="fr-CA"/>
              </w:rPr>
            </w:pPr>
            <w:r w:rsidRPr="007A5455">
              <w:rPr>
                <w:sz w:val="20"/>
                <w:szCs w:val="20"/>
                <w:lang w:val="fr-CA"/>
              </w:rPr>
              <w:t>Requête en rejet d’appel accordée</w:t>
            </w:r>
          </w:p>
          <w:p w:rsidR="00955560" w:rsidRPr="007A5455" w:rsidRDefault="00955560" w:rsidP="00955560">
            <w:pPr>
              <w:jc w:val="both"/>
              <w:rPr>
                <w:sz w:val="20"/>
                <w:szCs w:val="20"/>
                <w:lang w:val="fr-CA"/>
              </w:rPr>
            </w:pPr>
          </w:p>
        </w:tc>
      </w:tr>
      <w:tr w:rsidR="00955560" w:rsidRPr="007A5455" w:rsidTr="0022676D">
        <w:tc>
          <w:tcPr>
            <w:tcW w:w="2427" w:type="pct"/>
          </w:tcPr>
          <w:p w:rsidR="00955560" w:rsidRPr="007A5455" w:rsidRDefault="00955560" w:rsidP="00955560">
            <w:pPr>
              <w:jc w:val="both"/>
              <w:rPr>
                <w:sz w:val="20"/>
                <w:szCs w:val="20"/>
                <w:lang w:val="fr-CA"/>
              </w:rPr>
            </w:pPr>
            <w:r w:rsidRPr="007A5455">
              <w:rPr>
                <w:sz w:val="20"/>
                <w:szCs w:val="20"/>
                <w:lang w:val="fr-CA"/>
              </w:rPr>
              <w:t>Le 19 août 2015</w:t>
            </w:r>
          </w:p>
          <w:p w:rsidR="00955560" w:rsidRPr="007A5455" w:rsidRDefault="00955560" w:rsidP="00955560">
            <w:pPr>
              <w:jc w:val="both"/>
              <w:rPr>
                <w:sz w:val="20"/>
                <w:szCs w:val="20"/>
                <w:lang w:val="fr-CA"/>
              </w:rPr>
            </w:pPr>
            <w:r w:rsidRPr="007A5455">
              <w:rPr>
                <w:sz w:val="20"/>
                <w:szCs w:val="20"/>
                <w:lang w:val="fr-CA"/>
              </w:rPr>
              <w:t>Cour d’appel du Québec (Montréal)</w:t>
            </w:r>
          </w:p>
          <w:p w:rsidR="00955560" w:rsidRPr="007A5455" w:rsidRDefault="00955560" w:rsidP="00955560">
            <w:pPr>
              <w:jc w:val="both"/>
              <w:rPr>
                <w:sz w:val="20"/>
                <w:szCs w:val="20"/>
                <w:lang w:val="fr-CA"/>
              </w:rPr>
            </w:pPr>
            <w:r w:rsidRPr="007A5455">
              <w:rPr>
                <w:sz w:val="20"/>
                <w:szCs w:val="20"/>
                <w:lang w:val="fr-CA"/>
              </w:rPr>
              <w:t>(La juge St-Pierre)</w:t>
            </w:r>
          </w:p>
          <w:p w:rsidR="00955560" w:rsidRPr="007A5455" w:rsidRDefault="00955560" w:rsidP="00955560">
            <w:pPr>
              <w:jc w:val="both"/>
              <w:rPr>
                <w:sz w:val="20"/>
                <w:szCs w:val="20"/>
                <w:lang w:val="fr-CA"/>
              </w:rPr>
            </w:pPr>
            <w:r w:rsidRPr="007A5455">
              <w:rPr>
                <w:sz w:val="20"/>
                <w:szCs w:val="20"/>
                <w:lang w:val="fr-CA"/>
              </w:rPr>
              <w:t xml:space="preserve">Référence neutre : </w:t>
            </w:r>
            <w:r w:rsidRPr="007A5455">
              <w:rPr>
                <w:color w:val="000000"/>
                <w:sz w:val="20"/>
                <w:szCs w:val="20"/>
                <w:lang w:val="fr-CA"/>
              </w:rPr>
              <w:t>2015 QCCA 1358</w:t>
            </w:r>
          </w:p>
          <w:p w:rsidR="00955560" w:rsidRPr="007A5455" w:rsidRDefault="00955560" w:rsidP="00955560">
            <w:pPr>
              <w:jc w:val="both"/>
              <w:rPr>
                <w:sz w:val="20"/>
                <w:szCs w:val="20"/>
                <w:lang w:val="fr-CA"/>
              </w:rPr>
            </w:pPr>
          </w:p>
        </w:tc>
        <w:tc>
          <w:tcPr>
            <w:tcW w:w="243" w:type="pct"/>
          </w:tcPr>
          <w:p w:rsidR="00955560" w:rsidRPr="007A5455" w:rsidRDefault="00955560" w:rsidP="00955560">
            <w:pPr>
              <w:jc w:val="both"/>
              <w:rPr>
                <w:sz w:val="20"/>
                <w:szCs w:val="20"/>
                <w:lang w:val="fr-FR"/>
              </w:rPr>
            </w:pPr>
          </w:p>
        </w:tc>
        <w:tc>
          <w:tcPr>
            <w:tcW w:w="2330" w:type="pct"/>
          </w:tcPr>
          <w:p w:rsidR="00955560" w:rsidRPr="007A5455" w:rsidRDefault="00955560" w:rsidP="00955560">
            <w:pPr>
              <w:jc w:val="both"/>
              <w:rPr>
                <w:sz w:val="20"/>
                <w:szCs w:val="20"/>
                <w:lang w:val="fr-CA"/>
              </w:rPr>
            </w:pPr>
            <w:r w:rsidRPr="007A5455">
              <w:rPr>
                <w:sz w:val="20"/>
                <w:szCs w:val="20"/>
                <w:lang w:val="fr-CA"/>
              </w:rPr>
              <w:t>Requête pour permission d’appeler rejetée</w:t>
            </w:r>
          </w:p>
          <w:p w:rsidR="00955560" w:rsidRPr="007A5455" w:rsidRDefault="00955560" w:rsidP="00955560">
            <w:pPr>
              <w:jc w:val="both"/>
              <w:rPr>
                <w:sz w:val="20"/>
                <w:szCs w:val="20"/>
                <w:lang w:val="fr-CA"/>
              </w:rPr>
            </w:pPr>
          </w:p>
        </w:tc>
      </w:tr>
      <w:tr w:rsidR="00955560" w:rsidRPr="007A5455" w:rsidTr="0022676D">
        <w:tc>
          <w:tcPr>
            <w:tcW w:w="2427" w:type="pct"/>
          </w:tcPr>
          <w:p w:rsidR="00955560" w:rsidRPr="007A5455" w:rsidRDefault="00955560" w:rsidP="00955560">
            <w:pPr>
              <w:jc w:val="both"/>
              <w:rPr>
                <w:sz w:val="20"/>
                <w:szCs w:val="20"/>
                <w:lang w:val="fr-CA"/>
              </w:rPr>
            </w:pPr>
            <w:r w:rsidRPr="007A5455">
              <w:rPr>
                <w:sz w:val="20"/>
                <w:szCs w:val="20"/>
                <w:lang w:val="fr-CA"/>
              </w:rPr>
              <w:t>Le 1</w:t>
            </w:r>
            <w:r w:rsidRPr="007A5455">
              <w:rPr>
                <w:sz w:val="20"/>
                <w:szCs w:val="20"/>
                <w:vertAlign w:val="superscript"/>
                <w:lang w:val="fr-CA"/>
              </w:rPr>
              <w:t>er</w:t>
            </w:r>
            <w:r w:rsidRPr="007A5455">
              <w:rPr>
                <w:sz w:val="20"/>
                <w:szCs w:val="20"/>
                <w:lang w:val="fr-CA"/>
              </w:rPr>
              <w:t xml:space="preserve"> septembre 2015</w:t>
            </w:r>
          </w:p>
          <w:p w:rsidR="00955560" w:rsidRPr="007A5455" w:rsidRDefault="00955560" w:rsidP="00955560">
            <w:pPr>
              <w:jc w:val="both"/>
              <w:rPr>
                <w:sz w:val="20"/>
                <w:szCs w:val="20"/>
                <w:lang w:val="fr-FR"/>
              </w:rPr>
            </w:pPr>
            <w:r w:rsidRPr="007A5455">
              <w:rPr>
                <w:sz w:val="20"/>
                <w:szCs w:val="20"/>
                <w:lang w:val="fr-CA"/>
              </w:rPr>
              <w:t>Cour suprême du Canada</w:t>
            </w:r>
          </w:p>
        </w:tc>
        <w:tc>
          <w:tcPr>
            <w:tcW w:w="243" w:type="pct"/>
          </w:tcPr>
          <w:p w:rsidR="00955560" w:rsidRPr="007A5455" w:rsidRDefault="00955560" w:rsidP="00955560">
            <w:pPr>
              <w:jc w:val="both"/>
              <w:rPr>
                <w:sz w:val="20"/>
                <w:szCs w:val="20"/>
                <w:lang w:val="fr-FR"/>
              </w:rPr>
            </w:pPr>
          </w:p>
        </w:tc>
        <w:tc>
          <w:tcPr>
            <w:tcW w:w="2330" w:type="pct"/>
          </w:tcPr>
          <w:p w:rsidR="00955560" w:rsidRPr="007A5455" w:rsidRDefault="00955560" w:rsidP="00955560">
            <w:pPr>
              <w:jc w:val="both"/>
              <w:rPr>
                <w:sz w:val="20"/>
                <w:szCs w:val="20"/>
                <w:lang w:val="fr-CA"/>
              </w:rPr>
            </w:pPr>
            <w:r w:rsidRPr="007A5455">
              <w:rPr>
                <w:sz w:val="20"/>
                <w:szCs w:val="20"/>
                <w:lang w:val="fr-CA"/>
              </w:rPr>
              <w:t>Demande d'autorisation d'appel déposée</w:t>
            </w:r>
          </w:p>
          <w:p w:rsidR="00955560" w:rsidRPr="007A5455" w:rsidRDefault="00955560" w:rsidP="00955560">
            <w:pPr>
              <w:jc w:val="both"/>
              <w:rPr>
                <w:sz w:val="20"/>
                <w:szCs w:val="20"/>
                <w:lang w:val="fr-CA"/>
              </w:rPr>
            </w:pPr>
          </w:p>
        </w:tc>
      </w:tr>
    </w:tbl>
    <w:p w:rsidR="001B5C95" w:rsidRPr="007A5455" w:rsidRDefault="001F68BE" w:rsidP="001B5C95">
      <w:pPr>
        <w:rPr>
          <w:sz w:val="20"/>
          <w:szCs w:val="20"/>
        </w:rPr>
      </w:pPr>
      <w:r>
        <w:rPr>
          <w:sz w:val="20"/>
          <w:szCs w:val="20"/>
          <w:lang w:val="fr-CA"/>
        </w:rPr>
        <w:pict>
          <v:rect id="_x0000_i1057" style="width:2in;height:1pt" o:hrpct="0" o:hralign="center" o:hrstd="t" o:hrnoshade="t" o:hr="t" fillcolor="black [3213]" stroked="f"/>
        </w:pict>
      </w:r>
    </w:p>
    <w:p w:rsidR="008C60BF" w:rsidRPr="007A5455" w:rsidRDefault="008C60BF">
      <w:pPr>
        <w:rPr>
          <w:sz w:val="20"/>
          <w:szCs w:val="20"/>
        </w:rPr>
      </w:pPr>
      <w:r w:rsidRPr="007A5455">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52AC2" w:rsidRPr="007A5455" w:rsidTr="0022676D">
        <w:trPr>
          <w:cantSplit/>
        </w:trPr>
        <w:tc>
          <w:tcPr>
            <w:tcW w:w="1458" w:type="dxa"/>
          </w:tcPr>
          <w:p w:rsidR="00652AC2" w:rsidRPr="007A5455" w:rsidRDefault="00652AC2" w:rsidP="0022676D">
            <w:pPr>
              <w:rPr>
                <w:sz w:val="20"/>
                <w:szCs w:val="20"/>
              </w:rPr>
            </w:pPr>
            <w:r w:rsidRPr="007A5455">
              <w:rPr>
                <w:rStyle w:val="SCCFileNumberChar"/>
                <w:sz w:val="20"/>
                <w:szCs w:val="20"/>
              </w:rPr>
              <w:lastRenderedPageBreak/>
              <w:t>36606</w:t>
            </w:r>
          </w:p>
          <w:p w:rsidR="00652AC2" w:rsidRPr="007A5455" w:rsidRDefault="00652AC2" w:rsidP="0022676D">
            <w:pPr>
              <w:rPr>
                <w:b/>
                <w:sz w:val="20"/>
                <w:szCs w:val="20"/>
                <w:lang w:val="fr-CA"/>
              </w:rPr>
            </w:pPr>
          </w:p>
        </w:tc>
        <w:tc>
          <w:tcPr>
            <w:tcW w:w="8118" w:type="dxa"/>
          </w:tcPr>
          <w:p w:rsidR="00652AC2" w:rsidRPr="007A5455" w:rsidRDefault="00652AC2" w:rsidP="0022676D">
            <w:pPr>
              <w:rPr>
                <w:sz w:val="20"/>
                <w:szCs w:val="20"/>
              </w:rPr>
            </w:pPr>
            <w:r w:rsidRPr="007A5455">
              <w:rPr>
                <w:b/>
                <w:iCs/>
                <w:sz w:val="20"/>
                <w:szCs w:val="20"/>
                <w:u w:val="single"/>
                <w:lang w:val="en-US"/>
              </w:rPr>
              <w:t xml:space="preserve">Attorney General of Canada v. </w:t>
            </w:r>
            <w:r w:rsidRPr="007A5455">
              <w:rPr>
                <w:b/>
                <w:iCs/>
                <w:sz w:val="20"/>
                <w:szCs w:val="20"/>
                <w:u w:val="single"/>
              </w:rPr>
              <w:t>Fairmont Hotels Inc.</w:t>
            </w:r>
            <w:r w:rsidR="00F676D1" w:rsidRPr="007A5455">
              <w:rPr>
                <w:b/>
                <w:iCs/>
                <w:sz w:val="20"/>
                <w:szCs w:val="20"/>
                <w:u w:val="single"/>
              </w:rPr>
              <w:t xml:space="preserve"> and FHIW Hotel Investments (Canada) Inc. and FHIS Hotel Investments (Can</w:t>
            </w:r>
            <w:r w:rsidR="008018A7" w:rsidRPr="007A5455">
              <w:rPr>
                <w:b/>
                <w:iCs/>
                <w:sz w:val="20"/>
                <w:szCs w:val="20"/>
                <w:u w:val="single"/>
              </w:rPr>
              <w:t>a</w:t>
            </w:r>
            <w:r w:rsidR="00F676D1" w:rsidRPr="007A5455">
              <w:rPr>
                <w:b/>
                <w:iCs/>
                <w:sz w:val="20"/>
                <w:szCs w:val="20"/>
                <w:u w:val="single"/>
              </w:rPr>
              <w:t>da) Inc.</w:t>
            </w:r>
            <w:r w:rsidRPr="007A5455">
              <w:rPr>
                <w:iCs/>
                <w:sz w:val="20"/>
                <w:szCs w:val="20"/>
              </w:rPr>
              <w:t xml:space="preserve"> </w:t>
            </w:r>
            <w:r w:rsidRPr="007A5455">
              <w:rPr>
                <w:sz w:val="20"/>
                <w:szCs w:val="20"/>
              </w:rPr>
              <w:t>(Ont.) (Civil) (By Leave)</w:t>
            </w:r>
          </w:p>
          <w:p w:rsidR="00652AC2" w:rsidRPr="007A5455" w:rsidRDefault="00652AC2" w:rsidP="0022676D">
            <w:pPr>
              <w:rPr>
                <w:sz w:val="20"/>
                <w:szCs w:val="20"/>
              </w:rPr>
            </w:pPr>
          </w:p>
        </w:tc>
      </w:tr>
      <w:tr w:rsidR="00652AC2" w:rsidRPr="007A5455" w:rsidTr="0022676D">
        <w:trPr>
          <w:cantSplit/>
        </w:trPr>
        <w:tc>
          <w:tcPr>
            <w:tcW w:w="1458" w:type="dxa"/>
          </w:tcPr>
          <w:p w:rsidR="00652AC2" w:rsidRPr="007A5455" w:rsidRDefault="00652AC2" w:rsidP="0022676D">
            <w:pPr>
              <w:rPr>
                <w:sz w:val="20"/>
                <w:szCs w:val="20"/>
              </w:rPr>
            </w:pPr>
            <w:r w:rsidRPr="007A5455">
              <w:rPr>
                <w:sz w:val="20"/>
                <w:szCs w:val="20"/>
              </w:rPr>
              <w:t>Coram :</w:t>
            </w:r>
          </w:p>
        </w:tc>
        <w:tc>
          <w:tcPr>
            <w:tcW w:w="8118" w:type="dxa"/>
          </w:tcPr>
          <w:p w:rsidR="00652AC2" w:rsidRPr="007A5455" w:rsidRDefault="00C03DE5" w:rsidP="0022676D">
            <w:pPr>
              <w:rPr>
                <w:sz w:val="20"/>
                <w:szCs w:val="20"/>
              </w:rPr>
            </w:pPr>
            <w:r w:rsidRPr="007A5455">
              <w:rPr>
                <w:rStyle w:val="SCCCoramChar"/>
                <w:sz w:val="20"/>
                <w:szCs w:val="20"/>
                <w:lang w:val="en-CA"/>
              </w:rPr>
              <w:t>Cromwell</w:t>
            </w:r>
            <w:r w:rsidR="00652AC2" w:rsidRPr="007A5455">
              <w:rPr>
                <w:rStyle w:val="SCCCoramChar"/>
                <w:sz w:val="20"/>
                <w:szCs w:val="20"/>
                <w:lang w:val="en-CA"/>
              </w:rPr>
              <w:t xml:space="preserve">, </w:t>
            </w:r>
            <w:r w:rsidRPr="007A5455">
              <w:rPr>
                <w:rStyle w:val="SCCCoramChar"/>
                <w:sz w:val="20"/>
                <w:szCs w:val="20"/>
                <w:lang w:val="en-CA"/>
              </w:rPr>
              <w:t>Wagner</w:t>
            </w:r>
            <w:r w:rsidR="00652AC2" w:rsidRPr="007A5455">
              <w:rPr>
                <w:rStyle w:val="SCCCoramChar"/>
                <w:sz w:val="20"/>
                <w:szCs w:val="20"/>
                <w:lang w:val="en-CA"/>
              </w:rPr>
              <w:t xml:space="preserve"> and </w:t>
            </w:r>
            <w:proofErr w:type="spellStart"/>
            <w:r w:rsidRPr="007A5455">
              <w:rPr>
                <w:rStyle w:val="SCCCoramChar"/>
                <w:sz w:val="20"/>
                <w:szCs w:val="20"/>
                <w:lang w:val="en-CA"/>
              </w:rPr>
              <w:t>Côté</w:t>
            </w:r>
            <w:proofErr w:type="spellEnd"/>
            <w:r w:rsidR="00652AC2" w:rsidRPr="007A5455">
              <w:rPr>
                <w:rStyle w:val="SCCCoramChar"/>
                <w:sz w:val="20"/>
                <w:szCs w:val="20"/>
                <w:lang w:val="en-CA"/>
              </w:rPr>
              <w:t> JJ.</w:t>
            </w:r>
          </w:p>
          <w:p w:rsidR="00652AC2" w:rsidRPr="007A5455" w:rsidRDefault="00652AC2" w:rsidP="0022676D">
            <w:pPr>
              <w:rPr>
                <w:sz w:val="20"/>
                <w:szCs w:val="20"/>
                <w:u w:val="single"/>
              </w:rPr>
            </w:pPr>
          </w:p>
        </w:tc>
      </w:tr>
      <w:tr w:rsidR="00652AC2" w:rsidRPr="007A5455" w:rsidTr="0022676D">
        <w:trPr>
          <w:cantSplit/>
        </w:trPr>
        <w:tc>
          <w:tcPr>
            <w:tcW w:w="9576" w:type="dxa"/>
            <w:gridSpan w:val="2"/>
          </w:tcPr>
          <w:p w:rsidR="00652AC2" w:rsidRPr="007A5455" w:rsidRDefault="00F23EC7" w:rsidP="0022676D">
            <w:pPr>
              <w:pStyle w:val="SCCShortJudgment"/>
              <w:rPr>
                <w:szCs w:val="20"/>
              </w:rPr>
            </w:pPr>
            <w:r w:rsidRPr="007A5455">
              <w:t>The application for leave to appeal from the judgment of the Court of Appeal for Ontario, Number C59942, 2015 ONCA 441, dated June 17, 2015, is granted with costs in the cause.</w:t>
            </w:r>
          </w:p>
          <w:p w:rsidR="00652AC2" w:rsidRPr="007A5455" w:rsidRDefault="00652AC2" w:rsidP="0022676D">
            <w:pPr>
              <w:pStyle w:val="SCCShortJudgment"/>
              <w:ind w:firstLine="0"/>
              <w:rPr>
                <w:szCs w:val="20"/>
              </w:rPr>
            </w:pPr>
          </w:p>
          <w:p w:rsidR="00652AC2" w:rsidRPr="007A5455" w:rsidRDefault="00F23EC7" w:rsidP="00F23EC7">
            <w:pPr>
              <w:pStyle w:val="SCCShortJudgment"/>
              <w:rPr>
                <w:szCs w:val="20"/>
                <w:lang w:val="fr-CA"/>
              </w:rPr>
            </w:pPr>
            <w:r w:rsidRPr="007A5455">
              <w:rPr>
                <w:lang w:val="fr-CA"/>
              </w:rPr>
              <w:t>La demande d’autorisation d’appel de l’arrêt de la Cour d’appel de l’Ontario, numéro C59942, 2015 ONCA 441, daté du 17 juin 2015, est accueillie avec dépens selon l’issue de la cause.</w:t>
            </w:r>
          </w:p>
        </w:tc>
      </w:tr>
    </w:tbl>
    <w:p w:rsidR="00652AC2" w:rsidRPr="007A5455" w:rsidRDefault="00652AC2" w:rsidP="00652AC2">
      <w:pPr>
        <w:rPr>
          <w:sz w:val="20"/>
          <w:szCs w:val="20"/>
          <w:lang w:val="fr-CA"/>
        </w:rPr>
      </w:pPr>
    </w:p>
    <w:p w:rsidR="00652AC2" w:rsidRPr="007A5455" w:rsidRDefault="00652AC2" w:rsidP="00652AC2">
      <w:pPr>
        <w:rPr>
          <w:sz w:val="20"/>
          <w:szCs w:val="20"/>
          <w:u w:val="single"/>
        </w:rPr>
      </w:pPr>
      <w:r w:rsidRPr="007A5455">
        <w:rPr>
          <w:sz w:val="20"/>
          <w:szCs w:val="20"/>
          <w:u w:val="single"/>
        </w:rPr>
        <w:t>CASE SUMMARY</w:t>
      </w:r>
    </w:p>
    <w:p w:rsidR="00652AC2" w:rsidRPr="007A5455" w:rsidRDefault="00652AC2" w:rsidP="00652A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71F1" w:rsidRPr="007A5455" w:rsidTr="0022676D">
        <w:tc>
          <w:tcPr>
            <w:tcW w:w="5000" w:type="pct"/>
            <w:gridSpan w:val="3"/>
          </w:tcPr>
          <w:p w:rsidR="001571F1" w:rsidRPr="007A5455" w:rsidRDefault="001571F1" w:rsidP="001571F1">
            <w:pPr>
              <w:jc w:val="both"/>
              <w:rPr>
                <w:sz w:val="20"/>
                <w:szCs w:val="20"/>
              </w:rPr>
            </w:pPr>
            <w:r w:rsidRPr="007A5455">
              <w:rPr>
                <w:sz w:val="20"/>
                <w:szCs w:val="20"/>
              </w:rPr>
              <w:t>Commercial law – Corporations – Taxation – Rectification of corporate records – Rectification to change documentation relating to internal unilateral share redemption – Whether the equitable remedy of rectification may be used to replace one transaction with another to obtain intended tax consequences.</w:t>
            </w:r>
          </w:p>
          <w:p w:rsidR="006B1804" w:rsidRPr="007A5455" w:rsidRDefault="006B1804" w:rsidP="001571F1">
            <w:pPr>
              <w:jc w:val="both"/>
              <w:rPr>
                <w:sz w:val="20"/>
                <w:szCs w:val="20"/>
              </w:rPr>
            </w:pPr>
          </w:p>
        </w:tc>
      </w:tr>
      <w:tr w:rsidR="001571F1" w:rsidRPr="007A5455" w:rsidTr="0022676D">
        <w:tc>
          <w:tcPr>
            <w:tcW w:w="5000" w:type="pct"/>
            <w:gridSpan w:val="3"/>
          </w:tcPr>
          <w:p w:rsidR="001571F1" w:rsidRPr="007A5455" w:rsidRDefault="001571F1" w:rsidP="001571F1">
            <w:pPr>
              <w:jc w:val="both"/>
              <w:rPr>
                <w:sz w:val="20"/>
                <w:szCs w:val="20"/>
              </w:rPr>
            </w:pPr>
            <w:r w:rsidRPr="007A5455">
              <w:rPr>
                <w:sz w:val="20"/>
                <w:szCs w:val="20"/>
              </w:rPr>
              <w:t>The Respondents were involved in the financing of Legacy Hotel’s purchase of two American hotels in return for obtaining management rights. The arrangement resulted in reciprocal loans rendered neutral for accounting purposes and Fairmont’s global operations were acquired and its shares ceased to be publicly traded. As the acquisition would cause Fairmont to realize a deemed foreign exchange loss, the purchasers agreed to a modified plan in which Fairmont realized its accrued foreign exchange gains and losses and allowed its foreign exchange exposure to be hedged. The plan, however, did not address the foreign exchange exposure of the Canadian affiliates. In 2007, Legacy wished to terminate the reciprocal loan arrangements to allow the sale of the hotels. Consequently, the Respondents redeemed their preferred shares under the mistaken assumption that the original arrangement was still in place. The redemptions triggered taxable foreign exchange gains. The transactions were reported as if the original 2006 foreign exchange plan had been implemented. The mistake was learned after the CRA undertook an audit. The Respondents sought the equitable remedy of rectification to change the documentation relating to the share redemption to reflect that the transaction was intended to occur on a tax-free basis without the triggering of a taxable foreign exchange gain.</w:t>
            </w:r>
          </w:p>
          <w:p w:rsidR="001571F1" w:rsidRPr="007A5455" w:rsidRDefault="001571F1" w:rsidP="001571F1">
            <w:pPr>
              <w:jc w:val="both"/>
              <w:rPr>
                <w:sz w:val="20"/>
                <w:szCs w:val="20"/>
              </w:rPr>
            </w:pPr>
          </w:p>
        </w:tc>
      </w:tr>
      <w:tr w:rsidR="001571F1" w:rsidRPr="007A5455" w:rsidTr="0022676D">
        <w:tc>
          <w:tcPr>
            <w:tcW w:w="2427" w:type="pct"/>
          </w:tcPr>
          <w:p w:rsidR="001571F1" w:rsidRPr="007A5455" w:rsidRDefault="001571F1" w:rsidP="001571F1">
            <w:pPr>
              <w:jc w:val="both"/>
              <w:rPr>
                <w:sz w:val="20"/>
                <w:szCs w:val="20"/>
              </w:rPr>
            </w:pPr>
            <w:r w:rsidRPr="007A5455">
              <w:rPr>
                <w:sz w:val="20"/>
                <w:szCs w:val="20"/>
              </w:rPr>
              <w:t>December 19, 2014</w:t>
            </w:r>
          </w:p>
          <w:p w:rsidR="001571F1" w:rsidRPr="007A5455" w:rsidRDefault="001571F1" w:rsidP="001571F1">
            <w:pPr>
              <w:jc w:val="both"/>
              <w:rPr>
                <w:sz w:val="20"/>
                <w:szCs w:val="20"/>
              </w:rPr>
            </w:pPr>
            <w:r w:rsidRPr="007A5455">
              <w:rPr>
                <w:sz w:val="20"/>
                <w:szCs w:val="20"/>
              </w:rPr>
              <w:t>Ontario Superior Court of Justice</w:t>
            </w:r>
          </w:p>
          <w:p w:rsidR="001571F1" w:rsidRPr="007A5455" w:rsidRDefault="001571F1" w:rsidP="001571F1">
            <w:pPr>
              <w:jc w:val="both"/>
              <w:rPr>
                <w:sz w:val="20"/>
                <w:szCs w:val="20"/>
              </w:rPr>
            </w:pPr>
            <w:r w:rsidRPr="007A5455">
              <w:rPr>
                <w:sz w:val="20"/>
                <w:szCs w:val="20"/>
              </w:rPr>
              <w:t>(</w:t>
            </w:r>
            <w:proofErr w:type="spellStart"/>
            <w:r w:rsidRPr="007A5455">
              <w:rPr>
                <w:sz w:val="20"/>
                <w:szCs w:val="20"/>
              </w:rPr>
              <w:t>Newbould</w:t>
            </w:r>
            <w:proofErr w:type="spellEnd"/>
            <w:r w:rsidRPr="007A5455">
              <w:rPr>
                <w:sz w:val="20"/>
                <w:szCs w:val="20"/>
              </w:rPr>
              <w:t xml:space="preserve"> S.C.J.)</w:t>
            </w:r>
          </w:p>
          <w:p w:rsidR="001571F1" w:rsidRPr="007A5455" w:rsidRDefault="001F68BE" w:rsidP="001571F1">
            <w:pPr>
              <w:rPr>
                <w:rFonts w:eastAsia="Times New Roman" w:cs="Times New Roman"/>
                <w:sz w:val="20"/>
                <w:szCs w:val="20"/>
                <w:lang w:eastAsia="en-CA"/>
              </w:rPr>
            </w:pPr>
            <w:hyperlink r:id="rId58" w:history="1">
              <w:r w:rsidR="001571F1" w:rsidRPr="007A5455">
                <w:rPr>
                  <w:rFonts w:eastAsia="Times New Roman" w:cs="Times New Roman"/>
                  <w:color w:val="0000FF" w:themeColor="hyperlink"/>
                  <w:sz w:val="20"/>
                  <w:szCs w:val="20"/>
                  <w:u w:val="single"/>
                  <w:lang w:eastAsia="en-CA"/>
                </w:rPr>
                <w:t>2014 ONSC 7302</w:t>
              </w:r>
            </w:hyperlink>
          </w:p>
          <w:p w:rsidR="001571F1" w:rsidRPr="007A5455" w:rsidRDefault="001571F1" w:rsidP="001571F1">
            <w:pPr>
              <w:jc w:val="both"/>
              <w:rPr>
                <w:sz w:val="20"/>
                <w:szCs w:val="20"/>
              </w:rPr>
            </w:pPr>
          </w:p>
        </w:tc>
        <w:tc>
          <w:tcPr>
            <w:tcW w:w="243" w:type="pct"/>
          </w:tcPr>
          <w:p w:rsidR="001571F1" w:rsidRPr="007A5455" w:rsidRDefault="001571F1" w:rsidP="001571F1">
            <w:pPr>
              <w:jc w:val="both"/>
              <w:rPr>
                <w:sz w:val="20"/>
                <w:szCs w:val="20"/>
              </w:rPr>
            </w:pPr>
          </w:p>
        </w:tc>
        <w:tc>
          <w:tcPr>
            <w:tcW w:w="2330" w:type="pct"/>
          </w:tcPr>
          <w:p w:rsidR="001571F1" w:rsidRPr="007A5455" w:rsidRDefault="001571F1" w:rsidP="001571F1">
            <w:pPr>
              <w:jc w:val="both"/>
              <w:rPr>
                <w:rFonts w:eastAsia="Times New Roman" w:cs="Times New Roman"/>
                <w:sz w:val="20"/>
                <w:szCs w:val="20"/>
                <w:lang w:eastAsia="en-CA"/>
              </w:rPr>
            </w:pPr>
            <w:r w:rsidRPr="007A5455">
              <w:rPr>
                <w:rFonts w:eastAsia="Times New Roman" w:cs="Times New Roman"/>
                <w:sz w:val="20"/>
                <w:szCs w:val="20"/>
                <w:lang w:eastAsia="en-CA"/>
              </w:rPr>
              <w:t>Equitable remedy of rectification granted to the Respondents</w:t>
            </w:r>
          </w:p>
          <w:p w:rsidR="001571F1" w:rsidRPr="007A5455" w:rsidRDefault="001571F1" w:rsidP="001571F1">
            <w:pPr>
              <w:jc w:val="both"/>
              <w:rPr>
                <w:sz w:val="20"/>
                <w:szCs w:val="20"/>
              </w:rPr>
            </w:pPr>
          </w:p>
          <w:p w:rsidR="001571F1" w:rsidRPr="007A5455" w:rsidRDefault="001571F1" w:rsidP="001571F1">
            <w:pPr>
              <w:jc w:val="both"/>
              <w:rPr>
                <w:sz w:val="20"/>
                <w:szCs w:val="20"/>
              </w:rPr>
            </w:pPr>
          </w:p>
        </w:tc>
      </w:tr>
      <w:tr w:rsidR="001571F1" w:rsidRPr="007A5455" w:rsidTr="0022676D">
        <w:tc>
          <w:tcPr>
            <w:tcW w:w="2427" w:type="pct"/>
          </w:tcPr>
          <w:p w:rsidR="001571F1" w:rsidRPr="007A5455" w:rsidRDefault="001571F1" w:rsidP="001571F1">
            <w:pPr>
              <w:jc w:val="both"/>
              <w:rPr>
                <w:sz w:val="20"/>
                <w:szCs w:val="20"/>
              </w:rPr>
            </w:pPr>
            <w:r w:rsidRPr="007A5455">
              <w:rPr>
                <w:sz w:val="20"/>
                <w:szCs w:val="20"/>
              </w:rPr>
              <w:t>June 17, 2015</w:t>
            </w:r>
          </w:p>
          <w:p w:rsidR="001571F1" w:rsidRPr="007A5455" w:rsidRDefault="001571F1" w:rsidP="001571F1">
            <w:pPr>
              <w:jc w:val="both"/>
              <w:rPr>
                <w:sz w:val="20"/>
                <w:szCs w:val="20"/>
              </w:rPr>
            </w:pPr>
            <w:r w:rsidRPr="007A5455">
              <w:rPr>
                <w:sz w:val="20"/>
                <w:szCs w:val="20"/>
              </w:rPr>
              <w:t>Court of Appeal for Ontario</w:t>
            </w:r>
          </w:p>
          <w:p w:rsidR="001571F1" w:rsidRPr="007A5455" w:rsidRDefault="001571F1" w:rsidP="001571F1">
            <w:pPr>
              <w:jc w:val="both"/>
              <w:rPr>
                <w:sz w:val="20"/>
                <w:szCs w:val="20"/>
              </w:rPr>
            </w:pPr>
            <w:r w:rsidRPr="007A5455">
              <w:rPr>
                <w:sz w:val="20"/>
                <w:szCs w:val="20"/>
              </w:rPr>
              <w:t>(Simmons, Cronk and Blair Robert JJ.A.)</w:t>
            </w:r>
          </w:p>
          <w:p w:rsidR="001571F1" w:rsidRPr="007A5455" w:rsidRDefault="001F68BE" w:rsidP="001571F1">
            <w:pPr>
              <w:rPr>
                <w:rFonts w:eastAsia="Times New Roman" w:cs="Times New Roman"/>
                <w:sz w:val="20"/>
                <w:szCs w:val="20"/>
                <w:lang w:eastAsia="en-CA"/>
              </w:rPr>
            </w:pPr>
            <w:hyperlink r:id="rId59" w:history="1">
              <w:r w:rsidR="001571F1" w:rsidRPr="007A5455">
                <w:rPr>
                  <w:rFonts w:eastAsia="Times New Roman" w:cs="Times New Roman"/>
                  <w:color w:val="0000FF" w:themeColor="hyperlink"/>
                  <w:sz w:val="20"/>
                  <w:szCs w:val="20"/>
                  <w:u w:val="single"/>
                  <w:lang w:eastAsia="en-CA"/>
                </w:rPr>
                <w:t>2015 ONCA 441</w:t>
              </w:r>
            </w:hyperlink>
          </w:p>
          <w:p w:rsidR="001571F1" w:rsidRPr="007A5455" w:rsidRDefault="001571F1" w:rsidP="001571F1">
            <w:pPr>
              <w:jc w:val="both"/>
              <w:rPr>
                <w:sz w:val="20"/>
                <w:szCs w:val="20"/>
              </w:rPr>
            </w:pPr>
          </w:p>
        </w:tc>
        <w:tc>
          <w:tcPr>
            <w:tcW w:w="243" w:type="pct"/>
          </w:tcPr>
          <w:p w:rsidR="001571F1" w:rsidRPr="007A5455" w:rsidRDefault="001571F1" w:rsidP="001571F1">
            <w:pPr>
              <w:jc w:val="both"/>
              <w:rPr>
                <w:sz w:val="20"/>
                <w:szCs w:val="20"/>
              </w:rPr>
            </w:pPr>
          </w:p>
        </w:tc>
        <w:tc>
          <w:tcPr>
            <w:tcW w:w="2330" w:type="pct"/>
          </w:tcPr>
          <w:p w:rsidR="001571F1" w:rsidRPr="007A5455" w:rsidRDefault="001571F1" w:rsidP="001571F1">
            <w:pPr>
              <w:jc w:val="both"/>
              <w:rPr>
                <w:sz w:val="20"/>
                <w:szCs w:val="20"/>
              </w:rPr>
            </w:pPr>
            <w:r w:rsidRPr="007A5455">
              <w:rPr>
                <w:sz w:val="20"/>
                <w:szCs w:val="20"/>
              </w:rPr>
              <w:t>Appeal dismissed</w:t>
            </w:r>
          </w:p>
          <w:p w:rsidR="001571F1" w:rsidRPr="007A5455" w:rsidRDefault="001571F1" w:rsidP="001571F1">
            <w:pPr>
              <w:jc w:val="both"/>
              <w:rPr>
                <w:sz w:val="20"/>
                <w:szCs w:val="20"/>
              </w:rPr>
            </w:pPr>
          </w:p>
        </w:tc>
      </w:tr>
      <w:tr w:rsidR="001571F1" w:rsidRPr="007A5455" w:rsidTr="0022676D">
        <w:tc>
          <w:tcPr>
            <w:tcW w:w="2427" w:type="pct"/>
          </w:tcPr>
          <w:p w:rsidR="001571F1" w:rsidRPr="007A5455" w:rsidRDefault="001571F1" w:rsidP="001571F1">
            <w:pPr>
              <w:jc w:val="both"/>
              <w:rPr>
                <w:sz w:val="20"/>
                <w:szCs w:val="20"/>
              </w:rPr>
            </w:pPr>
            <w:r w:rsidRPr="007A5455">
              <w:rPr>
                <w:sz w:val="20"/>
                <w:szCs w:val="20"/>
              </w:rPr>
              <w:t>September 11, 2015</w:t>
            </w:r>
          </w:p>
          <w:p w:rsidR="001571F1" w:rsidRPr="007A5455" w:rsidRDefault="001571F1" w:rsidP="006F212F">
            <w:pPr>
              <w:jc w:val="both"/>
              <w:rPr>
                <w:sz w:val="20"/>
                <w:szCs w:val="20"/>
              </w:rPr>
            </w:pPr>
            <w:r w:rsidRPr="007A5455">
              <w:rPr>
                <w:sz w:val="20"/>
                <w:szCs w:val="20"/>
              </w:rPr>
              <w:t>Supreme Court of Canada</w:t>
            </w:r>
          </w:p>
        </w:tc>
        <w:tc>
          <w:tcPr>
            <w:tcW w:w="243" w:type="pct"/>
          </w:tcPr>
          <w:p w:rsidR="001571F1" w:rsidRPr="007A5455" w:rsidRDefault="001571F1" w:rsidP="001571F1">
            <w:pPr>
              <w:jc w:val="both"/>
              <w:rPr>
                <w:sz w:val="20"/>
                <w:szCs w:val="20"/>
              </w:rPr>
            </w:pPr>
          </w:p>
        </w:tc>
        <w:tc>
          <w:tcPr>
            <w:tcW w:w="2330" w:type="pct"/>
          </w:tcPr>
          <w:p w:rsidR="001571F1" w:rsidRPr="007A5455" w:rsidRDefault="001571F1" w:rsidP="001571F1">
            <w:pPr>
              <w:jc w:val="both"/>
              <w:rPr>
                <w:sz w:val="20"/>
                <w:szCs w:val="20"/>
              </w:rPr>
            </w:pPr>
            <w:r w:rsidRPr="007A5455">
              <w:rPr>
                <w:sz w:val="20"/>
                <w:szCs w:val="20"/>
              </w:rPr>
              <w:t>Application for leave to appeal filed</w:t>
            </w:r>
          </w:p>
          <w:p w:rsidR="001571F1" w:rsidRPr="007A5455" w:rsidRDefault="001571F1" w:rsidP="001571F1">
            <w:pPr>
              <w:jc w:val="both"/>
              <w:rPr>
                <w:sz w:val="20"/>
                <w:szCs w:val="20"/>
              </w:rPr>
            </w:pPr>
          </w:p>
        </w:tc>
      </w:tr>
    </w:tbl>
    <w:p w:rsidR="001571F1" w:rsidRPr="007A5455" w:rsidRDefault="001571F1" w:rsidP="00652AC2">
      <w:pPr>
        <w:rPr>
          <w:sz w:val="20"/>
          <w:szCs w:val="20"/>
        </w:rPr>
      </w:pPr>
    </w:p>
    <w:p w:rsidR="00652AC2" w:rsidRPr="007A5455" w:rsidRDefault="001F68BE" w:rsidP="00652AC2">
      <w:pPr>
        <w:rPr>
          <w:sz w:val="20"/>
          <w:szCs w:val="20"/>
        </w:rPr>
      </w:pPr>
      <w:r>
        <w:rPr>
          <w:sz w:val="20"/>
          <w:szCs w:val="20"/>
          <w:lang w:val="fr-CA"/>
        </w:rPr>
        <w:pict>
          <v:rect id="_x0000_i1058" style="width:2in;height:1pt" o:hrpct="0" o:hralign="center" o:hrstd="t" o:hrnoshade="t" o:hr="t" fillcolor="black [3213]" stroked="f"/>
        </w:pict>
      </w:r>
    </w:p>
    <w:p w:rsidR="008C60BF" w:rsidRPr="007A5455" w:rsidRDefault="008C60BF">
      <w:pPr>
        <w:rPr>
          <w:sz w:val="20"/>
          <w:szCs w:val="20"/>
        </w:rPr>
      </w:pPr>
      <w:r w:rsidRPr="007A5455">
        <w:rPr>
          <w:sz w:val="20"/>
          <w:szCs w:val="20"/>
        </w:rPr>
        <w:br w:type="page"/>
      </w:r>
    </w:p>
    <w:p w:rsidR="00652AC2" w:rsidRPr="007A5455" w:rsidRDefault="00652AC2" w:rsidP="00652AC2">
      <w:pPr>
        <w:rPr>
          <w:sz w:val="20"/>
          <w:szCs w:val="20"/>
          <w:u w:val="single"/>
          <w:lang w:val="fr-CA"/>
        </w:rPr>
      </w:pPr>
      <w:r w:rsidRPr="007A5455">
        <w:rPr>
          <w:sz w:val="20"/>
          <w:szCs w:val="20"/>
          <w:u w:val="single"/>
          <w:lang w:val="fr-CA"/>
        </w:rPr>
        <w:lastRenderedPageBreak/>
        <w:t>RÉSUMÉ DE L’AFFAIRE</w:t>
      </w:r>
    </w:p>
    <w:p w:rsidR="00652AC2" w:rsidRPr="007A5455" w:rsidRDefault="00652AC2" w:rsidP="00652A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212F" w:rsidRPr="007A5455" w:rsidTr="0022676D">
        <w:tc>
          <w:tcPr>
            <w:tcW w:w="5000" w:type="pct"/>
            <w:gridSpan w:val="3"/>
          </w:tcPr>
          <w:p w:rsidR="006F212F" w:rsidRPr="007A5455" w:rsidRDefault="006F212F" w:rsidP="006F212F">
            <w:pPr>
              <w:jc w:val="both"/>
              <w:rPr>
                <w:sz w:val="20"/>
                <w:szCs w:val="20"/>
                <w:lang w:val="fr-CA"/>
              </w:rPr>
            </w:pPr>
            <w:r w:rsidRPr="007A5455">
              <w:rPr>
                <w:sz w:val="20"/>
                <w:szCs w:val="20"/>
                <w:lang w:val="fr-CA"/>
              </w:rPr>
              <w:t xml:space="preserve">Droit commercial – Sociétés par actions – Droit fiscal – Rectification de documents d’entreprise – Rectification effectuée pour modifier des documents relatifs au rachat unilatéral interne d’actions – La réparation en </w:t>
            </w:r>
            <w:proofErr w:type="spellStart"/>
            <w:r w:rsidRPr="007A5455">
              <w:rPr>
                <w:sz w:val="20"/>
                <w:szCs w:val="20"/>
                <w:lang w:val="fr-CA"/>
              </w:rPr>
              <w:t>equity</w:t>
            </w:r>
            <w:proofErr w:type="spellEnd"/>
            <w:r w:rsidRPr="007A5455">
              <w:rPr>
                <w:sz w:val="20"/>
                <w:szCs w:val="20"/>
                <w:lang w:val="fr-CA"/>
              </w:rPr>
              <w:t xml:space="preserve"> que constitue la rectification peut-elle être utilisée pour remplacer une opération par une autre afin d’obtenir les conséquences fiscales voulues?</w:t>
            </w:r>
          </w:p>
          <w:p w:rsidR="006F212F" w:rsidRPr="007A5455" w:rsidRDefault="006F212F" w:rsidP="006F212F">
            <w:pPr>
              <w:jc w:val="both"/>
              <w:rPr>
                <w:sz w:val="20"/>
                <w:szCs w:val="20"/>
                <w:lang w:val="fr-CA"/>
              </w:rPr>
            </w:pPr>
          </w:p>
        </w:tc>
      </w:tr>
      <w:tr w:rsidR="006F212F" w:rsidRPr="007A5455" w:rsidTr="0022676D">
        <w:tc>
          <w:tcPr>
            <w:tcW w:w="5000" w:type="pct"/>
            <w:gridSpan w:val="3"/>
          </w:tcPr>
          <w:p w:rsidR="006F212F" w:rsidRPr="007A5455" w:rsidRDefault="006F212F" w:rsidP="006F212F">
            <w:pPr>
              <w:jc w:val="both"/>
              <w:rPr>
                <w:sz w:val="20"/>
                <w:szCs w:val="20"/>
                <w:lang w:val="fr-CA"/>
              </w:rPr>
            </w:pPr>
            <w:r w:rsidRPr="007A5455">
              <w:rPr>
                <w:sz w:val="20"/>
                <w:szCs w:val="20"/>
                <w:lang w:val="fr-CA"/>
              </w:rPr>
              <w:t xml:space="preserve">Les intimés ont participé au financement de l’achat, par </w:t>
            </w:r>
            <w:proofErr w:type="spellStart"/>
            <w:r w:rsidRPr="007A5455">
              <w:rPr>
                <w:sz w:val="20"/>
                <w:szCs w:val="20"/>
                <w:lang w:val="fr-CA"/>
              </w:rPr>
              <w:t>Legacy</w:t>
            </w:r>
            <w:proofErr w:type="spellEnd"/>
            <w:r w:rsidRPr="007A5455">
              <w:rPr>
                <w:sz w:val="20"/>
                <w:szCs w:val="20"/>
                <w:lang w:val="fr-CA"/>
              </w:rPr>
              <w:t xml:space="preserve"> </w:t>
            </w:r>
            <w:proofErr w:type="spellStart"/>
            <w:r w:rsidRPr="007A5455">
              <w:rPr>
                <w:sz w:val="20"/>
                <w:szCs w:val="20"/>
                <w:lang w:val="fr-CA"/>
              </w:rPr>
              <w:t>Hotel</w:t>
            </w:r>
            <w:proofErr w:type="spellEnd"/>
            <w:r w:rsidRPr="007A5455">
              <w:rPr>
                <w:sz w:val="20"/>
                <w:szCs w:val="20"/>
                <w:lang w:val="fr-CA"/>
              </w:rPr>
              <w:t xml:space="preserve">, de deux hôtels américains en contrepartie de droits de gestion. Le montage financier a donné lieu à des prêts réciproques rendus neutres sur le plan fiscal, les opérations mondiales de Fairmont ont été acquises et ses actions ont cessé d’être négociées sur le marché. Puisque l’acquisition amènerait Fairmont à réaliser une perte sur change présumée, les acquéreurs ont accepté un projet modifié par lequel Fairmont réalisait ses gains et pertes sur change accumulés et qui permettait la couverture de sa position de change. Toutefois, le projet ne traitait pas la position de change des membres canadiens du groupe. En 2007, </w:t>
            </w:r>
            <w:proofErr w:type="spellStart"/>
            <w:r w:rsidRPr="007A5455">
              <w:rPr>
                <w:sz w:val="20"/>
                <w:szCs w:val="20"/>
                <w:lang w:val="fr-CA"/>
              </w:rPr>
              <w:t>Legacy</w:t>
            </w:r>
            <w:proofErr w:type="spellEnd"/>
            <w:r w:rsidRPr="007A5455">
              <w:rPr>
                <w:sz w:val="20"/>
                <w:szCs w:val="20"/>
                <w:lang w:val="fr-CA"/>
              </w:rPr>
              <w:t xml:space="preserve"> a voulu résilier les montages financiers réciproques pour permettre la vente des hôtels. En conséquence, les intimés ont racheté leurs actions privilégiées en présumant à tort que le montage initial était toujours en vigueur. Les rachats ont engendré des gains sur change imposables. Les opérations ont été déclarées comme si le projet de change initial de 2006 avait été mis en œuvre. L’erreur a été découverte après une vérification de l’ARC. Les intimés ont sollicité la réparation en </w:t>
            </w:r>
            <w:proofErr w:type="spellStart"/>
            <w:r w:rsidRPr="007A5455">
              <w:rPr>
                <w:sz w:val="20"/>
                <w:szCs w:val="20"/>
                <w:lang w:val="fr-CA"/>
              </w:rPr>
              <w:t>equity</w:t>
            </w:r>
            <w:proofErr w:type="spellEnd"/>
            <w:r w:rsidRPr="007A5455">
              <w:rPr>
                <w:sz w:val="20"/>
                <w:szCs w:val="20"/>
                <w:lang w:val="fr-CA"/>
              </w:rPr>
              <w:t xml:space="preserve"> que constitue la rectification pour modifier les documents relatifs au rachat des actions pour refléter que l’opération était censée se produire en franchise d’impôt, sans engendrer de gain sur change imposable.</w:t>
            </w:r>
          </w:p>
          <w:p w:rsidR="006F212F" w:rsidRPr="007A5455" w:rsidRDefault="006F212F" w:rsidP="006F212F">
            <w:pPr>
              <w:jc w:val="both"/>
              <w:rPr>
                <w:sz w:val="20"/>
                <w:szCs w:val="20"/>
                <w:lang w:val="fr-CA"/>
              </w:rPr>
            </w:pPr>
          </w:p>
        </w:tc>
      </w:tr>
      <w:tr w:rsidR="006F212F" w:rsidRPr="007A5455" w:rsidTr="0022676D">
        <w:tc>
          <w:tcPr>
            <w:tcW w:w="2427" w:type="pct"/>
          </w:tcPr>
          <w:p w:rsidR="006F212F" w:rsidRPr="007A5455" w:rsidRDefault="006F212F" w:rsidP="006F212F">
            <w:pPr>
              <w:jc w:val="both"/>
              <w:rPr>
                <w:sz w:val="20"/>
                <w:szCs w:val="20"/>
                <w:lang w:val="fr-CA"/>
              </w:rPr>
            </w:pPr>
            <w:r w:rsidRPr="007A5455">
              <w:rPr>
                <w:sz w:val="20"/>
                <w:szCs w:val="20"/>
                <w:lang w:val="fr-CA"/>
              </w:rPr>
              <w:t>19 décembre 2014</w:t>
            </w:r>
          </w:p>
          <w:p w:rsidR="006F212F" w:rsidRPr="007A5455" w:rsidRDefault="006F212F" w:rsidP="006F212F">
            <w:pPr>
              <w:jc w:val="both"/>
              <w:rPr>
                <w:sz w:val="20"/>
                <w:szCs w:val="20"/>
                <w:lang w:val="fr-CA"/>
              </w:rPr>
            </w:pPr>
            <w:r w:rsidRPr="007A5455">
              <w:rPr>
                <w:sz w:val="20"/>
                <w:szCs w:val="20"/>
                <w:lang w:val="fr-CA"/>
              </w:rPr>
              <w:t>Cour supérieure de justice de l’Ontario</w:t>
            </w:r>
          </w:p>
          <w:p w:rsidR="006F212F" w:rsidRPr="007A5455" w:rsidRDefault="006F212F" w:rsidP="006F212F">
            <w:pPr>
              <w:jc w:val="both"/>
              <w:rPr>
                <w:sz w:val="20"/>
                <w:szCs w:val="20"/>
                <w:lang w:val="fr-CA"/>
              </w:rPr>
            </w:pPr>
            <w:r w:rsidRPr="007A5455">
              <w:rPr>
                <w:sz w:val="20"/>
                <w:szCs w:val="20"/>
                <w:lang w:val="fr-CA"/>
              </w:rPr>
              <w:t xml:space="preserve">(Juge en chef </w:t>
            </w:r>
            <w:proofErr w:type="spellStart"/>
            <w:r w:rsidRPr="007A5455">
              <w:rPr>
                <w:sz w:val="20"/>
                <w:szCs w:val="20"/>
                <w:lang w:val="fr-CA"/>
              </w:rPr>
              <w:t>Newbould</w:t>
            </w:r>
            <w:proofErr w:type="spellEnd"/>
            <w:r w:rsidRPr="007A5455">
              <w:rPr>
                <w:sz w:val="20"/>
                <w:szCs w:val="20"/>
                <w:lang w:val="fr-CA"/>
              </w:rPr>
              <w:t>)</w:t>
            </w:r>
          </w:p>
          <w:p w:rsidR="006F212F" w:rsidRPr="007A5455" w:rsidRDefault="001F68BE" w:rsidP="006F212F">
            <w:pPr>
              <w:rPr>
                <w:rFonts w:eastAsia="Times New Roman" w:cs="Times New Roman"/>
                <w:sz w:val="20"/>
                <w:szCs w:val="20"/>
                <w:lang w:val="fr-CA" w:eastAsia="en-CA"/>
              </w:rPr>
            </w:pPr>
            <w:hyperlink r:id="rId60" w:history="1">
              <w:r w:rsidR="006F212F" w:rsidRPr="007A5455">
                <w:rPr>
                  <w:rFonts w:eastAsia="Times New Roman" w:cs="Times New Roman"/>
                  <w:color w:val="0000FF" w:themeColor="hyperlink"/>
                  <w:sz w:val="20"/>
                  <w:szCs w:val="20"/>
                  <w:u w:val="single"/>
                  <w:lang w:val="fr-CA" w:eastAsia="en-CA"/>
                </w:rPr>
                <w:t>2014 ONSC 7302</w:t>
              </w:r>
            </w:hyperlink>
          </w:p>
          <w:p w:rsidR="006F212F" w:rsidRPr="007A5455" w:rsidRDefault="006F212F" w:rsidP="006F212F">
            <w:pPr>
              <w:jc w:val="both"/>
              <w:rPr>
                <w:sz w:val="20"/>
                <w:szCs w:val="20"/>
                <w:lang w:val="fr-CA"/>
              </w:rPr>
            </w:pPr>
          </w:p>
        </w:tc>
        <w:tc>
          <w:tcPr>
            <w:tcW w:w="243" w:type="pct"/>
          </w:tcPr>
          <w:p w:rsidR="006F212F" w:rsidRPr="007A5455" w:rsidRDefault="006F212F" w:rsidP="006F212F">
            <w:pPr>
              <w:jc w:val="both"/>
              <w:rPr>
                <w:sz w:val="20"/>
                <w:szCs w:val="20"/>
                <w:lang w:val="fr-CA"/>
              </w:rPr>
            </w:pPr>
          </w:p>
        </w:tc>
        <w:tc>
          <w:tcPr>
            <w:tcW w:w="2330" w:type="pct"/>
          </w:tcPr>
          <w:p w:rsidR="006F212F" w:rsidRPr="007A5455" w:rsidRDefault="006F212F" w:rsidP="006F212F">
            <w:pPr>
              <w:jc w:val="both"/>
              <w:rPr>
                <w:rFonts w:eastAsia="Times New Roman" w:cs="Times New Roman"/>
                <w:sz w:val="20"/>
                <w:szCs w:val="20"/>
                <w:lang w:val="fr-CA" w:eastAsia="en-CA"/>
              </w:rPr>
            </w:pPr>
            <w:r w:rsidRPr="007A5455">
              <w:rPr>
                <w:rFonts w:eastAsia="Times New Roman" w:cs="Times New Roman"/>
                <w:sz w:val="20"/>
                <w:szCs w:val="20"/>
                <w:lang w:val="fr-CA" w:eastAsia="en-CA"/>
              </w:rPr>
              <w:t xml:space="preserve">Jugement accordant aux intimés la réparation en </w:t>
            </w:r>
            <w:proofErr w:type="spellStart"/>
            <w:r w:rsidRPr="007A5455">
              <w:rPr>
                <w:rFonts w:eastAsia="Times New Roman" w:cs="Times New Roman"/>
                <w:sz w:val="20"/>
                <w:szCs w:val="20"/>
                <w:lang w:val="fr-CA" w:eastAsia="en-CA"/>
              </w:rPr>
              <w:t>equity</w:t>
            </w:r>
            <w:proofErr w:type="spellEnd"/>
            <w:r w:rsidRPr="007A5455">
              <w:rPr>
                <w:rFonts w:eastAsia="Times New Roman" w:cs="Times New Roman"/>
                <w:sz w:val="20"/>
                <w:szCs w:val="20"/>
                <w:lang w:val="fr-CA" w:eastAsia="en-CA"/>
              </w:rPr>
              <w:t xml:space="preserve"> que constitue la rectification</w:t>
            </w:r>
          </w:p>
          <w:p w:rsidR="006F212F" w:rsidRPr="007A5455" w:rsidRDefault="006F212F" w:rsidP="006F212F">
            <w:pPr>
              <w:jc w:val="both"/>
              <w:rPr>
                <w:sz w:val="20"/>
                <w:szCs w:val="20"/>
                <w:lang w:val="fr-CA"/>
              </w:rPr>
            </w:pPr>
          </w:p>
          <w:p w:rsidR="006F212F" w:rsidRPr="007A5455" w:rsidRDefault="006F212F" w:rsidP="006F212F">
            <w:pPr>
              <w:jc w:val="both"/>
              <w:rPr>
                <w:sz w:val="20"/>
                <w:szCs w:val="20"/>
                <w:lang w:val="fr-CA"/>
              </w:rPr>
            </w:pPr>
          </w:p>
        </w:tc>
      </w:tr>
      <w:tr w:rsidR="006F212F" w:rsidRPr="007A5455" w:rsidTr="0022676D">
        <w:tc>
          <w:tcPr>
            <w:tcW w:w="2427" w:type="pct"/>
          </w:tcPr>
          <w:p w:rsidR="006F212F" w:rsidRPr="007A5455" w:rsidRDefault="006F212F" w:rsidP="006F212F">
            <w:pPr>
              <w:jc w:val="both"/>
              <w:rPr>
                <w:sz w:val="20"/>
                <w:szCs w:val="20"/>
                <w:lang w:val="fr-CA"/>
              </w:rPr>
            </w:pPr>
            <w:r w:rsidRPr="007A5455">
              <w:rPr>
                <w:sz w:val="20"/>
                <w:szCs w:val="20"/>
                <w:lang w:val="fr-CA"/>
              </w:rPr>
              <w:t>17 juin 2015</w:t>
            </w:r>
          </w:p>
          <w:p w:rsidR="006F212F" w:rsidRPr="007A5455" w:rsidRDefault="006F212F" w:rsidP="006F212F">
            <w:pPr>
              <w:jc w:val="both"/>
              <w:rPr>
                <w:sz w:val="20"/>
                <w:szCs w:val="20"/>
                <w:lang w:val="fr-CA"/>
              </w:rPr>
            </w:pPr>
            <w:r w:rsidRPr="007A5455">
              <w:rPr>
                <w:sz w:val="20"/>
                <w:szCs w:val="20"/>
                <w:lang w:val="fr-CA"/>
              </w:rPr>
              <w:t>Cour d’appel de l’Ontario</w:t>
            </w:r>
          </w:p>
          <w:p w:rsidR="006F212F" w:rsidRPr="007A5455" w:rsidRDefault="006F212F" w:rsidP="006F212F">
            <w:pPr>
              <w:jc w:val="both"/>
              <w:rPr>
                <w:sz w:val="20"/>
                <w:szCs w:val="20"/>
                <w:lang w:val="fr-CA"/>
              </w:rPr>
            </w:pPr>
            <w:r w:rsidRPr="007A5455">
              <w:rPr>
                <w:sz w:val="20"/>
                <w:szCs w:val="20"/>
                <w:lang w:val="fr-CA"/>
              </w:rPr>
              <w:t xml:space="preserve">(Juges Simmons, </w:t>
            </w:r>
            <w:proofErr w:type="spellStart"/>
            <w:r w:rsidRPr="007A5455">
              <w:rPr>
                <w:sz w:val="20"/>
                <w:szCs w:val="20"/>
                <w:lang w:val="fr-CA"/>
              </w:rPr>
              <w:t>Cronk</w:t>
            </w:r>
            <w:proofErr w:type="spellEnd"/>
            <w:r w:rsidRPr="007A5455">
              <w:rPr>
                <w:sz w:val="20"/>
                <w:szCs w:val="20"/>
                <w:lang w:val="fr-CA"/>
              </w:rPr>
              <w:t xml:space="preserve"> et Blair)</w:t>
            </w:r>
          </w:p>
          <w:p w:rsidR="006F212F" w:rsidRPr="007A5455" w:rsidRDefault="001F68BE" w:rsidP="006F212F">
            <w:pPr>
              <w:rPr>
                <w:rFonts w:eastAsia="Times New Roman" w:cs="Times New Roman"/>
                <w:sz w:val="20"/>
                <w:szCs w:val="20"/>
                <w:lang w:val="fr-CA" w:eastAsia="en-CA"/>
              </w:rPr>
            </w:pPr>
            <w:hyperlink r:id="rId61" w:history="1">
              <w:r w:rsidR="006F212F" w:rsidRPr="007A5455">
                <w:rPr>
                  <w:rFonts w:eastAsia="Times New Roman" w:cs="Times New Roman"/>
                  <w:color w:val="0000FF" w:themeColor="hyperlink"/>
                  <w:sz w:val="20"/>
                  <w:szCs w:val="20"/>
                  <w:u w:val="single"/>
                  <w:lang w:val="fr-CA" w:eastAsia="en-CA"/>
                </w:rPr>
                <w:t>2015 ONCA 441</w:t>
              </w:r>
            </w:hyperlink>
          </w:p>
          <w:p w:rsidR="006F212F" w:rsidRPr="007A5455" w:rsidRDefault="006F212F" w:rsidP="006F212F">
            <w:pPr>
              <w:jc w:val="both"/>
              <w:rPr>
                <w:sz w:val="20"/>
                <w:szCs w:val="20"/>
                <w:lang w:val="fr-CA"/>
              </w:rPr>
            </w:pPr>
          </w:p>
        </w:tc>
        <w:tc>
          <w:tcPr>
            <w:tcW w:w="243" w:type="pct"/>
          </w:tcPr>
          <w:p w:rsidR="006F212F" w:rsidRPr="007A5455" w:rsidRDefault="006F212F" w:rsidP="006F212F">
            <w:pPr>
              <w:jc w:val="both"/>
              <w:rPr>
                <w:sz w:val="20"/>
                <w:szCs w:val="20"/>
                <w:lang w:val="fr-CA"/>
              </w:rPr>
            </w:pPr>
          </w:p>
        </w:tc>
        <w:tc>
          <w:tcPr>
            <w:tcW w:w="2330" w:type="pct"/>
          </w:tcPr>
          <w:p w:rsidR="006F212F" w:rsidRPr="007A5455" w:rsidRDefault="006F212F" w:rsidP="006F212F">
            <w:pPr>
              <w:jc w:val="both"/>
              <w:rPr>
                <w:sz w:val="20"/>
                <w:szCs w:val="20"/>
                <w:lang w:val="fr-CA"/>
              </w:rPr>
            </w:pPr>
            <w:r w:rsidRPr="007A5455">
              <w:rPr>
                <w:sz w:val="20"/>
                <w:szCs w:val="20"/>
                <w:lang w:val="fr-CA"/>
              </w:rPr>
              <w:t>Rejet de l’appel</w:t>
            </w:r>
          </w:p>
          <w:p w:rsidR="006F212F" w:rsidRPr="007A5455" w:rsidRDefault="006F212F" w:rsidP="006F212F">
            <w:pPr>
              <w:jc w:val="both"/>
              <w:rPr>
                <w:sz w:val="20"/>
                <w:szCs w:val="20"/>
                <w:lang w:val="fr-CA"/>
              </w:rPr>
            </w:pPr>
          </w:p>
        </w:tc>
      </w:tr>
      <w:tr w:rsidR="006F212F" w:rsidRPr="007A5455" w:rsidTr="0022676D">
        <w:tc>
          <w:tcPr>
            <w:tcW w:w="2427" w:type="pct"/>
          </w:tcPr>
          <w:p w:rsidR="006F212F" w:rsidRPr="007A5455" w:rsidRDefault="006F212F" w:rsidP="006F212F">
            <w:pPr>
              <w:jc w:val="both"/>
              <w:rPr>
                <w:sz w:val="20"/>
                <w:szCs w:val="20"/>
                <w:lang w:val="fr-CA"/>
              </w:rPr>
            </w:pPr>
            <w:r w:rsidRPr="007A5455">
              <w:rPr>
                <w:sz w:val="20"/>
                <w:szCs w:val="20"/>
                <w:lang w:val="fr-CA"/>
              </w:rPr>
              <w:t>11 septembre 2015</w:t>
            </w:r>
          </w:p>
          <w:p w:rsidR="006F212F" w:rsidRPr="007A5455" w:rsidRDefault="006F212F" w:rsidP="006F212F">
            <w:pPr>
              <w:jc w:val="both"/>
              <w:rPr>
                <w:sz w:val="20"/>
                <w:szCs w:val="20"/>
                <w:lang w:val="fr-CA"/>
              </w:rPr>
            </w:pPr>
            <w:r w:rsidRPr="007A5455">
              <w:rPr>
                <w:sz w:val="20"/>
                <w:szCs w:val="20"/>
                <w:lang w:val="fr-CA"/>
              </w:rPr>
              <w:t>Cour suprême du Canada</w:t>
            </w:r>
          </w:p>
        </w:tc>
        <w:tc>
          <w:tcPr>
            <w:tcW w:w="243" w:type="pct"/>
          </w:tcPr>
          <w:p w:rsidR="006F212F" w:rsidRPr="007A5455" w:rsidRDefault="006F212F" w:rsidP="006F212F">
            <w:pPr>
              <w:jc w:val="both"/>
              <w:rPr>
                <w:sz w:val="20"/>
                <w:szCs w:val="20"/>
                <w:lang w:val="fr-CA"/>
              </w:rPr>
            </w:pPr>
          </w:p>
        </w:tc>
        <w:tc>
          <w:tcPr>
            <w:tcW w:w="2330" w:type="pct"/>
          </w:tcPr>
          <w:p w:rsidR="006F212F" w:rsidRPr="007A5455" w:rsidRDefault="006F212F" w:rsidP="006F212F">
            <w:pPr>
              <w:jc w:val="both"/>
              <w:rPr>
                <w:sz w:val="20"/>
                <w:szCs w:val="20"/>
                <w:lang w:val="fr-CA"/>
              </w:rPr>
            </w:pPr>
            <w:r w:rsidRPr="007A5455">
              <w:rPr>
                <w:sz w:val="20"/>
                <w:szCs w:val="20"/>
                <w:lang w:val="fr-CA"/>
              </w:rPr>
              <w:t>Dépôt de la demande d’autorisation d’appel</w:t>
            </w:r>
          </w:p>
          <w:p w:rsidR="006F212F" w:rsidRPr="007A5455" w:rsidRDefault="006F212F" w:rsidP="006F212F">
            <w:pPr>
              <w:jc w:val="both"/>
              <w:rPr>
                <w:sz w:val="20"/>
                <w:szCs w:val="20"/>
                <w:lang w:val="fr-CA"/>
              </w:rPr>
            </w:pPr>
          </w:p>
        </w:tc>
      </w:tr>
    </w:tbl>
    <w:p w:rsidR="00652AC2" w:rsidRPr="007A5455" w:rsidRDefault="00652AC2" w:rsidP="00652AC2">
      <w:pPr>
        <w:rPr>
          <w:sz w:val="20"/>
          <w:szCs w:val="20"/>
        </w:rPr>
      </w:pPr>
    </w:p>
    <w:p w:rsidR="00652AC2" w:rsidRPr="007A5455" w:rsidRDefault="001F68BE" w:rsidP="00652AC2">
      <w:pPr>
        <w:rPr>
          <w:sz w:val="20"/>
          <w:szCs w:val="20"/>
        </w:rPr>
      </w:pPr>
      <w:r>
        <w:rPr>
          <w:sz w:val="20"/>
          <w:szCs w:val="20"/>
          <w:lang w:val="fr-CA"/>
        </w:rPr>
        <w:pict>
          <v:rect id="_x0000_i1059" style="width:2in;height:1pt" o:hrpct="0" o:hralign="center" o:hrstd="t" o:hrnoshade="t" o:hr="t" fillcolor="black [3213]" stroked="f"/>
        </w:pict>
      </w:r>
    </w:p>
    <w:p w:rsidR="000A2A4F" w:rsidRPr="007A5455" w:rsidRDefault="000A2A4F" w:rsidP="000A2A4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A2A4F" w:rsidRPr="007A5455" w:rsidTr="0022676D">
        <w:trPr>
          <w:cantSplit/>
        </w:trPr>
        <w:tc>
          <w:tcPr>
            <w:tcW w:w="1458" w:type="dxa"/>
          </w:tcPr>
          <w:p w:rsidR="000A2A4F" w:rsidRPr="007A5455" w:rsidRDefault="000A2A4F" w:rsidP="0022676D">
            <w:pPr>
              <w:rPr>
                <w:sz w:val="20"/>
                <w:szCs w:val="20"/>
              </w:rPr>
            </w:pPr>
            <w:r w:rsidRPr="007A5455">
              <w:rPr>
                <w:rStyle w:val="SCCFileNumberChar"/>
                <w:sz w:val="20"/>
                <w:szCs w:val="20"/>
              </w:rPr>
              <w:t>36628</w:t>
            </w:r>
          </w:p>
          <w:p w:rsidR="000A2A4F" w:rsidRPr="007A5455" w:rsidRDefault="000A2A4F" w:rsidP="0022676D">
            <w:pPr>
              <w:rPr>
                <w:b/>
                <w:sz w:val="20"/>
                <w:szCs w:val="20"/>
                <w:lang w:val="fr-CA"/>
              </w:rPr>
            </w:pPr>
          </w:p>
        </w:tc>
        <w:tc>
          <w:tcPr>
            <w:tcW w:w="8118" w:type="dxa"/>
          </w:tcPr>
          <w:p w:rsidR="000A2A4F" w:rsidRPr="007A5455" w:rsidRDefault="000A2A4F" w:rsidP="0022676D">
            <w:pPr>
              <w:rPr>
                <w:sz w:val="20"/>
                <w:szCs w:val="20"/>
              </w:rPr>
            </w:pPr>
            <w:r w:rsidRPr="007A5455">
              <w:rPr>
                <w:b/>
                <w:iCs/>
                <w:sz w:val="20"/>
                <w:szCs w:val="20"/>
                <w:u w:val="single"/>
                <w:lang w:val="en-US"/>
              </w:rPr>
              <w:t>E.L. v. G.B.</w:t>
            </w:r>
            <w:r w:rsidRPr="007A5455">
              <w:rPr>
                <w:iCs/>
                <w:sz w:val="20"/>
                <w:szCs w:val="20"/>
              </w:rPr>
              <w:t xml:space="preserve"> </w:t>
            </w:r>
            <w:r w:rsidRPr="007A5455">
              <w:rPr>
                <w:sz w:val="20"/>
                <w:szCs w:val="20"/>
              </w:rPr>
              <w:t>(Que.) (Civil) (By Leave)</w:t>
            </w:r>
          </w:p>
          <w:p w:rsidR="000A2A4F" w:rsidRPr="007A5455" w:rsidRDefault="000A2A4F" w:rsidP="0022676D">
            <w:pPr>
              <w:rPr>
                <w:sz w:val="20"/>
                <w:szCs w:val="20"/>
              </w:rPr>
            </w:pPr>
          </w:p>
        </w:tc>
      </w:tr>
      <w:tr w:rsidR="000A2A4F" w:rsidRPr="007A5455" w:rsidTr="0022676D">
        <w:trPr>
          <w:cantSplit/>
        </w:trPr>
        <w:tc>
          <w:tcPr>
            <w:tcW w:w="1458" w:type="dxa"/>
          </w:tcPr>
          <w:p w:rsidR="000A2A4F" w:rsidRPr="007A5455" w:rsidRDefault="000A2A4F" w:rsidP="0022676D">
            <w:pPr>
              <w:rPr>
                <w:sz w:val="20"/>
                <w:szCs w:val="20"/>
              </w:rPr>
            </w:pPr>
            <w:r w:rsidRPr="007A5455">
              <w:rPr>
                <w:sz w:val="20"/>
                <w:szCs w:val="20"/>
              </w:rPr>
              <w:t>Coram :</w:t>
            </w:r>
          </w:p>
        </w:tc>
        <w:tc>
          <w:tcPr>
            <w:tcW w:w="8118" w:type="dxa"/>
          </w:tcPr>
          <w:p w:rsidR="000A2A4F" w:rsidRPr="007A5455" w:rsidRDefault="00B13AE2" w:rsidP="0022676D">
            <w:pPr>
              <w:rPr>
                <w:sz w:val="20"/>
                <w:szCs w:val="20"/>
              </w:rPr>
            </w:pPr>
            <w:r w:rsidRPr="007A5455">
              <w:rPr>
                <w:rStyle w:val="SCCCoramChar"/>
                <w:sz w:val="20"/>
                <w:szCs w:val="20"/>
                <w:lang w:val="en-CA"/>
              </w:rPr>
              <w:t>Cromwell</w:t>
            </w:r>
            <w:r w:rsidR="000A2A4F" w:rsidRPr="007A5455">
              <w:rPr>
                <w:rStyle w:val="SCCCoramChar"/>
                <w:sz w:val="20"/>
                <w:szCs w:val="20"/>
                <w:lang w:val="en-CA"/>
              </w:rPr>
              <w:t xml:space="preserve">, </w:t>
            </w:r>
            <w:r w:rsidRPr="007A5455">
              <w:rPr>
                <w:rStyle w:val="SCCCoramChar"/>
                <w:sz w:val="20"/>
                <w:szCs w:val="20"/>
                <w:lang w:val="en-CA"/>
              </w:rPr>
              <w:t>Wagner</w:t>
            </w:r>
            <w:r w:rsidR="000A2A4F" w:rsidRPr="007A5455">
              <w:rPr>
                <w:rStyle w:val="SCCCoramChar"/>
                <w:sz w:val="20"/>
                <w:szCs w:val="20"/>
                <w:lang w:val="en-CA"/>
              </w:rPr>
              <w:t xml:space="preserve"> and </w:t>
            </w:r>
            <w:r w:rsidRPr="007A5455">
              <w:rPr>
                <w:rStyle w:val="SCCCoramChar"/>
                <w:sz w:val="20"/>
                <w:szCs w:val="20"/>
                <w:lang w:val="en-CA"/>
              </w:rPr>
              <w:t>Brown</w:t>
            </w:r>
            <w:r w:rsidR="000A2A4F" w:rsidRPr="007A5455">
              <w:rPr>
                <w:rStyle w:val="SCCCoramChar"/>
                <w:sz w:val="20"/>
                <w:szCs w:val="20"/>
                <w:lang w:val="en-CA"/>
              </w:rPr>
              <w:t> JJ.</w:t>
            </w:r>
          </w:p>
          <w:p w:rsidR="000A2A4F" w:rsidRPr="007A5455" w:rsidRDefault="000A2A4F" w:rsidP="0022676D">
            <w:pPr>
              <w:rPr>
                <w:sz w:val="20"/>
                <w:szCs w:val="20"/>
                <w:u w:val="single"/>
              </w:rPr>
            </w:pPr>
          </w:p>
        </w:tc>
      </w:tr>
      <w:tr w:rsidR="000A2A4F" w:rsidRPr="007A5455" w:rsidTr="0022676D">
        <w:trPr>
          <w:cantSplit/>
        </w:trPr>
        <w:tc>
          <w:tcPr>
            <w:tcW w:w="9576" w:type="dxa"/>
            <w:gridSpan w:val="2"/>
          </w:tcPr>
          <w:p w:rsidR="000A2A4F" w:rsidRPr="007A5455" w:rsidRDefault="00FF3C3B" w:rsidP="0022676D">
            <w:pPr>
              <w:pStyle w:val="SCCShortJudgment"/>
              <w:rPr>
                <w:szCs w:val="20"/>
              </w:rPr>
            </w:pPr>
            <w:r w:rsidRPr="007A5455">
              <w:t>The application for leave to appeal from the judgment of the</w:t>
            </w:r>
            <w:bookmarkStart w:id="2" w:name="BM_1_"/>
            <w:bookmarkEnd w:id="2"/>
            <w:r w:rsidRPr="007A5455">
              <w:t xml:space="preserve"> Court of Appeal of Quebec (Québec), Number 200-09-008250-141, 201</w:t>
            </w:r>
            <w:r w:rsidR="00C762E4">
              <w:t>5</w:t>
            </w:r>
            <w:r w:rsidRPr="007A5455">
              <w:t xml:space="preserve"> QCCA 1112, dated June 25, 2015, is dismissed with costs.</w:t>
            </w:r>
          </w:p>
          <w:p w:rsidR="000A2A4F" w:rsidRPr="007A5455" w:rsidRDefault="000A2A4F" w:rsidP="0022676D">
            <w:pPr>
              <w:pStyle w:val="SCCShortJudgment"/>
              <w:ind w:firstLine="0"/>
              <w:rPr>
                <w:szCs w:val="20"/>
              </w:rPr>
            </w:pPr>
          </w:p>
          <w:p w:rsidR="000A2A4F" w:rsidRPr="007A5455" w:rsidRDefault="00FF3C3B" w:rsidP="00C762E4">
            <w:pPr>
              <w:pStyle w:val="SCCShortJudgment"/>
              <w:rPr>
                <w:szCs w:val="20"/>
                <w:lang w:val="fr-CA"/>
              </w:rPr>
            </w:pPr>
            <w:r w:rsidRPr="007A5455">
              <w:rPr>
                <w:lang w:val="fr-CA"/>
              </w:rPr>
              <w:t>La demande d’autorisation d’appel de l’arrêt de la Cour d’appel du Québec (Québec), numéro 200-09-008250-141, 201</w:t>
            </w:r>
            <w:r w:rsidR="00C762E4">
              <w:rPr>
                <w:lang w:val="fr-CA"/>
              </w:rPr>
              <w:t>5</w:t>
            </w:r>
            <w:r w:rsidRPr="007A5455">
              <w:rPr>
                <w:lang w:val="fr-CA"/>
              </w:rPr>
              <w:t xml:space="preserve"> QCCA 1112, daté du 25 juin 2015, est rejetée avec dépens.</w:t>
            </w:r>
          </w:p>
        </w:tc>
      </w:tr>
    </w:tbl>
    <w:p w:rsidR="004C3DAB" w:rsidRPr="007A5455" w:rsidRDefault="004C3DAB" w:rsidP="000A2A4F">
      <w:pPr>
        <w:rPr>
          <w:sz w:val="20"/>
          <w:szCs w:val="20"/>
          <w:lang w:val="fr-CA"/>
        </w:rPr>
      </w:pPr>
    </w:p>
    <w:p w:rsidR="004C3DAB" w:rsidRPr="007A5455" w:rsidRDefault="004C3DAB">
      <w:pPr>
        <w:rPr>
          <w:sz w:val="20"/>
          <w:szCs w:val="20"/>
          <w:lang w:val="fr-CA"/>
        </w:rPr>
      </w:pPr>
      <w:r w:rsidRPr="007A5455">
        <w:rPr>
          <w:sz w:val="20"/>
          <w:szCs w:val="20"/>
          <w:lang w:val="fr-CA"/>
        </w:rPr>
        <w:br w:type="page"/>
      </w:r>
    </w:p>
    <w:p w:rsidR="000A2A4F" w:rsidRPr="007A5455" w:rsidRDefault="000A2A4F" w:rsidP="000A2A4F">
      <w:pPr>
        <w:rPr>
          <w:sz w:val="20"/>
          <w:szCs w:val="20"/>
          <w:u w:val="single"/>
        </w:rPr>
      </w:pPr>
      <w:r w:rsidRPr="007A5455">
        <w:rPr>
          <w:sz w:val="20"/>
          <w:szCs w:val="20"/>
          <w:u w:val="single"/>
        </w:rPr>
        <w:lastRenderedPageBreak/>
        <w:t>CASE SUMMARY</w:t>
      </w:r>
    </w:p>
    <w:p w:rsidR="000A2A4F" w:rsidRPr="007A5455" w:rsidRDefault="000A2A4F" w:rsidP="000A2A4F">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8373B2" w:rsidRPr="007A5455" w:rsidTr="0022676D">
        <w:trPr>
          <w:gridAfter w:val="1"/>
          <w:wAfter w:w="48" w:type="pct"/>
        </w:trPr>
        <w:tc>
          <w:tcPr>
            <w:tcW w:w="4952" w:type="pct"/>
            <w:gridSpan w:val="3"/>
          </w:tcPr>
          <w:p w:rsidR="008373B2" w:rsidRPr="007A5455" w:rsidRDefault="008373B2" w:rsidP="008373B2">
            <w:pPr>
              <w:jc w:val="both"/>
              <w:rPr>
                <w:smallCaps/>
                <w:sz w:val="20"/>
                <w:szCs w:val="20"/>
              </w:rPr>
            </w:pPr>
            <w:r w:rsidRPr="007A5455">
              <w:rPr>
                <w:smallCaps/>
                <w:sz w:val="20"/>
                <w:szCs w:val="20"/>
              </w:rPr>
              <w:t>(Publication Ban in Case) (Publication Ban on Parties) (Sealed)</w:t>
            </w:r>
          </w:p>
          <w:p w:rsidR="008373B2" w:rsidRPr="007A5455" w:rsidRDefault="008373B2" w:rsidP="008373B2">
            <w:pPr>
              <w:jc w:val="both"/>
              <w:rPr>
                <w:sz w:val="20"/>
                <w:szCs w:val="20"/>
              </w:rPr>
            </w:pPr>
          </w:p>
          <w:p w:rsidR="008373B2" w:rsidRPr="007A5455" w:rsidRDefault="008373B2" w:rsidP="008373B2">
            <w:pPr>
              <w:jc w:val="both"/>
              <w:rPr>
                <w:sz w:val="20"/>
                <w:szCs w:val="20"/>
              </w:rPr>
            </w:pPr>
            <w:r w:rsidRPr="007A5455">
              <w:rPr>
                <w:sz w:val="20"/>
                <w:szCs w:val="20"/>
              </w:rPr>
              <w:t xml:space="preserve">Family law – Divorce – Annulment of marriage contract – Matrimonial regime – Whether courts below erred in refusing to annul parties’ marriage contract in order to change matrimonial regime from separation as to property to partnership of </w:t>
            </w:r>
            <w:proofErr w:type="spellStart"/>
            <w:r w:rsidRPr="007A5455">
              <w:rPr>
                <w:sz w:val="20"/>
                <w:szCs w:val="20"/>
              </w:rPr>
              <w:t>acquests</w:t>
            </w:r>
            <w:proofErr w:type="spellEnd"/>
            <w:r w:rsidRPr="007A5455">
              <w:rPr>
                <w:sz w:val="20"/>
                <w:szCs w:val="20"/>
              </w:rPr>
              <w:t>.</w:t>
            </w:r>
          </w:p>
          <w:p w:rsidR="008373B2" w:rsidRPr="007A5455" w:rsidRDefault="008373B2" w:rsidP="008373B2">
            <w:pPr>
              <w:jc w:val="both"/>
              <w:rPr>
                <w:sz w:val="20"/>
                <w:szCs w:val="20"/>
              </w:rPr>
            </w:pPr>
          </w:p>
        </w:tc>
      </w:tr>
      <w:tr w:rsidR="008373B2" w:rsidRPr="007A5455" w:rsidTr="0022676D">
        <w:trPr>
          <w:gridAfter w:val="1"/>
          <w:wAfter w:w="48" w:type="pct"/>
        </w:trPr>
        <w:tc>
          <w:tcPr>
            <w:tcW w:w="4952" w:type="pct"/>
            <w:gridSpan w:val="3"/>
          </w:tcPr>
          <w:p w:rsidR="008373B2" w:rsidRPr="007A5455" w:rsidRDefault="008373B2" w:rsidP="008373B2">
            <w:pPr>
              <w:jc w:val="both"/>
              <w:rPr>
                <w:sz w:val="20"/>
                <w:szCs w:val="20"/>
              </w:rPr>
            </w:pPr>
            <w:r w:rsidRPr="007A5455">
              <w:rPr>
                <w:sz w:val="20"/>
                <w:szCs w:val="20"/>
              </w:rPr>
              <w:t>Following the parties’ divorce, E.L. sought to have the marriage contract establishing the matrimonial regime of separation as to property annulled on the basis that no independent legal counsel had acted in the case to explain the consequences of the chosen matrimonial regime.</w:t>
            </w:r>
          </w:p>
          <w:p w:rsidR="008373B2" w:rsidRPr="007A5455" w:rsidRDefault="008373B2" w:rsidP="008373B2">
            <w:pPr>
              <w:jc w:val="both"/>
              <w:rPr>
                <w:sz w:val="20"/>
                <w:szCs w:val="20"/>
              </w:rPr>
            </w:pPr>
          </w:p>
        </w:tc>
      </w:tr>
      <w:tr w:rsidR="008373B2" w:rsidRPr="007A5455" w:rsidTr="0022676D">
        <w:tblPrEx>
          <w:tblCellMar>
            <w:bottom w:w="0" w:type="dxa"/>
          </w:tblCellMar>
        </w:tblPrEx>
        <w:tc>
          <w:tcPr>
            <w:tcW w:w="2367" w:type="pct"/>
          </w:tcPr>
          <w:p w:rsidR="008373B2" w:rsidRPr="007A5455" w:rsidRDefault="008373B2" w:rsidP="008373B2">
            <w:pPr>
              <w:jc w:val="both"/>
              <w:rPr>
                <w:sz w:val="20"/>
                <w:szCs w:val="20"/>
              </w:rPr>
            </w:pPr>
            <w:r w:rsidRPr="007A5455">
              <w:rPr>
                <w:sz w:val="20"/>
                <w:szCs w:val="20"/>
              </w:rPr>
              <w:t>January 14, 2014</w:t>
            </w:r>
          </w:p>
          <w:p w:rsidR="008373B2" w:rsidRPr="007A5455" w:rsidRDefault="008373B2" w:rsidP="008373B2">
            <w:pPr>
              <w:jc w:val="both"/>
              <w:rPr>
                <w:sz w:val="20"/>
                <w:szCs w:val="20"/>
              </w:rPr>
            </w:pPr>
            <w:r w:rsidRPr="007A5455">
              <w:rPr>
                <w:sz w:val="20"/>
                <w:szCs w:val="20"/>
              </w:rPr>
              <w:t>Quebec Superior Court</w:t>
            </w:r>
          </w:p>
          <w:p w:rsidR="008373B2" w:rsidRPr="007A5455" w:rsidRDefault="008373B2" w:rsidP="008373B2">
            <w:pPr>
              <w:jc w:val="both"/>
              <w:rPr>
                <w:sz w:val="20"/>
                <w:szCs w:val="20"/>
              </w:rPr>
            </w:pPr>
            <w:r w:rsidRPr="007A5455">
              <w:rPr>
                <w:sz w:val="20"/>
                <w:szCs w:val="20"/>
              </w:rPr>
              <w:t>(Alain J.)</w:t>
            </w:r>
          </w:p>
          <w:p w:rsidR="008373B2" w:rsidRPr="007A5455" w:rsidRDefault="001F68BE" w:rsidP="008373B2">
            <w:pPr>
              <w:jc w:val="both"/>
              <w:rPr>
                <w:sz w:val="20"/>
                <w:szCs w:val="20"/>
              </w:rPr>
            </w:pPr>
            <w:hyperlink r:id="rId62" w:history="1">
              <w:r w:rsidR="008373B2" w:rsidRPr="007A5455">
                <w:rPr>
                  <w:color w:val="0000FF" w:themeColor="hyperlink"/>
                  <w:sz w:val="20"/>
                  <w:szCs w:val="20"/>
                  <w:u w:val="single"/>
                </w:rPr>
                <w:t>2014 QCCS 275</w:t>
              </w:r>
            </w:hyperlink>
            <w:r w:rsidR="008373B2" w:rsidRPr="007A5455">
              <w:rPr>
                <w:sz w:val="20"/>
                <w:szCs w:val="20"/>
              </w:rPr>
              <w:t xml:space="preserve"> </w:t>
            </w:r>
          </w:p>
          <w:p w:rsidR="008373B2" w:rsidRPr="007A5455" w:rsidRDefault="008373B2" w:rsidP="008373B2">
            <w:pPr>
              <w:jc w:val="both"/>
              <w:rPr>
                <w:sz w:val="20"/>
                <w:szCs w:val="20"/>
              </w:rPr>
            </w:pPr>
          </w:p>
        </w:tc>
        <w:tc>
          <w:tcPr>
            <w:tcW w:w="267" w:type="pct"/>
          </w:tcPr>
          <w:p w:rsidR="008373B2" w:rsidRPr="007A5455" w:rsidRDefault="008373B2" w:rsidP="008373B2">
            <w:pPr>
              <w:jc w:val="both"/>
              <w:rPr>
                <w:sz w:val="20"/>
                <w:szCs w:val="20"/>
              </w:rPr>
            </w:pPr>
          </w:p>
        </w:tc>
        <w:tc>
          <w:tcPr>
            <w:tcW w:w="2366" w:type="pct"/>
            <w:gridSpan w:val="2"/>
          </w:tcPr>
          <w:p w:rsidR="008373B2" w:rsidRPr="007A5455" w:rsidRDefault="008373B2" w:rsidP="008373B2">
            <w:pPr>
              <w:jc w:val="both"/>
              <w:rPr>
                <w:sz w:val="20"/>
                <w:szCs w:val="20"/>
              </w:rPr>
            </w:pPr>
            <w:r w:rsidRPr="007A5455">
              <w:rPr>
                <w:sz w:val="20"/>
                <w:szCs w:val="20"/>
              </w:rPr>
              <w:t xml:space="preserve">Divorce granted; annulment of marriage contract denied, partition of family patrimony established on basis of regime of separation as to property </w:t>
            </w:r>
          </w:p>
        </w:tc>
      </w:tr>
      <w:tr w:rsidR="008373B2" w:rsidRPr="007A5455" w:rsidTr="0022676D">
        <w:tblPrEx>
          <w:tblCellMar>
            <w:bottom w:w="0" w:type="dxa"/>
          </w:tblCellMar>
        </w:tblPrEx>
        <w:tc>
          <w:tcPr>
            <w:tcW w:w="2367" w:type="pct"/>
          </w:tcPr>
          <w:p w:rsidR="008373B2" w:rsidRPr="007A5455" w:rsidRDefault="008373B2" w:rsidP="008373B2">
            <w:pPr>
              <w:jc w:val="both"/>
              <w:rPr>
                <w:sz w:val="20"/>
                <w:szCs w:val="20"/>
              </w:rPr>
            </w:pPr>
            <w:r w:rsidRPr="007A5455">
              <w:rPr>
                <w:sz w:val="20"/>
                <w:szCs w:val="20"/>
              </w:rPr>
              <w:t>June 25, 2015</w:t>
            </w:r>
          </w:p>
          <w:p w:rsidR="008373B2" w:rsidRPr="007A5455" w:rsidRDefault="008373B2" w:rsidP="008373B2">
            <w:pPr>
              <w:jc w:val="both"/>
              <w:rPr>
                <w:sz w:val="20"/>
                <w:szCs w:val="20"/>
              </w:rPr>
            </w:pPr>
            <w:r w:rsidRPr="007A5455">
              <w:rPr>
                <w:sz w:val="20"/>
                <w:szCs w:val="20"/>
              </w:rPr>
              <w:t>Quebec Court of Appeal (Québec)</w:t>
            </w:r>
          </w:p>
          <w:p w:rsidR="008373B2" w:rsidRPr="007A5455" w:rsidRDefault="008373B2" w:rsidP="008373B2">
            <w:pPr>
              <w:jc w:val="both"/>
              <w:rPr>
                <w:sz w:val="20"/>
                <w:szCs w:val="20"/>
              </w:rPr>
            </w:pPr>
            <w:r w:rsidRPr="007A5455">
              <w:rPr>
                <w:sz w:val="20"/>
                <w:szCs w:val="20"/>
              </w:rPr>
              <w:t xml:space="preserve">(Giroux, Bouchard and </w:t>
            </w:r>
            <w:proofErr w:type="spellStart"/>
            <w:r w:rsidRPr="007A5455">
              <w:rPr>
                <w:sz w:val="20"/>
                <w:szCs w:val="20"/>
              </w:rPr>
              <w:t>Bélanger</w:t>
            </w:r>
            <w:proofErr w:type="spellEnd"/>
            <w:r w:rsidRPr="007A5455">
              <w:rPr>
                <w:sz w:val="20"/>
                <w:szCs w:val="20"/>
              </w:rPr>
              <w:t xml:space="preserve"> JJ.A.)</w:t>
            </w:r>
          </w:p>
          <w:p w:rsidR="008373B2" w:rsidRPr="007A5455" w:rsidRDefault="001F68BE" w:rsidP="008373B2">
            <w:pPr>
              <w:jc w:val="both"/>
              <w:rPr>
                <w:sz w:val="20"/>
                <w:szCs w:val="20"/>
              </w:rPr>
            </w:pPr>
            <w:hyperlink r:id="rId63" w:history="1">
              <w:r w:rsidR="008373B2" w:rsidRPr="007A5455">
                <w:rPr>
                  <w:color w:val="0000FF" w:themeColor="hyperlink"/>
                  <w:sz w:val="20"/>
                  <w:szCs w:val="20"/>
                  <w:u w:val="single"/>
                </w:rPr>
                <w:t>2015 QCCA 1112</w:t>
              </w:r>
            </w:hyperlink>
            <w:r w:rsidR="008373B2" w:rsidRPr="007A5455">
              <w:rPr>
                <w:sz w:val="20"/>
                <w:szCs w:val="20"/>
              </w:rPr>
              <w:t xml:space="preserve"> </w:t>
            </w:r>
          </w:p>
          <w:p w:rsidR="008373B2" w:rsidRPr="007A5455" w:rsidRDefault="008373B2" w:rsidP="008373B2">
            <w:pPr>
              <w:jc w:val="both"/>
              <w:rPr>
                <w:sz w:val="20"/>
                <w:szCs w:val="20"/>
              </w:rPr>
            </w:pPr>
          </w:p>
        </w:tc>
        <w:tc>
          <w:tcPr>
            <w:tcW w:w="267" w:type="pct"/>
          </w:tcPr>
          <w:p w:rsidR="008373B2" w:rsidRPr="007A5455" w:rsidRDefault="008373B2" w:rsidP="008373B2">
            <w:pPr>
              <w:jc w:val="both"/>
              <w:rPr>
                <w:sz w:val="20"/>
                <w:szCs w:val="20"/>
              </w:rPr>
            </w:pPr>
          </w:p>
        </w:tc>
        <w:tc>
          <w:tcPr>
            <w:tcW w:w="2366" w:type="pct"/>
            <w:gridSpan w:val="2"/>
          </w:tcPr>
          <w:p w:rsidR="008373B2" w:rsidRPr="007A5455" w:rsidRDefault="008373B2" w:rsidP="008373B2">
            <w:pPr>
              <w:jc w:val="both"/>
              <w:rPr>
                <w:sz w:val="20"/>
                <w:szCs w:val="20"/>
              </w:rPr>
            </w:pPr>
            <w:r w:rsidRPr="007A5455">
              <w:rPr>
                <w:sz w:val="20"/>
                <w:szCs w:val="20"/>
              </w:rPr>
              <w:t xml:space="preserve">Appeal dismissed; spousal support </w:t>
            </w:r>
          </w:p>
          <w:p w:rsidR="008373B2" w:rsidRPr="007A5455" w:rsidRDefault="008373B2" w:rsidP="008373B2">
            <w:pPr>
              <w:jc w:val="both"/>
              <w:rPr>
                <w:sz w:val="20"/>
                <w:szCs w:val="20"/>
              </w:rPr>
            </w:pPr>
          </w:p>
        </w:tc>
      </w:tr>
      <w:tr w:rsidR="008373B2" w:rsidRPr="007A5455" w:rsidTr="0022676D">
        <w:tblPrEx>
          <w:tblCellMar>
            <w:bottom w:w="0" w:type="dxa"/>
          </w:tblCellMar>
        </w:tblPrEx>
        <w:tc>
          <w:tcPr>
            <w:tcW w:w="2367" w:type="pct"/>
          </w:tcPr>
          <w:p w:rsidR="008373B2" w:rsidRPr="007A5455" w:rsidRDefault="008373B2" w:rsidP="008373B2">
            <w:pPr>
              <w:jc w:val="both"/>
              <w:rPr>
                <w:sz w:val="20"/>
                <w:szCs w:val="20"/>
              </w:rPr>
            </w:pPr>
            <w:r w:rsidRPr="007A5455">
              <w:rPr>
                <w:sz w:val="20"/>
                <w:szCs w:val="20"/>
              </w:rPr>
              <w:t>September 24, 2015</w:t>
            </w:r>
          </w:p>
          <w:p w:rsidR="008373B2" w:rsidRPr="007A5455" w:rsidRDefault="008373B2" w:rsidP="008373B2">
            <w:pPr>
              <w:jc w:val="both"/>
              <w:rPr>
                <w:sz w:val="20"/>
                <w:szCs w:val="20"/>
              </w:rPr>
            </w:pPr>
            <w:r w:rsidRPr="007A5455">
              <w:rPr>
                <w:sz w:val="20"/>
                <w:szCs w:val="20"/>
              </w:rPr>
              <w:t>Supreme Court of Canada</w:t>
            </w:r>
          </w:p>
        </w:tc>
        <w:tc>
          <w:tcPr>
            <w:tcW w:w="267" w:type="pct"/>
          </w:tcPr>
          <w:p w:rsidR="008373B2" w:rsidRPr="007A5455" w:rsidRDefault="008373B2" w:rsidP="008373B2">
            <w:pPr>
              <w:jc w:val="both"/>
              <w:rPr>
                <w:sz w:val="20"/>
                <w:szCs w:val="20"/>
              </w:rPr>
            </w:pPr>
          </w:p>
        </w:tc>
        <w:tc>
          <w:tcPr>
            <w:tcW w:w="2366" w:type="pct"/>
            <w:gridSpan w:val="2"/>
          </w:tcPr>
          <w:p w:rsidR="008373B2" w:rsidRPr="007A5455" w:rsidRDefault="008373B2" w:rsidP="008373B2">
            <w:pPr>
              <w:jc w:val="both"/>
              <w:rPr>
                <w:sz w:val="20"/>
                <w:szCs w:val="20"/>
              </w:rPr>
            </w:pPr>
            <w:r w:rsidRPr="007A5455">
              <w:rPr>
                <w:sz w:val="20"/>
                <w:szCs w:val="20"/>
              </w:rPr>
              <w:t xml:space="preserve">Application for leave to appeal filed </w:t>
            </w:r>
          </w:p>
        </w:tc>
      </w:tr>
    </w:tbl>
    <w:p w:rsidR="008373B2" w:rsidRPr="007A5455" w:rsidRDefault="008373B2" w:rsidP="000A2A4F">
      <w:pPr>
        <w:rPr>
          <w:sz w:val="20"/>
          <w:szCs w:val="20"/>
        </w:rPr>
      </w:pPr>
    </w:p>
    <w:p w:rsidR="000A2A4F" w:rsidRPr="007A5455" w:rsidRDefault="001F68BE" w:rsidP="000A2A4F">
      <w:pPr>
        <w:rPr>
          <w:sz w:val="20"/>
          <w:szCs w:val="20"/>
        </w:rPr>
      </w:pPr>
      <w:r>
        <w:rPr>
          <w:sz w:val="20"/>
          <w:szCs w:val="20"/>
          <w:lang w:val="fr-CA"/>
        </w:rPr>
        <w:pict>
          <v:rect id="_x0000_i1060" style="width:2in;height:1pt" o:hrpct="0" o:hralign="center" o:hrstd="t" o:hrnoshade="t" o:hr="t" fillcolor="black [3213]" stroked="f"/>
        </w:pict>
      </w:r>
    </w:p>
    <w:p w:rsidR="000A2A4F" w:rsidRPr="007A5455" w:rsidRDefault="000A2A4F" w:rsidP="000A2A4F">
      <w:pPr>
        <w:rPr>
          <w:sz w:val="20"/>
          <w:szCs w:val="20"/>
        </w:rPr>
      </w:pPr>
    </w:p>
    <w:p w:rsidR="000A2A4F" w:rsidRPr="007A5455" w:rsidRDefault="000A2A4F" w:rsidP="000A2A4F">
      <w:pPr>
        <w:rPr>
          <w:sz w:val="20"/>
          <w:szCs w:val="20"/>
          <w:u w:val="single"/>
          <w:lang w:val="fr-CA"/>
        </w:rPr>
      </w:pPr>
      <w:r w:rsidRPr="007A5455">
        <w:rPr>
          <w:sz w:val="20"/>
          <w:szCs w:val="20"/>
          <w:u w:val="single"/>
          <w:lang w:val="fr-CA"/>
        </w:rPr>
        <w:t>RÉSUMÉ DE L’AFFAIRE</w:t>
      </w:r>
    </w:p>
    <w:p w:rsidR="000A2A4F" w:rsidRPr="007A5455" w:rsidRDefault="000A2A4F" w:rsidP="000A2A4F">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8734A9" w:rsidRPr="007A5455" w:rsidTr="0022676D">
        <w:trPr>
          <w:gridAfter w:val="1"/>
          <w:wAfter w:w="48" w:type="pct"/>
        </w:trPr>
        <w:tc>
          <w:tcPr>
            <w:tcW w:w="4952" w:type="pct"/>
            <w:gridSpan w:val="3"/>
          </w:tcPr>
          <w:p w:rsidR="008734A9" w:rsidRPr="007A5455" w:rsidRDefault="008734A9" w:rsidP="008734A9">
            <w:pPr>
              <w:jc w:val="both"/>
              <w:rPr>
                <w:smallCaps/>
                <w:sz w:val="20"/>
                <w:szCs w:val="20"/>
                <w:lang w:val="fr-CA"/>
              </w:rPr>
            </w:pPr>
            <w:r w:rsidRPr="007A5455">
              <w:rPr>
                <w:smallCaps/>
                <w:sz w:val="20"/>
                <w:szCs w:val="20"/>
                <w:lang w:val="fr-CA"/>
              </w:rPr>
              <w:t>(Ordonnance de non-publication dans le dossier) (interdiction de publication des parties) (Mis sous scellé)</w:t>
            </w:r>
          </w:p>
          <w:p w:rsidR="008734A9" w:rsidRPr="007A5455" w:rsidRDefault="008734A9" w:rsidP="008734A9">
            <w:pPr>
              <w:jc w:val="both"/>
              <w:rPr>
                <w:sz w:val="20"/>
                <w:szCs w:val="20"/>
                <w:lang w:val="fr-CA"/>
              </w:rPr>
            </w:pPr>
          </w:p>
          <w:p w:rsidR="008734A9" w:rsidRPr="007A5455" w:rsidRDefault="008734A9" w:rsidP="008734A9">
            <w:pPr>
              <w:jc w:val="both"/>
              <w:rPr>
                <w:sz w:val="20"/>
                <w:szCs w:val="20"/>
                <w:lang w:val="fr-CA"/>
              </w:rPr>
            </w:pPr>
            <w:r w:rsidRPr="007A5455">
              <w:rPr>
                <w:sz w:val="20"/>
                <w:szCs w:val="20"/>
                <w:lang w:val="fr-CA"/>
              </w:rPr>
              <w:t>Droit de la famille – Divorce – Annulation du contrat de mariage – Régime matrimonial – Est-ce que les tribunaux inférieurs ont erré en refusant d’annuler le contrat de mariage des parties afin de changer le régime matrimonial de la séparation de biens à celui de la société d’acquêts?</w:t>
            </w:r>
          </w:p>
          <w:p w:rsidR="008734A9" w:rsidRPr="007A5455" w:rsidRDefault="008734A9" w:rsidP="008734A9">
            <w:pPr>
              <w:jc w:val="both"/>
              <w:rPr>
                <w:sz w:val="20"/>
                <w:szCs w:val="20"/>
                <w:lang w:val="fr-CA"/>
              </w:rPr>
            </w:pPr>
          </w:p>
        </w:tc>
      </w:tr>
      <w:tr w:rsidR="008734A9" w:rsidRPr="007A5455" w:rsidTr="0022676D">
        <w:trPr>
          <w:gridAfter w:val="1"/>
          <w:wAfter w:w="48" w:type="pct"/>
        </w:trPr>
        <w:tc>
          <w:tcPr>
            <w:tcW w:w="4952" w:type="pct"/>
            <w:gridSpan w:val="3"/>
          </w:tcPr>
          <w:p w:rsidR="008734A9" w:rsidRPr="007A5455" w:rsidRDefault="008734A9" w:rsidP="008734A9">
            <w:pPr>
              <w:jc w:val="both"/>
              <w:rPr>
                <w:sz w:val="20"/>
                <w:szCs w:val="20"/>
                <w:lang w:val="fr-CA"/>
              </w:rPr>
            </w:pPr>
            <w:r w:rsidRPr="007A5455">
              <w:rPr>
                <w:sz w:val="20"/>
                <w:szCs w:val="20"/>
                <w:lang w:val="fr-CA"/>
              </w:rPr>
              <w:t xml:space="preserve">À la suite du divorce survenu entre les parties, E.L. tente de faire annuler le contrat de mariage établissant le régime matrimonial de la séparation de biens sur la base qu’aucun conseiller juridique indépendant ne soit intervenu dans le dossier afin d’expliquer les conséquences du régime matrimonial choisi. </w:t>
            </w:r>
          </w:p>
          <w:p w:rsidR="008734A9" w:rsidRPr="007A5455" w:rsidRDefault="008734A9" w:rsidP="008734A9">
            <w:pPr>
              <w:jc w:val="both"/>
              <w:rPr>
                <w:sz w:val="20"/>
                <w:szCs w:val="20"/>
                <w:lang w:val="fr-CA"/>
              </w:rPr>
            </w:pPr>
          </w:p>
        </w:tc>
      </w:tr>
      <w:tr w:rsidR="008734A9" w:rsidRPr="007A5455" w:rsidTr="0022676D">
        <w:tblPrEx>
          <w:tblCellMar>
            <w:bottom w:w="0" w:type="dxa"/>
          </w:tblCellMar>
        </w:tblPrEx>
        <w:tc>
          <w:tcPr>
            <w:tcW w:w="2367" w:type="pct"/>
          </w:tcPr>
          <w:p w:rsidR="008734A9" w:rsidRPr="007A5455" w:rsidRDefault="008734A9" w:rsidP="008734A9">
            <w:pPr>
              <w:jc w:val="both"/>
              <w:rPr>
                <w:sz w:val="20"/>
                <w:szCs w:val="20"/>
                <w:lang w:val="fr-CA"/>
              </w:rPr>
            </w:pPr>
            <w:r w:rsidRPr="007A5455">
              <w:rPr>
                <w:sz w:val="20"/>
                <w:szCs w:val="20"/>
                <w:lang w:val="fr-CA"/>
              </w:rPr>
              <w:t>Le 14 janvier 2014</w:t>
            </w:r>
          </w:p>
          <w:p w:rsidR="008734A9" w:rsidRPr="007A5455" w:rsidRDefault="008734A9" w:rsidP="008734A9">
            <w:pPr>
              <w:jc w:val="both"/>
              <w:rPr>
                <w:sz w:val="20"/>
                <w:szCs w:val="20"/>
                <w:lang w:val="fr-CA"/>
              </w:rPr>
            </w:pPr>
            <w:r w:rsidRPr="007A5455">
              <w:rPr>
                <w:sz w:val="20"/>
                <w:szCs w:val="20"/>
                <w:lang w:val="fr-CA"/>
              </w:rPr>
              <w:t>Cour supérieure du Québec</w:t>
            </w:r>
          </w:p>
          <w:p w:rsidR="008734A9" w:rsidRPr="007A5455" w:rsidRDefault="008734A9" w:rsidP="008734A9">
            <w:pPr>
              <w:jc w:val="both"/>
              <w:rPr>
                <w:sz w:val="20"/>
                <w:szCs w:val="20"/>
                <w:lang w:val="fr-CA"/>
              </w:rPr>
            </w:pPr>
            <w:r w:rsidRPr="007A5455">
              <w:rPr>
                <w:sz w:val="20"/>
                <w:szCs w:val="20"/>
                <w:lang w:val="fr-CA"/>
              </w:rPr>
              <w:t>(Le juge Alain)</w:t>
            </w:r>
          </w:p>
          <w:p w:rsidR="008734A9" w:rsidRPr="007A5455" w:rsidRDefault="001F68BE" w:rsidP="008734A9">
            <w:pPr>
              <w:jc w:val="both"/>
              <w:rPr>
                <w:sz w:val="20"/>
                <w:szCs w:val="20"/>
              </w:rPr>
            </w:pPr>
            <w:hyperlink r:id="rId64" w:history="1">
              <w:r w:rsidR="008734A9" w:rsidRPr="007A5455">
                <w:rPr>
                  <w:color w:val="0000FF" w:themeColor="hyperlink"/>
                  <w:sz w:val="20"/>
                  <w:szCs w:val="20"/>
                  <w:u w:val="single"/>
                </w:rPr>
                <w:t>2014 QCCS 275</w:t>
              </w:r>
            </w:hyperlink>
            <w:r w:rsidR="008734A9" w:rsidRPr="007A5455">
              <w:rPr>
                <w:sz w:val="20"/>
                <w:szCs w:val="20"/>
              </w:rPr>
              <w:t xml:space="preserve"> </w:t>
            </w:r>
          </w:p>
          <w:p w:rsidR="008734A9" w:rsidRPr="007A5455" w:rsidRDefault="008734A9" w:rsidP="008734A9">
            <w:pPr>
              <w:jc w:val="both"/>
              <w:rPr>
                <w:sz w:val="20"/>
                <w:szCs w:val="20"/>
                <w:lang w:val="fr-CA"/>
              </w:rPr>
            </w:pPr>
          </w:p>
        </w:tc>
        <w:tc>
          <w:tcPr>
            <w:tcW w:w="267" w:type="pct"/>
          </w:tcPr>
          <w:p w:rsidR="008734A9" w:rsidRPr="007A5455" w:rsidRDefault="008734A9" w:rsidP="008734A9">
            <w:pPr>
              <w:jc w:val="both"/>
              <w:rPr>
                <w:sz w:val="20"/>
                <w:szCs w:val="20"/>
                <w:lang w:val="fr-CA"/>
              </w:rPr>
            </w:pPr>
          </w:p>
        </w:tc>
        <w:tc>
          <w:tcPr>
            <w:tcW w:w="2366" w:type="pct"/>
            <w:gridSpan w:val="2"/>
          </w:tcPr>
          <w:p w:rsidR="008734A9" w:rsidRPr="007A5455" w:rsidRDefault="008734A9" w:rsidP="008734A9">
            <w:pPr>
              <w:jc w:val="both"/>
              <w:rPr>
                <w:sz w:val="20"/>
                <w:szCs w:val="20"/>
                <w:lang w:val="fr-CA"/>
              </w:rPr>
            </w:pPr>
            <w:r w:rsidRPr="007A5455">
              <w:rPr>
                <w:sz w:val="20"/>
                <w:szCs w:val="20"/>
                <w:lang w:val="fr-CA"/>
              </w:rPr>
              <w:t xml:space="preserve">Divorce prononcé; annulation du contrat de mariage rejetée, partage du patrimoine familial établi selon le régime de la séparation de biens. </w:t>
            </w:r>
          </w:p>
        </w:tc>
      </w:tr>
      <w:tr w:rsidR="008734A9" w:rsidRPr="007A5455" w:rsidTr="0022676D">
        <w:tblPrEx>
          <w:tblCellMar>
            <w:bottom w:w="0" w:type="dxa"/>
          </w:tblCellMar>
        </w:tblPrEx>
        <w:tc>
          <w:tcPr>
            <w:tcW w:w="2367" w:type="pct"/>
          </w:tcPr>
          <w:p w:rsidR="008734A9" w:rsidRPr="007A5455" w:rsidRDefault="008734A9" w:rsidP="008734A9">
            <w:pPr>
              <w:jc w:val="both"/>
              <w:rPr>
                <w:sz w:val="20"/>
                <w:szCs w:val="20"/>
                <w:lang w:val="fr-CA"/>
              </w:rPr>
            </w:pPr>
            <w:r w:rsidRPr="007A5455">
              <w:rPr>
                <w:sz w:val="20"/>
                <w:szCs w:val="20"/>
                <w:lang w:val="fr-CA"/>
              </w:rPr>
              <w:t>Le 25 juin 2015</w:t>
            </w:r>
          </w:p>
          <w:p w:rsidR="008734A9" w:rsidRPr="007A5455" w:rsidRDefault="008734A9" w:rsidP="008734A9">
            <w:pPr>
              <w:jc w:val="both"/>
              <w:rPr>
                <w:sz w:val="20"/>
                <w:szCs w:val="20"/>
                <w:lang w:val="fr-CA"/>
              </w:rPr>
            </w:pPr>
            <w:r w:rsidRPr="007A5455">
              <w:rPr>
                <w:sz w:val="20"/>
                <w:szCs w:val="20"/>
                <w:lang w:val="fr-CA"/>
              </w:rPr>
              <w:t>Cour d’appel du Québec (Québec)</w:t>
            </w:r>
          </w:p>
          <w:p w:rsidR="008734A9" w:rsidRPr="007A5455" w:rsidRDefault="008734A9" w:rsidP="008734A9">
            <w:pPr>
              <w:jc w:val="both"/>
              <w:rPr>
                <w:sz w:val="20"/>
                <w:szCs w:val="20"/>
                <w:lang w:val="fr-CA"/>
              </w:rPr>
            </w:pPr>
            <w:r w:rsidRPr="007A5455">
              <w:rPr>
                <w:sz w:val="20"/>
                <w:szCs w:val="20"/>
                <w:lang w:val="fr-CA"/>
              </w:rPr>
              <w:t>(Les juges Giroux, Bouchard, et Bélanger)</w:t>
            </w:r>
          </w:p>
          <w:p w:rsidR="008734A9" w:rsidRPr="007A5455" w:rsidRDefault="001F68BE" w:rsidP="008734A9">
            <w:pPr>
              <w:jc w:val="both"/>
              <w:rPr>
                <w:sz w:val="20"/>
                <w:szCs w:val="20"/>
              </w:rPr>
            </w:pPr>
            <w:hyperlink r:id="rId65" w:history="1">
              <w:r w:rsidR="008734A9" w:rsidRPr="007A5455">
                <w:rPr>
                  <w:color w:val="0000FF" w:themeColor="hyperlink"/>
                  <w:sz w:val="20"/>
                  <w:szCs w:val="20"/>
                  <w:u w:val="single"/>
                </w:rPr>
                <w:t>2015 QCCA 1112</w:t>
              </w:r>
            </w:hyperlink>
            <w:r w:rsidR="008734A9" w:rsidRPr="007A5455">
              <w:rPr>
                <w:sz w:val="20"/>
                <w:szCs w:val="20"/>
              </w:rPr>
              <w:t xml:space="preserve"> </w:t>
            </w:r>
          </w:p>
          <w:p w:rsidR="008734A9" w:rsidRPr="007A5455" w:rsidRDefault="008734A9" w:rsidP="008734A9">
            <w:pPr>
              <w:jc w:val="both"/>
              <w:rPr>
                <w:sz w:val="20"/>
                <w:szCs w:val="20"/>
              </w:rPr>
            </w:pPr>
          </w:p>
        </w:tc>
        <w:tc>
          <w:tcPr>
            <w:tcW w:w="267" w:type="pct"/>
          </w:tcPr>
          <w:p w:rsidR="008734A9" w:rsidRPr="007A5455" w:rsidRDefault="008734A9" w:rsidP="008734A9">
            <w:pPr>
              <w:jc w:val="both"/>
              <w:rPr>
                <w:sz w:val="20"/>
                <w:szCs w:val="20"/>
              </w:rPr>
            </w:pPr>
          </w:p>
        </w:tc>
        <w:tc>
          <w:tcPr>
            <w:tcW w:w="2366" w:type="pct"/>
            <w:gridSpan w:val="2"/>
          </w:tcPr>
          <w:p w:rsidR="008734A9" w:rsidRPr="007A5455" w:rsidRDefault="008734A9" w:rsidP="008734A9">
            <w:pPr>
              <w:jc w:val="both"/>
              <w:rPr>
                <w:sz w:val="20"/>
                <w:szCs w:val="20"/>
                <w:lang w:val="fr-CA"/>
              </w:rPr>
            </w:pPr>
            <w:r w:rsidRPr="007A5455">
              <w:rPr>
                <w:sz w:val="20"/>
                <w:szCs w:val="20"/>
                <w:lang w:val="fr-CA"/>
              </w:rPr>
              <w:t xml:space="preserve">Rejet de l’appel; pension alimentaire pour les époux. </w:t>
            </w:r>
          </w:p>
          <w:p w:rsidR="008734A9" w:rsidRPr="007A5455" w:rsidRDefault="008734A9" w:rsidP="008734A9">
            <w:pPr>
              <w:jc w:val="both"/>
              <w:rPr>
                <w:sz w:val="20"/>
                <w:szCs w:val="20"/>
                <w:lang w:val="fr-CA"/>
              </w:rPr>
            </w:pPr>
          </w:p>
        </w:tc>
      </w:tr>
      <w:tr w:rsidR="008734A9" w:rsidRPr="007A5455" w:rsidTr="0022676D">
        <w:tblPrEx>
          <w:tblCellMar>
            <w:bottom w:w="0" w:type="dxa"/>
          </w:tblCellMar>
        </w:tblPrEx>
        <w:tc>
          <w:tcPr>
            <w:tcW w:w="2367" w:type="pct"/>
          </w:tcPr>
          <w:p w:rsidR="008734A9" w:rsidRPr="007A5455" w:rsidRDefault="008734A9" w:rsidP="008734A9">
            <w:pPr>
              <w:jc w:val="both"/>
              <w:rPr>
                <w:sz w:val="20"/>
                <w:szCs w:val="20"/>
                <w:lang w:val="fr-CA"/>
              </w:rPr>
            </w:pPr>
            <w:r w:rsidRPr="007A5455">
              <w:rPr>
                <w:sz w:val="20"/>
                <w:szCs w:val="20"/>
                <w:lang w:val="fr-CA"/>
              </w:rPr>
              <w:t>Le 24 septembre 2015</w:t>
            </w:r>
          </w:p>
          <w:p w:rsidR="008734A9" w:rsidRPr="007A5455" w:rsidRDefault="008734A9" w:rsidP="008734A9">
            <w:pPr>
              <w:jc w:val="both"/>
              <w:rPr>
                <w:sz w:val="20"/>
                <w:szCs w:val="20"/>
                <w:lang w:val="fr-CA"/>
              </w:rPr>
            </w:pPr>
            <w:r w:rsidRPr="007A5455">
              <w:rPr>
                <w:sz w:val="20"/>
                <w:szCs w:val="20"/>
                <w:lang w:val="fr-CA"/>
              </w:rPr>
              <w:t>Cour suprême du Canada</w:t>
            </w:r>
          </w:p>
        </w:tc>
        <w:tc>
          <w:tcPr>
            <w:tcW w:w="267" w:type="pct"/>
          </w:tcPr>
          <w:p w:rsidR="008734A9" w:rsidRPr="007A5455" w:rsidRDefault="008734A9" w:rsidP="008734A9">
            <w:pPr>
              <w:jc w:val="both"/>
              <w:rPr>
                <w:sz w:val="20"/>
                <w:szCs w:val="20"/>
                <w:lang w:val="fr-CA"/>
              </w:rPr>
            </w:pPr>
          </w:p>
        </w:tc>
        <w:tc>
          <w:tcPr>
            <w:tcW w:w="2366" w:type="pct"/>
            <w:gridSpan w:val="2"/>
          </w:tcPr>
          <w:p w:rsidR="008734A9" w:rsidRPr="007A5455" w:rsidRDefault="008734A9" w:rsidP="008734A9">
            <w:pPr>
              <w:jc w:val="both"/>
              <w:rPr>
                <w:sz w:val="20"/>
                <w:szCs w:val="20"/>
                <w:lang w:val="fr-CA"/>
              </w:rPr>
            </w:pPr>
            <w:r w:rsidRPr="007A5455">
              <w:rPr>
                <w:sz w:val="20"/>
                <w:szCs w:val="20"/>
                <w:lang w:val="fr-CA"/>
              </w:rPr>
              <w:t xml:space="preserve">Demande d'autorisation d'appel déposée. </w:t>
            </w:r>
          </w:p>
        </w:tc>
      </w:tr>
    </w:tbl>
    <w:p w:rsidR="008734A9" w:rsidRPr="007A5455" w:rsidRDefault="008734A9" w:rsidP="000A2A4F">
      <w:pPr>
        <w:rPr>
          <w:sz w:val="20"/>
          <w:szCs w:val="20"/>
        </w:rPr>
      </w:pPr>
    </w:p>
    <w:p w:rsidR="000A2A4F" w:rsidRPr="007A5455" w:rsidRDefault="001F68BE" w:rsidP="000A2A4F">
      <w:pPr>
        <w:rPr>
          <w:sz w:val="20"/>
          <w:szCs w:val="20"/>
        </w:rPr>
      </w:pPr>
      <w:r>
        <w:rPr>
          <w:sz w:val="20"/>
          <w:szCs w:val="20"/>
          <w:lang w:val="fr-CA"/>
        </w:rPr>
        <w:lastRenderedPageBreak/>
        <w:pict>
          <v:rect id="_x0000_i1061" style="width:2in;height:1pt" o:hrpct="0" o:hralign="center" o:hrstd="t" o:hrnoshade="t" o:hr="t" fillcolor="black [3213]" stroked="f"/>
        </w:pict>
      </w:r>
    </w:p>
    <w:p w:rsidR="000A2A4F" w:rsidRPr="007A5455" w:rsidRDefault="000A2A4F" w:rsidP="000A2A4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81AFE" w:rsidRPr="007A5455" w:rsidTr="0022676D">
        <w:trPr>
          <w:cantSplit/>
        </w:trPr>
        <w:tc>
          <w:tcPr>
            <w:tcW w:w="1458" w:type="dxa"/>
          </w:tcPr>
          <w:p w:rsidR="00081AFE" w:rsidRPr="007A5455" w:rsidRDefault="00081AFE" w:rsidP="0022676D">
            <w:pPr>
              <w:rPr>
                <w:sz w:val="20"/>
                <w:szCs w:val="20"/>
              </w:rPr>
            </w:pPr>
            <w:r w:rsidRPr="007A5455">
              <w:rPr>
                <w:rStyle w:val="SCCFileNumberChar"/>
                <w:sz w:val="20"/>
                <w:szCs w:val="20"/>
              </w:rPr>
              <w:t>36633</w:t>
            </w:r>
          </w:p>
          <w:p w:rsidR="00081AFE" w:rsidRPr="007A5455" w:rsidRDefault="00081AFE" w:rsidP="0022676D">
            <w:pPr>
              <w:rPr>
                <w:b/>
                <w:sz w:val="20"/>
                <w:szCs w:val="20"/>
                <w:lang w:val="fr-CA"/>
              </w:rPr>
            </w:pPr>
          </w:p>
        </w:tc>
        <w:tc>
          <w:tcPr>
            <w:tcW w:w="8118" w:type="dxa"/>
          </w:tcPr>
          <w:p w:rsidR="00081AFE" w:rsidRPr="007A5455" w:rsidRDefault="00081AFE" w:rsidP="0022676D">
            <w:pPr>
              <w:rPr>
                <w:sz w:val="20"/>
                <w:szCs w:val="20"/>
              </w:rPr>
            </w:pPr>
            <w:r w:rsidRPr="007A5455">
              <w:rPr>
                <w:b/>
                <w:iCs/>
                <w:sz w:val="20"/>
                <w:szCs w:val="20"/>
                <w:u w:val="single"/>
                <w:lang w:val="en-US"/>
              </w:rPr>
              <w:t xml:space="preserve">Ida </w:t>
            </w:r>
            <w:proofErr w:type="spellStart"/>
            <w:r w:rsidRPr="007A5455">
              <w:rPr>
                <w:b/>
                <w:iCs/>
                <w:sz w:val="20"/>
                <w:szCs w:val="20"/>
                <w:u w:val="single"/>
                <w:lang w:val="en-US"/>
              </w:rPr>
              <w:t>Bazargani</w:t>
            </w:r>
            <w:proofErr w:type="spellEnd"/>
            <w:r w:rsidRPr="007A5455">
              <w:rPr>
                <w:b/>
                <w:iCs/>
                <w:sz w:val="20"/>
                <w:szCs w:val="20"/>
                <w:u w:val="single"/>
                <w:lang w:val="en-US"/>
              </w:rPr>
              <w:t xml:space="preserve"> v. Ryan </w:t>
            </w:r>
            <w:proofErr w:type="spellStart"/>
            <w:r w:rsidRPr="007A5455">
              <w:rPr>
                <w:b/>
                <w:iCs/>
                <w:sz w:val="20"/>
                <w:szCs w:val="20"/>
                <w:u w:val="single"/>
                <w:lang w:val="en-US"/>
              </w:rPr>
              <w:t>Mizael</w:t>
            </w:r>
            <w:proofErr w:type="spellEnd"/>
            <w:r w:rsidRPr="007A5455">
              <w:rPr>
                <w:iCs/>
                <w:sz w:val="20"/>
                <w:szCs w:val="20"/>
              </w:rPr>
              <w:t xml:space="preserve"> </w:t>
            </w:r>
            <w:r w:rsidRPr="007A5455">
              <w:rPr>
                <w:sz w:val="20"/>
                <w:szCs w:val="20"/>
              </w:rPr>
              <w:t>(Ont.) (Civil) (By Leave)</w:t>
            </w:r>
          </w:p>
          <w:p w:rsidR="00081AFE" w:rsidRPr="007A5455" w:rsidRDefault="00081AFE" w:rsidP="0022676D">
            <w:pPr>
              <w:rPr>
                <w:sz w:val="20"/>
                <w:szCs w:val="20"/>
              </w:rPr>
            </w:pPr>
          </w:p>
        </w:tc>
      </w:tr>
      <w:tr w:rsidR="00081AFE" w:rsidRPr="007A5455" w:rsidTr="0022676D">
        <w:trPr>
          <w:cantSplit/>
        </w:trPr>
        <w:tc>
          <w:tcPr>
            <w:tcW w:w="1458" w:type="dxa"/>
          </w:tcPr>
          <w:p w:rsidR="00081AFE" w:rsidRPr="007A5455" w:rsidRDefault="00081AFE" w:rsidP="0022676D">
            <w:pPr>
              <w:rPr>
                <w:sz w:val="20"/>
                <w:szCs w:val="20"/>
              </w:rPr>
            </w:pPr>
            <w:r w:rsidRPr="007A5455">
              <w:rPr>
                <w:sz w:val="20"/>
                <w:szCs w:val="20"/>
              </w:rPr>
              <w:t>Coram :</w:t>
            </w:r>
          </w:p>
        </w:tc>
        <w:tc>
          <w:tcPr>
            <w:tcW w:w="8118" w:type="dxa"/>
          </w:tcPr>
          <w:p w:rsidR="00081AFE" w:rsidRPr="007A5455" w:rsidRDefault="00A32143" w:rsidP="0022676D">
            <w:pPr>
              <w:rPr>
                <w:sz w:val="20"/>
                <w:szCs w:val="20"/>
              </w:rPr>
            </w:pPr>
            <w:proofErr w:type="spellStart"/>
            <w:r w:rsidRPr="007A5455">
              <w:rPr>
                <w:rStyle w:val="SCCCoramChar"/>
                <w:sz w:val="20"/>
                <w:szCs w:val="20"/>
                <w:lang w:val="en-CA"/>
              </w:rPr>
              <w:t>Abella</w:t>
            </w:r>
            <w:proofErr w:type="spellEnd"/>
            <w:r w:rsidR="00081AFE" w:rsidRPr="007A5455">
              <w:rPr>
                <w:rStyle w:val="SCCCoramChar"/>
                <w:sz w:val="20"/>
                <w:szCs w:val="20"/>
                <w:lang w:val="en-CA"/>
              </w:rPr>
              <w:t xml:space="preserve">, </w:t>
            </w:r>
            <w:proofErr w:type="spellStart"/>
            <w:r w:rsidR="00081AFE" w:rsidRPr="007A5455">
              <w:rPr>
                <w:rStyle w:val="SCCCoramChar"/>
                <w:sz w:val="20"/>
                <w:szCs w:val="20"/>
                <w:lang w:val="en-CA"/>
              </w:rPr>
              <w:t>Karakatsanis</w:t>
            </w:r>
            <w:proofErr w:type="spellEnd"/>
            <w:r w:rsidR="00081AFE" w:rsidRPr="007A5455">
              <w:rPr>
                <w:rStyle w:val="SCCCoramChar"/>
                <w:sz w:val="20"/>
                <w:szCs w:val="20"/>
                <w:lang w:val="en-CA"/>
              </w:rPr>
              <w:t xml:space="preserve"> and </w:t>
            </w:r>
            <w:r w:rsidRPr="007A5455">
              <w:rPr>
                <w:rStyle w:val="SCCCoramChar"/>
                <w:sz w:val="20"/>
                <w:szCs w:val="20"/>
                <w:lang w:val="en-CA"/>
              </w:rPr>
              <w:t>Brown</w:t>
            </w:r>
            <w:r w:rsidR="00081AFE" w:rsidRPr="007A5455">
              <w:rPr>
                <w:rStyle w:val="SCCCoramChar"/>
                <w:sz w:val="20"/>
                <w:szCs w:val="20"/>
                <w:lang w:val="en-CA"/>
              </w:rPr>
              <w:t> JJ.</w:t>
            </w:r>
          </w:p>
          <w:p w:rsidR="00081AFE" w:rsidRPr="007A5455" w:rsidRDefault="00081AFE" w:rsidP="0022676D">
            <w:pPr>
              <w:rPr>
                <w:sz w:val="20"/>
                <w:szCs w:val="20"/>
                <w:u w:val="single"/>
              </w:rPr>
            </w:pPr>
          </w:p>
        </w:tc>
      </w:tr>
      <w:tr w:rsidR="00081AFE" w:rsidRPr="007A5455" w:rsidTr="0022676D">
        <w:trPr>
          <w:cantSplit/>
        </w:trPr>
        <w:tc>
          <w:tcPr>
            <w:tcW w:w="9576" w:type="dxa"/>
            <w:gridSpan w:val="2"/>
          </w:tcPr>
          <w:p w:rsidR="00081AFE" w:rsidRPr="007A5455" w:rsidRDefault="0061114A" w:rsidP="0022676D">
            <w:pPr>
              <w:pStyle w:val="SCCShortJudgment"/>
              <w:rPr>
                <w:szCs w:val="20"/>
              </w:rPr>
            </w:pPr>
            <w:r w:rsidRPr="007A5455">
              <w:t>The application for leave to appeal from the judgment of the Court of Appeal for Ontario, Number C60280, 2015 ONCA 517, dated July 8, 2015, is dismissed without costs.</w:t>
            </w:r>
          </w:p>
          <w:p w:rsidR="00081AFE" w:rsidRPr="007A5455" w:rsidRDefault="00081AFE" w:rsidP="0022676D">
            <w:pPr>
              <w:pStyle w:val="SCCShortJudgment"/>
              <w:ind w:firstLine="0"/>
              <w:rPr>
                <w:szCs w:val="20"/>
              </w:rPr>
            </w:pPr>
          </w:p>
          <w:p w:rsidR="00081AFE" w:rsidRPr="007A5455" w:rsidRDefault="0061114A" w:rsidP="0061114A">
            <w:pPr>
              <w:pStyle w:val="SCCShortJudgment"/>
              <w:rPr>
                <w:szCs w:val="20"/>
                <w:lang w:val="fr-CA"/>
              </w:rPr>
            </w:pPr>
            <w:r w:rsidRPr="007A5455">
              <w:rPr>
                <w:lang w:val="fr-CA"/>
              </w:rPr>
              <w:t xml:space="preserve">La demande d’autorisation d’appel de l’arrêt de la </w:t>
            </w:r>
            <w:r w:rsidRPr="007A5455">
              <w:rPr>
                <w:lang w:val="fr-FR"/>
              </w:rPr>
              <w:t>Cour d’appel de l’Ontario</w:t>
            </w:r>
            <w:r w:rsidRPr="007A5455">
              <w:rPr>
                <w:lang w:val="fr-CA"/>
              </w:rPr>
              <w:t xml:space="preserve">, numéro </w:t>
            </w:r>
            <w:r w:rsidRPr="007A5455">
              <w:rPr>
                <w:lang w:val="fr-FR"/>
              </w:rPr>
              <w:t>C60280, 2015 ONCA 517</w:t>
            </w:r>
            <w:r w:rsidRPr="007A5455">
              <w:rPr>
                <w:lang w:val="fr-CA"/>
              </w:rPr>
              <w:t xml:space="preserve">, daté du </w:t>
            </w:r>
            <w:r w:rsidRPr="007A5455">
              <w:rPr>
                <w:lang w:val="fr-FR"/>
              </w:rPr>
              <w:t>8 juillet 2015</w:t>
            </w:r>
            <w:r w:rsidRPr="007A5455">
              <w:rPr>
                <w:lang w:val="fr-CA"/>
              </w:rPr>
              <w:t>, est rejetée sans dépens.</w:t>
            </w:r>
          </w:p>
        </w:tc>
      </w:tr>
    </w:tbl>
    <w:p w:rsidR="00081AFE" w:rsidRPr="007A5455" w:rsidRDefault="00081AFE" w:rsidP="00081AFE">
      <w:pPr>
        <w:rPr>
          <w:sz w:val="20"/>
          <w:szCs w:val="20"/>
          <w:lang w:val="fr-CA"/>
        </w:rPr>
      </w:pPr>
    </w:p>
    <w:p w:rsidR="00081AFE" w:rsidRPr="007A5455" w:rsidRDefault="00081AFE" w:rsidP="00081AFE">
      <w:pPr>
        <w:rPr>
          <w:sz w:val="20"/>
          <w:szCs w:val="20"/>
          <w:u w:val="single"/>
        </w:rPr>
      </w:pPr>
      <w:r w:rsidRPr="007A5455">
        <w:rPr>
          <w:sz w:val="20"/>
          <w:szCs w:val="20"/>
          <w:u w:val="single"/>
        </w:rPr>
        <w:t>CASE SUMMARY</w:t>
      </w:r>
    </w:p>
    <w:p w:rsidR="00081AFE" w:rsidRPr="007A5455" w:rsidRDefault="00081AFE" w:rsidP="00081A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2EF6" w:rsidRPr="007A5455" w:rsidTr="0022676D">
        <w:tc>
          <w:tcPr>
            <w:tcW w:w="5000" w:type="pct"/>
            <w:gridSpan w:val="3"/>
          </w:tcPr>
          <w:p w:rsidR="005C2EF6" w:rsidRPr="007A5455" w:rsidRDefault="005C2EF6" w:rsidP="005C2EF6">
            <w:pPr>
              <w:jc w:val="both"/>
              <w:rPr>
                <w:sz w:val="20"/>
                <w:szCs w:val="20"/>
              </w:rPr>
            </w:pPr>
            <w:r w:rsidRPr="007A5455">
              <w:rPr>
                <w:sz w:val="20"/>
                <w:szCs w:val="20"/>
              </w:rPr>
              <w:t xml:space="preserve">Family law – Custody – Mother leaving home in Australia with child of marriage to visit with parents – Father in Australia unaware of mother’s intention to remain in Canada permanently – Father applying under </w:t>
            </w:r>
            <w:r w:rsidRPr="007A5455">
              <w:rPr>
                <w:i/>
                <w:sz w:val="20"/>
                <w:szCs w:val="20"/>
              </w:rPr>
              <w:t xml:space="preserve">Hague Convention </w:t>
            </w:r>
            <w:r w:rsidRPr="007A5455">
              <w:rPr>
                <w:sz w:val="20"/>
                <w:szCs w:val="20"/>
              </w:rPr>
              <w:t>to have child returned to Australia</w:t>
            </w:r>
            <w:r w:rsidRPr="007A5455">
              <w:rPr>
                <w:i/>
                <w:sz w:val="20"/>
                <w:szCs w:val="20"/>
              </w:rPr>
              <w:t xml:space="preserve"> </w:t>
            </w:r>
            <w:r w:rsidRPr="007A5455">
              <w:rPr>
                <w:sz w:val="20"/>
                <w:szCs w:val="20"/>
              </w:rPr>
              <w:t>– Whether court has power to intervene to protect children even though claim of abuse is not explicitly relied upon from beginning of proceedings – Whether decision of Court of Appeal puts law at odds with previous decision of same court and other appellate courts in Canada – Whether Court of Appeal made contradictory findings of fact.</w:t>
            </w:r>
          </w:p>
          <w:p w:rsidR="005C2EF6" w:rsidRPr="007A5455" w:rsidRDefault="005C2EF6" w:rsidP="005C2EF6">
            <w:pPr>
              <w:jc w:val="both"/>
              <w:rPr>
                <w:sz w:val="20"/>
                <w:szCs w:val="20"/>
              </w:rPr>
            </w:pPr>
          </w:p>
        </w:tc>
      </w:tr>
      <w:tr w:rsidR="005C2EF6" w:rsidRPr="007A5455" w:rsidTr="0022676D">
        <w:tc>
          <w:tcPr>
            <w:tcW w:w="5000" w:type="pct"/>
            <w:gridSpan w:val="3"/>
          </w:tcPr>
          <w:p w:rsidR="005C2EF6" w:rsidRPr="007A5455" w:rsidRDefault="005C2EF6" w:rsidP="005C2EF6">
            <w:pPr>
              <w:jc w:val="both"/>
              <w:rPr>
                <w:sz w:val="20"/>
                <w:szCs w:val="20"/>
              </w:rPr>
            </w:pPr>
            <w:r w:rsidRPr="007A5455">
              <w:rPr>
                <w:sz w:val="20"/>
                <w:szCs w:val="20"/>
              </w:rPr>
              <w:t xml:space="preserve">The husband and wife were married in Iran in 2004. They moved to Australia in 2006, where their daughter was born in 2010. In 2012, the mother was diagnosed as having an anaphylaxis condition. Following that diagnosis, she decided to visit with her parents in the Toronto area and took the daughter with her. She did not communicate any intention to move to Canada on a permanent basis. The husband financially supported the wife and child in Canada and repeatedly tried to visit with them. Eight months after leaving, the wife had a custody agreement sent to the husband that ostensibly provided her with sole custody and the right to choose the child’s residence. The husband signed it without first obtaining legal advice. In August, 2013, the wife instituted property proceedings in Australia. In October, 2013, the husband demanded the child’s return and the wife refused. She commenced divorce proceedings in Canada. The husband made </w:t>
            </w:r>
            <w:r w:rsidRPr="007A5455">
              <w:rPr>
                <w:i/>
                <w:sz w:val="20"/>
                <w:szCs w:val="20"/>
              </w:rPr>
              <w:t>Hague Convention</w:t>
            </w:r>
            <w:r w:rsidRPr="007A5455">
              <w:rPr>
                <w:sz w:val="20"/>
                <w:szCs w:val="20"/>
              </w:rPr>
              <w:t xml:space="preserve"> applications in Australia and in Canada.</w:t>
            </w:r>
          </w:p>
          <w:p w:rsidR="005C2EF6" w:rsidRPr="007A5455" w:rsidRDefault="005C2EF6" w:rsidP="005C2EF6">
            <w:pPr>
              <w:jc w:val="both"/>
              <w:rPr>
                <w:sz w:val="20"/>
                <w:szCs w:val="20"/>
              </w:rPr>
            </w:pPr>
          </w:p>
        </w:tc>
      </w:tr>
      <w:tr w:rsidR="005C2EF6" w:rsidRPr="007A5455" w:rsidTr="0022676D">
        <w:tc>
          <w:tcPr>
            <w:tcW w:w="2427" w:type="pct"/>
          </w:tcPr>
          <w:p w:rsidR="005C2EF6" w:rsidRPr="007A5455" w:rsidRDefault="005C2EF6" w:rsidP="005C2EF6">
            <w:pPr>
              <w:jc w:val="both"/>
              <w:rPr>
                <w:sz w:val="20"/>
                <w:szCs w:val="20"/>
              </w:rPr>
            </w:pPr>
            <w:r w:rsidRPr="007A5455">
              <w:rPr>
                <w:sz w:val="20"/>
                <w:szCs w:val="20"/>
              </w:rPr>
              <w:t>March 19, 2015</w:t>
            </w:r>
          </w:p>
          <w:p w:rsidR="005C2EF6" w:rsidRPr="007A5455" w:rsidRDefault="005C2EF6" w:rsidP="005C2EF6">
            <w:pPr>
              <w:jc w:val="both"/>
              <w:rPr>
                <w:sz w:val="20"/>
                <w:szCs w:val="20"/>
              </w:rPr>
            </w:pPr>
            <w:r w:rsidRPr="007A5455">
              <w:rPr>
                <w:sz w:val="20"/>
                <w:szCs w:val="20"/>
              </w:rPr>
              <w:t>Ontario Superior Court of Justice</w:t>
            </w:r>
          </w:p>
          <w:p w:rsidR="005C2EF6" w:rsidRPr="007A5455" w:rsidRDefault="005C2EF6" w:rsidP="005C2EF6">
            <w:pPr>
              <w:jc w:val="both"/>
              <w:rPr>
                <w:sz w:val="20"/>
                <w:szCs w:val="20"/>
              </w:rPr>
            </w:pPr>
            <w:r w:rsidRPr="007A5455">
              <w:rPr>
                <w:sz w:val="20"/>
                <w:szCs w:val="20"/>
              </w:rPr>
              <w:t>(Moore J.)</w:t>
            </w:r>
          </w:p>
          <w:p w:rsidR="005C2EF6" w:rsidRPr="007A5455" w:rsidRDefault="005C2EF6" w:rsidP="005C2EF6">
            <w:pPr>
              <w:jc w:val="both"/>
              <w:rPr>
                <w:sz w:val="20"/>
                <w:szCs w:val="20"/>
              </w:rPr>
            </w:pPr>
            <w:r w:rsidRPr="007A5455">
              <w:rPr>
                <w:sz w:val="20"/>
                <w:szCs w:val="20"/>
              </w:rPr>
              <w:t>Unreported</w:t>
            </w:r>
          </w:p>
          <w:p w:rsidR="005C2EF6" w:rsidRPr="007A5455" w:rsidRDefault="005C2EF6" w:rsidP="005C2EF6">
            <w:pPr>
              <w:jc w:val="both"/>
              <w:rPr>
                <w:sz w:val="20"/>
                <w:szCs w:val="20"/>
              </w:rPr>
            </w:pPr>
          </w:p>
        </w:tc>
        <w:tc>
          <w:tcPr>
            <w:tcW w:w="243" w:type="pct"/>
          </w:tcPr>
          <w:p w:rsidR="005C2EF6" w:rsidRPr="007A5455" w:rsidRDefault="005C2EF6" w:rsidP="005C2EF6">
            <w:pPr>
              <w:jc w:val="both"/>
              <w:rPr>
                <w:sz w:val="20"/>
                <w:szCs w:val="20"/>
              </w:rPr>
            </w:pPr>
          </w:p>
        </w:tc>
        <w:tc>
          <w:tcPr>
            <w:tcW w:w="2330" w:type="pct"/>
          </w:tcPr>
          <w:p w:rsidR="005C2EF6" w:rsidRPr="007A5455" w:rsidRDefault="005C2EF6" w:rsidP="005C2EF6">
            <w:pPr>
              <w:jc w:val="both"/>
              <w:rPr>
                <w:sz w:val="20"/>
                <w:szCs w:val="20"/>
              </w:rPr>
            </w:pPr>
            <w:r w:rsidRPr="007A5455">
              <w:rPr>
                <w:sz w:val="20"/>
                <w:szCs w:val="20"/>
              </w:rPr>
              <w:t>Child ordered returned to Australia</w:t>
            </w:r>
          </w:p>
          <w:p w:rsidR="005C2EF6" w:rsidRPr="007A5455" w:rsidRDefault="005C2EF6" w:rsidP="005C2EF6">
            <w:pPr>
              <w:jc w:val="both"/>
              <w:rPr>
                <w:sz w:val="20"/>
                <w:szCs w:val="20"/>
              </w:rPr>
            </w:pPr>
          </w:p>
          <w:p w:rsidR="005C2EF6" w:rsidRPr="007A5455" w:rsidRDefault="005C2EF6" w:rsidP="005C2EF6">
            <w:pPr>
              <w:jc w:val="both"/>
              <w:rPr>
                <w:sz w:val="20"/>
                <w:szCs w:val="20"/>
              </w:rPr>
            </w:pPr>
          </w:p>
        </w:tc>
      </w:tr>
      <w:tr w:rsidR="005C2EF6" w:rsidRPr="007A5455" w:rsidTr="0022676D">
        <w:tc>
          <w:tcPr>
            <w:tcW w:w="2427" w:type="pct"/>
          </w:tcPr>
          <w:p w:rsidR="005C2EF6" w:rsidRPr="007A5455" w:rsidRDefault="005C2EF6" w:rsidP="005C2EF6">
            <w:pPr>
              <w:jc w:val="both"/>
              <w:rPr>
                <w:sz w:val="20"/>
                <w:szCs w:val="20"/>
              </w:rPr>
            </w:pPr>
            <w:r w:rsidRPr="007A5455">
              <w:rPr>
                <w:sz w:val="20"/>
                <w:szCs w:val="20"/>
              </w:rPr>
              <w:t>July 8, 2015</w:t>
            </w:r>
          </w:p>
          <w:p w:rsidR="005C2EF6" w:rsidRPr="007A5455" w:rsidRDefault="005C2EF6" w:rsidP="005C2EF6">
            <w:pPr>
              <w:jc w:val="both"/>
              <w:rPr>
                <w:sz w:val="20"/>
                <w:szCs w:val="20"/>
              </w:rPr>
            </w:pPr>
            <w:r w:rsidRPr="007A5455">
              <w:rPr>
                <w:sz w:val="20"/>
                <w:szCs w:val="20"/>
              </w:rPr>
              <w:t>Court of Appeal for Ontario</w:t>
            </w:r>
          </w:p>
          <w:p w:rsidR="005C2EF6" w:rsidRPr="007A5455" w:rsidRDefault="005C2EF6" w:rsidP="005C2EF6">
            <w:pPr>
              <w:jc w:val="both"/>
              <w:rPr>
                <w:sz w:val="20"/>
                <w:szCs w:val="20"/>
              </w:rPr>
            </w:pPr>
            <w:r w:rsidRPr="007A5455">
              <w:rPr>
                <w:sz w:val="20"/>
                <w:szCs w:val="20"/>
              </w:rPr>
              <w:t xml:space="preserve">(Doherty, </w:t>
            </w:r>
            <w:proofErr w:type="spellStart"/>
            <w:r w:rsidRPr="007A5455">
              <w:rPr>
                <w:sz w:val="20"/>
                <w:szCs w:val="20"/>
              </w:rPr>
              <w:t>Pepall</w:t>
            </w:r>
            <w:proofErr w:type="spellEnd"/>
            <w:r w:rsidRPr="007A5455">
              <w:rPr>
                <w:sz w:val="20"/>
                <w:szCs w:val="20"/>
              </w:rPr>
              <w:t xml:space="preserve"> and </w:t>
            </w:r>
            <w:proofErr w:type="spellStart"/>
            <w:r w:rsidRPr="007A5455">
              <w:rPr>
                <w:sz w:val="20"/>
                <w:szCs w:val="20"/>
              </w:rPr>
              <w:t>Huscroft</w:t>
            </w:r>
            <w:proofErr w:type="spellEnd"/>
            <w:r w:rsidRPr="007A5455">
              <w:rPr>
                <w:sz w:val="20"/>
                <w:szCs w:val="20"/>
              </w:rPr>
              <w:t xml:space="preserve"> JJ.A.)</w:t>
            </w:r>
          </w:p>
          <w:p w:rsidR="005C2EF6" w:rsidRPr="007A5455" w:rsidRDefault="001F68BE" w:rsidP="005C2EF6">
            <w:pPr>
              <w:jc w:val="both"/>
              <w:rPr>
                <w:sz w:val="20"/>
                <w:szCs w:val="20"/>
              </w:rPr>
            </w:pPr>
            <w:hyperlink r:id="rId66" w:history="1">
              <w:r w:rsidR="005C2EF6" w:rsidRPr="007A5455">
                <w:rPr>
                  <w:color w:val="0000FF" w:themeColor="hyperlink"/>
                  <w:sz w:val="20"/>
                  <w:szCs w:val="20"/>
                  <w:u w:val="single"/>
                </w:rPr>
                <w:t>2015 ONCA 517</w:t>
              </w:r>
            </w:hyperlink>
            <w:r w:rsidR="005C2EF6" w:rsidRPr="007A5455">
              <w:rPr>
                <w:sz w:val="20"/>
                <w:szCs w:val="20"/>
              </w:rPr>
              <w:t xml:space="preserve"> </w:t>
            </w:r>
          </w:p>
          <w:p w:rsidR="005C2EF6" w:rsidRPr="007A5455" w:rsidRDefault="005C2EF6" w:rsidP="005C2EF6">
            <w:pPr>
              <w:jc w:val="both"/>
              <w:rPr>
                <w:sz w:val="20"/>
                <w:szCs w:val="20"/>
              </w:rPr>
            </w:pPr>
          </w:p>
        </w:tc>
        <w:tc>
          <w:tcPr>
            <w:tcW w:w="243" w:type="pct"/>
          </w:tcPr>
          <w:p w:rsidR="005C2EF6" w:rsidRPr="007A5455" w:rsidRDefault="005C2EF6" w:rsidP="005C2EF6">
            <w:pPr>
              <w:jc w:val="both"/>
              <w:rPr>
                <w:sz w:val="20"/>
                <w:szCs w:val="20"/>
              </w:rPr>
            </w:pPr>
          </w:p>
        </w:tc>
        <w:tc>
          <w:tcPr>
            <w:tcW w:w="2330" w:type="pct"/>
          </w:tcPr>
          <w:p w:rsidR="005C2EF6" w:rsidRPr="007A5455" w:rsidRDefault="005C2EF6" w:rsidP="005C2EF6">
            <w:pPr>
              <w:jc w:val="both"/>
              <w:rPr>
                <w:sz w:val="20"/>
                <w:szCs w:val="20"/>
              </w:rPr>
            </w:pPr>
            <w:r w:rsidRPr="007A5455">
              <w:rPr>
                <w:sz w:val="20"/>
                <w:szCs w:val="20"/>
              </w:rPr>
              <w:t>Mother’s appeal dismissed</w:t>
            </w:r>
          </w:p>
          <w:p w:rsidR="005C2EF6" w:rsidRPr="007A5455" w:rsidRDefault="005C2EF6" w:rsidP="005C2EF6">
            <w:pPr>
              <w:jc w:val="both"/>
              <w:rPr>
                <w:sz w:val="20"/>
                <w:szCs w:val="20"/>
              </w:rPr>
            </w:pPr>
          </w:p>
        </w:tc>
      </w:tr>
      <w:tr w:rsidR="005C2EF6" w:rsidRPr="007A5455" w:rsidTr="0022676D">
        <w:tc>
          <w:tcPr>
            <w:tcW w:w="2427" w:type="pct"/>
          </w:tcPr>
          <w:p w:rsidR="005C2EF6" w:rsidRPr="007A5455" w:rsidRDefault="005C2EF6" w:rsidP="005C2EF6">
            <w:pPr>
              <w:jc w:val="both"/>
              <w:rPr>
                <w:sz w:val="20"/>
                <w:szCs w:val="20"/>
              </w:rPr>
            </w:pPr>
            <w:r w:rsidRPr="007A5455">
              <w:rPr>
                <w:sz w:val="20"/>
                <w:szCs w:val="20"/>
              </w:rPr>
              <w:t>September 24, 2015</w:t>
            </w:r>
          </w:p>
          <w:p w:rsidR="005C2EF6" w:rsidRPr="007A5455" w:rsidRDefault="005C2EF6" w:rsidP="005C2EF6">
            <w:pPr>
              <w:jc w:val="both"/>
              <w:rPr>
                <w:sz w:val="20"/>
                <w:szCs w:val="20"/>
              </w:rPr>
            </w:pPr>
            <w:r w:rsidRPr="007A5455">
              <w:rPr>
                <w:sz w:val="20"/>
                <w:szCs w:val="20"/>
              </w:rPr>
              <w:t>Supreme Court of Canada</w:t>
            </w:r>
          </w:p>
        </w:tc>
        <w:tc>
          <w:tcPr>
            <w:tcW w:w="243" w:type="pct"/>
          </w:tcPr>
          <w:p w:rsidR="005C2EF6" w:rsidRPr="007A5455" w:rsidRDefault="005C2EF6" w:rsidP="005C2EF6">
            <w:pPr>
              <w:jc w:val="both"/>
              <w:rPr>
                <w:sz w:val="20"/>
                <w:szCs w:val="20"/>
              </w:rPr>
            </w:pPr>
          </w:p>
        </w:tc>
        <w:tc>
          <w:tcPr>
            <w:tcW w:w="2330" w:type="pct"/>
          </w:tcPr>
          <w:p w:rsidR="005C2EF6" w:rsidRPr="007A5455" w:rsidRDefault="005C2EF6" w:rsidP="005C2EF6">
            <w:pPr>
              <w:jc w:val="both"/>
              <w:rPr>
                <w:sz w:val="20"/>
                <w:szCs w:val="20"/>
              </w:rPr>
            </w:pPr>
            <w:r w:rsidRPr="007A5455">
              <w:rPr>
                <w:sz w:val="20"/>
                <w:szCs w:val="20"/>
              </w:rPr>
              <w:t>Application for leave to appeal filed</w:t>
            </w:r>
          </w:p>
          <w:p w:rsidR="005C2EF6" w:rsidRPr="007A5455" w:rsidRDefault="005C2EF6" w:rsidP="005C2EF6">
            <w:pPr>
              <w:jc w:val="both"/>
              <w:rPr>
                <w:sz w:val="20"/>
                <w:szCs w:val="20"/>
              </w:rPr>
            </w:pPr>
          </w:p>
        </w:tc>
      </w:tr>
    </w:tbl>
    <w:p w:rsidR="005C2EF6" w:rsidRPr="007A5455" w:rsidRDefault="005C2EF6" w:rsidP="00081AFE">
      <w:pPr>
        <w:rPr>
          <w:sz w:val="20"/>
          <w:szCs w:val="20"/>
        </w:rPr>
      </w:pPr>
    </w:p>
    <w:p w:rsidR="00081AFE" w:rsidRPr="007A5455" w:rsidRDefault="001F68BE" w:rsidP="00081AFE">
      <w:pPr>
        <w:rPr>
          <w:sz w:val="20"/>
          <w:szCs w:val="20"/>
        </w:rPr>
      </w:pPr>
      <w:r>
        <w:rPr>
          <w:sz w:val="20"/>
          <w:szCs w:val="20"/>
          <w:lang w:val="fr-CA"/>
        </w:rPr>
        <w:pict>
          <v:rect id="_x0000_i1062" style="width:2in;height:1pt" o:hrpct="0" o:hralign="center" o:hrstd="t" o:hrnoshade="t" o:hr="t" fillcolor="black [3213]" stroked="f"/>
        </w:pict>
      </w:r>
    </w:p>
    <w:p w:rsidR="001F2BD9" w:rsidRPr="007A5455" w:rsidRDefault="001F2BD9">
      <w:pPr>
        <w:rPr>
          <w:sz w:val="20"/>
          <w:szCs w:val="20"/>
        </w:rPr>
      </w:pPr>
      <w:r w:rsidRPr="007A5455">
        <w:rPr>
          <w:sz w:val="20"/>
          <w:szCs w:val="20"/>
        </w:rPr>
        <w:br w:type="page"/>
      </w:r>
    </w:p>
    <w:p w:rsidR="00081AFE" w:rsidRPr="007A5455" w:rsidRDefault="00081AFE" w:rsidP="00081AFE">
      <w:pPr>
        <w:rPr>
          <w:sz w:val="20"/>
          <w:szCs w:val="20"/>
          <w:u w:val="single"/>
          <w:lang w:val="fr-CA"/>
        </w:rPr>
      </w:pPr>
      <w:r w:rsidRPr="007A5455">
        <w:rPr>
          <w:sz w:val="20"/>
          <w:szCs w:val="20"/>
          <w:u w:val="single"/>
          <w:lang w:val="fr-CA"/>
        </w:rPr>
        <w:lastRenderedPageBreak/>
        <w:t>RÉSUMÉ DE L’AFFAIRE</w:t>
      </w:r>
    </w:p>
    <w:p w:rsidR="00081AFE" w:rsidRPr="007A5455" w:rsidRDefault="00081AFE" w:rsidP="00081A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20C96" w:rsidRPr="007A5455" w:rsidTr="0022676D">
        <w:tc>
          <w:tcPr>
            <w:tcW w:w="5000" w:type="pct"/>
            <w:gridSpan w:val="3"/>
          </w:tcPr>
          <w:p w:rsidR="00A20C96" w:rsidRPr="007A5455" w:rsidRDefault="00A20C96" w:rsidP="00A20C96">
            <w:pPr>
              <w:jc w:val="both"/>
              <w:rPr>
                <w:sz w:val="20"/>
                <w:szCs w:val="20"/>
                <w:lang w:val="fr-CA"/>
              </w:rPr>
            </w:pPr>
            <w:r w:rsidRPr="007A5455">
              <w:rPr>
                <w:sz w:val="20"/>
                <w:szCs w:val="20"/>
                <w:lang w:val="fr-CA"/>
              </w:rPr>
              <w:t xml:space="preserve">Droit de la famille – Garde – La mère est partie de chez elle en Australie avec une enfant du mariage pour rendre visite à ses parents – Le père en Australie ignorait que la mère avait l’intention de demeurer au Canada pour toujours – Le père a présenté une demande fondée sur la </w:t>
            </w:r>
            <w:r w:rsidRPr="007A5455">
              <w:rPr>
                <w:i/>
                <w:sz w:val="20"/>
                <w:szCs w:val="20"/>
                <w:lang w:val="fr-CA"/>
              </w:rPr>
              <w:t xml:space="preserve">Convention de La Haye </w:t>
            </w:r>
            <w:r w:rsidRPr="007A5455">
              <w:rPr>
                <w:sz w:val="20"/>
                <w:szCs w:val="20"/>
                <w:lang w:val="fr-CA"/>
              </w:rPr>
              <w:t>pour que l’enfant soit renvoyée en Australie</w:t>
            </w:r>
            <w:r w:rsidRPr="007A5455">
              <w:rPr>
                <w:i/>
                <w:sz w:val="20"/>
                <w:szCs w:val="20"/>
                <w:lang w:val="fr-CA"/>
              </w:rPr>
              <w:t xml:space="preserve"> </w:t>
            </w:r>
            <w:r w:rsidRPr="007A5455">
              <w:rPr>
                <w:sz w:val="20"/>
                <w:szCs w:val="20"/>
                <w:lang w:val="fr-CA"/>
              </w:rPr>
              <w:t xml:space="preserve">– Le tribunal </w:t>
            </w:r>
            <w:proofErr w:type="spellStart"/>
            <w:r w:rsidRPr="007A5455">
              <w:rPr>
                <w:sz w:val="20"/>
                <w:szCs w:val="20"/>
                <w:lang w:val="fr-CA"/>
              </w:rPr>
              <w:t>a-t-il</w:t>
            </w:r>
            <w:proofErr w:type="spellEnd"/>
            <w:r w:rsidRPr="007A5455">
              <w:rPr>
                <w:sz w:val="20"/>
                <w:szCs w:val="20"/>
                <w:lang w:val="fr-CA"/>
              </w:rPr>
              <w:t xml:space="preserve"> le pouvoir d’intervenir pour protéger des enfants, même en l’absence d’allégation explicite d’abus en début d’instance? – Sur le plan du droit, l’arrêt de la Cour d’appel va-t-il dans le sens contraire de sa propre jurisprudence et de celle d’autres tribunaux d’appel au Canada? – La Cour d’appel a-t-elle tiré des conclusions de fait contradictoires?</w:t>
            </w:r>
          </w:p>
          <w:p w:rsidR="00A20C96" w:rsidRPr="007A5455" w:rsidRDefault="00A20C96" w:rsidP="00A20C96">
            <w:pPr>
              <w:jc w:val="both"/>
              <w:rPr>
                <w:sz w:val="20"/>
                <w:szCs w:val="20"/>
                <w:lang w:val="fr-CA"/>
              </w:rPr>
            </w:pPr>
          </w:p>
        </w:tc>
      </w:tr>
      <w:tr w:rsidR="00A20C96" w:rsidRPr="007A5455" w:rsidTr="0022676D">
        <w:tc>
          <w:tcPr>
            <w:tcW w:w="5000" w:type="pct"/>
            <w:gridSpan w:val="3"/>
          </w:tcPr>
          <w:p w:rsidR="00A20C96" w:rsidRPr="007A5455" w:rsidRDefault="00A20C96" w:rsidP="00A20C96">
            <w:pPr>
              <w:jc w:val="both"/>
              <w:rPr>
                <w:sz w:val="20"/>
                <w:szCs w:val="20"/>
                <w:lang w:val="fr-CA"/>
              </w:rPr>
            </w:pPr>
            <w:r w:rsidRPr="007A5455">
              <w:rPr>
                <w:sz w:val="20"/>
                <w:szCs w:val="20"/>
                <w:lang w:val="fr-CA"/>
              </w:rPr>
              <w:t xml:space="preserve">Les époux se sont mariés en Iran en 2004. Ils ont déménagé en Australie en 2006, où leur fille est née en 2010. En 2012, la mère a reçu un diagnostic de trouble d’anaphylaxie. À la suite de ce diagnostic, elle a décidé d’aller rendre visite à ses parents dans la région de Toronto et elle a emmené sa fille. Elle n’a pas fait part de quelque intention que ce soit de s’établir au Canada. L’époux a soutenu financièrement l’épouse et l’enfant au Canada et il a tenté à plusieurs reprises de leur rendre visite. Huit mois après son départ, l’épouse a fait envoyer à son époux un accord de garde qui donnait apparemment à l’épouse la garde exclusive de l’enfant et le droit de choisir la résidence de l’enfant. L’époux a signé l’accord sans avoir obtenu d’avis juridique au préalable. En août 2013, l’épouse a introduit en Australie une instance portant sur les biens. En octobre 2013, l’époux a exigé le retour de l’enfant, mais son épouse a refusé. Cette dernière a intenté une procédure de divorce au Canada. L’époux a présenté des demandes fondées sur la </w:t>
            </w:r>
            <w:r w:rsidRPr="007A5455">
              <w:rPr>
                <w:i/>
                <w:sz w:val="20"/>
                <w:szCs w:val="20"/>
                <w:lang w:val="fr-CA"/>
              </w:rPr>
              <w:t>Convention de La Haye</w:t>
            </w:r>
            <w:r w:rsidRPr="007A5455">
              <w:rPr>
                <w:sz w:val="20"/>
                <w:szCs w:val="20"/>
                <w:lang w:val="fr-CA"/>
              </w:rPr>
              <w:t xml:space="preserve"> en Australie et au Canada.</w:t>
            </w:r>
          </w:p>
          <w:p w:rsidR="00A20C96" w:rsidRPr="007A5455" w:rsidRDefault="00A20C96" w:rsidP="00A20C96">
            <w:pPr>
              <w:jc w:val="both"/>
              <w:rPr>
                <w:sz w:val="20"/>
                <w:szCs w:val="20"/>
                <w:lang w:val="fr-CA"/>
              </w:rPr>
            </w:pPr>
          </w:p>
        </w:tc>
      </w:tr>
      <w:tr w:rsidR="00A20C96" w:rsidRPr="007A5455" w:rsidTr="0022676D">
        <w:tc>
          <w:tcPr>
            <w:tcW w:w="2427" w:type="pct"/>
          </w:tcPr>
          <w:p w:rsidR="00A20C96" w:rsidRPr="007A5455" w:rsidRDefault="00A20C96" w:rsidP="00A20C96">
            <w:pPr>
              <w:jc w:val="both"/>
              <w:rPr>
                <w:sz w:val="20"/>
                <w:szCs w:val="20"/>
                <w:lang w:val="fr-CA"/>
              </w:rPr>
            </w:pPr>
            <w:r w:rsidRPr="007A5455">
              <w:rPr>
                <w:sz w:val="20"/>
                <w:szCs w:val="20"/>
                <w:lang w:val="fr-CA"/>
              </w:rPr>
              <w:t>19 mars 2015</w:t>
            </w:r>
          </w:p>
          <w:p w:rsidR="00A20C96" w:rsidRPr="007A5455" w:rsidRDefault="00A20C96" w:rsidP="00A20C96">
            <w:pPr>
              <w:jc w:val="both"/>
              <w:rPr>
                <w:sz w:val="20"/>
                <w:szCs w:val="20"/>
                <w:lang w:val="fr-CA"/>
              </w:rPr>
            </w:pPr>
            <w:r w:rsidRPr="007A5455">
              <w:rPr>
                <w:sz w:val="20"/>
                <w:szCs w:val="20"/>
                <w:lang w:val="fr-CA"/>
              </w:rPr>
              <w:t>Cour supérieure de justice de l’Ontario</w:t>
            </w:r>
          </w:p>
          <w:p w:rsidR="00A20C96" w:rsidRPr="007A5455" w:rsidRDefault="00A20C96" w:rsidP="00A20C96">
            <w:pPr>
              <w:jc w:val="both"/>
              <w:rPr>
                <w:sz w:val="20"/>
                <w:szCs w:val="20"/>
                <w:lang w:val="fr-CA"/>
              </w:rPr>
            </w:pPr>
            <w:r w:rsidRPr="007A5455">
              <w:rPr>
                <w:sz w:val="20"/>
                <w:szCs w:val="20"/>
                <w:lang w:val="fr-CA"/>
              </w:rPr>
              <w:t>(Juge Moore)</w:t>
            </w:r>
          </w:p>
          <w:p w:rsidR="00A20C96" w:rsidRPr="007A5455" w:rsidRDefault="00A20C96" w:rsidP="00A20C96">
            <w:pPr>
              <w:jc w:val="both"/>
              <w:rPr>
                <w:sz w:val="20"/>
                <w:szCs w:val="20"/>
                <w:lang w:val="fr-CA"/>
              </w:rPr>
            </w:pPr>
            <w:r w:rsidRPr="007A5455">
              <w:rPr>
                <w:sz w:val="20"/>
                <w:szCs w:val="20"/>
                <w:lang w:val="fr-CA"/>
              </w:rPr>
              <w:t>Non publié</w:t>
            </w:r>
          </w:p>
          <w:p w:rsidR="00A20C96" w:rsidRPr="007A5455" w:rsidRDefault="00A20C96" w:rsidP="00A20C96">
            <w:pPr>
              <w:jc w:val="both"/>
              <w:rPr>
                <w:sz w:val="20"/>
                <w:szCs w:val="20"/>
                <w:lang w:val="fr-CA"/>
              </w:rPr>
            </w:pPr>
          </w:p>
        </w:tc>
        <w:tc>
          <w:tcPr>
            <w:tcW w:w="243" w:type="pct"/>
          </w:tcPr>
          <w:p w:rsidR="00A20C96" w:rsidRPr="007A5455" w:rsidRDefault="00A20C96" w:rsidP="00A20C96">
            <w:pPr>
              <w:jc w:val="both"/>
              <w:rPr>
                <w:sz w:val="20"/>
                <w:szCs w:val="20"/>
                <w:lang w:val="fr-CA"/>
              </w:rPr>
            </w:pPr>
          </w:p>
        </w:tc>
        <w:tc>
          <w:tcPr>
            <w:tcW w:w="2330" w:type="pct"/>
          </w:tcPr>
          <w:p w:rsidR="00A20C96" w:rsidRPr="007A5455" w:rsidRDefault="00A20C96" w:rsidP="00A20C96">
            <w:pPr>
              <w:jc w:val="both"/>
              <w:rPr>
                <w:sz w:val="20"/>
                <w:szCs w:val="20"/>
                <w:lang w:val="fr-CA"/>
              </w:rPr>
            </w:pPr>
            <w:r w:rsidRPr="007A5455">
              <w:rPr>
                <w:sz w:val="20"/>
                <w:szCs w:val="20"/>
                <w:lang w:val="fr-CA"/>
              </w:rPr>
              <w:t>Ordonnance de renvoi de l’enfant en Australie</w:t>
            </w:r>
          </w:p>
          <w:p w:rsidR="00A20C96" w:rsidRPr="007A5455" w:rsidRDefault="00A20C96" w:rsidP="00A20C96">
            <w:pPr>
              <w:jc w:val="both"/>
              <w:rPr>
                <w:sz w:val="20"/>
                <w:szCs w:val="20"/>
                <w:lang w:val="fr-CA"/>
              </w:rPr>
            </w:pPr>
          </w:p>
          <w:p w:rsidR="00A20C96" w:rsidRPr="007A5455" w:rsidRDefault="00A20C96" w:rsidP="00A20C96">
            <w:pPr>
              <w:jc w:val="both"/>
              <w:rPr>
                <w:sz w:val="20"/>
                <w:szCs w:val="20"/>
                <w:lang w:val="fr-CA"/>
              </w:rPr>
            </w:pPr>
          </w:p>
        </w:tc>
      </w:tr>
      <w:tr w:rsidR="00A20C96" w:rsidRPr="007A5455" w:rsidTr="0022676D">
        <w:tc>
          <w:tcPr>
            <w:tcW w:w="2427" w:type="pct"/>
          </w:tcPr>
          <w:p w:rsidR="00A20C96" w:rsidRPr="007A5455" w:rsidRDefault="00A20C96" w:rsidP="00A20C96">
            <w:pPr>
              <w:jc w:val="both"/>
              <w:rPr>
                <w:sz w:val="20"/>
                <w:szCs w:val="20"/>
                <w:lang w:val="fr-CA"/>
              </w:rPr>
            </w:pPr>
            <w:r w:rsidRPr="007A5455">
              <w:rPr>
                <w:sz w:val="20"/>
                <w:szCs w:val="20"/>
                <w:lang w:val="fr-CA"/>
              </w:rPr>
              <w:t>8 juillet 2015</w:t>
            </w:r>
          </w:p>
          <w:p w:rsidR="00A20C96" w:rsidRPr="007A5455" w:rsidRDefault="00A20C96" w:rsidP="00A20C96">
            <w:pPr>
              <w:jc w:val="both"/>
              <w:rPr>
                <w:sz w:val="20"/>
                <w:szCs w:val="20"/>
                <w:lang w:val="fr-CA"/>
              </w:rPr>
            </w:pPr>
            <w:r w:rsidRPr="007A5455">
              <w:rPr>
                <w:sz w:val="20"/>
                <w:szCs w:val="20"/>
                <w:lang w:val="fr-CA"/>
              </w:rPr>
              <w:t>Cour d’appel de l’Ontario</w:t>
            </w:r>
          </w:p>
          <w:p w:rsidR="00A20C96" w:rsidRPr="007A5455" w:rsidRDefault="00A20C96" w:rsidP="00A20C96">
            <w:pPr>
              <w:jc w:val="both"/>
              <w:rPr>
                <w:sz w:val="20"/>
                <w:szCs w:val="20"/>
                <w:lang w:val="fr-CA"/>
              </w:rPr>
            </w:pPr>
            <w:r w:rsidRPr="007A5455">
              <w:rPr>
                <w:sz w:val="20"/>
                <w:szCs w:val="20"/>
                <w:lang w:val="fr-CA"/>
              </w:rPr>
              <w:t xml:space="preserve">(Juges Doherty, </w:t>
            </w:r>
            <w:proofErr w:type="spellStart"/>
            <w:r w:rsidRPr="007A5455">
              <w:rPr>
                <w:sz w:val="20"/>
                <w:szCs w:val="20"/>
                <w:lang w:val="fr-CA"/>
              </w:rPr>
              <w:t>Pepall</w:t>
            </w:r>
            <w:proofErr w:type="spellEnd"/>
            <w:r w:rsidRPr="007A5455">
              <w:rPr>
                <w:sz w:val="20"/>
                <w:szCs w:val="20"/>
                <w:lang w:val="fr-CA"/>
              </w:rPr>
              <w:t xml:space="preserve"> et </w:t>
            </w:r>
            <w:proofErr w:type="spellStart"/>
            <w:r w:rsidRPr="007A5455">
              <w:rPr>
                <w:sz w:val="20"/>
                <w:szCs w:val="20"/>
                <w:lang w:val="fr-CA"/>
              </w:rPr>
              <w:t>Huscroft</w:t>
            </w:r>
            <w:proofErr w:type="spellEnd"/>
            <w:r w:rsidRPr="007A5455">
              <w:rPr>
                <w:sz w:val="20"/>
                <w:szCs w:val="20"/>
                <w:lang w:val="fr-CA"/>
              </w:rPr>
              <w:t>)</w:t>
            </w:r>
          </w:p>
          <w:p w:rsidR="00A20C96" w:rsidRPr="007A5455" w:rsidRDefault="001F68BE" w:rsidP="00A20C96">
            <w:pPr>
              <w:jc w:val="both"/>
              <w:rPr>
                <w:sz w:val="20"/>
                <w:szCs w:val="20"/>
                <w:lang w:val="fr-CA"/>
              </w:rPr>
            </w:pPr>
            <w:hyperlink r:id="rId67" w:history="1">
              <w:r w:rsidR="00A20C96" w:rsidRPr="007A5455">
                <w:rPr>
                  <w:color w:val="0000FF" w:themeColor="hyperlink"/>
                  <w:sz w:val="20"/>
                  <w:szCs w:val="20"/>
                  <w:u w:val="single"/>
                  <w:lang w:val="fr-CA"/>
                </w:rPr>
                <w:t>2015 ONCA 517</w:t>
              </w:r>
            </w:hyperlink>
            <w:r w:rsidR="00A20C96" w:rsidRPr="007A5455">
              <w:rPr>
                <w:sz w:val="20"/>
                <w:szCs w:val="20"/>
                <w:lang w:val="fr-CA"/>
              </w:rPr>
              <w:t xml:space="preserve"> </w:t>
            </w:r>
          </w:p>
          <w:p w:rsidR="00A20C96" w:rsidRPr="007A5455" w:rsidRDefault="00A20C96" w:rsidP="00A20C96">
            <w:pPr>
              <w:jc w:val="both"/>
              <w:rPr>
                <w:sz w:val="20"/>
                <w:szCs w:val="20"/>
                <w:lang w:val="fr-CA"/>
              </w:rPr>
            </w:pPr>
          </w:p>
        </w:tc>
        <w:tc>
          <w:tcPr>
            <w:tcW w:w="243" w:type="pct"/>
          </w:tcPr>
          <w:p w:rsidR="00A20C96" w:rsidRPr="007A5455" w:rsidRDefault="00A20C96" w:rsidP="00A20C96">
            <w:pPr>
              <w:jc w:val="both"/>
              <w:rPr>
                <w:sz w:val="20"/>
                <w:szCs w:val="20"/>
                <w:lang w:val="fr-CA"/>
              </w:rPr>
            </w:pPr>
          </w:p>
        </w:tc>
        <w:tc>
          <w:tcPr>
            <w:tcW w:w="2330" w:type="pct"/>
          </w:tcPr>
          <w:p w:rsidR="00A20C96" w:rsidRPr="007A5455" w:rsidRDefault="00A20C96" w:rsidP="00A20C96">
            <w:pPr>
              <w:jc w:val="both"/>
              <w:rPr>
                <w:sz w:val="20"/>
                <w:szCs w:val="20"/>
                <w:lang w:val="fr-CA"/>
              </w:rPr>
            </w:pPr>
            <w:r w:rsidRPr="007A5455">
              <w:rPr>
                <w:sz w:val="20"/>
                <w:szCs w:val="20"/>
                <w:lang w:val="fr-CA"/>
              </w:rPr>
              <w:t>Rejet de l’appel de la mère</w:t>
            </w:r>
          </w:p>
          <w:p w:rsidR="00A20C96" w:rsidRPr="007A5455" w:rsidRDefault="00A20C96" w:rsidP="00A20C96">
            <w:pPr>
              <w:jc w:val="both"/>
              <w:rPr>
                <w:sz w:val="20"/>
                <w:szCs w:val="20"/>
                <w:lang w:val="fr-CA"/>
              </w:rPr>
            </w:pPr>
          </w:p>
        </w:tc>
      </w:tr>
      <w:tr w:rsidR="00A20C96" w:rsidRPr="007A5455" w:rsidTr="0022676D">
        <w:tc>
          <w:tcPr>
            <w:tcW w:w="2427" w:type="pct"/>
          </w:tcPr>
          <w:p w:rsidR="00A20C96" w:rsidRPr="007A5455" w:rsidRDefault="00A20C96" w:rsidP="00A20C96">
            <w:pPr>
              <w:jc w:val="both"/>
              <w:rPr>
                <w:sz w:val="20"/>
                <w:szCs w:val="20"/>
                <w:lang w:val="fr-CA"/>
              </w:rPr>
            </w:pPr>
            <w:r w:rsidRPr="007A5455">
              <w:rPr>
                <w:sz w:val="20"/>
                <w:szCs w:val="20"/>
                <w:lang w:val="fr-CA"/>
              </w:rPr>
              <w:t>24 septembre 2015</w:t>
            </w:r>
          </w:p>
          <w:p w:rsidR="00A20C96" w:rsidRPr="007A5455" w:rsidRDefault="00A20C96" w:rsidP="00A20C96">
            <w:pPr>
              <w:jc w:val="both"/>
              <w:rPr>
                <w:sz w:val="20"/>
                <w:szCs w:val="20"/>
                <w:lang w:val="fr-CA"/>
              </w:rPr>
            </w:pPr>
            <w:r w:rsidRPr="007A5455">
              <w:rPr>
                <w:sz w:val="20"/>
                <w:szCs w:val="20"/>
                <w:lang w:val="fr-CA"/>
              </w:rPr>
              <w:t>Cour suprême du Canada</w:t>
            </w:r>
          </w:p>
        </w:tc>
        <w:tc>
          <w:tcPr>
            <w:tcW w:w="243" w:type="pct"/>
          </w:tcPr>
          <w:p w:rsidR="00A20C96" w:rsidRPr="007A5455" w:rsidRDefault="00A20C96" w:rsidP="00A20C96">
            <w:pPr>
              <w:jc w:val="both"/>
              <w:rPr>
                <w:sz w:val="20"/>
                <w:szCs w:val="20"/>
                <w:lang w:val="fr-CA"/>
              </w:rPr>
            </w:pPr>
          </w:p>
        </w:tc>
        <w:tc>
          <w:tcPr>
            <w:tcW w:w="2330" w:type="pct"/>
          </w:tcPr>
          <w:p w:rsidR="00A20C96" w:rsidRPr="007A5455" w:rsidRDefault="00A20C96" w:rsidP="00A20C96">
            <w:pPr>
              <w:jc w:val="both"/>
              <w:rPr>
                <w:sz w:val="20"/>
                <w:szCs w:val="20"/>
                <w:lang w:val="fr-CA"/>
              </w:rPr>
            </w:pPr>
            <w:r w:rsidRPr="007A5455">
              <w:rPr>
                <w:sz w:val="20"/>
                <w:szCs w:val="20"/>
                <w:lang w:val="fr-CA"/>
              </w:rPr>
              <w:t>Dépôt de la demande d’autorisation d’appel</w:t>
            </w:r>
          </w:p>
          <w:p w:rsidR="00A20C96" w:rsidRPr="007A5455" w:rsidRDefault="00A20C96" w:rsidP="00A20C96">
            <w:pPr>
              <w:jc w:val="both"/>
              <w:rPr>
                <w:sz w:val="20"/>
                <w:szCs w:val="20"/>
                <w:lang w:val="fr-CA"/>
              </w:rPr>
            </w:pPr>
          </w:p>
        </w:tc>
      </w:tr>
    </w:tbl>
    <w:p w:rsidR="00081AFE" w:rsidRPr="007A5455" w:rsidRDefault="00081AFE" w:rsidP="00081AFE">
      <w:pPr>
        <w:rPr>
          <w:sz w:val="20"/>
          <w:szCs w:val="20"/>
        </w:rPr>
      </w:pPr>
    </w:p>
    <w:p w:rsidR="00081AFE" w:rsidRPr="007A5455" w:rsidRDefault="001F68BE" w:rsidP="00081AFE">
      <w:pPr>
        <w:rPr>
          <w:sz w:val="20"/>
          <w:szCs w:val="20"/>
        </w:rPr>
      </w:pPr>
      <w:r>
        <w:rPr>
          <w:sz w:val="20"/>
          <w:szCs w:val="20"/>
          <w:lang w:val="fr-CA"/>
        </w:rPr>
        <w:pict>
          <v:rect id="_x0000_i1063" style="width:2in;height:1pt" o:hrpct="0" o:hralign="center" o:hrstd="t" o:hrnoshade="t" o:hr="t" fillcolor="black [3213]" stroked="f"/>
        </w:pict>
      </w:r>
    </w:p>
    <w:p w:rsidR="00081AFE" w:rsidRPr="007A5455" w:rsidRDefault="00081AFE" w:rsidP="00081AFE">
      <w:pPr>
        <w:rPr>
          <w:sz w:val="20"/>
          <w:szCs w:val="20"/>
        </w:rPr>
      </w:pPr>
    </w:p>
    <w:p w:rsidR="00081AFE" w:rsidRPr="007A5455" w:rsidRDefault="00081AFE" w:rsidP="00081AFE">
      <w:pPr>
        <w:rPr>
          <w:sz w:val="20"/>
          <w:szCs w:val="20"/>
          <w:lang w:val="fr-CA"/>
        </w:rPr>
      </w:pPr>
    </w:p>
    <w:p w:rsidR="00890FEB" w:rsidRPr="007A5455" w:rsidRDefault="00890FEB" w:rsidP="008D292F">
      <w:pPr>
        <w:rPr>
          <w:sz w:val="20"/>
          <w:szCs w:val="20"/>
          <w:lang w:val="fr-CA"/>
        </w:rPr>
      </w:pPr>
    </w:p>
    <w:p w:rsidR="00890FEB" w:rsidRPr="007A5455" w:rsidRDefault="00890FEB" w:rsidP="008D292F">
      <w:pPr>
        <w:rPr>
          <w:b/>
          <w:sz w:val="20"/>
          <w:szCs w:val="20"/>
          <w:lang w:val="fr-CA"/>
        </w:rPr>
        <w:sectPr w:rsidR="00890FEB" w:rsidRPr="007A5455" w:rsidSect="008D292F">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7A5455" w:rsidTr="00BA6468">
        <w:tc>
          <w:tcPr>
            <w:tcW w:w="4230" w:type="dxa"/>
            <w:shd w:val="clear" w:color="auto" w:fill="auto"/>
            <w:tcMar>
              <w:left w:w="0" w:type="dxa"/>
              <w:right w:w="0" w:type="dxa"/>
            </w:tcMar>
          </w:tcPr>
          <w:p w:rsidR="00890FEB" w:rsidRPr="007A5455" w:rsidRDefault="00890FEB" w:rsidP="00EB2B90">
            <w:pPr>
              <w:keepNext/>
              <w:keepLines/>
              <w:tabs>
                <w:tab w:val="left" w:pos="-1440"/>
                <w:tab w:val="left" w:pos="-720"/>
              </w:tabs>
              <w:jc w:val="both"/>
              <w:rPr>
                <w:szCs w:val="24"/>
              </w:rPr>
            </w:pPr>
            <w:r w:rsidRPr="007A5455">
              <w:rPr>
                <w:b/>
                <w:szCs w:val="24"/>
              </w:rPr>
              <w:lastRenderedPageBreak/>
              <w:t>MOTIONS</w:t>
            </w:r>
          </w:p>
        </w:tc>
        <w:tc>
          <w:tcPr>
            <w:tcW w:w="1170" w:type="dxa"/>
            <w:shd w:val="clear" w:color="auto" w:fill="auto"/>
            <w:tcMar>
              <w:left w:w="0" w:type="dxa"/>
              <w:right w:w="0" w:type="dxa"/>
            </w:tcMar>
          </w:tcPr>
          <w:p w:rsidR="00890FEB" w:rsidRPr="007A5455" w:rsidRDefault="00890FEB" w:rsidP="00890FEB">
            <w:pPr>
              <w:keepNext/>
              <w:keepLines/>
              <w:tabs>
                <w:tab w:val="left" w:pos="-1440"/>
                <w:tab w:val="left" w:pos="-720"/>
              </w:tabs>
              <w:jc w:val="center"/>
              <w:rPr>
                <w:szCs w:val="24"/>
              </w:rPr>
            </w:pPr>
          </w:p>
          <w:p w:rsidR="00890FEB" w:rsidRPr="007A5455"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7A5455" w:rsidRDefault="00890FEB" w:rsidP="00831CA9">
            <w:pPr>
              <w:keepNext/>
              <w:keepLines/>
              <w:tabs>
                <w:tab w:val="left" w:pos="-1440"/>
                <w:tab w:val="left" w:pos="-720"/>
              </w:tabs>
              <w:rPr>
                <w:szCs w:val="24"/>
                <w:lang w:val="fr-CA"/>
              </w:rPr>
            </w:pPr>
            <w:r w:rsidRPr="007A5455">
              <w:rPr>
                <w:b/>
                <w:szCs w:val="24"/>
                <w:lang w:val="fr-CA"/>
              </w:rPr>
              <w:t>REQUÊTES</w:t>
            </w:r>
          </w:p>
        </w:tc>
      </w:tr>
    </w:tbl>
    <w:p w:rsidR="00890FEB" w:rsidRPr="007A5455" w:rsidRDefault="00890FEB" w:rsidP="00890FEB">
      <w:pPr>
        <w:rPr>
          <w:sz w:val="20"/>
          <w:szCs w:val="20"/>
        </w:rPr>
      </w:pPr>
    </w:p>
    <w:p w:rsidR="00E93813" w:rsidRPr="007A5455" w:rsidRDefault="00E93813" w:rsidP="00E93813">
      <w:pPr>
        <w:tabs>
          <w:tab w:val="left" w:pos="-1440"/>
          <w:tab w:val="left" w:pos="-720"/>
        </w:tabs>
        <w:jc w:val="both"/>
        <w:rPr>
          <w:sz w:val="20"/>
          <w:szCs w:val="20"/>
          <w:lang w:val="fr-CA"/>
        </w:rPr>
      </w:pPr>
      <w:r w:rsidRPr="007A5455">
        <w:rPr>
          <w:sz w:val="20"/>
          <w:szCs w:val="20"/>
          <w:lang w:val="fr-CA"/>
        </w:rPr>
        <w:t>27.11.2015</w:t>
      </w:r>
    </w:p>
    <w:p w:rsidR="00E93813" w:rsidRPr="007A5455" w:rsidRDefault="00E93813" w:rsidP="00E93813">
      <w:pPr>
        <w:tabs>
          <w:tab w:val="left" w:pos="-1440"/>
          <w:tab w:val="left" w:pos="-720"/>
        </w:tabs>
        <w:jc w:val="both"/>
        <w:rPr>
          <w:sz w:val="20"/>
          <w:szCs w:val="20"/>
          <w:lang w:val="fr-CA"/>
        </w:rPr>
      </w:pPr>
    </w:p>
    <w:p w:rsidR="00E93813" w:rsidRPr="007A5455" w:rsidRDefault="00E93813" w:rsidP="00E93813">
      <w:pPr>
        <w:tabs>
          <w:tab w:val="left" w:pos="-1440"/>
          <w:tab w:val="left" w:pos="-720"/>
        </w:tabs>
        <w:jc w:val="both"/>
        <w:rPr>
          <w:sz w:val="20"/>
          <w:szCs w:val="20"/>
        </w:rPr>
      </w:pPr>
      <w:proofErr w:type="spellStart"/>
      <w:r w:rsidRPr="007A5455">
        <w:rPr>
          <w:sz w:val="20"/>
          <w:szCs w:val="20"/>
          <w:lang w:val="fr-CA"/>
        </w:rPr>
        <w:t>Before</w:t>
      </w:r>
      <w:proofErr w:type="spellEnd"/>
      <w:r w:rsidRPr="007A5455">
        <w:rPr>
          <w:sz w:val="20"/>
          <w:szCs w:val="20"/>
          <w:lang w:val="fr-CA"/>
        </w:rPr>
        <w:t xml:space="preserve"> / Devant:   </w:t>
      </w:r>
      <w:r w:rsidRPr="007A5455">
        <w:rPr>
          <w:sz w:val="20"/>
          <w:szCs w:val="20"/>
        </w:rPr>
        <w:t>THE DEPUTY REGISTRAR / LE REGISTRAIRE ADJOINT</w:t>
      </w:r>
    </w:p>
    <w:p w:rsidR="00E93813" w:rsidRPr="007A5455" w:rsidRDefault="00E93813" w:rsidP="00E93813">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E93813" w:rsidRPr="007A5455" w:rsidTr="0022676D">
        <w:trPr>
          <w:trHeight w:val="151"/>
        </w:trPr>
        <w:tc>
          <w:tcPr>
            <w:tcW w:w="4338" w:type="dxa"/>
          </w:tcPr>
          <w:p w:rsidR="00E93813" w:rsidRPr="007A5455" w:rsidRDefault="00E93813" w:rsidP="0022676D">
            <w:pPr>
              <w:tabs>
                <w:tab w:val="left" w:pos="-1440"/>
                <w:tab w:val="left" w:pos="-720"/>
              </w:tabs>
              <w:jc w:val="both"/>
              <w:rPr>
                <w:sz w:val="20"/>
                <w:szCs w:val="20"/>
                <w:lang w:val="fr-CA"/>
              </w:rPr>
            </w:pPr>
            <w:r w:rsidRPr="007A5455">
              <w:rPr>
                <w:sz w:val="20"/>
                <w:szCs w:val="20"/>
              </w:rPr>
              <w:fldChar w:fldCharType="begin"/>
            </w:r>
            <w:r w:rsidRPr="007A5455">
              <w:rPr>
                <w:sz w:val="20"/>
                <w:szCs w:val="20"/>
                <w:lang w:val="fr-CA"/>
              </w:rPr>
              <w:instrText xml:space="preserve"> SEQ CHAPTER \h \r 1</w:instrText>
            </w:r>
            <w:r w:rsidRPr="007A5455">
              <w:rPr>
                <w:sz w:val="20"/>
                <w:szCs w:val="20"/>
              </w:rPr>
              <w:fldChar w:fldCharType="end"/>
            </w:r>
            <w:proofErr w:type="spellStart"/>
            <w:r w:rsidRPr="007A5455">
              <w:rPr>
                <w:b/>
                <w:bCs/>
                <w:sz w:val="20"/>
                <w:szCs w:val="20"/>
                <w:lang w:val="fr-CA"/>
              </w:rPr>
              <w:t>Miscellaneous</w:t>
            </w:r>
            <w:proofErr w:type="spellEnd"/>
            <w:r w:rsidRPr="007A5455">
              <w:rPr>
                <w:b/>
                <w:bCs/>
                <w:sz w:val="20"/>
                <w:szCs w:val="20"/>
                <w:lang w:val="fr-CA"/>
              </w:rPr>
              <w:t xml:space="preserve"> motion</w:t>
            </w:r>
          </w:p>
          <w:p w:rsidR="00E93813" w:rsidRPr="007A5455" w:rsidRDefault="00E93813" w:rsidP="0022676D">
            <w:pPr>
              <w:tabs>
                <w:tab w:val="left" w:pos="-1440"/>
                <w:tab w:val="left" w:pos="-720"/>
              </w:tabs>
              <w:jc w:val="both"/>
              <w:rPr>
                <w:sz w:val="20"/>
                <w:szCs w:val="20"/>
                <w:lang w:val="fr-CA"/>
              </w:rPr>
            </w:pPr>
            <w:r w:rsidRPr="007A5455">
              <w:rPr>
                <w:sz w:val="20"/>
                <w:szCs w:val="20"/>
              </w:rPr>
              <w:fldChar w:fldCharType="begin"/>
            </w:r>
            <w:r w:rsidRPr="007A5455">
              <w:rPr>
                <w:sz w:val="20"/>
                <w:szCs w:val="20"/>
                <w:lang w:val="fr-CA"/>
              </w:rPr>
              <w:instrText xml:space="preserve"> SEQ CHAPTER \h \r 1</w:instrText>
            </w:r>
            <w:r w:rsidRPr="007A5455">
              <w:rPr>
                <w:sz w:val="20"/>
                <w:szCs w:val="20"/>
              </w:rPr>
              <w:fldChar w:fldCharType="end"/>
            </w:r>
          </w:p>
        </w:tc>
        <w:tc>
          <w:tcPr>
            <w:tcW w:w="1170" w:type="dxa"/>
          </w:tcPr>
          <w:p w:rsidR="00E93813" w:rsidRPr="007A5455" w:rsidRDefault="00E93813" w:rsidP="0022676D">
            <w:pPr>
              <w:jc w:val="both"/>
              <w:rPr>
                <w:sz w:val="20"/>
                <w:szCs w:val="20"/>
                <w:lang w:val="fr-CA"/>
              </w:rPr>
            </w:pPr>
          </w:p>
          <w:p w:rsidR="00E93813" w:rsidRPr="007A5455" w:rsidRDefault="00E93813" w:rsidP="0022676D">
            <w:pPr>
              <w:jc w:val="both"/>
              <w:rPr>
                <w:sz w:val="20"/>
                <w:szCs w:val="20"/>
                <w:lang w:val="fr-CA"/>
              </w:rPr>
            </w:pPr>
          </w:p>
        </w:tc>
        <w:tc>
          <w:tcPr>
            <w:tcW w:w="4327" w:type="dxa"/>
          </w:tcPr>
          <w:p w:rsidR="00E93813" w:rsidRPr="007A5455" w:rsidRDefault="00E93813" w:rsidP="0022676D">
            <w:pPr>
              <w:jc w:val="both"/>
              <w:rPr>
                <w:b/>
                <w:sz w:val="20"/>
                <w:szCs w:val="20"/>
                <w:lang w:val="fr-CA"/>
              </w:rPr>
            </w:pPr>
            <w:r w:rsidRPr="007A5455">
              <w:rPr>
                <w:sz w:val="20"/>
                <w:szCs w:val="20"/>
              </w:rPr>
              <w:fldChar w:fldCharType="begin"/>
            </w:r>
            <w:r w:rsidRPr="007A5455">
              <w:rPr>
                <w:sz w:val="20"/>
                <w:szCs w:val="20"/>
                <w:lang w:val="fr-CA"/>
              </w:rPr>
              <w:instrText xml:space="preserve"> SEQ CHAPTER \h \r 1</w:instrText>
            </w:r>
            <w:r w:rsidRPr="007A5455">
              <w:rPr>
                <w:sz w:val="20"/>
                <w:szCs w:val="20"/>
              </w:rPr>
              <w:fldChar w:fldCharType="end"/>
            </w:r>
            <w:r w:rsidRPr="007A5455">
              <w:rPr>
                <w:b/>
                <w:bCs/>
                <w:sz w:val="20"/>
                <w:szCs w:val="20"/>
                <w:lang w:val="fr-CA"/>
              </w:rPr>
              <w:t>Requête diverse</w:t>
            </w:r>
          </w:p>
          <w:p w:rsidR="00E93813" w:rsidRPr="007A5455" w:rsidRDefault="00E93813" w:rsidP="0022676D">
            <w:pPr>
              <w:jc w:val="both"/>
              <w:rPr>
                <w:b/>
                <w:sz w:val="20"/>
                <w:szCs w:val="20"/>
                <w:lang w:val="fr-CA"/>
              </w:rPr>
            </w:pPr>
            <w:r w:rsidRPr="007A5455">
              <w:rPr>
                <w:b/>
                <w:sz w:val="20"/>
                <w:szCs w:val="20"/>
              </w:rPr>
              <w:fldChar w:fldCharType="begin"/>
            </w:r>
            <w:r w:rsidRPr="007A5455">
              <w:rPr>
                <w:b/>
                <w:sz w:val="20"/>
                <w:szCs w:val="20"/>
                <w:lang w:val="fr-CA"/>
              </w:rPr>
              <w:instrText xml:space="preserve"> SEQ CHAPTER \h \r 1</w:instrText>
            </w:r>
            <w:r w:rsidRPr="007A5455">
              <w:rPr>
                <w:b/>
                <w:sz w:val="20"/>
                <w:szCs w:val="20"/>
              </w:rPr>
              <w:fldChar w:fldCharType="end"/>
            </w:r>
            <w:r w:rsidRPr="007A5455">
              <w:rPr>
                <w:b/>
                <w:sz w:val="20"/>
                <w:szCs w:val="20"/>
              </w:rPr>
              <w:fldChar w:fldCharType="begin"/>
            </w:r>
            <w:r w:rsidRPr="007A5455">
              <w:rPr>
                <w:b/>
                <w:sz w:val="20"/>
                <w:szCs w:val="20"/>
                <w:lang w:val="fr-CA"/>
              </w:rPr>
              <w:instrText xml:space="preserve"> SEQ CHAPTER \h \r 1</w:instrText>
            </w:r>
            <w:r w:rsidRPr="007A5455">
              <w:rPr>
                <w:b/>
                <w:sz w:val="20"/>
                <w:szCs w:val="20"/>
              </w:rPr>
              <w:fldChar w:fldCharType="end"/>
            </w:r>
          </w:p>
        </w:tc>
      </w:tr>
      <w:tr w:rsidR="00E93813" w:rsidRPr="007A5455" w:rsidTr="0022676D">
        <w:trPr>
          <w:trHeight w:val="150"/>
        </w:trPr>
        <w:tc>
          <w:tcPr>
            <w:tcW w:w="4338" w:type="dxa"/>
          </w:tcPr>
          <w:p w:rsidR="00E93813" w:rsidRPr="007A5455" w:rsidRDefault="00E93813" w:rsidP="0022676D">
            <w:pPr>
              <w:tabs>
                <w:tab w:val="left" w:pos="-1440"/>
                <w:tab w:val="left" w:pos="-720"/>
              </w:tabs>
              <w:jc w:val="both"/>
              <w:rPr>
                <w:sz w:val="20"/>
                <w:szCs w:val="20"/>
                <w:lang w:val="fr-CA"/>
              </w:rPr>
            </w:pPr>
            <w:r w:rsidRPr="007A5455">
              <w:rPr>
                <w:sz w:val="20"/>
                <w:szCs w:val="20"/>
                <w:lang w:val="fr-CA"/>
              </w:rPr>
              <w:t>Shelley Davidson et al.</w:t>
            </w:r>
          </w:p>
          <w:p w:rsidR="00E93813" w:rsidRPr="007A5455" w:rsidRDefault="00E93813" w:rsidP="0022676D">
            <w:pPr>
              <w:tabs>
                <w:tab w:val="left" w:pos="-1440"/>
                <w:tab w:val="left" w:pos="-720"/>
              </w:tabs>
              <w:jc w:val="both"/>
              <w:rPr>
                <w:sz w:val="20"/>
                <w:szCs w:val="20"/>
                <w:lang w:val="fr-CA"/>
              </w:rPr>
            </w:pPr>
          </w:p>
          <w:p w:rsidR="00E93813" w:rsidRPr="007A5455" w:rsidRDefault="00E93813" w:rsidP="0022676D">
            <w:pPr>
              <w:tabs>
                <w:tab w:val="left" w:pos="-1440"/>
                <w:tab w:val="left" w:pos="-720"/>
              </w:tabs>
              <w:jc w:val="both"/>
              <w:rPr>
                <w:sz w:val="20"/>
                <w:szCs w:val="20"/>
                <w:lang w:val="fr-CA"/>
              </w:rPr>
            </w:pPr>
            <w:r w:rsidRPr="007A5455">
              <w:rPr>
                <w:sz w:val="20"/>
                <w:szCs w:val="20"/>
                <w:lang w:val="fr-CA"/>
              </w:rPr>
              <w:tab/>
              <w:t>v. (36501)</w:t>
            </w:r>
          </w:p>
          <w:p w:rsidR="00E93813" w:rsidRPr="007A5455" w:rsidRDefault="00E93813" w:rsidP="0022676D">
            <w:pPr>
              <w:tabs>
                <w:tab w:val="left" w:pos="-1440"/>
                <w:tab w:val="left" w:pos="-720"/>
              </w:tabs>
              <w:jc w:val="both"/>
              <w:rPr>
                <w:sz w:val="20"/>
                <w:szCs w:val="20"/>
                <w:lang w:val="fr-CA"/>
              </w:rPr>
            </w:pPr>
          </w:p>
          <w:p w:rsidR="00E93813" w:rsidRPr="007A5455" w:rsidRDefault="00E93813" w:rsidP="0022676D">
            <w:pPr>
              <w:tabs>
                <w:tab w:val="left" w:pos="-1440"/>
                <w:tab w:val="left" w:pos="-720"/>
              </w:tabs>
              <w:jc w:val="both"/>
              <w:rPr>
                <w:sz w:val="20"/>
                <w:szCs w:val="20"/>
                <w:lang w:val="fr-CA"/>
              </w:rPr>
            </w:pPr>
            <w:r w:rsidRPr="007A5455">
              <w:rPr>
                <w:sz w:val="20"/>
                <w:szCs w:val="20"/>
                <w:lang w:val="fr-CA"/>
              </w:rPr>
              <w:t>1773907 Alberta Ltd. (Alta.)</w:t>
            </w:r>
          </w:p>
        </w:tc>
        <w:tc>
          <w:tcPr>
            <w:tcW w:w="1170" w:type="dxa"/>
          </w:tcPr>
          <w:p w:rsidR="00E93813" w:rsidRPr="007A5455" w:rsidRDefault="00E93813" w:rsidP="0022676D">
            <w:pPr>
              <w:jc w:val="both"/>
              <w:rPr>
                <w:sz w:val="20"/>
                <w:szCs w:val="20"/>
                <w:lang w:val="fr-CA"/>
              </w:rPr>
            </w:pPr>
          </w:p>
        </w:tc>
        <w:tc>
          <w:tcPr>
            <w:tcW w:w="4327" w:type="dxa"/>
          </w:tcPr>
          <w:p w:rsidR="00E93813" w:rsidRPr="007A5455" w:rsidRDefault="00E93813" w:rsidP="0022676D">
            <w:pPr>
              <w:jc w:val="both"/>
              <w:rPr>
                <w:sz w:val="20"/>
                <w:szCs w:val="20"/>
                <w:lang w:val="fr-CA"/>
              </w:rPr>
            </w:pPr>
          </w:p>
        </w:tc>
      </w:tr>
    </w:tbl>
    <w:p w:rsidR="00E93813" w:rsidRPr="007A5455" w:rsidRDefault="00E93813" w:rsidP="00E93813">
      <w:pPr>
        <w:tabs>
          <w:tab w:val="left" w:pos="-1440"/>
          <w:tab w:val="left" w:pos="-720"/>
        </w:tabs>
        <w:jc w:val="both"/>
        <w:rPr>
          <w:sz w:val="20"/>
          <w:szCs w:val="20"/>
          <w:lang w:val="fr-CA"/>
        </w:rPr>
      </w:pPr>
    </w:p>
    <w:p w:rsidR="00E93813" w:rsidRPr="007A5455" w:rsidRDefault="00E93813" w:rsidP="00E93813">
      <w:pPr>
        <w:tabs>
          <w:tab w:val="left" w:pos="-1440"/>
          <w:tab w:val="left" w:pos="-720"/>
        </w:tabs>
        <w:jc w:val="both"/>
        <w:rPr>
          <w:sz w:val="20"/>
          <w:szCs w:val="20"/>
          <w:lang w:val="fr-CA"/>
        </w:rPr>
      </w:pPr>
      <w:r w:rsidRPr="007A5455">
        <w:rPr>
          <w:b/>
          <w:sz w:val="20"/>
          <w:szCs w:val="20"/>
          <w:lang w:val="fr-CA"/>
        </w:rPr>
        <w:t>GRANTED / ACCORDÉE</w:t>
      </w:r>
    </w:p>
    <w:p w:rsidR="00E93813" w:rsidRPr="007A5455" w:rsidRDefault="00E93813" w:rsidP="00E93813">
      <w:pPr>
        <w:tabs>
          <w:tab w:val="left" w:pos="-1440"/>
          <w:tab w:val="left" w:pos="-720"/>
        </w:tabs>
        <w:jc w:val="both"/>
        <w:rPr>
          <w:sz w:val="20"/>
          <w:szCs w:val="20"/>
          <w:lang w:val="fr-CA"/>
        </w:rPr>
      </w:pPr>
    </w:p>
    <w:p w:rsidR="00E93813" w:rsidRPr="007A5455" w:rsidRDefault="00E93813" w:rsidP="00E93813">
      <w:pPr>
        <w:jc w:val="both"/>
        <w:rPr>
          <w:sz w:val="20"/>
          <w:szCs w:val="20"/>
        </w:rPr>
      </w:pPr>
      <w:r w:rsidRPr="007A5455">
        <w:rPr>
          <w:b/>
          <w:sz w:val="20"/>
          <w:szCs w:val="20"/>
        </w:rPr>
        <w:t>UPON APPLICATION</w:t>
      </w:r>
      <w:r w:rsidRPr="007A5455">
        <w:rPr>
          <w:sz w:val="20"/>
          <w:szCs w:val="20"/>
        </w:rPr>
        <w:t xml:space="preserve"> </w:t>
      </w:r>
      <w:r w:rsidRPr="007A5455">
        <w:rPr>
          <w:sz w:val="20"/>
          <w:szCs w:val="20"/>
        </w:rPr>
        <w:fldChar w:fldCharType="begin"/>
      </w:r>
      <w:r w:rsidRPr="007A5455">
        <w:rPr>
          <w:sz w:val="20"/>
          <w:szCs w:val="20"/>
        </w:rPr>
        <w:instrText xml:space="preserve"> SEQ CHAPTER \h \r 1</w:instrText>
      </w:r>
      <w:r w:rsidRPr="007A5455">
        <w:rPr>
          <w:sz w:val="20"/>
          <w:szCs w:val="20"/>
        </w:rPr>
        <w:fldChar w:fldCharType="end"/>
      </w:r>
      <w:r w:rsidRPr="007A5455">
        <w:rPr>
          <w:sz w:val="20"/>
          <w:szCs w:val="20"/>
        </w:rPr>
        <w:t xml:space="preserve">by the applicants pursuant to the provisions of Rule 32(2) for an Order to file additional material, namely, the High Court of Ireland decision </w:t>
      </w:r>
      <w:r w:rsidRPr="007A5455">
        <w:rPr>
          <w:i/>
          <w:sz w:val="20"/>
          <w:szCs w:val="20"/>
        </w:rPr>
        <w:t xml:space="preserve">SPV </w:t>
      </w:r>
      <w:proofErr w:type="spellStart"/>
      <w:r w:rsidRPr="007A5455">
        <w:rPr>
          <w:i/>
          <w:sz w:val="20"/>
          <w:szCs w:val="20"/>
        </w:rPr>
        <w:t>Osus</w:t>
      </w:r>
      <w:proofErr w:type="spellEnd"/>
      <w:r w:rsidRPr="007A5455">
        <w:rPr>
          <w:i/>
          <w:sz w:val="20"/>
          <w:szCs w:val="20"/>
        </w:rPr>
        <w:t xml:space="preserve"> Limited v. HSBC International Trust Services, </w:t>
      </w:r>
      <w:r w:rsidRPr="007A5455">
        <w:rPr>
          <w:sz w:val="20"/>
          <w:szCs w:val="20"/>
        </w:rPr>
        <w:t>[2015] IEHC 602;</w:t>
      </w:r>
    </w:p>
    <w:p w:rsidR="00E93813" w:rsidRPr="007A5455" w:rsidRDefault="00E93813" w:rsidP="00E93813">
      <w:pPr>
        <w:pStyle w:val="ListParagraph"/>
        <w:autoSpaceDE w:val="0"/>
        <w:autoSpaceDN w:val="0"/>
        <w:adjustRightInd w:val="0"/>
        <w:ind w:left="0"/>
        <w:rPr>
          <w:sz w:val="20"/>
          <w:szCs w:val="20"/>
        </w:rPr>
      </w:pPr>
    </w:p>
    <w:p w:rsidR="00E93813" w:rsidRPr="007A5455" w:rsidRDefault="00E93813" w:rsidP="00E93813">
      <w:pPr>
        <w:rPr>
          <w:sz w:val="20"/>
          <w:szCs w:val="20"/>
        </w:rPr>
      </w:pPr>
      <w:r w:rsidRPr="007A5455">
        <w:rPr>
          <w:sz w:val="20"/>
          <w:szCs w:val="20"/>
        </w:rPr>
        <w:fldChar w:fldCharType="begin"/>
      </w:r>
      <w:r w:rsidRPr="007A5455">
        <w:rPr>
          <w:sz w:val="20"/>
          <w:szCs w:val="20"/>
        </w:rPr>
        <w:instrText xml:space="preserve"> SEQ CHAPTER \h \r 1</w:instrText>
      </w:r>
      <w:r w:rsidRPr="007A5455">
        <w:rPr>
          <w:sz w:val="20"/>
          <w:szCs w:val="20"/>
        </w:rPr>
        <w:fldChar w:fldCharType="end"/>
      </w:r>
      <w:r w:rsidRPr="007A5455">
        <w:rPr>
          <w:b/>
          <w:bCs/>
          <w:sz w:val="20"/>
          <w:szCs w:val="20"/>
        </w:rPr>
        <w:t>AND HAVING READ</w:t>
      </w:r>
      <w:r w:rsidRPr="007A5455">
        <w:rPr>
          <w:sz w:val="20"/>
          <w:szCs w:val="20"/>
        </w:rPr>
        <w:t xml:space="preserve"> the material filed;</w:t>
      </w:r>
    </w:p>
    <w:p w:rsidR="00E93813" w:rsidRPr="007A5455" w:rsidRDefault="00E93813" w:rsidP="00E93813">
      <w:pPr>
        <w:rPr>
          <w:sz w:val="20"/>
          <w:szCs w:val="20"/>
        </w:rPr>
      </w:pPr>
    </w:p>
    <w:p w:rsidR="00E93813" w:rsidRPr="007A5455" w:rsidRDefault="00E93813" w:rsidP="00E93813">
      <w:pPr>
        <w:rPr>
          <w:b/>
          <w:sz w:val="20"/>
          <w:szCs w:val="20"/>
        </w:rPr>
      </w:pPr>
      <w:r w:rsidRPr="007A5455">
        <w:rPr>
          <w:b/>
          <w:sz w:val="20"/>
          <w:szCs w:val="20"/>
        </w:rPr>
        <w:t>IT IS HEREBY ORDERED THAT:</w:t>
      </w:r>
    </w:p>
    <w:p w:rsidR="00E93813" w:rsidRPr="007A5455" w:rsidRDefault="00E93813" w:rsidP="00E93813">
      <w:pPr>
        <w:pStyle w:val="ListParagraph"/>
        <w:ind w:left="360"/>
        <w:rPr>
          <w:sz w:val="20"/>
          <w:szCs w:val="20"/>
        </w:rPr>
      </w:pPr>
    </w:p>
    <w:p w:rsidR="00E93813" w:rsidRPr="007A5455" w:rsidRDefault="00E93813" w:rsidP="00E93813">
      <w:pPr>
        <w:rPr>
          <w:sz w:val="20"/>
          <w:szCs w:val="20"/>
        </w:rPr>
      </w:pPr>
      <w:r w:rsidRPr="007A5455">
        <w:rPr>
          <w:sz w:val="20"/>
          <w:szCs w:val="20"/>
        </w:rPr>
        <w:t>The motion is granted.</w:t>
      </w:r>
    </w:p>
    <w:p w:rsidR="00E93813" w:rsidRPr="007A5455" w:rsidRDefault="00E93813" w:rsidP="00E93813">
      <w:pPr>
        <w:tabs>
          <w:tab w:val="left" w:pos="-1440"/>
          <w:tab w:val="left" w:pos="-720"/>
        </w:tabs>
        <w:jc w:val="both"/>
        <w:rPr>
          <w:sz w:val="20"/>
          <w:szCs w:val="20"/>
        </w:rPr>
      </w:pPr>
    </w:p>
    <w:p w:rsidR="00E93813" w:rsidRPr="007A5455" w:rsidRDefault="00E93813" w:rsidP="00E93813">
      <w:pPr>
        <w:tabs>
          <w:tab w:val="left" w:pos="-1440"/>
          <w:tab w:val="left" w:pos="-720"/>
        </w:tabs>
        <w:jc w:val="both"/>
        <w:rPr>
          <w:sz w:val="20"/>
          <w:szCs w:val="20"/>
        </w:rPr>
      </w:pPr>
    </w:p>
    <w:p w:rsidR="00E93813" w:rsidRPr="007A5455" w:rsidRDefault="00E93813" w:rsidP="00E93813">
      <w:pPr>
        <w:tabs>
          <w:tab w:val="left" w:pos="-1440"/>
          <w:tab w:val="left" w:pos="-720"/>
        </w:tabs>
        <w:jc w:val="both"/>
        <w:rPr>
          <w:sz w:val="20"/>
          <w:szCs w:val="20"/>
        </w:rPr>
      </w:pPr>
    </w:p>
    <w:p w:rsidR="00E93813" w:rsidRPr="007A5455" w:rsidRDefault="00E93813" w:rsidP="00E93813">
      <w:pPr>
        <w:jc w:val="both"/>
        <w:rPr>
          <w:sz w:val="20"/>
          <w:szCs w:val="20"/>
          <w:lang w:val="fr-CA"/>
        </w:rPr>
      </w:pPr>
      <w:r w:rsidRPr="007A5455">
        <w:rPr>
          <w:b/>
          <w:sz w:val="20"/>
          <w:szCs w:val="20"/>
          <w:lang w:val="fr-CA"/>
        </w:rPr>
        <w:t xml:space="preserve">À LA SUITE DE LA DEMANDE </w:t>
      </w:r>
      <w:r w:rsidRPr="007A5455">
        <w:rPr>
          <w:sz w:val="20"/>
          <w:szCs w:val="20"/>
          <w:lang w:val="fr-CA"/>
        </w:rPr>
        <w:t xml:space="preserve">présentée par les demandeurs en application du par. 32(2) des </w:t>
      </w:r>
      <w:r w:rsidRPr="007A5455">
        <w:rPr>
          <w:i/>
          <w:sz w:val="20"/>
          <w:szCs w:val="20"/>
          <w:lang w:val="fr-CA"/>
        </w:rPr>
        <w:t>Règles</w:t>
      </w:r>
      <w:r w:rsidRPr="007A5455">
        <w:rPr>
          <w:sz w:val="20"/>
          <w:szCs w:val="20"/>
          <w:lang w:val="fr-CA"/>
        </w:rPr>
        <w:t xml:space="preserve"> sollicitant le prononcé d’une ordonnance les autorisant à déposer des documents additionnels, à savoir la décision de la High Court of Ireland </w:t>
      </w:r>
      <w:r w:rsidRPr="007A5455">
        <w:rPr>
          <w:i/>
          <w:sz w:val="20"/>
          <w:szCs w:val="20"/>
          <w:lang w:val="fr-CA"/>
        </w:rPr>
        <w:t xml:space="preserve">SPV </w:t>
      </w:r>
      <w:proofErr w:type="spellStart"/>
      <w:r w:rsidRPr="007A5455">
        <w:rPr>
          <w:i/>
          <w:sz w:val="20"/>
          <w:szCs w:val="20"/>
          <w:lang w:val="fr-CA"/>
        </w:rPr>
        <w:t>Osus</w:t>
      </w:r>
      <w:proofErr w:type="spellEnd"/>
      <w:r w:rsidRPr="007A5455">
        <w:rPr>
          <w:i/>
          <w:sz w:val="20"/>
          <w:szCs w:val="20"/>
          <w:lang w:val="fr-CA"/>
        </w:rPr>
        <w:t xml:space="preserve"> Limited c. HSBC International Trust Services, </w:t>
      </w:r>
      <w:r w:rsidRPr="007A5455">
        <w:rPr>
          <w:sz w:val="20"/>
          <w:szCs w:val="20"/>
          <w:lang w:val="fr-CA"/>
        </w:rPr>
        <w:t>[2015] IEHC 602;</w:t>
      </w:r>
    </w:p>
    <w:p w:rsidR="00E93813" w:rsidRPr="007A5455" w:rsidRDefault="00E93813" w:rsidP="00E93813">
      <w:pPr>
        <w:jc w:val="both"/>
        <w:rPr>
          <w:sz w:val="20"/>
          <w:szCs w:val="20"/>
          <w:lang w:val="fr-CA"/>
        </w:rPr>
      </w:pPr>
    </w:p>
    <w:p w:rsidR="00E93813" w:rsidRPr="007A5455" w:rsidRDefault="00E93813" w:rsidP="00E93813">
      <w:pPr>
        <w:jc w:val="both"/>
        <w:rPr>
          <w:sz w:val="20"/>
          <w:szCs w:val="20"/>
          <w:lang w:val="fr-CA"/>
        </w:rPr>
      </w:pPr>
      <w:r w:rsidRPr="007A5455">
        <w:rPr>
          <w:b/>
          <w:sz w:val="20"/>
          <w:szCs w:val="20"/>
          <w:lang w:val="fr-CA"/>
        </w:rPr>
        <w:t>ET APRÈS EXAMEN</w:t>
      </w:r>
      <w:r w:rsidRPr="007A5455">
        <w:rPr>
          <w:sz w:val="20"/>
          <w:szCs w:val="20"/>
          <w:lang w:val="fr-CA"/>
        </w:rPr>
        <w:t xml:space="preserve"> des documents déposés;</w:t>
      </w:r>
    </w:p>
    <w:p w:rsidR="00E93813" w:rsidRPr="007A5455" w:rsidRDefault="00E93813" w:rsidP="00E93813">
      <w:pPr>
        <w:jc w:val="both"/>
        <w:rPr>
          <w:sz w:val="20"/>
          <w:szCs w:val="20"/>
          <w:lang w:val="fr-CA"/>
        </w:rPr>
      </w:pPr>
    </w:p>
    <w:p w:rsidR="00E93813" w:rsidRPr="007A5455" w:rsidRDefault="00E93813" w:rsidP="00E93813">
      <w:pPr>
        <w:jc w:val="both"/>
        <w:rPr>
          <w:b/>
          <w:sz w:val="20"/>
          <w:szCs w:val="20"/>
          <w:lang w:val="fr-CA"/>
        </w:rPr>
      </w:pPr>
      <w:r w:rsidRPr="007A5455">
        <w:rPr>
          <w:b/>
          <w:sz w:val="20"/>
          <w:szCs w:val="20"/>
          <w:lang w:val="fr-CA"/>
        </w:rPr>
        <w:t>IL EST ORDONNÉ CE QUI SUIT :</w:t>
      </w:r>
    </w:p>
    <w:p w:rsidR="00E93813" w:rsidRPr="007A5455" w:rsidRDefault="00E93813" w:rsidP="00E93813">
      <w:pPr>
        <w:jc w:val="both"/>
        <w:rPr>
          <w:sz w:val="20"/>
          <w:szCs w:val="20"/>
          <w:lang w:val="fr-CA"/>
        </w:rPr>
      </w:pPr>
    </w:p>
    <w:p w:rsidR="00E93813" w:rsidRPr="007A5455" w:rsidRDefault="00E93813" w:rsidP="00E93813">
      <w:pPr>
        <w:jc w:val="both"/>
        <w:rPr>
          <w:sz w:val="20"/>
          <w:szCs w:val="20"/>
          <w:lang w:val="fr-CA"/>
        </w:rPr>
      </w:pPr>
      <w:r w:rsidRPr="007A5455">
        <w:rPr>
          <w:sz w:val="20"/>
          <w:szCs w:val="20"/>
          <w:lang w:val="fr-CA"/>
        </w:rPr>
        <w:t>La requête est accueillie.</w:t>
      </w:r>
    </w:p>
    <w:p w:rsidR="00E93813" w:rsidRPr="007A5455" w:rsidRDefault="00E93813" w:rsidP="00E93813">
      <w:pPr>
        <w:tabs>
          <w:tab w:val="left" w:pos="-1440"/>
          <w:tab w:val="left" w:pos="-720"/>
        </w:tabs>
        <w:jc w:val="both"/>
        <w:rPr>
          <w:sz w:val="20"/>
          <w:szCs w:val="20"/>
        </w:rPr>
      </w:pPr>
    </w:p>
    <w:p w:rsidR="00E93813" w:rsidRPr="007A5455" w:rsidRDefault="001F68BE" w:rsidP="00E93813">
      <w:pPr>
        <w:tabs>
          <w:tab w:val="left" w:pos="-1440"/>
          <w:tab w:val="left" w:pos="-720"/>
        </w:tabs>
        <w:jc w:val="both"/>
        <w:rPr>
          <w:sz w:val="20"/>
          <w:szCs w:val="20"/>
        </w:rPr>
      </w:pPr>
      <w:r>
        <w:rPr>
          <w:sz w:val="20"/>
          <w:szCs w:val="20"/>
          <w:lang w:val="fr-CA"/>
        </w:rPr>
        <w:pict>
          <v:rect id="_x0000_i1066" style="width:2in;height:1pt" o:hrpct="0" o:hralign="center" o:hrstd="t" o:hrnoshade="t" o:hr="t" fillcolor="black [3213]" stroked="f"/>
        </w:pict>
      </w:r>
    </w:p>
    <w:p w:rsidR="00E93813" w:rsidRPr="007A5455" w:rsidRDefault="00E93813" w:rsidP="00E93813">
      <w:pPr>
        <w:tabs>
          <w:tab w:val="left" w:pos="-1440"/>
          <w:tab w:val="left" w:pos="-720"/>
        </w:tabs>
        <w:jc w:val="both"/>
        <w:rPr>
          <w:sz w:val="20"/>
          <w:szCs w:val="20"/>
        </w:rPr>
      </w:pPr>
    </w:p>
    <w:p w:rsidR="00E93813" w:rsidRPr="007A5455" w:rsidRDefault="00E93813" w:rsidP="00E93813">
      <w:pPr>
        <w:tabs>
          <w:tab w:val="left" w:pos="-1440"/>
          <w:tab w:val="left" w:pos="-720"/>
        </w:tabs>
        <w:jc w:val="both"/>
        <w:rPr>
          <w:sz w:val="20"/>
          <w:szCs w:val="20"/>
          <w:lang w:val="fr-CA"/>
        </w:rPr>
      </w:pPr>
      <w:r w:rsidRPr="007A5455">
        <w:rPr>
          <w:sz w:val="20"/>
          <w:szCs w:val="20"/>
          <w:lang w:val="fr-CA"/>
        </w:rPr>
        <w:t>04.12.2015</w:t>
      </w:r>
    </w:p>
    <w:p w:rsidR="00E93813" w:rsidRPr="007A5455" w:rsidRDefault="00E93813" w:rsidP="00E93813">
      <w:pPr>
        <w:tabs>
          <w:tab w:val="left" w:pos="-1440"/>
          <w:tab w:val="left" w:pos="-720"/>
        </w:tabs>
        <w:jc w:val="both"/>
        <w:rPr>
          <w:sz w:val="20"/>
          <w:szCs w:val="20"/>
          <w:lang w:val="fr-CA"/>
        </w:rPr>
      </w:pPr>
    </w:p>
    <w:p w:rsidR="00E93813" w:rsidRPr="007A5455" w:rsidRDefault="00E93813" w:rsidP="00E93813">
      <w:pPr>
        <w:tabs>
          <w:tab w:val="left" w:pos="-1440"/>
          <w:tab w:val="left" w:pos="-720"/>
        </w:tabs>
        <w:jc w:val="both"/>
        <w:rPr>
          <w:sz w:val="20"/>
          <w:szCs w:val="20"/>
          <w:lang w:val="fr-CA"/>
        </w:rPr>
      </w:pPr>
      <w:proofErr w:type="spellStart"/>
      <w:r w:rsidRPr="007A5455">
        <w:rPr>
          <w:sz w:val="20"/>
          <w:szCs w:val="20"/>
          <w:lang w:val="fr-CA"/>
        </w:rPr>
        <w:t>Before</w:t>
      </w:r>
      <w:proofErr w:type="spellEnd"/>
      <w:r w:rsidRPr="007A5455">
        <w:rPr>
          <w:sz w:val="20"/>
          <w:szCs w:val="20"/>
          <w:lang w:val="fr-CA"/>
        </w:rPr>
        <w:t xml:space="preserve"> / Devant :   BROWN J. / LE JUGE BROWN</w:t>
      </w:r>
    </w:p>
    <w:p w:rsidR="00E93813" w:rsidRPr="007A5455" w:rsidRDefault="00E93813" w:rsidP="00E9381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2912"/>
        <w:gridCol w:w="1139"/>
        <w:gridCol w:w="4225"/>
      </w:tblGrid>
      <w:tr w:rsidR="00E93813" w:rsidRPr="007A5455" w:rsidTr="0022676D">
        <w:tc>
          <w:tcPr>
            <w:tcW w:w="4338" w:type="dxa"/>
            <w:gridSpan w:val="2"/>
          </w:tcPr>
          <w:p w:rsidR="00E93813" w:rsidRPr="007A5455" w:rsidRDefault="00E93813" w:rsidP="0022676D">
            <w:pPr>
              <w:rPr>
                <w:b/>
                <w:sz w:val="20"/>
                <w:szCs w:val="20"/>
              </w:rPr>
            </w:pPr>
            <w:r w:rsidRPr="007A5455">
              <w:rPr>
                <w:b/>
                <w:sz w:val="20"/>
                <w:szCs w:val="20"/>
              </w:rPr>
              <w:t>Motion to extend time</w:t>
            </w:r>
            <w:r w:rsidRPr="007A5455">
              <w:rPr>
                <w:sz w:val="20"/>
                <w:szCs w:val="20"/>
              </w:rPr>
              <w:fldChar w:fldCharType="begin"/>
            </w:r>
            <w:r w:rsidRPr="007A5455">
              <w:rPr>
                <w:sz w:val="20"/>
                <w:szCs w:val="20"/>
              </w:rPr>
              <w:instrText xml:space="preserve"> SEQ CHAPTER \h \r 1</w:instrText>
            </w:r>
            <w:r w:rsidRPr="007A5455">
              <w:rPr>
                <w:sz w:val="20"/>
                <w:szCs w:val="20"/>
              </w:rPr>
              <w:fldChar w:fldCharType="end"/>
            </w:r>
          </w:p>
        </w:tc>
        <w:tc>
          <w:tcPr>
            <w:tcW w:w="1170" w:type="dxa"/>
          </w:tcPr>
          <w:p w:rsidR="00E93813" w:rsidRPr="007A5455" w:rsidRDefault="00E93813" w:rsidP="0022676D">
            <w:pPr>
              <w:rPr>
                <w:sz w:val="20"/>
                <w:szCs w:val="20"/>
              </w:rPr>
            </w:pPr>
          </w:p>
          <w:p w:rsidR="00E93813" w:rsidRPr="007A5455" w:rsidRDefault="00E93813" w:rsidP="0022676D">
            <w:pPr>
              <w:rPr>
                <w:sz w:val="20"/>
                <w:szCs w:val="20"/>
              </w:rPr>
            </w:pPr>
          </w:p>
        </w:tc>
        <w:tc>
          <w:tcPr>
            <w:tcW w:w="4327" w:type="dxa"/>
          </w:tcPr>
          <w:p w:rsidR="00E93813" w:rsidRPr="007A5455" w:rsidRDefault="00E93813" w:rsidP="0022676D">
            <w:pPr>
              <w:rPr>
                <w:b/>
                <w:sz w:val="20"/>
                <w:szCs w:val="20"/>
              </w:rPr>
            </w:pPr>
            <w:r w:rsidRPr="007A5455">
              <w:rPr>
                <w:b/>
                <w:bCs/>
                <w:sz w:val="20"/>
                <w:szCs w:val="20"/>
                <w:lang w:val="fr-CA"/>
              </w:rPr>
              <w:t>Requête en prorogation de délai</w:t>
            </w:r>
            <w:r w:rsidRPr="007A5455">
              <w:rPr>
                <w:sz w:val="20"/>
                <w:szCs w:val="20"/>
              </w:rPr>
              <w:fldChar w:fldCharType="begin"/>
            </w:r>
            <w:r w:rsidRPr="007A5455">
              <w:rPr>
                <w:sz w:val="20"/>
                <w:szCs w:val="20"/>
              </w:rPr>
              <w:instrText xml:space="preserve"> SEQ CHAPTER \h \r 1</w:instrText>
            </w:r>
            <w:r w:rsidRPr="007A5455">
              <w:rPr>
                <w:sz w:val="20"/>
                <w:szCs w:val="20"/>
              </w:rPr>
              <w:fldChar w:fldCharType="end"/>
            </w:r>
          </w:p>
        </w:tc>
      </w:tr>
      <w:tr w:rsidR="00E93813" w:rsidRPr="007A5455" w:rsidTr="0022676D">
        <w:trPr>
          <w:trHeight w:hRule="exact" w:val="837"/>
        </w:trPr>
        <w:tc>
          <w:tcPr>
            <w:tcW w:w="1368" w:type="dxa"/>
          </w:tcPr>
          <w:p w:rsidR="00E93813" w:rsidRPr="007A5455" w:rsidRDefault="00E93813" w:rsidP="0022676D">
            <w:pPr>
              <w:rPr>
                <w:sz w:val="20"/>
                <w:szCs w:val="20"/>
              </w:rPr>
            </w:pPr>
            <w:r w:rsidRPr="007A5455">
              <w:rPr>
                <w:sz w:val="20"/>
                <w:szCs w:val="20"/>
              </w:rPr>
              <w:t>BY / PAR</w:t>
            </w:r>
          </w:p>
        </w:tc>
        <w:tc>
          <w:tcPr>
            <w:tcW w:w="2970" w:type="dxa"/>
          </w:tcPr>
          <w:p w:rsidR="00E93813" w:rsidRPr="007A5455" w:rsidRDefault="00E93813" w:rsidP="0022676D">
            <w:pPr>
              <w:rPr>
                <w:sz w:val="20"/>
                <w:szCs w:val="20"/>
              </w:rPr>
            </w:pPr>
            <w:proofErr w:type="spellStart"/>
            <w:r w:rsidRPr="007A5455">
              <w:rPr>
                <w:sz w:val="20"/>
                <w:szCs w:val="20"/>
              </w:rPr>
              <w:t>Ministère</w:t>
            </w:r>
            <w:proofErr w:type="spellEnd"/>
            <w:r w:rsidRPr="007A5455">
              <w:rPr>
                <w:sz w:val="20"/>
                <w:szCs w:val="20"/>
              </w:rPr>
              <w:t xml:space="preserve"> de </w:t>
            </w:r>
            <w:proofErr w:type="spellStart"/>
            <w:r w:rsidRPr="007A5455">
              <w:rPr>
                <w:sz w:val="20"/>
                <w:szCs w:val="20"/>
              </w:rPr>
              <w:t>l’Éducation</w:t>
            </w:r>
            <w:proofErr w:type="spellEnd"/>
            <w:r w:rsidRPr="007A5455">
              <w:rPr>
                <w:sz w:val="20"/>
                <w:szCs w:val="20"/>
              </w:rPr>
              <w:t xml:space="preserve"> de la province de la </w:t>
            </w:r>
            <w:proofErr w:type="spellStart"/>
            <w:r w:rsidRPr="007A5455">
              <w:rPr>
                <w:sz w:val="20"/>
                <w:szCs w:val="20"/>
              </w:rPr>
              <w:t>Colombie-Britannique</w:t>
            </w:r>
            <w:proofErr w:type="spellEnd"/>
            <w:r w:rsidRPr="007A5455">
              <w:rPr>
                <w:sz w:val="20"/>
                <w:szCs w:val="20"/>
              </w:rPr>
              <w:t>;</w:t>
            </w:r>
          </w:p>
        </w:tc>
        <w:tc>
          <w:tcPr>
            <w:tcW w:w="1170" w:type="dxa"/>
          </w:tcPr>
          <w:p w:rsidR="00E93813" w:rsidRPr="007A5455" w:rsidRDefault="00E93813" w:rsidP="0022676D">
            <w:pPr>
              <w:rPr>
                <w:sz w:val="20"/>
                <w:szCs w:val="20"/>
              </w:rPr>
            </w:pPr>
          </w:p>
        </w:tc>
        <w:tc>
          <w:tcPr>
            <w:tcW w:w="4327" w:type="dxa"/>
          </w:tcPr>
          <w:p w:rsidR="00E93813" w:rsidRPr="007A5455" w:rsidRDefault="00E93813" w:rsidP="0022676D">
            <w:pPr>
              <w:rPr>
                <w:sz w:val="20"/>
                <w:szCs w:val="20"/>
              </w:rPr>
            </w:pPr>
          </w:p>
        </w:tc>
      </w:tr>
      <w:tr w:rsidR="00E93813" w:rsidRPr="007A5455" w:rsidTr="0022676D">
        <w:trPr>
          <w:trHeight w:hRule="exact" w:val="459"/>
        </w:trPr>
        <w:tc>
          <w:tcPr>
            <w:tcW w:w="1368" w:type="dxa"/>
          </w:tcPr>
          <w:p w:rsidR="00E93813" w:rsidRPr="007A5455" w:rsidRDefault="00E93813" w:rsidP="0022676D">
            <w:pPr>
              <w:rPr>
                <w:sz w:val="20"/>
                <w:szCs w:val="20"/>
              </w:rPr>
            </w:pPr>
          </w:p>
        </w:tc>
        <w:tc>
          <w:tcPr>
            <w:tcW w:w="2970" w:type="dxa"/>
          </w:tcPr>
          <w:p w:rsidR="00E93813" w:rsidRPr="007A5455" w:rsidRDefault="00E93813" w:rsidP="0022676D">
            <w:pPr>
              <w:rPr>
                <w:sz w:val="20"/>
                <w:szCs w:val="20"/>
              </w:rPr>
            </w:pPr>
            <w:proofErr w:type="spellStart"/>
            <w:r w:rsidRPr="007A5455">
              <w:rPr>
                <w:sz w:val="20"/>
                <w:szCs w:val="20"/>
              </w:rPr>
              <w:t>Procureur</w:t>
            </w:r>
            <w:proofErr w:type="spellEnd"/>
            <w:r w:rsidRPr="007A5455">
              <w:rPr>
                <w:sz w:val="20"/>
                <w:szCs w:val="20"/>
              </w:rPr>
              <w:t xml:space="preserve"> general de la </w:t>
            </w:r>
            <w:proofErr w:type="spellStart"/>
            <w:r w:rsidRPr="007A5455">
              <w:rPr>
                <w:sz w:val="20"/>
                <w:szCs w:val="20"/>
              </w:rPr>
              <w:t>Colombie-Britannique</w:t>
            </w:r>
            <w:proofErr w:type="spellEnd"/>
          </w:p>
        </w:tc>
        <w:tc>
          <w:tcPr>
            <w:tcW w:w="1170" w:type="dxa"/>
          </w:tcPr>
          <w:p w:rsidR="00E93813" w:rsidRPr="007A5455" w:rsidRDefault="00E93813" w:rsidP="0022676D">
            <w:pPr>
              <w:rPr>
                <w:sz w:val="20"/>
                <w:szCs w:val="20"/>
              </w:rPr>
            </w:pPr>
          </w:p>
        </w:tc>
        <w:tc>
          <w:tcPr>
            <w:tcW w:w="4327" w:type="dxa"/>
          </w:tcPr>
          <w:p w:rsidR="00E93813" w:rsidRPr="007A5455" w:rsidRDefault="00E93813" w:rsidP="0022676D">
            <w:pPr>
              <w:rPr>
                <w:sz w:val="20"/>
                <w:szCs w:val="20"/>
              </w:rPr>
            </w:pPr>
          </w:p>
        </w:tc>
      </w:tr>
      <w:tr w:rsidR="00E93813" w:rsidRPr="007A5455" w:rsidTr="0022676D">
        <w:tc>
          <w:tcPr>
            <w:tcW w:w="1368" w:type="dxa"/>
          </w:tcPr>
          <w:p w:rsidR="00E93813" w:rsidRPr="007A5455" w:rsidRDefault="00E93813" w:rsidP="0022676D">
            <w:pPr>
              <w:rPr>
                <w:sz w:val="20"/>
                <w:szCs w:val="20"/>
              </w:rPr>
            </w:pPr>
          </w:p>
        </w:tc>
        <w:tc>
          <w:tcPr>
            <w:tcW w:w="2970" w:type="dxa"/>
          </w:tcPr>
          <w:p w:rsidR="00E93813" w:rsidRPr="007A5455" w:rsidRDefault="00E93813" w:rsidP="0022676D">
            <w:pPr>
              <w:rPr>
                <w:sz w:val="20"/>
                <w:szCs w:val="20"/>
              </w:rPr>
            </w:pPr>
          </w:p>
        </w:tc>
        <w:tc>
          <w:tcPr>
            <w:tcW w:w="1170" w:type="dxa"/>
          </w:tcPr>
          <w:p w:rsidR="00E93813" w:rsidRPr="007A5455" w:rsidRDefault="00E93813" w:rsidP="0022676D">
            <w:pPr>
              <w:rPr>
                <w:sz w:val="20"/>
                <w:szCs w:val="20"/>
              </w:rPr>
            </w:pPr>
          </w:p>
        </w:tc>
        <w:tc>
          <w:tcPr>
            <w:tcW w:w="4327" w:type="dxa"/>
          </w:tcPr>
          <w:p w:rsidR="00E93813" w:rsidRPr="007A5455" w:rsidRDefault="00E93813" w:rsidP="0022676D">
            <w:pPr>
              <w:rPr>
                <w:sz w:val="20"/>
                <w:szCs w:val="20"/>
              </w:rPr>
            </w:pPr>
          </w:p>
        </w:tc>
      </w:tr>
    </w:tbl>
    <w:p w:rsidR="00E93813" w:rsidRPr="007A5455" w:rsidRDefault="00E93813" w:rsidP="00E93813">
      <w:pPr>
        <w:rPr>
          <w:sz w:val="20"/>
          <w:szCs w:val="20"/>
        </w:rPr>
      </w:pPr>
      <w:r w:rsidRPr="007A5455">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918"/>
        <w:gridCol w:w="1143"/>
        <w:gridCol w:w="4208"/>
      </w:tblGrid>
      <w:tr w:rsidR="00E93813" w:rsidRPr="007A5455" w:rsidTr="0022676D">
        <w:tc>
          <w:tcPr>
            <w:tcW w:w="1368" w:type="dxa"/>
          </w:tcPr>
          <w:p w:rsidR="00E93813" w:rsidRPr="007A5455" w:rsidRDefault="00E93813" w:rsidP="0022676D">
            <w:pPr>
              <w:rPr>
                <w:sz w:val="20"/>
                <w:szCs w:val="20"/>
              </w:rPr>
            </w:pPr>
            <w:r w:rsidRPr="007A5455">
              <w:rPr>
                <w:sz w:val="20"/>
                <w:szCs w:val="20"/>
              </w:rPr>
              <w:lastRenderedPageBreak/>
              <w:t>IN / DANS :</w:t>
            </w:r>
          </w:p>
        </w:tc>
        <w:tc>
          <w:tcPr>
            <w:tcW w:w="2970" w:type="dxa"/>
          </w:tcPr>
          <w:p w:rsidR="00E93813" w:rsidRPr="007A5455" w:rsidRDefault="00E93813" w:rsidP="0022676D">
            <w:pPr>
              <w:rPr>
                <w:sz w:val="20"/>
                <w:szCs w:val="20"/>
              </w:rPr>
            </w:pPr>
            <w:r w:rsidRPr="007A5455">
              <w:rPr>
                <w:sz w:val="20"/>
                <w:szCs w:val="20"/>
              </w:rPr>
              <w:t xml:space="preserve">Association des parents de </w:t>
            </w:r>
            <w:proofErr w:type="spellStart"/>
            <w:r w:rsidRPr="007A5455">
              <w:rPr>
                <w:sz w:val="20"/>
                <w:szCs w:val="20"/>
              </w:rPr>
              <w:t>l’école</w:t>
            </w:r>
            <w:proofErr w:type="spellEnd"/>
            <w:r w:rsidRPr="007A5455">
              <w:rPr>
                <w:sz w:val="20"/>
                <w:szCs w:val="20"/>
              </w:rPr>
              <w:t xml:space="preserve"> Rose-des-vents et </w:t>
            </w:r>
            <w:proofErr w:type="spellStart"/>
            <w:r w:rsidRPr="007A5455">
              <w:rPr>
                <w:sz w:val="20"/>
                <w:szCs w:val="20"/>
              </w:rPr>
              <w:t>autres</w:t>
            </w:r>
            <w:proofErr w:type="spellEnd"/>
          </w:p>
          <w:p w:rsidR="00E93813" w:rsidRPr="007A5455" w:rsidRDefault="00E93813" w:rsidP="0022676D">
            <w:pPr>
              <w:rPr>
                <w:sz w:val="20"/>
                <w:szCs w:val="20"/>
              </w:rPr>
            </w:pPr>
          </w:p>
          <w:p w:rsidR="00E93813" w:rsidRPr="007A5455" w:rsidRDefault="00E93813" w:rsidP="0022676D">
            <w:pPr>
              <w:rPr>
                <w:sz w:val="20"/>
                <w:szCs w:val="20"/>
              </w:rPr>
            </w:pPr>
            <w:r w:rsidRPr="007A5455">
              <w:rPr>
                <w:sz w:val="20"/>
                <w:szCs w:val="20"/>
              </w:rPr>
              <w:tab/>
              <w:t>c. (35619)</w:t>
            </w:r>
          </w:p>
          <w:p w:rsidR="00E93813" w:rsidRPr="007A5455" w:rsidRDefault="00E93813" w:rsidP="0022676D">
            <w:pPr>
              <w:rPr>
                <w:sz w:val="20"/>
                <w:szCs w:val="20"/>
              </w:rPr>
            </w:pPr>
          </w:p>
          <w:p w:rsidR="00E93813" w:rsidRPr="007A5455" w:rsidRDefault="00E93813" w:rsidP="0022676D">
            <w:pPr>
              <w:rPr>
                <w:sz w:val="20"/>
                <w:szCs w:val="20"/>
              </w:rPr>
            </w:pPr>
            <w:proofErr w:type="spellStart"/>
            <w:r w:rsidRPr="007A5455">
              <w:rPr>
                <w:sz w:val="20"/>
                <w:szCs w:val="20"/>
              </w:rPr>
              <w:t>Ministère</w:t>
            </w:r>
            <w:proofErr w:type="spellEnd"/>
            <w:r w:rsidRPr="007A5455">
              <w:rPr>
                <w:sz w:val="20"/>
                <w:szCs w:val="20"/>
              </w:rPr>
              <w:t xml:space="preserve"> de </w:t>
            </w:r>
            <w:proofErr w:type="spellStart"/>
            <w:r w:rsidRPr="007A5455">
              <w:rPr>
                <w:sz w:val="20"/>
                <w:szCs w:val="20"/>
              </w:rPr>
              <w:t>l’Éducation</w:t>
            </w:r>
            <w:proofErr w:type="spellEnd"/>
            <w:r w:rsidRPr="007A5455">
              <w:rPr>
                <w:sz w:val="20"/>
                <w:szCs w:val="20"/>
              </w:rPr>
              <w:t xml:space="preserve"> de la province de la </w:t>
            </w:r>
            <w:proofErr w:type="spellStart"/>
            <w:r w:rsidRPr="007A5455">
              <w:rPr>
                <w:sz w:val="20"/>
                <w:szCs w:val="20"/>
              </w:rPr>
              <w:t>Colombie-Britannique</w:t>
            </w:r>
            <w:proofErr w:type="spellEnd"/>
            <w:r w:rsidRPr="007A5455">
              <w:rPr>
                <w:sz w:val="20"/>
                <w:szCs w:val="20"/>
              </w:rPr>
              <w:t xml:space="preserve"> et </w:t>
            </w:r>
            <w:proofErr w:type="spellStart"/>
            <w:r w:rsidRPr="007A5455">
              <w:rPr>
                <w:sz w:val="20"/>
                <w:szCs w:val="20"/>
              </w:rPr>
              <w:t>autre</w:t>
            </w:r>
            <w:proofErr w:type="spellEnd"/>
            <w:r w:rsidRPr="007A5455">
              <w:rPr>
                <w:sz w:val="20"/>
                <w:szCs w:val="20"/>
              </w:rPr>
              <w:t xml:space="preserve"> (C.-B.)</w:t>
            </w:r>
          </w:p>
        </w:tc>
        <w:tc>
          <w:tcPr>
            <w:tcW w:w="1170" w:type="dxa"/>
          </w:tcPr>
          <w:p w:rsidR="00E93813" w:rsidRPr="007A5455" w:rsidRDefault="00E93813" w:rsidP="0022676D">
            <w:pPr>
              <w:rPr>
                <w:sz w:val="20"/>
                <w:szCs w:val="20"/>
              </w:rPr>
            </w:pPr>
          </w:p>
        </w:tc>
        <w:tc>
          <w:tcPr>
            <w:tcW w:w="4327" w:type="dxa"/>
          </w:tcPr>
          <w:p w:rsidR="00E93813" w:rsidRPr="007A5455" w:rsidRDefault="00E93813" w:rsidP="0022676D">
            <w:pPr>
              <w:rPr>
                <w:sz w:val="20"/>
                <w:szCs w:val="20"/>
              </w:rPr>
            </w:pPr>
          </w:p>
        </w:tc>
      </w:tr>
    </w:tbl>
    <w:p w:rsidR="00E93813" w:rsidRPr="007A5455" w:rsidRDefault="00E93813" w:rsidP="00E93813">
      <w:pPr>
        <w:tabs>
          <w:tab w:val="left" w:pos="-1440"/>
          <w:tab w:val="left" w:pos="-720"/>
        </w:tabs>
        <w:jc w:val="both"/>
        <w:rPr>
          <w:sz w:val="20"/>
          <w:szCs w:val="20"/>
        </w:rPr>
      </w:pPr>
    </w:p>
    <w:p w:rsidR="00E93813" w:rsidRPr="007A5455" w:rsidRDefault="00E93813" w:rsidP="00E93813">
      <w:pPr>
        <w:tabs>
          <w:tab w:val="left" w:pos="-1440"/>
          <w:tab w:val="left" w:pos="-720"/>
        </w:tabs>
        <w:jc w:val="both"/>
        <w:rPr>
          <w:sz w:val="20"/>
          <w:szCs w:val="20"/>
        </w:rPr>
      </w:pPr>
      <w:r w:rsidRPr="007A5455">
        <w:rPr>
          <w:b/>
          <w:sz w:val="20"/>
          <w:szCs w:val="20"/>
        </w:rPr>
        <w:t>ALLOWED IN PART / ACCUEILLIE EN PARTIE</w:t>
      </w:r>
    </w:p>
    <w:p w:rsidR="00E93813" w:rsidRPr="007A5455" w:rsidRDefault="00E93813" w:rsidP="00E93813">
      <w:pPr>
        <w:tabs>
          <w:tab w:val="left" w:pos="-1440"/>
          <w:tab w:val="left" w:pos="-720"/>
        </w:tabs>
        <w:jc w:val="both"/>
        <w:rPr>
          <w:sz w:val="20"/>
          <w:szCs w:val="20"/>
        </w:rPr>
      </w:pPr>
    </w:p>
    <w:p w:rsidR="00E93813" w:rsidRPr="007A5455" w:rsidRDefault="00E93813" w:rsidP="00E93813">
      <w:pPr>
        <w:jc w:val="both"/>
        <w:rPr>
          <w:sz w:val="20"/>
          <w:szCs w:val="20"/>
          <w:lang w:val="fr-CA"/>
        </w:rPr>
      </w:pPr>
      <w:r w:rsidRPr="007A5455">
        <w:rPr>
          <w:b/>
          <w:sz w:val="20"/>
          <w:szCs w:val="20"/>
          <w:lang w:val="fr-CA"/>
        </w:rPr>
        <w:t>À LA SUITE DE LA DEMANDE</w:t>
      </w:r>
      <w:r w:rsidRPr="007A5455">
        <w:rPr>
          <w:sz w:val="20"/>
          <w:szCs w:val="20"/>
          <w:lang w:val="fr-CA"/>
        </w:rPr>
        <w:t xml:space="preserve"> des intimés datée du 2 novembre 2015, présentée suivant les articles 6 et 47 des </w:t>
      </w:r>
      <w:r w:rsidRPr="007A5455">
        <w:rPr>
          <w:i/>
          <w:iCs/>
          <w:sz w:val="20"/>
          <w:szCs w:val="20"/>
          <w:lang w:val="fr-CA"/>
        </w:rPr>
        <w:t xml:space="preserve">Règles de la Cour suprême du Canada </w:t>
      </w:r>
      <w:r w:rsidRPr="007A5455">
        <w:rPr>
          <w:iCs/>
          <w:sz w:val="20"/>
          <w:szCs w:val="20"/>
          <w:lang w:val="fr-CA"/>
        </w:rPr>
        <w:t>et sollicitant la prorogation du délai imparti pour signifier et déposer une réponse à l’avis de taxation et au mémoire de frais, ainsi qu’une ordonnance intimant la production de documents</w:t>
      </w:r>
      <w:r w:rsidRPr="007A5455">
        <w:rPr>
          <w:sz w:val="20"/>
          <w:szCs w:val="20"/>
          <w:lang w:val="fr-CA"/>
        </w:rPr>
        <w:t xml:space="preserve">; </w:t>
      </w:r>
    </w:p>
    <w:p w:rsidR="00E93813" w:rsidRPr="007A5455" w:rsidRDefault="00E93813" w:rsidP="00E93813">
      <w:pPr>
        <w:jc w:val="both"/>
        <w:rPr>
          <w:sz w:val="20"/>
          <w:szCs w:val="20"/>
          <w:lang w:val="fr-CA"/>
        </w:rPr>
      </w:pPr>
    </w:p>
    <w:p w:rsidR="00E93813" w:rsidRPr="007A5455" w:rsidRDefault="00E93813" w:rsidP="00E93813">
      <w:pPr>
        <w:jc w:val="both"/>
        <w:rPr>
          <w:sz w:val="20"/>
          <w:szCs w:val="20"/>
          <w:lang w:val="fr-CA"/>
        </w:rPr>
      </w:pPr>
      <w:r w:rsidRPr="007A5455">
        <w:rPr>
          <w:b/>
          <w:sz w:val="20"/>
          <w:szCs w:val="20"/>
          <w:lang w:val="fr-CA"/>
        </w:rPr>
        <w:t xml:space="preserve">ET APRÈS EXAMEN </w:t>
      </w:r>
      <w:r w:rsidRPr="007A5455">
        <w:rPr>
          <w:sz w:val="20"/>
          <w:szCs w:val="20"/>
          <w:lang w:val="fr-CA"/>
        </w:rPr>
        <w:t xml:space="preserve">des documents déposés par les parties, </w:t>
      </w:r>
    </w:p>
    <w:p w:rsidR="00E93813" w:rsidRPr="007A5455" w:rsidRDefault="00E93813" w:rsidP="00E93813">
      <w:pPr>
        <w:jc w:val="both"/>
        <w:rPr>
          <w:sz w:val="20"/>
          <w:szCs w:val="20"/>
          <w:lang w:val="fr-CA"/>
        </w:rPr>
      </w:pPr>
    </w:p>
    <w:p w:rsidR="00E93813" w:rsidRPr="007A5455" w:rsidRDefault="00E93813" w:rsidP="00E93813">
      <w:pPr>
        <w:jc w:val="both"/>
        <w:rPr>
          <w:sz w:val="20"/>
          <w:szCs w:val="20"/>
          <w:lang w:val="fr-CA"/>
        </w:rPr>
      </w:pPr>
      <w:r w:rsidRPr="007A5455">
        <w:rPr>
          <w:b/>
          <w:sz w:val="20"/>
          <w:szCs w:val="20"/>
          <w:lang w:val="fr-CA"/>
        </w:rPr>
        <w:t>IL EST ORDONNÉ CE QUI SUIT :</w:t>
      </w:r>
      <w:r w:rsidRPr="007A5455">
        <w:rPr>
          <w:sz w:val="20"/>
          <w:szCs w:val="20"/>
          <w:lang w:val="fr-CA"/>
        </w:rPr>
        <w:t xml:space="preserve"> </w:t>
      </w:r>
    </w:p>
    <w:p w:rsidR="00E93813" w:rsidRPr="007A5455" w:rsidRDefault="00E93813" w:rsidP="00E93813">
      <w:pPr>
        <w:jc w:val="both"/>
        <w:rPr>
          <w:sz w:val="20"/>
          <w:szCs w:val="20"/>
          <w:lang w:val="fr-CA"/>
        </w:rPr>
      </w:pPr>
    </w:p>
    <w:p w:rsidR="00E93813" w:rsidRPr="007A5455" w:rsidRDefault="00E93813" w:rsidP="00E9381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r w:rsidRPr="007A5455">
        <w:rPr>
          <w:sz w:val="20"/>
          <w:szCs w:val="20"/>
          <w:lang w:val="fr-CA"/>
        </w:rPr>
        <w:t>La taxation devant notre Cour est prorogée pour une période de 90 jours suivant la date de la présente ordonnance;</w:t>
      </w:r>
    </w:p>
    <w:p w:rsidR="00E93813" w:rsidRPr="007A5455" w:rsidRDefault="00E93813" w:rsidP="00E93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sz w:val="20"/>
          <w:szCs w:val="20"/>
          <w:lang w:val="fr-CA"/>
        </w:rPr>
      </w:pPr>
    </w:p>
    <w:p w:rsidR="00E93813" w:rsidRPr="007A5455" w:rsidRDefault="00E93813" w:rsidP="00E9381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r w:rsidRPr="007A5455">
        <w:rPr>
          <w:sz w:val="20"/>
          <w:szCs w:val="20"/>
          <w:lang w:val="fr-CA"/>
        </w:rPr>
        <w:t xml:space="preserve">À l’expiration du délai de 90 jours, l’appelant, le Conseil scolaire francophone de la Colombie-Britannique, est tenu de déposer à la Cour un avis de désistement de la taxation, à défaut de quoi les intimés disposeront d’une période 30 jours pour signifier et déposer une </w:t>
      </w:r>
      <w:r w:rsidRPr="007A5455">
        <w:rPr>
          <w:iCs/>
          <w:sz w:val="20"/>
          <w:szCs w:val="20"/>
          <w:lang w:val="fr-CA"/>
        </w:rPr>
        <w:t>réponse à l’avis de taxation et au mémoire de frais.</w:t>
      </w:r>
      <w:r w:rsidRPr="007A5455">
        <w:rPr>
          <w:sz w:val="20"/>
          <w:szCs w:val="20"/>
          <w:lang w:val="fr-CA"/>
        </w:rPr>
        <w:t xml:space="preserve"> </w:t>
      </w:r>
    </w:p>
    <w:p w:rsidR="00E93813" w:rsidRPr="007A5455" w:rsidRDefault="00E93813" w:rsidP="00E93813">
      <w:pPr>
        <w:jc w:val="both"/>
        <w:rPr>
          <w:sz w:val="20"/>
          <w:szCs w:val="20"/>
          <w:lang w:val="fr-CA"/>
        </w:rPr>
      </w:pPr>
    </w:p>
    <w:p w:rsidR="00E93813" w:rsidRPr="007A5455" w:rsidRDefault="00E93813" w:rsidP="00E93813">
      <w:pPr>
        <w:tabs>
          <w:tab w:val="left" w:pos="-1440"/>
          <w:tab w:val="left" w:pos="-720"/>
        </w:tabs>
        <w:jc w:val="both"/>
        <w:rPr>
          <w:sz w:val="20"/>
          <w:szCs w:val="20"/>
        </w:rPr>
      </w:pPr>
    </w:p>
    <w:p w:rsidR="00E93813" w:rsidRPr="007A5455" w:rsidRDefault="00E93813" w:rsidP="00E93813">
      <w:pPr>
        <w:tabs>
          <w:tab w:val="left" w:pos="-1440"/>
          <w:tab w:val="left" w:pos="-720"/>
        </w:tabs>
        <w:jc w:val="both"/>
        <w:rPr>
          <w:sz w:val="20"/>
          <w:szCs w:val="20"/>
        </w:rPr>
      </w:pPr>
    </w:p>
    <w:p w:rsidR="00E93813" w:rsidRPr="007A5455" w:rsidRDefault="00E93813" w:rsidP="00E93813">
      <w:pPr>
        <w:jc w:val="both"/>
        <w:rPr>
          <w:sz w:val="20"/>
          <w:szCs w:val="20"/>
        </w:rPr>
      </w:pPr>
      <w:r w:rsidRPr="007A5455">
        <w:rPr>
          <w:b/>
          <w:sz w:val="20"/>
          <w:szCs w:val="20"/>
        </w:rPr>
        <w:t>UPON APPLICATION</w:t>
      </w:r>
      <w:r w:rsidRPr="007A5455">
        <w:rPr>
          <w:sz w:val="20"/>
          <w:szCs w:val="20"/>
        </w:rPr>
        <w:t xml:space="preserve"> by the respondents dated November 2, 2015, pursuant to Rules 6 and 47 of the </w:t>
      </w:r>
      <w:r w:rsidRPr="007A5455">
        <w:rPr>
          <w:i/>
          <w:iCs/>
          <w:sz w:val="20"/>
          <w:szCs w:val="20"/>
        </w:rPr>
        <w:t xml:space="preserve">Rules of the Supreme Court of Canada </w:t>
      </w:r>
      <w:r w:rsidRPr="007A5455">
        <w:rPr>
          <w:iCs/>
          <w:sz w:val="20"/>
          <w:szCs w:val="20"/>
        </w:rPr>
        <w:t>for an extension of time to serve and file a response to the notice of taxation and bill of costs, and for a direction to produce documents</w:t>
      </w:r>
      <w:r w:rsidRPr="007A5455">
        <w:rPr>
          <w:sz w:val="20"/>
          <w:szCs w:val="20"/>
        </w:rPr>
        <w:t xml:space="preserve">; </w:t>
      </w:r>
    </w:p>
    <w:p w:rsidR="00E93813" w:rsidRPr="007A5455" w:rsidRDefault="00E93813" w:rsidP="00E93813">
      <w:pPr>
        <w:jc w:val="both"/>
        <w:rPr>
          <w:sz w:val="20"/>
          <w:szCs w:val="20"/>
        </w:rPr>
      </w:pPr>
    </w:p>
    <w:p w:rsidR="00E93813" w:rsidRPr="007A5455" w:rsidRDefault="00E93813" w:rsidP="00E93813">
      <w:pPr>
        <w:jc w:val="both"/>
        <w:rPr>
          <w:sz w:val="20"/>
          <w:szCs w:val="20"/>
        </w:rPr>
      </w:pPr>
      <w:r w:rsidRPr="007A5455">
        <w:rPr>
          <w:b/>
          <w:sz w:val="20"/>
          <w:szCs w:val="20"/>
        </w:rPr>
        <w:t xml:space="preserve">AND HAVING READ </w:t>
      </w:r>
      <w:r w:rsidRPr="007A5455">
        <w:rPr>
          <w:sz w:val="20"/>
          <w:szCs w:val="20"/>
        </w:rPr>
        <w:t xml:space="preserve">the material filed by the parties; </w:t>
      </w:r>
    </w:p>
    <w:p w:rsidR="00E93813" w:rsidRPr="007A5455" w:rsidRDefault="00E93813" w:rsidP="00E93813">
      <w:pPr>
        <w:jc w:val="both"/>
        <w:rPr>
          <w:sz w:val="20"/>
          <w:szCs w:val="20"/>
        </w:rPr>
      </w:pPr>
    </w:p>
    <w:p w:rsidR="00E93813" w:rsidRPr="007A5455" w:rsidRDefault="00E93813" w:rsidP="00E93813">
      <w:pPr>
        <w:jc w:val="both"/>
        <w:rPr>
          <w:sz w:val="20"/>
          <w:szCs w:val="20"/>
        </w:rPr>
      </w:pPr>
      <w:r w:rsidRPr="007A5455">
        <w:rPr>
          <w:b/>
          <w:sz w:val="20"/>
          <w:szCs w:val="20"/>
        </w:rPr>
        <w:t>IT IS HEREBY ORDERED THAT:</w:t>
      </w:r>
      <w:r w:rsidRPr="007A5455">
        <w:rPr>
          <w:sz w:val="20"/>
          <w:szCs w:val="20"/>
        </w:rPr>
        <w:t xml:space="preserve"> </w:t>
      </w:r>
    </w:p>
    <w:p w:rsidR="00E93813" w:rsidRPr="007A5455" w:rsidRDefault="00E93813" w:rsidP="00E93813">
      <w:pPr>
        <w:jc w:val="both"/>
        <w:rPr>
          <w:sz w:val="20"/>
          <w:szCs w:val="20"/>
        </w:rPr>
      </w:pPr>
    </w:p>
    <w:p w:rsidR="00E93813" w:rsidRPr="007A5455" w:rsidRDefault="00E93813" w:rsidP="00E9381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7A5455">
        <w:rPr>
          <w:sz w:val="20"/>
          <w:szCs w:val="20"/>
        </w:rPr>
        <w:t>The taxation in this Court is adjourned for a period of 90 days from the date of this order; and</w:t>
      </w:r>
    </w:p>
    <w:p w:rsidR="00E93813" w:rsidRPr="007A5455" w:rsidRDefault="00E93813" w:rsidP="00E93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sz w:val="20"/>
          <w:szCs w:val="20"/>
        </w:rPr>
      </w:pPr>
    </w:p>
    <w:p w:rsidR="00E93813" w:rsidRPr="007A5455" w:rsidRDefault="00E93813" w:rsidP="00E9381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7A5455">
        <w:rPr>
          <w:sz w:val="20"/>
          <w:szCs w:val="20"/>
        </w:rPr>
        <w:t xml:space="preserve">Upon the expiry of 90 days, the appellant, </w:t>
      </w:r>
      <w:proofErr w:type="spellStart"/>
      <w:r w:rsidRPr="007A5455">
        <w:rPr>
          <w:sz w:val="20"/>
          <w:szCs w:val="20"/>
        </w:rPr>
        <w:t>Conseil</w:t>
      </w:r>
      <w:proofErr w:type="spellEnd"/>
      <w:r w:rsidRPr="007A5455">
        <w:rPr>
          <w:sz w:val="20"/>
          <w:szCs w:val="20"/>
        </w:rPr>
        <w:t xml:space="preserve"> </w:t>
      </w:r>
      <w:proofErr w:type="spellStart"/>
      <w:r w:rsidRPr="007A5455">
        <w:rPr>
          <w:sz w:val="20"/>
          <w:szCs w:val="20"/>
        </w:rPr>
        <w:t>scolaire</w:t>
      </w:r>
      <w:proofErr w:type="spellEnd"/>
      <w:r w:rsidRPr="007A5455">
        <w:rPr>
          <w:sz w:val="20"/>
          <w:szCs w:val="20"/>
        </w:rPr>
        <w:t xml:space="preserve"> francophone de la </w:t>
      </w:r>
      <w:proofErr w:type="spellStart"/>
      <w:r w:rsidRPr="007A5455">
        <w:rPr>
          <w:sz w:val="20"/>
          <w:szCs w:val="20"/>
        </w:rPr>
        <w:t>Colombie-Britannique</w:t>
      </w:r>
      <w:proofErr w:type="spellEnd"/>
      <w:r w:rsidRPr="007A5455">
        <w:rPr>
          <w:sz w:val="20"/>
          <w:szCs w:val="20"/>
        </w:rPr>
        <w:t xml:space="preserve">, is directed to file with the Court a notice of discontinuance of the taxation, failing which the respondents shall have 30 days to serve and file a response to the notice of taxation and bill of costs. </w:t>
      </w:r>
    </w:p>
    <w:p w:rsidR="00E93813" w:rsidRPr="007A5455" w:rsidRDefault="00E93813" w:rsidP="00E93813">
      <w:pPr>
        <w:tabs>
          <w:tab w:val="left" w:pos="-1440"/>
          <w:tab w:val="left" w:pos="-720"/>
        </w:tabs>
        <w:jc w:val="both"/>
        <w:rPr>
          <w:sz w:val="20"/>
          <w:szCs w:val="20"/>
          <w:lang w:val="fr-FR"/>
        </w:rPr>
      </w:pPr>
    </w:p>
    <w:p w:rsidR="00E93813" w:rsidRPr="007A5455" w:rsidRDefault="001F68BE" w:rsidP="00E93813">
      <w:pPr>
        <w:tabs>
          <w:tab w:val="left" w:pos="-1440"/>
          <w:tab w:val="left" w:pos="-720"/>
        </w:tabs>
        <w:jc w:val="both"/>
        <w:rPr>
          <w:sz w:val="20"/>
          <w:szCs w:val="20"/>
          <w:lang w:val="fr-CA"/>
        </w:rPr>
      </w:pPr>
      <w:r>
        <w:rPr>
          <w:sz w:val="20"/>
          <w:szCs w:val="20"/>
          <w:lang w:val="fr-CA"/>
        </w:rPr>
        <w:pict>
          <v:rect id="_x0000_i1067" style="width:2in;height:1pt" o:hrpct="0" o:hralign="center" o:hrstd="t" o:hrnoshade="t" o:hr="t" fillcolor="black [3213]" stroked="f"/>
        </w:pict>
      </w:r>
    </w:p>
    <w:p w:rsidR="001C1021" w:rsidRPr="007A5455" w:rsidRDefault="001C1021" w:rsidP="0010587F">
      <w:pPr>
        <w:tabs>
          <w:tab w:val="left" w:pos="-1440"/>
          <w:tab w:val="left" w:pos="-720"/>
        </w:tabs>
        <w:jc w:val="both"/>
        <w:rPr>
          <w:sz w:val="20"/>
          <w:szCs w:val="20"/>
          <w:lang w:val="fr-CA"/>
        </w:rPr>
      </w:pPr>
    </w:p>
    <w:p w:rsidR="001C1021" w:rsidRPr="007A5455" w:rsidRDefault="001C1021" w:rsidP="0010587F">
      <w:pPr>
        <w:tabs>
          <w:tab w:val="left" w:pos="-1440"/>
          <w:tab w:val="left" w:pos="-720"/>
        </w:tabs>
        <w:jc w:val="both"/>
        <w:rPr>
          <w:sz w:val="20"/>
          <w:szCs w:val="20"/>
          <w:lang w:val="fr-CA"/>
        </w:rPr>
      </w:pPr>
    </w:p>
    <w:p w:rsidR="00890FEB" w:rsidRPr="007A5455" w:rsidRDefault="00890FEB" w:rsidP="00831CA9">
      <w:pPr>
        <w:jc w:val="both"/>
        <w:rPr>
          <w:sz w:val="20"/>
          <w:szCs w:val="20"/>
          <w:lang w:val="fr-CA"/>
        </w:rPr>
      </w:pPr>
    </w:p>
    <w:p w:rsidR="00831CA9" w:rsidRPr="007A5455" w:rsidRDefault="00831CA9" w:rsidP="00831CA9">
      <w:pPr>
        <w:jc w:val="both"/>
        <w:rPr>
          <w:sz w:val="20"/>
          <w:szCs w:val="20"/>
          <w:lang w:val="fr-CA"/>
        </w:rPr>
        <w:sectPr w:rsidR="00831CA9" w:rsidRPr="007A5455" w:rsidSect="00831CA9">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A5455" w:rsidTr="00EB2B90">
        <w:tc>
          <w:tcPr>
            <w:tcW w:w="4200" w:type="dxa"/>
            <w:shd w:val="clear" w:color="auto" w:fill="auto"/>
            <w:tcMar>
              <w:left w:w="0" w:type="dxa"/>
              <w:right w:w="0" w:type="dxa"/>
            </w:tcMar>
          </w:tcPr>
          <w:p w:rsidR="00F40249" w:rsidRPr="007A5455" w:rsidRDefault="00F40249" w:rsidP="00EB2B90">
            <w:pPr>
              <w:rPr>
                <w:b/>
                <w:szCs w:val="24"/>
              </w:rPr>
            </w:pPr>
            <w:r w:rsidRPr="007A5455">
              <w:rPr>
                <w:b/>
                <w:szCs w:val="24"/>
              </w:rPr>
              <w:lastRenderedPageBreak/>
              <w:t>NOTICES OF APPEAL FILED SINCE LAST ISSUE</w:t>
            </w:r>
          </w:p>
        </w:tc>
        <w:tc>
          <w:tcPr>
            <w:tcW w:w="1200" w:type="dxa"/>
            <w:shd w:val="clear" w:color="auto" w:fill="auto"/>
            <w:tcMar>
              <w:left w:w="0" w:type="dxa"/>
              <w:right w:w="0" w:type="dxa"/>
            </w:tcMar>
          </w:tcPr>
          <w:p w:rsidR="00F40249" w:rsidRPr="007A5455" w:rsidRDefault="00F40249" w:rsidP="00F40249">
            <w:pPr>
              <w:jc w:val="center"/>
              <w:rPr>
                <w:szCs w:val="24"/>
              </w:rPr>
            </w:pPr>
          </w:p>
          <w:p w:rsidR="00F33CCE" w:rsidRPr="007A5455" w:rsidRDefault="00F33CCE" w:rsidP="00F40249">
            <w:pPr>
              <w:jc w:val="center"/>
              <w:rPr>
                <w:szCs w:val="24"/>
              </w:rPr>
            </w:pPr>
          </w:p>
          <w:p w:rsidR="00F33CCE" w:rsidRPr="007A5455" w:rsidRDefault="00F33CCE" w:rsidP="00F40249">
            <w:pPr>
              <w:jc w:val="center"/>
              <w:rPr>
                <w:szCs w:val="24"/>
              </w:rPr>
            </w:pPr>
          </w:p>
        </w:tc>
        <w:tc>
          <w:tcPr>
            <w:tcW w:w="4230" w:type="dxa"/>
            <w:shd w:val="clear" w:color="auto" w:fill="auto"/>
            <w:tcMar>
              <w:left w:w="0" w:type="dxa"/>
              <w:right w:w="0" w:type="dxa"/>
            </w:tcMar>
          </w:tcPr>
          <w:p w:rsidR="00F40249" w:rsidRPr="007A5455" w:rsidRDefault="00F40249" w:rsidP="00EB2B90">
            <w:pPr>
              <w:rPr>
                <w:b/>
                <w:szCs w:val="24"/>
                <w:lang w:val="fr-CA"/>
              </w:rPr>
            </w:pPr>
            <w:r w:rsidRPr="007A5455">
              <w:rPr>
                <w:b/>
                <w:szCs w:val="24"/>
                <w:lang w:val="fr-CA"/>
              </w:rPr>
              <w:t>AVIS D’APPEL DÉPOSÉS DEPUIS LA DERNIÈRE PARUTION</w:t>
            </w:r>
          </w:p>
        </w:tc>
      </w:tr>
    </w:tbl>
    <w:p w:rsidR="00F40249" w:rsidRPr="007A5455"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A5455" w:rsidTr="005F1ED8">
        <w:trPr>
          <w:cantSplit/>
        </w:trPr>
        <w:tc>
          <w:tcPr>
            <w:tcW w:w="2206" w:type="pct"/>
            <w:tcMar>
              <w:left w:w="0" w:type="dxa"/>
              <w:right w:w="0" w:type="dxa"/>
            </w:tcMar>
          </w:tcPr>
          <w:p w:rsidR="00456B08" w:rsidRPr="007A5455" w:rsidRDefault="00456B08" w:rsidP="00456B08">
            <w:pPr>
              <w:rPr>
                <w:sz w:val="20"/>
                <w:szCs w:val="20"/>
              </w:rPr>
            </w:pPr>
            <w:r w:rsidRPr="007A5455">
              <w:rPr>
                <w:sz w:val="20"/>
                <w:szCs w:val="20"/>
              </w:rPr>
              <w:t>03.12.2015</w:t>
            </w:r>
          </w:p>
          <w:p w:rsidR="00456B08" w:rsidRPr="007A5455" w:rsidRDefault="00456B08" w:rsidP="00456B08">
            <w:pPr>
              <w:rPr>
                <w:sz w:val="20"/>
                <w:szCs w:val="20"/>
              </w:rPr>
            </w:pPr>
          </w:p>
          <w:p w:rsidR="00456B08" w:rsidRPr="007A5455" w:rsidRDefault="00456B08" w:rsidP="00456B08">
            <w:pPr>
              <w:rPr>
                <w:b/>
                <w:sz w:val="20"/>
                <w:szCs w:val="20"/>
              </w:rPr>
            </w:pPr>
            <w:r w:rsidRPr="007A5455">
              <w:rPr>
                <w:b/>
                <w:sz w:val="20"/>
                <w:szCs w:val="20"/>
              </w:rPr>
              <w:t>Anita Endean, as representative plaintiff</w:t>
            </w:r>
          </w:p>
          <w:p w:rsidR="00456B08" w:rsidRPr="007A5455" w:rsidRDefault="00456B08" w:rsidP="00456B08">
            <w:pPr>
              <w:rPr>
                <w:b/>
                <w:sz w:val="20"/>
                <w:szCs w:val="20"/>
              </w:rPr>
            </w:pPr>
          </w:p>
          <w:p w:rsidR="00456B08" w:rsidRPr="007A5455" w:rsidRDefault="00456B08" w:rsidP="00456B08">
            <w:pPr>
              <w:rPr>
                <w:b/>
                <w:sz w:val="20"/>
                <w:szCs w:val="20"/>
              </w:rPr>
            </w:pPr>
            <w:r w:rsidRPr="007A5455">
              <w:rPr>
                <w:b/>
                <w:sz w:val="20"/>
                <w:szCs w:val="20"/>
              </w:rPr>
              <w:tab/>
              <w:t>v. (35843)</w:t>
            </w:r>
          </w:p>
          <w:p w:rsidR="00456B08" w:rsidRPr="007A5455" w:rsidRDefault="00456B08" w:rsidP="00456B08">
            <w:pPr>
              <w:rPr>
                <w:b/>
                <w:sz w:val="20"/>
                <w:szCs w:val="20"/>
              </w:rPr>
            </w:pPr>
          </w:p>
          <w:p w:rsidR="00456B08" w:rsidRPr="007A5455" w:rsidRDefault="00456B08" w:rsidP="00456B08">
            <w:pPr>
              <w:rPr>
                <w:b/>
                <w:sz w:val="20"/>
                <w:szCs w:val="20"/>
              </w:rPr>
            </w:pPr>
            <w:r w:rsidRPr="007A5455">
              <w:rPr>
                <w:b/>
                <w:sz w:val="20"/>
                <w:szCs w:val="20"/>
              </w:rPr>
              <w:t>Her Majesty the Queen in Right of the Province of British Columbia et al. (B.C.)</w:t>
            </w:r>
          </w:p>
          <w:p w:rsidR="00456B08" w:rsidRPr="007A5455" w:rsidRDefault="00456B08" w:rsidP="00456B08">
            <w:pPr>
              <w:rPr>
                <w:sz w:val="20"/>
                <w:szCs w:val="20"/>
              </w:rPr>
            </w:pPr>
          </w:p>
          <w:p w:rsidR="00456B08" w:rsidRPr="007A5455" w:rsidRDefault="00456B08" w:rsidP="00456B08">
            <w:pPr>
              <w:rPr>
                <w:sz w:val="20"/>
                <w:szCs w:val="20"/>
              </w:rPr>
            </w:pPr>
            <w:r w:rsidRPr="007A5455">
              <w:rPr>
                <w:sz w:val="20"/>
                <w:szCs w:val="20"/>
              </w:rPr>
              <w:t>(By Leave)</w:t>
            </w:r>
          </w:p>
          <w:p w:rsidR="00456B08" w:rsidRPr="007A5455" w:rsidRDefault="00456B08" w:rsidP="00456B08">
            <w:pPr>
              <w:rPr>
                <w:sz w:val="20"/>
                <w:szCs w:val="20"/>
              </w:rPr>
            </w:pPr>
          </w:p>
          <w:p w:rsidR="00456B08" w:rsidRPr="007A5455" w:rsidRDefault="001F68BE" w:rsidP="00456B08">
            <w:pPr>
              <w:rPr>
                <w:sz w:val="20"/>
                <w:szCs w:val="20"/>
              </w:rPr>
            </w:pPr>
            <w:r>
              <w:rPr>
                <w:sz w:val="20"/>
                <w:szCs w:val="20"/>
                <w:lang w:val="fr-CA"/>
              </w:rPr>
              <w:pict>
                <v:rect id="_x0000_i1070" style="width:106.1pt;height:1pt" o:hrpct="500" o:hralign="center" o:hrstd="t" o:hrnoshade="t" o:hr="t" fillcolor="black [3213]" stroked="f"/>
              </w:pict>
            </w:r>
          </w:p>
          <w:p w:rsidR="0086340B" w:rsidRPr="007A5455" w:rsidRDefault="0086340B" w:rsidP="00135F0C">
            <w:pPr>
              <w:rPr>
                <w:sz w:val="20"/>
                <w:szCs w:val="20"/>
                <w:lang w:val="fr-CA"/>
              </w:rPr>
            </w:pPr>
          </w:p>
        </w:tc>
        <w:tc>
          <w:tcPr>
            <w:tcW w:w="588" w:type="pct"/>
          </w:tcPr>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p w:rsidR="0086340B" w:rsidRPr="007A5455" w:rsidRDefault="0086340B" w:rsidP="005F1ED8">
            <w:pPr>
              <w:jc w:val="center"/>
              <w:rPr>
                <w:sz w:val="20"/>
                <w:szCs w:val="20"/>
              </w:rPr>
            </w:pPr>
          </w:p>
        </w:tc>
        <w:tc>
          <w:tcPr>
            <w:tcW w:w="2206" w:type="pct"/>
          </w:tcPr>
          <w:p w:rsidR="00456B08" w:rsidRPr="007A5455" w:rsidRDefault="00456B08" w:rsidP="00456B08">
            <w:pPr>
              <w:rPr>
                <w:sz w:val="20"/>
                <w:szCs w:val="20"/>
              </w:rPr>
            </w:pPr>
            <w:r w:rsidRPr="007A5455">
              <w:rPr>
                <w:sz w:val="20"/>
                <w:szCs w:val="20"/>
              </w:rPr>
              <w:t>26.11.2015</w:t>
            </w:r>
          </w:p>
          <w:p w:rsidR="00456B08" w:rsidRPr="007A5455" w:rsidRDefault="00456B08" w:rsidP="00456B08">
            <w:pPr>
              <w:rPr>
                <w:sz w:val="20"/>
                <w:szCs w:val="20"/>
              </w:rPr>
            </w:pPr>
          </w:p>
          <w:p w:rsidR="00456B08" w:rsidRPr="007A5455" w:rsidRDefault="00456B08" w:rsidP="00456B08">
            <w:pPr>
              <w:rPr>
                <w:b/>
                <w:sz w:val="20"/>
                <w:szCs w:val="20"/>
              </w:rPr>
            </w:pPr>
            <w:proofErr w:type="spellStart"/>
            <w:r w:rsidRPr="007A5455">
              <w:rPr>
                <w:b/>
                <w:sz w:val="20"/>
                <w:szCs w:val="20"/>
              </w:rPr>
              <w:t>Musqueam</w:t>
            </w:r>
            <w:proofErr w:type="spellEnd"/>
            <w:r w:rsidRPr="007A5455">
              <w:rPr>
                <w:b/>
                <w:sz w:val="20"/>
                <w:szCs w:val="20"/>
              </w:rPr>
              <w:t xml:space="preserve"> Indian Band</w:t>
            </w:r>
          </w:p>
          <w:p w:rsidR="00456B08" w:rsidRPr="007A5455" w:rsidRDefault="00456B08" w:rsidP="00456B08">
            <w:pPr>
              <w:tabs>
                <w:tab w:val="left" w:pos="-1440"/>
                <w:tab w:val="left" w:pos="-720"/>
              </w:tabs>
              <w:rPr>
                <w:b/>
                <w:sz w:val="20"/>
                <w:szCs w:val="20"/>
                <w:lang w:val="fr-CA"/>
              </w:rPr>
            </w:pPr>
          </w:p>
          <w:p w:rsidR="00456B08" w:rsidRPr="007A5455" w:rsidRDefault="00456B08" w:rsidP="00456B08">
            <w:pPr>
              <w:tabs>
                <w:tab w:val="left" w:pos="-1440"/>
                <w:tab w:val="left" w:pos="-720"/>
              </w:tabs>
              <w:rPr>
                <w:b/>
                <w:sz w:val="20"/>
                <w:szCs w:val="20"/>
                <w:lang w:val="fr-CA"/>
              </w:rPr>
            </w:pPr>
            <w:r w:rsidRPr="007A5455">
              <w:rPr>
                <w:b/>
                <w:sz w:val="20"/>
                <w:szCs w:val="20"/>
                <w:lang w:val="fr-CA"/>
              </w:rPr>
              <w:tab/>
              <w:t>v. (36478)</w:t>
            </w:r>
          </w:p>
          <w:p w:rsidR="00456B08" w:rsidRPr="007A5455" w:rsidRDefault="00456B08" w:rsidP="00456B08">
            <w:pPr>
              <w:tabs>
                <w:tab w:val="left" w:pos="-1440"/>
                <w:tab w:val="left" w:pos="-720"/>
              </w:tabs>
              <w:rPr>
                <w:b/>
                <w:sz w:val="20"/>
                <w:szCs w:val="20"/>
                <w:lang w:val="fr-CA"/>
              </w:rPr>
            </w:pPr>
          </w:p>
          <w:p w:rsidR="00456B08" w:rsidRPr="007A5455" w:rsidRDefault="00456B08" w:rsidP="00456B08">
            <w:pPr>
              <w:tabs>
                <w:tab w:val="left" w:pos="-1440"/>
                <w:tab w:val="left" w:pos="-720"/>
              </w:tabs>
              <w:rPr>
                <w:b/>
                <w:sz w:val="20"/>
                <w:szCs w:val="20"/>
              </w:rPr>
            </w:pPr>
            <w:proofErr w:type="spellStart"/>
            <w:r w:rsidRPr="007A5455">
              <w:rPr>
                <w:b/>
                <w:sz w:val="20"/>
                <w:szCs w:val="20"/>
                <w:lang w:val="fr-CA"/>
              </w:rPr>
              <w:t>Musqueam</w:t>
            </w:r>
            <w:proofErr w:type="spellEnd"/>
            <w:r w:rsidRPr="007A5455">
              <w:rPr>
                <w:b/>
                <w:sz w:val="20"/>
                <w:szCs w:val="20"/>
                <w:lang w:val="fr-CA"/>
              </w:rPr>
              <w:t xml:space="preserve"> </w:t>
            </w:r>
            <w:proofErr w:type="spellStart"/>
            <w:r w:rsidRPr="007A5455">
              <w:rPr>
                <w:b/>
                <w:sz w:val="20"/>
                <w:szCs w:val="20"/>
                <w:lang w:val="fr-CA"/>
              </w:rPr>
              <w:t>Indian</w:t>
            </w:r>
            <w:proofErr w:type="spellEnd"/>
            <w:r w:rsidRPr="007A5455">
              <w:rPr>
                <w:b/>
                <w:sz w:val="20"/>
                <w:szCs w:val="20"/>
                <w:lang w:val="fr-CA"/>
              </w:rPr>
              <w:t xml:space="preserve"> Band </w:t>
            </w:r>
            <w:proofErr w:type="spellStart"/>
            <w:r w:rsidRPr="007A5455">
              <w:rPr>
                <w:b/>
                <w:sz w:val="20"/>
                <w:szCs w:val="20"/>
                <w:lang w:val="fr-CA"/>
              </w:rPr>
              <w:t>Board</w:t>
            </w:r>
            <w:proofErr w:type="spellEnd"/>
            <w:r w:rsidRPr="007A5455">
              <w:rPr>
                <w:b/>
                <w:sz w:val="20"/>
                <w:szCs w:val="20"/>
                <w:lang w:val="fr-CA"/>
              </w:rPr>
              <w:t xml:space="preserve"> of </w:t>
            </w:r>
            <w:proofErr w:type="spellStart"/>
            <w:r w:rsidRPr="007A5455">
              <w:rPr>
                <w:b/>
                <w:sz w:val="20"/>
                <w:szCs w:val="20"/>
                <w:lang w:val="fr-CA"/>
              </w:rPr>
              <w:t>Review</w:t>
            </w:r>
            <w:proofErr w:type="spellEnd"/>
            <w:r w:rsidRPr="007A5455">
              <w:rPr>
                <w:b/>
                <w:sz w:val="20"/>
                <w:szCs w:val="20"/>
                <w:lang w:val="fr-CA"/>
              </w:rPr>
              <w:t xml:space="preserve"> et al.</w:t>
            </w:r>
            <w:r w:rsidRPr="007A5455">
              <w:rPr>
                <w:sz w:val="20"/>
                <w:szCs w:val="20"/>
                <w:lang w:val="fr-CA"/>
              </w:rPr>
              <w:t xml:space="preserve"> </w:t>
            </w:r>
            <w:r w:rsidRPr="007A5455">
              <w:rPr>
                <w:b/>
                <w:sz w:val="20"/>
                <w:szCs w:val="20"/>
              </w:rPr>
              <w:t>(B.C.)</w:t>
            </w:r>
          </w:p>
          <w:p w:rsidR="00456B08" w:rsidRPr="007A5455" w:rsidRDefault="00456B08" w:rsidP="00456B08">
            <w:pPr>
              <w:tabs>
                <w:tab w:val="left" w:pos="-1440"/>
                <w:tab w:val="left" w:pos="-720"/>
              </w:tabs>
              <w:rPr>
                <w:sz w:val="20"/>
                <w:szCs w:val="20"/>
              </w:rPr>
            </w:pPr>
          </w:p>
          <w:p w:rsidR="00456B08" w:rsidRPr="007A5455" w:rsidRDefault="00456B08" w:rsidP="00456B08">
            <w:pPr>
              <w:rPr>
                <w:sz w:val="20"/>
                <w:szCs w:val="20"/>
              </w:rPr>
            </w:pPr>
            <w:r w:rsidRPr="007A5455">
              <w:rPr>
                <w:sz w:val="20"/>
                <w:szCs w:val="20"/>
              </w:rPr>
              <w:t>(By Leave)</w:t>
            </w:r>
          </w:p>
          <w:p w:rsidR="00881E53" w:rsidRPr="007A5455" w:rsidRDefault="00881E53" w:rsidP="00456B08">
            <w:pPr>
              <w:rPr>
                <w:sz w:val="20"/>
                <w:szCs w:val="20"/>
              </w:rPr>
            </w:pPr>
          </w:p>
          <w:p w:rsidR="0086340B" w:rsidRPr="007A5455" w:rsidRDefault="001F68BE" w:rsidP="00456B08">
            <w:pPr>
              <w:rPr>
                <w:sz w:val="20"/>
                <w:szCs w:val="20"/>
              </w:rPr>
            </w:pPr>
            <w:r>
              <w:rPr>
                <w:sz w:val="20"/>
                <w:szCs w:val="20"/>
                <w:lang w:val="fr-CA"/>
              </w:rPr>
              <w:pict>
                <v:rect id="_x0000_i1071" style="width:108pt;height:1pt" o:hrpct="0" o:hralign="center" o:hrstd="t" o:hrnoshade="t" o:hr="t" fillcolor="black [3213]" stroked="f"/>
              </w:pict>
            </w:r>
          </w:p>
        </w:tc>
      </w:tr>
    </w:tbl>
    <w:p w:rsidR="00F40249" w:rsidRPr="007A5455" w:rsidRDefault="00F40249" w:rsidP="00F40249">
      <w:pPr>
        <w:rPr>
          <w:sz w:val="20"/>
          <w:szCs w:val="20"/>
        </w:rPr>
      </w:pPr>
    </w:p>
    <w:p w:rsidR="0010587F" w:rsidRPr="007A5455" w:rsidRDefault="0010587F" w:rsidP="00F40249">
      <w:pPr>
        <w:rPr>
          <w:sz w:val="20"/>
          <w:szCs w:val="20"/>
        </w:rPr>
      </w:pPr>
    </w:p>
    <w:p w:rsidR="00EB2B90" w:rsidRPr="007A5455" w:rsidRDefault="00EB2B90" w:rsidP="00F40249">
      <w:pPr>
        <w:rPr>
          <w:sz w:val="20"/>
          <w:szCs w:val="20"/>
        </w:rPr>
        <w:sectPr w:rsidR="00EB2B90" w:rsidRPr="007A5455" w:rsidSect="00F40249">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7A5455" w:rsidTr="0085476B">
        <w:tc>
          <w:tcPr>
            <w:tcW w:w="4230" w:type="dxa"/>
            <w:shd w:val="clear" w:color="auto" w:fill="auto"/>
            <w:tcMar>
              <w:left w:w="0" w:type="dxa"/>
              <w:right w:w="0" w:type="dxa"/>
            </w:tcMar>
          </w:tcPr>
          <w:p w:rsidR="00802863" w:rsidRPr="007A5455" w:rsidRDefault="00802863" w:rsidP="00697C62">
            <w:pPr>
              <w:rPr>
                <w:b/>
                <w:szCs w:val="24"/>
              </w:rPr>
            </w:pPr>
            <w:r w:rsidRPr="007A5455">
              <w:rPr>
                <w:b/>
                <w:szCs w:val="24"/>
              </w:rPr>
              <w:lastRenderedPageBreak/>
              <w:t>NOTICES OF DISCONTINUANCE FILED SINCE LAST ISSUE</w:t>
            </w:r>
          </w:p>
        </w:tc>
        <w:tc>
          <w:tcPr>
            <w:tcW w:w="1080" w:type="dxa"/>
            <w:shd w:val="clear" w:color="auto" w:fill="auto"/>
            <w:tcMar>
              <w:left w:w="0" w:type="dxa"/>
              <w:right w:w="0" w:type="dxa"/>
            </w:tcMar>
          </w:tcPr>
          <w:p w:rsidR="00802863" w:rsidRPr="007A5455" w:rsidRDefault="00802863" w:rsidP="00802863">
            <w:pPr>
              <w:jc w:val="center"/>
              <w:rPr>
                <w:b/>
                <w:szCs w:val="24"/>
              </w:rPr>
            </w:pPr>
          </w:p>
          <w:p w:rsidR="00802863" w:rsidRPr="007A5455" w:rsidRDefault="00802863" w:rsidP="00802863">
            <w:pPr>
              <w:jc w:val="center"/>
              <w:rPr>
                <w:b/>
                <w:szCs w:val="24"/>
              </w:rPr>
            </w:pPr>
          </w:p>
          <w:p w:rsidR="00802863" w:rsidRPr="007A5455" w:rsidRDefault="00802863" w:rsidP="00802863">
            <w:pPr>
              <w:jc w:val="center"/>
              <w:rPr>
                <w:b/>
                <w:szCs w:val="24"/>
              </w:rPr>
            </w:pPr>
          </w:p>
        </w:tc>
        <w:tc>
          <w:tcPr>
            <w:tcW w:w="4410" w:type="dxa"/>
            <w:shd w:val="clear" w:color="auto" w:fill="auto"/>
            <w:tcMar>
              <w:left w:w="0" w:type="dxa"/>
              <w:right w:w="0" w:type="dxa"/>
            </w:tcMar>
          </w:tcPr>
          <w:p w:rsidR="00802863" w:rsidRPr="007A5455" w:rsidRDefault="00802863" w:rsidP="00697C62">
            <w:pPr>
              <w:rPr>
                <w:b/>
                <w:szCs w:val="24"/>
                <w:lang w:val="fr-CA"/>
              </w:rPr>
            </w:pPr>
            <w:r w:rsidRPr="007A5455">
              <w:rPr>
                <w:b/>
                <w:szCs w:val="24"/>
                <w:lang w:val="fr-CA"/>
              </w:rPr>
              <w:t>AVIS DE DÉSISTEMENT DÉPOSÉS DEPUIS LA DERNIÈRE PARUTION</w:t>
            </w:r>
          </w:p>
        </w:tc>
      </w:tr>
    </w:tbl>
    <w:p w:rsidR="00802863" w:rsidRPr="007A5455"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7A5455" w:rsidTr="00027F5B">
        <w:trPr>
          <w:cantSplit/>
        </w:trPr>
        <w:tc>
          <w:tcPr>
            <w:tcW w:w="4251" w:type="dxa"/>
            <w:shd w:val="clear" w:color="auto" w:fill="auto"/>
          </w:tcPr>
          <w:p w:rsidR="00C1697B" w:rsidRPr="007A5455" w:rsidRDefault="003F4505" w:rsidP="00C1697B">
            <w:pPr>
              <w:rPr>
                <w:sz w:val="20"/>
                <w:szCs w:val="20"/>
              </w:rPr>
            </w:pPr>
            <w:r w:rsidRPr="007A5455">
              <w:rPr>
                <w:sz w:val="20"/>
                <w:szCs w:val="20"/>
              </w:rPr>
              <w:t>0</w:t>
            </w:r>
            <w:r w:rsidR="00C1697B" w:rsidRPr="007A5455">
              <w:rPr>
                <w:sz w:val="20"/>
                <w:szCs w:val="20"/>
              </w:rPr>
              <w:t>7.</w:t>
            </w:r>
            <w:r w:rsidRPr="007A5455">
              <w:rPr>
                <w:sz w:val="20"/>
                <w:szCs w:val="20"/>
              </w:rPr>
              <w:t>12</w:t>
            </w:r>
            <w:r w:rsidR="00C1697B" w:rsidRPr="007A5455">
              <w:rPr>
                <w:sz w:val="20"/>
                <w:szCs w:val="20"/>
              </w:rPr>
              <w:t>.201</w:t>
            </w:r>
            <w:r w:rsidRPr="007A5455">
              <w:rPr>
                <w:sz w:val="20"/>
                <w:szCs w:val="20"/>
              </w:rPr>
              <w:t>5</w:t>
            </w:r>
          </w:p>
          <w:p w:rsidR="00C1697B" w:rsidRPr="007A5455" w:rsidRDefault="00C1697B" w:rsidP="00C1697B">
            <w:pPr>
              <w:rPr>
                <w:sz w:val="20"/>
                <w:szCs w:val="20"/>
              </w:rPr>
            </w:pPr>
          </w:p>
          <w:p w:rsidR="00C1697B" w:rsidRPr="007A5455" w:rsidRDefault="003F4505" w:rsidP="00C1697B">
            <w:pPr>
              <w:rPr>
                <w:b/>
                <w:sz w:val="20"/>
                <w:szCs w:val="20"/>
              </w:rPr>
            </w:pPr>
            <w:r w:rsidRPr="007A5455">
              <w:rPr>
                <w:b/>
                <w:sz w:val="20"/>
                <w:szCs w:val="20"/>
              </w:rPr>
              <w:t xml:space="preserve">Dennis L. </w:t>
            </w:r>
            <w:proofErr w:type="spellStart"/>
            <w:r w:rsidRPr="007A5455">
              <w:rPr>
                <w:b/>
                <w:sz w:val="20"/>
                <w:szCs w:val="20"/>
              </w:rPr>
              <w:t>Modry</w:t>
            </w:r>
            <w:proofErr w:type="spellEnd"/>
            <w:r w:rsidRPr="007A5455">
              <w:rPr>
                <w:b/>
                <w:sz w:val="20"/>
                <w:szCs w:val="20"/>
              </w:rPr>
              <w:t xml:space="preserve"> et al.</w:t>
            </w:r>
          </w:p>
          <w:p w:rsidR="00C1697B" w:rsidRPr="007A5455" w:rsidRDefault="00C1697B" w:rsidP="00C1697B">
            <w:pPr>
              <w:rPr>
                <w:b/>
                <w:sz w:val="20"/>
                <w:szCs w:val="20"/>
              </w:rPr>
            </w:pPr>
          </w:p>
          <w:p w:rsidR="00C1697B" w:rsidRPr="007A5455" w:rsidRDefault="00C1697B" w:rsidP="00C1697B">
            <w:pPr>
              <w:rPr>
                <w:b/>
                <w:sz w:val="20"/>
                <w:szCs w:val="20"/>
              </w:rPr>
            </w:pPr>
            <w:r w:rsidRPr="007A5455">
              <w:rPr>
                <w:b/>
                <w:sz w:val="20"/>
                <w:szCs w:val="20"/>
              </w:rPr>
              <w:tab/>
              <w:t>v. (3</w:t>
            </w:r>
            <w:r w:rsidR="003F4505" w:rsidRPr="007A5455">
              <w:rPr>
                <w:b/>
                <w:sz w:val="20"/>
                <w:szCs w:val="20"/>
              </w:rPr>
              <w:t>6624</w:t>
            </w:r>
            <w:r w:rsidRPr="007A5455">
              <w:rPr>
                <w:b/>
                <w:sz w:val="20"/>
                <w:szCs w:val="20"/>
              </w:rPr>
              <w:t>)</w:t>
            </w:r>
          </w:p>
          <w:p w:rsidR="00C1697B" w:rsidRPr="007A5455" w:rsidRDefault="00C1697B" w:rsidP="00C1697B">
            <w:pPr>
              <w:rPr>
                <w:b/>
                <w:sz w:val="20"/>
                <w:szCs w:val="20"/>
              </w:rPr>
            </w:pPr>
          </w:p>
          <w:p w:rsidR="00C1697B" w:rsidRPr="007A5455" w:rsidRDefault="003F4505" w:rsidP="00C1697B">
            <w:pPr>
              <w:rPr>
                <w:b/>
                <w:sz w:val="20"/>
                <w:szCs w:val="20"/>
              </w:rPr>
            </w:pPr>
            <w:r w:rsidRPr="007A5455">
              <w:rPr>
                <w:b/>
                <w:sz w:val="20"/>
                <w:szCs w:val="20"/>
              </w:rPr>
              <w:t>Alberta Health Services et al.</w:t>
            </w:r>
            <w:r w:rsidR="00C1697B" w:rsidRPr="007A5455">
              <w:rPr>
                <w:b/>
                <w:sz w:val="20"/>
                <w:szCs w:val="20"/>
              </w:rPr>
              <w:t xml:space="preserve"> (</w:t>
            </w:r>
            <w:r w:rsidRPr="007A5455">
              <w:rPr>
                <w:b/>
                <w:sz w:val="20"/>
                <w:szCs w:val="20"/>
              </w:rPr>
              <w:t>Alta</w:t>
            </w:r>
            <w:r w:rsidR="00C1697B" w:rsidRPr="007A5455">
              <w:rPr>
                <w:b/>
                <w:sz w:val="20"/>
                <w:szCs w:val="20"/>
              </w:rPr>
              <w:t xml:space="preserve">.) </w:t>
            </w:r>
          </w:p>
          <w:p w:rsidR="00C1697B" w:rsidRPr="007A5455" w:rsidRDefault="00C1697B" w:rsidP="00C1697B">
            <w:pPr>
              <w:rPr>
                <w:sz w:val="20"/>
                <w:szCs w:val="20"/>
              </w:rPr>
            </w:pPr>
          </w:p>
          <w:p w:rsidR="00C1697B" w:rsidRPr="007A5455" w:rsidRDefault="00C1697B" w:rsidP="00C1697B">
            <w:pPr>
              <w:rPr>
                <w:sz w:val="20"/>
                <w:szCs w:val="20"/>
              </w:rPr>
            </w:pPr>
            <w:r w:rsidRPr="007A5455">
              <w:rPr>
                <w:sz w:val="20"/>
                <w:szCs w:val="20"/>
              </w:rPr>
              <w:t>(By Leave)</w:t>
            </w:r>
          </w:p>
          <w:p w:rsidR="00802863" w:rsidRPr="007A5455" w:rsidRDefault="00802863" w:rsidP="00697C62">
            <w:pPr>
              <w:rPr>
                <w:sz w:val="20"/>
                <w:szCs w:val="20"/>
              </w:rPr>
            </w:pPr>
          </w:p>
          <w:p w:rsidR="00802863" w:rsidRPr="007A5455" w:rsidRDefault="001F68BE" w:rsidP="00697C62">
            <w:pPr>
              <w:rPr>
                <w:sz w:val="20"/>
                <w:szCs w:val="20"/>
                <w:lang w:val="fr-CA"/>
              </w:rPr>
            </w:pPr>
            <w:r>
              <w:rPr>
                <w:sz w:val="20"/>
                <w:szCs w:val="20"/>
                <w:lang w:val="fr-CA"/>
              </w:rPr>
              <w:pict>
                <v:rect id="_x0000_i1074" style="width:108pt;height:1pt" o:hrpct="0" o:hralign="center" o:hrstd="t" o:hrnoshade="t" o:hr="t" fillcolor="black [3213]" stroked="f"/>
              </w:pict>
            </w:r>
          </w:p>
        </w:tc>
        <w:tc>
          <w:tcPr>
            <w:tcW w:w="1042" w:type="dxa"/>
            <w:shd w:val="clear" w:color="auto" w:fill="auto"/>
          </w:tcPr>
          <w:p w:rsidR="00802863" w:rsidRPr="007A5455" w:rsidRDefault="00802863"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p w:rsidR="003B3977" w:rsidRPr="007A5455" w:rsidRDefault="003B3977" w:rsidP="00802863">
            <w:pPr>
              <w:jc w:val="center"/>
              <w:rPr>
                <w:sz w:val="20"/>
                <w:szCs w:val="20"/>
                <w:lang w:val="fr-CA"/>
              </w:rPr>
            </w:pPr>
          </w:p>
        </w:tc>
        <w:tc>
          <w:tcPr>
            <w:tcW w:w="4326" w:type="dxa"/>
            <w:shd w:val="clear" w:color="auto" w:fill="auto"/>
          </w:tcPr>
          <w:p w:rsidR="00802863" w:rsidRPr="007A5455" w:rsidRDefault="00802863" w:rsidP="00802863">
            <w:pPr>
              <w:rPr>
                <w:sz w:val="20"/>
                <w:szCs w:val="20"/>
                <w:lang w:val="fr-CA"/>
              </w:rPr>
            </w:pPr>
          </w:p>
        </w:tc>
      </w:tr>
    </w:tbl>
    <w:p w:rsidR="00802863" w:rsidRPr="007A5455" w:rsidRDefault="00802863" w:rsidP="00802863">
      <w:pPr>
        <w:rPr>
          <w:sz w:val="20"/>
          <w:szCs w:val="20"/>
          <w:lang w:val="fr-CA"/>
        </w:rPr>
      </w:pPr>
    </w:p>
    <w:p w:rsidR="00D94028" w:rsidRPr="007A5455" w:rsidRDefault="00D94028" w:rsidP="00802863">
      <w:pPr>
        <w:rPr>
          <w:sz w:val="20"/>
          <w:szCs w:val="20"/>
          <w:lang w:val="fr-CA"/>
        </w:rPr>
      </w:pPr>
    </w:p>
    <w:p w:rsidR="00802863" w:rsidRPr="007A5455" w:rsidRDefault="00802863" w:rsidP="00802863">
      <w:pPr>
        <w:rPr>
          <w:sz w:val="20"/>
          <w:szCs w:val="20"/>
        </w:rPr>
      </w:pPr>
    </w:p>
    <w:p w:rsidR="00802863" w:rsidRPr="007A5455" w:rsidRDefault="00802863" w:rsidP="00831CA9">
      <w:pPr>
        <w:jc w:val="both"/>
        <w:rPr>
          <w:sz w:val="20"/>
          <w:szCs w:val="20"/>
        </w:rPr>
        <w:sectPr w:rsidR="00802863" w:rsidRPr="007A5455" w:rsidSect="00802863">
          <w:headerReference w:type="even" r:id="rId86"/>
          <w:headerReference w:type="default" r:id="rId87"/>
          <w:footerReference w:type="even" r:id="rId88"/>
          <w:footerReference w:type="default" r:id="rId89"/>
          <w:headerReference w:type="first" r:id="rId90"/>
          <w:footerReference w:type="first" r:id="rId9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A5455" w:rsidTr="0085476B">
        <w:trPr>
          <w:cantSplit/>
        </w:trPr>
        <w:tc>
          <w:tcPr>
            <w:tcW w:w="4410" w:type="dxa"/>
            <w:tcMar>
              <w:left w:w="0" w:type="dxa"/>
              <w:right w:w="0" w:type="dxa"/>
            </w:tcMar>
          </w:tcPr>
          <w:p w:rsidR="00C1697B" w:rsidRPr="007A5455" w:rsidRDefault="00732DB7" w:rsidP="00697C62">
            <w:pPr>
              <w:keepNext/>
              <w:keepLines/>
              <w:widowControl w:val="0"/>
              <w:jc w:val="both"/>
              <w:rPr>
                <w:b/>
                <w:szCs w:val="24"/>
              </w:rPr>
            </w:pPr>
            <w:r w:rsidRPr="007A5455">
              <w:rPr>
                <w:b/>
                <w:szCs w:val="24"/>
              </w:rPr>
              <w:lastRenderedPageBreak/>
              <w:t>APPEALS HEARD SINCE LAST ISSUE AND DISPOSITION</w:t>
            </w:r>
          </w:p>
          <w:p w:rsidR="00732DB7" w:rsidRPr="007A5455" w:rsidRDefault="00732DB7" w:rsidP="00C1697B">
            <w:pPr>
              <w:tabs>
                <w:tab w:val="left" w:pos="1116"/>
              </w:tabs>
              <w:rPr>
                <w:szCs w:val="24"/>
              </w:rPr>
            </w:pPr>
          </w:p>
        </w:tc>
        <w:tc>
          <w:tcPr>
            <w:tcW w:w="720" w:type="dxa"/>
            <w:tcMar>
              <w:left w:w="0" w:type="dxa"/>
              <w:right w:w="0" w:type="dxa"/>
            </w:tcMar>
          </w:tcPr>
          <w:p w:rsidR="00732DB7" w:rsidRPr="007A5455" w:rsidRDefault="00732DB7" w:rsidP="00732DB7">
            <w:pPr>
              <w:keepNext/>
              <w:keepLines/>
              <w:widowControl w:val="0"/>
              <w:jc w:val="center"/>
              <w:rPr>
                <w:b/>
                <w:szCs w:val="24"/>
              </w:rPr>
            </w:pPr>
          </w:p>
          <w:p w:rsidR="00732DB7" w:rsidRPr="007A5455" w:rsidRDefault="00732DB7" w:rsidP="00732DB7">
            <w:pPr>
              <w:keepNext/>
              <w:keepLines/>
              <w:widowControl w:val="0"/>
              <w:jc w:val="center"/>
              <w:rPr>
                <w:b/>
                <w:szCs w:val="24"/>
              </w:rPr>
            </w:pPr>
          </w:p>
          <w:p w:rsidR="00732DB7" w:rsidRPr="007A5455" w:rsidRDefault="00732DB7" w:rsidP="00732DB7">
            <w:pPr>
              <w:keepNext/>
              <w:keepLines/>
              <w:widowControl w:val="0"/>
              <w:jc w:val="center"/>
              <w:rPr>
                <w:b/>
                <w:szCs w:val="24"/>
              </w:rPr>
            </w:pPr>
          </w:p>
        </w:tc>
        <w:tc>
          <w:tcPr>
            <w:tcW w:w="4350" w:type="dxa"/>
            <w:tcMar>
              <w:left w:w="0" w:type="dxa"/>
              <w:right w:w="0" w:type="dxa"/>
            </w:tcMar>
          </w:tcPr>
          <w:p w:rsidR="00732DB7" w:rsidRPr="007A5455" w:rsidRDefault="00732DB7" w:rsidP="00697C62">
            <w:pPr>
              <w:keepNext/>
              <w:keepLines/>
              <w:widowControl w:val="0"/>
              <w:jc w:val="both"/>
              <w:rPr>
                <w:b/>
                <w:szCs w:val="24"/>
                <w:lang w:val="fr-CA"/>
              </w:rPr>
            </w:pPr>
            <w:r w:rsidRPr="007A5455">
              <w:rPr>
                <w:b/>
                <w:szCs w:val="24"/>
                <w:lang w:val="fr-CA"/>
              </w:rPr>
              <w:t>APPELS ENTENDUS DEPUIS LA DERNIÈRE PARUTION ET RÉSULTAT</w:t>
            </w:r>
          </w:p>
        </w:tc>
      </w:tr>
    </w:tbl>
    <w:p w:rsidR="00732DB7" w:rsidRPr="007A5455" w:rsidRDefault="00732DB7" w:rsidP="00732DB7">
      <w:pPr>
        <w:widowControl w:val="0"/>
        <w:rPr>
          <w:sz w:val="20"/>
          <w:szCs w:val="20"/>
          <w:lang w:val="fr-CA"/>
        </w:rPr>
      </w:pPr>
    </w:p>
    <w:p w:rsidR="007C47C2" w:rsidRPr="007A5455" w:rsidRDefault="007C47C2" w:rsidP="007C47C2">
      <w:pPr>
        <w:widowControl w:val="0"/>
        <w:rPr>
          <w:sz w:val="20"/>
          <w:szCs w:val="20"/>
          <w:lang w:val="fr-CA"/>
        </w:rPr>
      </w:pPr>
      <w:r w:rsidRPr="007A5455">
        <w:rPr>
          <w:sz w:val="20"/>
          <w:szCs w:val="20"/>
          <w:lang w:val="fr-CA"/>
        </w:rPr>
        <w:t>0</w:t>
      </w:r>
      <w:r w:rsidR="009E3D60" w:rsidRPr="007A5455">
        <w:rPr>
          <w:sz w:val="20"/>
          <w:szCs w:val="20"/>
          <w:lang w:val="fr-CA"/>
        </w:rPr>
        <w:t>8</w:t>
      </w:r>
      <w:r w:rsidRPr="007A5455">
        <w:rPr>
          <w:sz w:val="20"/>
          <w:szCs w:val="20"/>
          <w:lang w:val="fr-CA"/>
        </w:rPr>
        <w:t>.</w:t>
      </w:r>
      <w:r w:rsidR="009E3D60" w:rsidRPr="007A5455">
        <w:rPr>
          <w:sz w:val="20"/>
          <w:szCs w:val="20"/>
          <w:lang w:val="fr-CA"/>
        </w:rPr>
        <w:t>1</w:t>
      </w:r>
      <w:r w:rsidRPr="007A5455">
        <w:rPr>
          <w:sz w:val="20"/>
          <w:szCs w:val="20"/>
          <w:lang w:val="fr-CA"/>
        </w:rPr>
        <w:t>2.201</w:t>
      </w:r>
      <w:r w:rsidR="009E3D60" w:rsidRPr="007A5455">
        <w:rPr>
          <w:sz w:val="20"/>
          <w:szCs w:val="20"/>
          <w:lang w:val="fr-CA"/>
        </w:rPr>
        <w:t>5</w:t>
      </w:r>
    </w:p>
    <w:p w:rsidR="007C47C2" w:rsidRPr="007A5455" w:rsidRDefault="007C47C2" w:rsidP="007C47C2">
      <w:pPr>
        <w:widowControl w:val="0"/>
        <w:rPr>
          <w:sz w:val="20"/>
          <w:szCs w:val="20"/>
          <w:lang w:val="fr-CA"/>
        </w:rPr>
      </w:pPr>
    </w:p>
    <w:p w:rsidR="007C47C2" w:rsidRPr="007A5455" w:rsidRDefault="007C47C2" w:rsidP="007C47C2">
      <w:pPr>
        <w:widowControl w:val="0"/>
        <w:ind w:left="720" w:hanging="720"/>
        <w:rPr>
          <w:sz w:val="20"/>
          <w:szCs w:val="20"/>
          <w:u w:val="single"/>
          <w:lang w:val="fr-CA"/>
        </w:rPr>
      </w:pPr>
      <w:r w:rsidRPr="007A5455">
        <w:rPr>
          <w:sz w:val="20"/>
          <w:szCs w:val="20"/>
          <w:lang w:val="fr-CA"/>
        </w:rPr>
        <w:t xml:space="preserve">Coram: </w:t>
      </w:r>
      <w:r w:rsidRPr="007A5455">
        <w:rPr>
          <w:sz w:val="20"/>
          <w:szCs w:val="20"/>
          <w:lang w:val="fr-CA"/>
        </w:rPr>
        <w:tab/>
      </w:r>
      <w:r w:rsidRPr="007A5455">
        <w:rPr>
          <w:sz w:val="20"/>
          <w:szCs w:val="20"/>
          <w:u w:val="single"/>
          <w:lang w:val="fr-CA"/>
        </w:rPr>
        <w:t xml:space="preserve">La juge en chef </w:t>
      </w:r>
      <w:proofErr w:type="spellStart"/>
      <w:r w:rsidRPr="007A5455">
        <w:rPr>
          <w:sz w:val="20"/>
          <w:szCs w:val="20"/>
          <w:u w:val="single"/>
          <w:lang w:val="fr-CA"/>
        </w:rPr>
        <w:t>McLachlin</w:t>
      </w:r>
      <w:proofErr w:type="spellEnd"/>
      <w:r w:rsidRPr="007A5455">
        <w:rPr>
          <w:sz w:val="20"/>
          <w:szCs w:val="20"/>
          <w:u w:val="single"/>
          <w:lang w:val="fr-CA"/>
        </w:rPr>
        <w:t xml:space="preserve"> et les juges </w:t>
      </w:r>
      <w:r w:rsidR="009E3D60" w:rsidRPr="007A5455">
        <w:rPr>
          <w:sz w:val="20"/>
          <w:szCs w:val="20"/>
          <w:u w:val="single"/>
          <w:lang w:val="fr-CA"/>
        </w:rPr>
        <w:t>Abella</w:t>
      </w:r>
      <w:r w:rsidRPr="007A5455">
        <w:rPr>
          <w:sz w:val="20"/>
          <w:szCs w:val="20"/>
          <w:u w:val="single"/>
          <w:lang w:val="fr-CA"/>
        </w:rPr>
        <w:t xml:space="preserve">, </w:t>
      </w:r>
      <w:r w:rsidR="009E3D60" w:rsidRPr="007A5455">
        <w:rPr>
          <w:sz w:val="20"/>
          <w:szCs w:val="20"/>
          <w:u w:val="single"/>
          <w:lang w:val="fr-CA"/>
        </w:rPr>
        <w:t>Cromwell</w:t>
      </w:r>
      <w:r w:rsidRPr="007A5455">
        <w:rPr>
          <w:sz w:val="20"/>
          <w:szCs w:val="20"/>
          <w:u w:val="single"/>
          <w:lang w:val="fr-CA"/>
        </w:rPr>
        <w:t xml:space="preserve">, </w:t>
      </w:r>
      <w:proofErr w:type="spellStart"/>
      <w:r w:rsidR="009E3D60" w:rsidRPr="007A5455">
        <w:rPr>
          <w:sz w:val="20"/>
          <w:szCs w:val="20"/>
          <w:u w:val="single"/>
          <w:lang w:val="fr-CA"/>
        </w:rPr>
        <w:t>Moldaver</w:t>
      </w:r>
      <w:proofErr w:type="spellEnd"/>
      <w:r w:rsidRPr="007A5455">
        <w:rPr>
          <w:sz w:val="20"/>
          <w:szCs w:val="20"/>
          <w:u w:val="single"/>
          <w:lang w:val="fr-CA"/>
        </w:rPr>
        <w:t xml:space="preserve">, </w:t>
      </w:r>
      <w:proofErr w:type="spellStart"/>
      <w:r w:rsidR="009E3D60" w:rsidRPr="007A5455">
        <w:rPr>
          <w:sz w:val="20"/>
          <w:szCs w:val="20"/>
          <w:u w:val="single"/>
          <w:lang w:val="fr-CA"/>
        </w:rPr>
        <w:t>Karakatsanis</w:t>
      </w:r>
      <w:proofErr w:type="spellEnd"/>
      <w:r w:rsidRPr="007A5455">
        <w:rPr>
          <w:sz w:val="20"/>
          <w:szCs w:val="20"/>
          <w:u w:val="single"/>
          <w:lang w:val="fr-CA"/>
        </w:rPr>
        <w:t xml:space="preserve">, </w:t>
      </w:r>
      <w:r w:rsidR="009E3D60" w:rsidRPr="007A5455">
        <w:rPr>
          <w:sz w:val="20"/>
          <w:szCs w:val="20"/>
          <w:u w:val="single"/>
          <w:lang w:val="fr-CA"/>
        </w:rPr>
        <w:t xml:space="preserve">Wagner, Gascon, Côté </w:t>
      </w:r>
      <w:r w:rsidRPr="007A5455">
        <w:rPr>
          <w:sz w:val="20"/>
          <w:szCs w:val="20"/>
          <w:u w:val="single"/>
          <w:lang w:val="fr-CA"/>
        </w:rPr>
        <w:t xml:space="preserve">et </w:t>
      </w:r>
      <w:r w:rsidR="009E3D60" w:rsidRPr="007A5455">
        <w:rPr>
          <w:sz w:val="20"/>
          <w:szCs w:val="20"/>
          <w:u w:val="single"/>
          <w:lang w:val="fr-CA"/>
        </w:rPr>
        <w:t>Brown</w:t>
      </w:r>
    </w:p>
    <w:p w:rsidR="007C47C2" w:rsidRPr="007A5455"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A5455" w:rsidTr="0022676D">
        <w:tc>
          <w:tcPr>
            <w:tcW w:w="4380" w:type="dxa"/>
            <w:tcMar>
              <w:left w:w="0" w:type="dxa"/>
              <w:right w:w="0" w:type="dxa"/>
            </w:tcMar>
          </w:tcPr>
          <w:p w:rsidR="007C47C2" w:rsidRPr="007A5455" w:rsidRDefault="00DB4206" w:rsidP="0022676D">
            <w:pPr>
              <w:widowControl w:val="0"/>
              <w:rPr>
                <w:b/>
                <w:sz w:val="20"/>
                <w:szCs w:val="20"/>
                <w:lang w:val="fr-CA"/>
              </w:rPr>
            </w:pPr>
            <w:r w:rsidRPr="007A5455">
              <w:rPr>
                <w:b/>
                <w:sz w:val="20"/>
                <w:szCs w:val="20"/>
                <w:lang w:val="fr-CA"/>
              </w:rPr>
              <w:t xml:space="preserve">Johnny </w:t>
            </w:r>
            <w:proofErr w:type="spellStart"/>
            <w:r w:rsidRPr="007A5455">
              <w:rPr>
                <w:b/>
                <w:sz w:val="20"/>
                <w:szCs w:val="20"/>
                <w:lang w:val="fr-CA"/>
              </w:rPr>
              <w:t>Mennillo</w:t>
            </w:r>
            <w:proofErr w:type="spellEnd"/>
          </w:p>
          <w:p w:rsidR="007C47C2" w:rsidRPr="007A5455" w:rsidRDefault="007C47C2" w:rsidP="0022676D">
            <w:pPr>
              <w:widowControl w:val="0"/>
              <w:rPr>
                <w:b/>
                <w:sz w:val="20"/>
                <w:szCs w:val="20"/>
                <w:lang w:val="fr-CA"/>
              </w:rPr>
            </w:pPr>
          </w:p>
          <w:p w:rsidR="007C47C2" w:rsidRPr="007A5455" w:rsidRDefault="007C47C2" w:rsidP="0022676D">
            <w:pPr>
              <w:widowControl w:val="0"/>
              <w:rPr>
                <w:b/>
                <w:sz w:val="20"/>
                <w:szCs w:val="20"/>
                <w:lang w:val="fr-CA"/>
              </w:rPr>
            </w:pPr>
            <w:r w:rsidRPr="007A5455">
              <w:rPr>
                <w:b/>
                <w:sz w:val="20"/>
                <w:szCs w:val="20"/>
                <w:lang w:val="fr-CA"/>
              </w:rPr>
              <w:tab/>
              <w:t xml:space="preserve">c. </w:t>
            </w:r>
            <w:r w:rsidRPr="007A5455">
              <w:rPr>
                <w:sz w:val="20"/>
                <w:szCs w:val="20"/>
                <w:lang w:val="fr-CA"/>
              </w:rPr>
              <w:t>(</w:t>
            </w:r>
            <w:hyperlink r:id="rId92" w:history="1">
              <w:r w:rsidRPr="007A5455">
                <w:rPr>
                  <w:rStyle w:val="Hyperlink"/>
                  <w:sz w:val="20"/>
                  <w:szCs w:val="20"/>
                  <w:lang w:val="fr-CA"/>
                </w:rPr>
                <w:t>3</w:t>
              </w:r>
              <w:r w:rsidR="00DB4206" w:rsidRPr="007A5455">
                <w:rPr>
                  <w:rStyle w:val="Hyperlink"/>
                  <w:sz w:val="20"/>
                  <w:szCs w:val="20"/>
                  <w:lang w:val="fr-CA"/>
                </w:rPr>
                <w:t>6124</w:t>
              </w:r>
            </w:hyperlink>
            <w:r w:rsidRPr="007A5455">
              <w:rPr>
                <w:sz w:val="20"/>
                <w:szCs w:val="20"/>
                <w:lang w:val="fr-CA"/>
              </w:rPr>
              <w:t>)</w:t>
            </w:r>
          </w:p>
          <w:p w:rsidR="007C47C2" w:rsidRPr="007A5455" w:rsidRDefault="007C47C2" w:rsidP="0022676D">
            <w:pPr>
              <w:widowControl w:val="0"/>
              <w:rPr>
                <w:b/>
                <w:sz w:val="20"/>
                <w:szCs w:val="20"/>
                <w:lang w:val="fr-CA"/>
              </w:rPr>
            </w:pPr>
          </w:p>
          <w:p w:rsidR="007C47C2" w:rsidRPr="007A5455" w:rsidRDefault="00F7714C" w:rsidP="00F7714C">
            <w:pPr>
              <w:widowControl w:val="0"/>
              <w:rPr>
                <w:sz w:val="20"/>
                <w:szCs w:val="20"/>
                <w:lang w:val="fr-CA"/>
              </w:rPr>
            </w:pPr>
            <w:proofErr w:type="spellStart"/>
            <w:r w:rsidRPr="007A5455">
              <w:rPr>
                <w:b/>
                <w:sz w:val="20"/>
                <w:szCs w:val="20"/>
                <w:lang w:val="fr-CA"/>
              </w:rPr>
              <w:t>Intramodal</w:t>
            </w:r>
            <w:proofErr w:type="spellEnd"/>
            <w:r w:rsidRPr="007A5455">
              <w:rPr>
                <w:b/>
                <w:sz w:val="20"/>
                <w:szCs w:val="20"/>
                <w:lang w:val="fr-CA"/>
              </w:rPr>
              <w:t xml:space="preserve"> </w:t>
            </w:r>
            <w:proofErr w:type="spellStart"/>
            <w:r w:rsidRPr="007A5455">
              <w:rPr>
                <w:b/>
                <w:sz w:val="20"/>
                <w:szCs w:val="20"/>
                <w:lang w:val="fr-CA"/>
              </w:rPr>
              <w:t>inc.</w:t>
            </w:r>
            <w:proofErr w:type="spellEnd"/>
            <w:r w:rsidR="007C47C2" w:rsidRPr="007A5455">
              <w:rPr>
                <w:b/>
                <w:sz w:val="20"/>
                <w:szCs w:val="20"/>
                <w:lang w:val="fr-CA"/>
              </w:rPr>
              <w:t xml:space="preserve"> (</w:t>
            </w:r>
            <w:proofErr w:type="spellStart"/>
            <w:r w:rsidR="007C47C2" w:rsidRPr="007A5455">
              <w:rPr>
                <w:b/>
                <w:sz w:val="20"/>
                <w:szCs w:val="20"/>
                <w:lang w:val="fr-CA"/>
              </w:rPr>
              <w:t>Qc</w:t>
            </w:r>
            <w:proofErr w:type="spellEnd"/>
            <w:r w:rsidR="007C47C2" w:rsidRPr="007A5455">
              <w:rPr>
                <w:b/>
                <w:sz w:val="20"/>
                <w:szCs w:val="20"/>
                <w:lang w:val="fr-CA"/>
              </w:rPr>
              <w:t>) (Civile) (Autorisation)</w:t>
            </w:r>
            <w:r w:rsidR="007C47C2" w:rsidRPr="007A5455">
              <w:rPr>
                <w:sz w:val="20"/>
                <w:szCs w:val="20"/>
                <w:lang w:val="fr-CA"/>
              </w:rPr>
              <w:t xml:space="preserve"> </w:t>
            </w:r>
          </w:p>
        </w:tc>
        <w:tc>
          <w:tcPr>
            <w:tcW w:w="720" w:type="dxa"/>
            <w:tcMar>
              <w:left w:w="0" w:type="dxa"/>
              <w:right w:w="0" w:type="dxa"/>
            </w:tcMar>
          </w:tcPr>
          <w:p w:rsidR="007C47C2" w:rsidRPr="007A5455" w:rsidRDefault="007C47C2" w:rsidP="0022676D">
            <w:pPr>
              <w:widowControl w:val="0"/>
              <w:jc w:val="center"/>
              <w:rPr>
                <w:sz w:val="20"/>
                <w:szCs w:val="20"/>
                <w:lang w:val="fr-CA"/>
              </w:rPr>
            </w:pPr>
          </w:p>
        </w:tc>
        <w:tc>
          <w:tcPr>
            <w:tcW w:w="4380" w:type="dxa"/>
            <w:tcMar>
              <w:left w:w="0" w:type="dxa"/>
              <w:right w:w="0" w:type="dxa"/>
            </w:tcMar>
          </w:tcPr>
          <w:p w:rsidR="007C47C2" w:rsidRPr="007A5455" w:rsidRDefault="00487C26" w:rsidP="0022676D">
            <w:pPr>
              <w:rPr>
                <w:sz w:val="20"/>
                <w:szCs w:val="20"/>
                <w:lang w:val="fr-CA"/>
              </w:rPr>
            </w:pPr>
            <w:r w:rsidRPr="007A5455">
              <w:rPr>
                <w:sz w:val="20"/>
                <w:szCs w:val="20"/>
                <w:lang w:val="fr-CA"/>
              </w:rPr>
              <w:t xml:space="preserve">Claude Marseille, Paul Martel et Caroline Dion </w:t>
            </w:r>
            <w:r w:rsidR="007C47C2" w:rsidRPr="007A5455">
              <w:rPr>
                <w:sz w:val="20"/>
                <w:szCs w:val="20"/>
                <w:lang w:val="fr-CA"/>
              </w:rPr>
              <w:t>pour l’appelant.</w:t>
            </w:r>
          </w:p>
          <w:p w:rsidR="007C47C2" w:rsidRPr="007A5455" w:rsidRDefault="007C47C2" w:rsidP="0022676D">
            <w:pPr>
              <w:rPr>
                <w:sz w:val="20"/>
                <w:szCs w:val="20"/>
                <w:lang w:val="fr-CA"/>
              </w:rPr>
            </w:pPr>
          </w:p>
          <w:p w:rsidR="007C47C2" w:rsidRPr="007A5455" w:rsidRDefault="00487C26" w:rsidP="0022676D">
            <w:pPr>
              <w:widowControl w:val="0"/>
              <w:jc w:val="both"/>
              <w:rPr>
                <w:sz w:val="20"/>
                <w:szCs w:val="20"/>
                <w:lang w:val="fr-CA"/>
              </w:rPr>
            </w:pPr>
            <w:r w:rsidRPr="007A5455">
              <w:rPr>
                <w:sz w:val="20"/>
                <w:szCs w:val="20"/>
                <w:lang w:val="fr-CA"/>
              </w:rPr>
              <w:t xml:space="preserve">Hubert </w:t>
            </w:r>
            <w:proofErr w:type="spellStart"/>
            <w:r w:rsidRPr="007A5455">
              <w:rPr>
                <w:sz w:val="20"/>
                <w:szCs w:val="20"/>
                <w:lang w:val="fr-CA"/>
              </w:rPr>
              <w:t>Camirand</w:t>
            </w:r>
            <w:proofErr w:type="spellEnd"/>
            <w:r w:rsidRPr="007A5455">
              <w:rPr>
                <w:sz w:val="20"/>
                <w:szCs w:val="20"/>
                <w:lang w:val="fr-CA"/>
              </w:rPr>
              <w:t xml:space="preserve"> et Marie-Geneviève Masson </w:t>
            </w:r>
            <w:r w:rsidR="007C47C2" w:rsidRPr="007A5455">
              <w:rPr>
                <w:sz w:val="20"/>
                <w:szCs w:val="20"/>
                <w:lang w:val="fr-CA"/>
              </w:rPr>
              <w:t>pour l’intimée.</w:t>
            </w:r>
          </w:p>
        </w:tc>
      </w:tr>
    </w:tbl>
    <w:p w:rsidR="007C47C2" w:rsidRPr="007A5455" w:rsidRDefault="007C47C2" w:rsidP="007C47C2">
      <w:pPr>
        <w:widowControl w:val="0"/>
        <w:rPr>
          <w:sz w:val="20"/>
          <w:szCs w:val="20"/>
          <w:lang w:val="fr-CA"/>
        </w:rPr>
      </w:pPr>
    </w:p>
    <w:p w:rsidR="007C47C2" w:rsidRPr="007A5455" w:rsidRDefault="007C47C2" w:rsidP="007C47C2">
      <w:pPr>
        <w:widowControl w:val="0"/>
        <w:rPr>
          <w:sz w:val="20"/>
          <w:szCs w:val="20"/>
        </w:rPr>
      </w:pPr>
      <w:r w:rsidRPr="007A5455">
        <w:rPr>
          <w:b/>
          <w:sz w:val="20"/>
          <w:szCs w:val="20"/>
        </w:rPr>
        <w:t xml:space="preserve">RESERVED / </w:t>
      </w:r>
      <w:r w:rsidRPr="007A5455">
        <w:rPr>
          <w:b/>
          <w:sz w:val="20"/>
          <w:szCs w:val="20"/>
          <w:lang w:val="fr-CA"/>
        </w:rPr>
        <w:t>EN DÉLIBÉRÉ</w:t>
      </w:r>
    </w:p>
    <w:p w:rsidR="007C47C2" w:rsidRPr="007A5455"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A5455" w:rsidTr="0022676D">
        <w:tc>
          <w:tcPr>
            <w:tcW w:w="4380" w:type="dxa"/>
            <w:tcMar>
              <w:left w:w="0" w:type="dxa"/>
              <w:right w:w="0" w:type="dxa"/>
            </w:tcMar>
          </w:tcPr>
          <w:p w:rsidR="007C47C2" w:rsidRPr="007A5455" w:rsidRDefault="007C47C2" w:rsidP="0022676D">
            <w:pPr>
              <w:widowControl w:val="0"/>
              <w:jc w:val="both"/>
              <w:rPr>
                <w:b/>
                <w:sz w:val="20"/>
                <w:szCs w:val="20"/>
                <w:u w:val="single"/>
              </w:rPr>
            </w:pPr>
            <w:r w:rsidRPr="007A5455">
              <w:rPr>
                <w:b/>
                <w:sz w:val="20"/>
                <w:szCs w:val="20"/>
                <w:u w:val="single"/>
              </w:rPr>
              <w:t>Nature of the case:</w:t>
            </w:r>
          </w:p>
          <w:p w:rsidR="007C47C2" w:rsidRPr="007A5455" w:rsidRDefault="007C47C2" w:rsidP="0022676D">
            <w:pPr>
              <w:widowControl w:val="0"/>
              <w:jc w:val="both"/>
              <w:rPr>
                <w:b/>
                <w:sz w:val="20"/>
                <w:szCs w:val="20"/>
              </w:rPr>
            </w:pPr>
          </w:p>
          <w:p w:rsidR="007C47C2" w:rsidRPr="007A5455" w:rsidRDefault="0089549C" w:rsidP="0022676D">
            <w:pPr>
              <w:widowControl w:val="0"/>
              <w:jc w:val="both"/>
              <w:rPr>
                <w:b/>
                <w:sz w:val="20"/>
                <w:szCs w:val="20"/>
              </w:rPr>
            </w:pPr>
            <w:r w:rsidRPr="007A5455">
              <w:rPr>
                <w:sz w:val="20"/>
                <w:szCs w:val="20"/>
              </w:rPr>
              <w:t>Commercial law - Corporations - Action in oppression - Credibility of testimony and assessment of evidence - Whether share issue may be cancelled retroactively upon verbal consent of shareholders</w:t>
            </w:r>
            <w:r w:rsidRPr="007A5455">
              <w:t>.</w:t>
            </w:r>
          </w:p>
        </w:tc>
        <w:tc>
          <w:tcPr>
            <w:tcW w:w="720" w:type="dxa"/>
            <w:tcMar>
              <w:left w:w="0" w:type="dxa"/>
              <w:right w:w="0" w:type="dxa"/>
            </w:tcMar>
          </w:tcPr>
          <w:p w:rsidR="007C47C2" w:rsidRPr="007A5455" w:rsidRDefault="007C47C2" w:rsidP="0022676D">
            <w:pPr>
              <w:widowControl w:val="0"/>
              <w:jc w:val="center"/>
              <w:rPr>
                <w:sz w:val="20"/>
                <w:szCs w:val="20"/>
              </w:rPr>
            </w:pPr>
          </w:p>
        </w:tc>
        <w:tc>
          <w:tcPr>
            <w:tcW w:w="4380" w:type="dxa"/>
            <w:tcMar>
              <w:left w:w="0" w:type="dxa"/>
              <w:right w:w="0" w:type="dxa"/>
            </w:tcMar>
          </w:tcPr>
          <w:p w:rsidR="007C47C2" w:rsidRPr="007A5455" w:rsidRDefault="007C47C2" w:rsidP="0022676D">
            <w:pPr>
              <w:widowControl w:val="0"/>
              <w:jc w:val="both"/>
              <w:rPr>
                <w:b/>
                <w:sz w:val="20"/>
                <w:szCs w:val="20"/>
                <w:u w:val="single"/>
                <w:lang w:val="fr-CA"/>
              </w:rPr>
            </w:pPr>
            <w:r w:rsidRPr="007A5455">
              <w:rPr>
                <w:b/>
                <w:sz w:val="20"/>
                <w:szCs w:val="20"/>
                <w:u w:val="single"/>
                <w:lang w:val="fr-CA"/>
              </w:rPr>
              <w:t>Nature de la cause :</w:t>
            </w:r>
          </w:p>
          <w:p w:rsidR="007C47C2" w:rsidRPr="007A5455" w:rsidRDefault="007C47C2" w:rsidP="0022676D">
            <w:pPr>
              <w:widowControl w:val="0"/>
              <w:jc w:val="both"/>
              <w:rPr>
                <w:sz w:val="20"/>
                <w:szCs w:val="20"/>
                <w:lang w:val="fr-CA"/>
              </w:rPr>
            </w:pPr>
          </w:p>
          <w:p w:rsidR="007C47C2" w:rsidRPr="007A5455" w:rsidRDefault="0089549C" w:rsidP="0022676D">
            <w:pPr>
              <w:widowControl w:val="0"/>
              <w:jc w:val="both"/>
              <w:rPr>
                <w:sz w:val="20"/>
                <w:szCs w:val="20"/>
                <w:lang w:val="fr-CA"/>
              </w:rPr>
            </w:pPr>
            <w:r w:rsidRPr="007A5455">
              <w:rPr>
                <w:sz w:val="20"/>
                <w:szCs w:val="20"/>
                <w:lang w:val="fr-CA"/>
              </w:rPr>
              <w:t>Droit commercial - Société par actions - Recours en oppression - Crédibilité des témoignages et appréciation de la preuve - Une émission d’actions peut-elle être annulée rétroactivement par consentement verbal entre les actionnaires?</w:t>
            </w:r>
          </w:p>
        </w:tc>
      </w:tr>
    </w:tbl>
    <w:p w:rsidR="007C47C2" w:rsidRPr="007A5455" w:rsidRDefault="007C47C2" w:rsidP="007C47C2">
      <w:pPr>
        <w:widowControl w:val="0"/>
        <w:rPr>
          <w:sz w:val="20"/>
          <w:szCs w:val="20"/>
          <w:lang w:val="fr-CA"/>
        </w:rPr>
      </w:pPr>
    </w:p>
    <w:p w:rsidR="002A27D1" w:rsidRPr="007A5455" w:rsidRDefault="001F68BE" w:rsidP="002A27D1">
      <w:pPr>
        <w:widowControl w:val="0"/>
        <w:rPr>
          <w:sz w:val="20"/>
          <w:szCs w:val="20"/>
        </w:rPr>
      </w:pPr>
      <w:r>
        <w:rPr>
          <w:sz w:val="20"/>
          <w:szCs w:val="20"/>
          <w:lang w:val="fr-CA"/>
        </w:rPr>
        <w:pict>
          <v:rect id="_x0000_i1077" style="width:2in;height:1pt" o:hrpct="0" o:hralign="center" o:hrstd="t" o:hrnoshade="t" o:hr="t" fillcolor="black [3213]" stroked="f"/>
        </w:pict>
      </w:r>
    </w:p>
    <w:p w:rsidR="002A27D1" w:rsidRPr="007A5455" w:rsidRDefault="002A27D1" w:rsidP="002A27D1">
      <w:pPr>
        <w:widowControl w:val="0"/>
        <w:rPr>
          <w:sz w:val="20"/>
          <w:szCs w:val="20"/>
        </w:rPr>
      </w:pPr>
    </w:p>
    <w:p w:rsidR="007C47C2" w:rsidRPr="007A5455" w:rsidRDefault="000973BB" w:rsidP="007C47C2">
      <w:pPr>
        <w:widowControl w:val="0"/>
        <w:rPr>
          <w:sz w:val="20"/>
          <w:szCs w:val="20"/>
        </w:rPr>
      </w:pPr>
      <w:r w:rsidRPr="007A5455">
        <w:rPr>
          <w:sz w:val="20"/>
          <w:szCs w:val="20"/>
        </w:rPr>
        <w:t>09</w:t>
      </w:r>
      <w:r w:rsidR="007C47C2" w:rsidRPr="007A5455">
        <w:rPr>
          <w:sz w:val="20"/>
          <w:szCs w:val="20"/>
        </w:rPr>
        <w:t>.</w:t>
      </w:r>
      <w:r w:rsidRPr="007A5455">
        <w:rPr>
          <w:sz w:val="20"/>
          <w:szCs w:val="20"/>
        </w:rPr>
        <w:t>12</w:t>
      </w:r>
      <w:r w:rsidR="007C47C2" w:rsidRPr="007A5455">
        <w:rPr>
          <w:sz w:val="20"/>
          <w:szCs w:val="20"/>
        </w:rPr>
        <w:t>.201</w:t>
      </w:r>
      <w:r w:rsidRPr="007A5455">
        <w:rPr>
          <w:sz w:val="20"/>
          <w:szCs w:val="20"/>
        </w:rPr>
        <w:t>5</w:t>
      </w:r>
    </w:p>
    <w:p w:rsidR="007C47C2" w:rsidRPr="007A5455" w:rsidRDefault="007C47C2" w:rsidP="007C47C2">
      <w:pPr>
        <w:widowControl w:val="0"/>
        <w:rPr>
          <w:sz w:val="20"/>
          <w:szCs w:val="20"/>
        </w:rPr>
      </w:pPr>
    </w:p>
    <w:p w:rsidR="007C47C2" w:rsidRPr="007A5455" w:rsidRDefault="007C47C2" w:rsidP="007C47C2">
      <w:pPr>
        <w:widowControl w:val="0"/>
        <w:ind w:left="720" w:hanging="720"/>
        <w:rPr>
          <w:sz w:val="20"/>
          <w:szCs w:val="20"/>
        </w:rPr>
      </w:pPr>
      <w:r w:rsidRPr="007A5455">
        <w:rPr>
          <w:sz w:val="20"/>
          <w:szCs w:val="20"/>
        </w:rPr>
        <w:t xml:space="preserve">Coram: </w:t>
      </w:r>
      <w:r w:rsidRPr="007A5455">
        <w:rPr>
          <w:sz w:val="20"/>
          <w:szCs w:val="20"/>
        </w:rPr>
        <w:tab/>
      </w:r>
      <w:proofErr w:type="spellStart"/>
      <w:r w:rsidR="000973BB" w:rsidRPr="007A5455">
        <w:rPr>
          <w:sz w:val="20"/>
          <w:szCs w:val="20"/>
          <w:u w:val="single"/>
        </w:rPr>
        <w:t>McLachlin</w:t>
      </w:r>
      <w:proofErr w:type="spellEnd"/>
      <w:r w:rsidR="000973BB" w:rsidRPr="007A5455">
        <w:rPr>
          <w:sz w:val="20"/>
          <w:szCs w:val="20"/>
          <w:u w:val="single"/>
        </w:rPr>
        <w:t xml:space="preserve"> C.J. and</w:t>
      </w:r>
      <w:r w:rsidRPr="007A5455">
        <w:rPr>
          <w:sz w:val="20"/>
          <w:szCs w:val="20"/>
          <w:u w:val="single"/>
        </w:rPr>
        <w:t xml:space="preserve"> </w:t>
      </w:r>
      <w:proofErr w:type="spellStart"/>
      <w:r w:rsidRPr="007A5455">
        <w:rPr>
          <w:sz w:val="20"/>
          <w:szCs w:val="20"/>
          <w:u w:val="single"/>
        </w:rPr>
        <w:t>Abella</w:t>
      </w:r>
      <w:proofErr w:type="spellEnd"/>
      <w:r w:rsidRPr="007A5455">
        <w:rPr>
          <w:sz w:val="20"/>
          <w:szCs w:val="20"/>
          <w:u w:val="single"/>
        </w:rPr>
        <w:t xml:space="preserve">, </w:t>
      </w:r>
      <w:r w:rsidR="000973BB" w:rsidRPr="007A5455">
        <w:rPr>
          <w:sz w:val="20"/>
          <w:szCs w:val="20"/>
          <w:u w:val="single"/>
        </w:rPr>
        <w:t>Cromwell</w:t>
      </w:r>
      <w:r w:rsidRPr="007A5455">
        <w:rPr>
          <w:sz w:val="20"/>
          <w:szCs w:val="20"/>
          <w:u w:val="single"/>
        </w:rPr>
        <w:t xml:space="preserve">, </w:t>
      </w:r>
      <w:proofErr w:type="spellStart"/>
      <w:r w:rsidR="000973BB" w:rsidRPr="007A5455">
        <w:rPr>
          <w:sz w:val="20"/>
          <w:szCs w:val="20"/>
          <w:u w:val="single"/>
        </w:rPr>
        <w:t>Moldaver</w:t>
      </w:r>
      <w:proofErr w:type="spellEnd"/>
      <w:r w:rsidRPr="007A5455">
        <w:rPr>
          <w:sz w:val="20"/>
          <w:szCs w:val="20"/>
          <w:u w:val="single"/>
        </w:rPr>
        <w:t xml:space="preserve">, </w:t>
      </w:r>
      <w:proofErr w:type="spellStart"/>
      <w:r w:rsidRPr="007A5455">
        <w:rPr>
          <w:sz w:val="20"/>
          <w:szCs w:val="20"/>
          <w:u w:val="single"/>
        </w:rPr>
        <w:t>Karakatsanis</w:t>
      </w:r>
      <w:proofErr w:type="spellEnd"/>
      <w:r w:rsidR="000973BB" w:rsidRPr="007A5455">
        <w:rPr>
          <w:sz w:val="20"/>
          <w:szCs w:val="20"/>
          <w:u w:val="single"/>
        </w:rPr>
        <w:t xml:space="preserve">, Wagner, </w:t>
      </w:r>
      <w:proofErr w:type="spellStart"/>
      <w:r w:rsidR="000973BB" w:rsidRPr="007A5455">
        <w:rPr>
          <w:sz w:val="20"/>
          <w:szCs w:val="20"/>
          <w:u w:val="single"/>
        </w:rPr>
        <w:t>Gascon</w:t>
      </w:r>
      <w:proofErr w:type="spellEnd"/>
      <w:r w:rsidR="000973BB" w:rsidRPr="007A5455">
        <w:rPr>
          <w:sz w:val="20"/>
          <w:szCs w:val="20"/>
          <w:u w:val="single"/>
        </w:rPr>
        <w:t xml:space="preserve">, </w:t>
      </w:r>
      <w:proofErr w:type="spellStart"/>
      <w:r w:rsidR="000973BB" w:rsidRPr="007A5455">
        <w:rPr>
          <w:sz w:val="20"/>
          <w:szCs w:val="20"/>
          <w:u w:val="single"/>
        </w:rPr>
        <w:t>Côté</w:t>
      </w:r>
      <w:proofErr w:type="spellEnd"/>
      <w:r w:rsidRPr="007A5455">
        <w:rPr>
          <w:sz w:val="20"/>
          <w:szCs w:val="20"/>
          <w:u w:val="single"/>
        </w:rPr>
        <w:t xml:space="preserve"> and </w:t>
      </w:r>
      <w:r w:rsidR="000973BB" w:rsidRPr="007A5455">
        <w:rPr>
          <w:sz w:val="20"/>
          <w:szCs w:val="20"/>
          <w:u w:val="single"/>
        </w:rPr>
        <w:t>Brown</w:t>
      </w:r>
      <w:r w:rsidRPr="007A5455">
        <w:rPr>
          <w:sz w:val="20"/>
          <w:szCs w:val="20"/>
          <w:u w:val="single"/>
        </w:rPr>
        <w:t xml:space="preserve"> JJ.</w:t>
      </w:r>
      <w:r w:rsidRPr="007A5455">
        <w:rPr>
          <w:sz w:val="20"/>
          <w:szCs w:val="20"/>
        </w:rPr>
        <w:t xml:space="preserve"> </w:t>
      </w:r>
    </w:p>
    <w:p w:rsidR="007C47C2" w:rsidRPr="007A5455"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A5455" w:rsidTr="0022676D">
        <w:tc>
          <w:tcPr>
            <w:tcW w:w="4380" w:type="dxa"/>
            <w:tcMar>
              <w:left w:w="0" w:type="dxa"/>
              <w:right w:w="0" w:type="dxa"/>
            </w:tcMar>
          </w:tcPr>
          <w:p w:rsidR="007C47C2" w:rsidRPr="007A5455" w:rsidRDefault="002C2FE8" w:rsidP="0022676D">
            <w:pPr>
              <w:widowControl w:val="0"/>
              <w:jc w:val="both"/>
              <w:rPr>
                <w:b/>
                <w:sz w:val="20"/>
                <w:szCs w:val="20"/>
              </w:rPr>
            </w:pPr>
            <w:r w:rsidRPr="007A5455">
              <w:rPr>
                <w:b/>
                <w:sz w:val="20"/>
                <w:szCs w:val="20"/>
              </w:rPr>
              <w:t>Canadian Pacific Railway Company</w:t>
            </w:r>
          </w:p>
          <w:p w:rsidR="007C47C2" w:rsidRPr="007A5455" w:rsidRDefault="007C47C2" w:rsidP="0022676D">
            <w:pPr>
              <w:widowControl w:val="0"/>
              <w:jc w:val="both"/>
              <w:rPr>
                <w:b/>
                <w:sz w:val="20"/>
                <w:szCs w:val="20"/>
              </w:rPr>
            </w:pPr>
          </w:p>
          <w:p w:rsidR="007C47C2" w:rsidRPr="007A5455" w:rsidRDefault="007C47C2" w:rsidP="0022676D">
            <w:pPr>
              <w:widowControl w:val="0"/>
              <w:tabs>
                <w:tab w:val="left" w:pos="736"/>
              </w:tabs>
              <w:jc w:val="both"/>
              <w:rPr>
                <w:b/>
                <w:sz w:val="20"/>
                <w:szCs w:val="20"/>
              </w:rPr>
            </w:pPr>
            <w:r w:rsidRPr="007A5455">
              <w:rPr>
                <w:b/>
                <w:sz w:val="20"/>
                <w:szCs w:val="20"/>
              </w:rPr>
              <w:tab/>
              <w:t xml:space="preserve">v. </w:t>
            </w:r>
            <w:r w:rsidRPr="007A5455">
              <w:rPr>
                <w:sz w:val="20"/>
                <w:szCs w:val="20"/>
              </w:rPr>
              <w:t>(</w:t>
            </w:r>
            <w:hyperlink r:id="rId93" w:history="1">
              <w:r w:rsidRPr="007A5455">
                <w:rPr>
                  <w:rStyle w:val="Hyperlink"/>
                  <w:sz w:val="20"/>
                  <w:szCs w:val="20"/>
                </w:rPr>
                <w:t>3</w:t>
              </w:r>
              <w:r w:rsidR="000973BB" w:rsidRPr="007A5455">
                <w:rPr>
                  <w:rStyle w:val="Hyperlink"/>
                  <w:sz w:val="20"/>
                  <w:szCs w:val="20"/>
                </w:rPr>
                <w:t>6223</w:t>
              </w:r>
            </w:hyperlink>
            <w:r w:rsidRPr="007A5455">
              <w:rPr>
                <w:sz w:val="20"/>
                <w:szCs w:val="20"/>
              </w:rPr>
              <w:t>)</w:t>
            </w:r>
          </w:p>
          <w:p w:rsidR="007C47C2" w:rsidRPr="007A5455" w:rsidRDefault="007C47C2" w:rsidP="0022676D">
            <w:pPr>
              <w:widowControl w:val="0"/>
              <w:jc w:val="both"/>
              <w:rPr>
                <w:b/>
                <w:sz w:val="20"/>
                <w:szCs w:val="20"/>
              </w:rPr>
            </w:pPr>
          </w:p>
          <w:p w:rsidR="002C2FE8" w:rsidRPr="007A5455" w:rsidRDefault="002C2FE8" w:rsidP="002C2FE8">
            <w:pPr>
              <w:widowControl w:val="0"/>
              <w:jc w:val="both"/>
              <w:rPr>
                <w:b/>
                <w:sz w:val="20"/>
                <w:szCs w:val="20"/>
              </w:rPr>
            </w:pPr>
            <w:r w:rsidRPr="007A5455">
              <w:rPr>
                <w:b/>
                <w:sz w:val="20"/>
                <w:szCs w:val="20"/>
              </w:rPr>
              <w:t>Attorney General of Canada et al.</w:t>
            </w:r>
            <w:r w:rsidR="007C47C2" w:rsidRPr="007A5455">
              <w:rPr>
                <w:b/>
                <w:sz w:val="20"/>
                <w:szCs w:val="20"/>
              </w:rPr>
              <w:t xml:space="preserve"> (</w:t>
            </w:r>
            <w:r w:rsidRPr="007A5455">
              <w:rPr>
                <w:b/>
                <w:sz w:val="20"/>
                <w:szCs w:val="20"/>
              </w:rPr>
              <w:t>F.C.</w:t>
            </w:r>
            <w:r w:rsidR="007C47C2" w:rsidRPr="007A5455">
              <w:rPr>
                <w:b/>
                <w:sz w:val="20"/>
                <w:szCs w:val="20"/>
              </w:rPr>
              <w:t>) (Ci</w:t>
            </w:r>
            <w:r w:rsidRPr="007A5455">
              <w:rPr>
                <w:b/>
                <w:sz w:val="20"/>
                <w:szCs w:val="20"/>
              </w:rPr>
              <w:t>v</w:t>
            </w:r>
            <w:r w:rsidR="007C47C2" w:rsidRPr="007A5455">
              <w:rPr>
                <w:b/>
                <w:sz w:val="20"/>
                <w:szCs w:val="20"/>
              </w:rPr>
              <w:t>il)</w:t>
            </w:r>
          </w:p>
          <w:p w:rsidR="007C47C2" w:rsidRPr="007A5455" w:rsidRDefault="007C47C2" w:rsidP="002C2FE8">
            <w:pPr>
              <w:widowControl w:val="0"/>
              <w:jc w:val="both"/>
              <w:rPr>
                <w:sz w:val="20"/>
                <w:szCs w:val="20"/>
              </w:rPr>
            </w:pPr>
            <w:r w:rsidRPr="007A5455">
              <w:rPr>
                <w:b/>
                <w:sz w:val="20"/>
                <w:szCs w:val="20"/>
              </w:rPr>
              <w:t>(</w:t>
            </w:r>
            <w:r w:rsidR="002C2FE8" w:rsidRPr="007A5455">
              <w:rPr>
                <w:b/>
                <w:sz w:val="20"/>
                <w:szCs w:val="20"/>
              </w:rPr>
              <w:t>By Leave</w:t>
            </w:r>
            <w:r w:rsidRPr="007A5455">
              <w:rPr>
                <w:b/>
                <w:sz w:val="20"/>
                <w:szCs w:val="20"/>
              </w:rPr>
              <w:t>)</w:t>
            </w:r>
          </w:p>
        </w:tc>
        <w:tc>
          <w:tcPr>
            <w:tcW w:w="720" w:type="dxa"/>
            <w:tcMar>
              <w:left w:w="0" w:type="dxa"/>
              <w:right w:w="0" w:type="dxa"/>
            </w:tcMar>
          </w:tcPr>
          <w:p w:rsidR="007C47C2" w:rsidRPr="007A5455" w:rsidRDefault="007C47C2" w:rsidP="0022676D">
            <w:pPr>
              <w:widowControl w:val="0"/>
              <w:jc w:val="center"/>
              <w:rPr>
                <w:sz w:val="20"/>
                <w:szCs w:val="20"/>
              </w:rPr>
            </w:pPr>
          </w:p>
        </w:tc>
        <w:tc>
          <w:tcPr>
            <w:tcW w:w="4380" w:type="dxa"/>
            <w:tcMar>
              <w:left w:w="0" w:type="dxa"/>
              <w:right w:w="0" w:type="dxa"/>
            </w:tcMar>
          </w:tcPr>
          <w:p w:rsidR="007C47C2" w:rsidRPr="007A5455" w:rsidRDefault="00C73BBD" w:rsidP="0022676D">
            <w:pPr>
              <w:jc w:val="both"/>
              <w:rPr>
                <w:sz w:val="20"/>
                <w:szCs w:val="20"/>
              </w:rPr>
            </w:pPr>
            <w:r w:rsidRPr="007A5455">
              <w:rPr>
                <w:sz w:val="20"/>
                <w:szCs w:val="20"/>
              </w:rPr>
              <w:t xml:space="preserve">Douglas C. </w:t>
            </w:r>
            <w:proofErr w:type="spellStart"/>
            <w:r w:rsidRPr="007A5455">
              <w:rPr>
                <w:sz w:val="20"/>
                <w:szCs w:val="20"/>
              </w:rPr>
              <w:t>Hodson</w:t>
            </w:r>
            <w:proofErr w:type="spellEnd"/>
            <w:r w:rsidRPr="007A5455">
              <w:rPr>
                <w:sz w:val="20"/>
                <w:szCs w:val="20"/>
              </w:rPr>
              <w:t>, Q.C. and Kristen A. MacDonald</w:t>
            </w:r>
            <w:r w:rsidR="007C47C2" w:rsidRPr="007A5455">
              <w:rPr>
                <w:sz w:val="20"/>
                <w:szCs w:val="20"/>
              </w:rPr>
              <w:t xml:space="preserve"> for the appellant.</w:t>
            </w:r>
          </w:p>
          <w:p w:rsidR="007C47C2" w:rsidRPr="007A5455" w:rsidRDefault="007C47C2" w:rsidP="0022676D">
            <w:pPr>
              <w:jc w:val="both"/>
              <w:rPr>
                <w:sz w:val="20"/>
                <w:szCs w:val="20"/>
              </w:rPr>
            </w:pPr>
          </w:p>
          <w:p w:rsidR="007C47C2" w:rsidRPr="007A5455" w:rsidRDefault="001D33C4" w:rsidP="00C73BBD">
            <w:pPr>
              <w:widowControl w:val="0"/>
              <w:jc w:val="both"/>
              <w:rPr>
                <w:sz w:val="20"/>
                <w:szCs w:val="20"/>
              </w:rPr>
            </w:pPr>
            <w:r w:rsidRPr="007A5455">
              <w:rPr>
                <w:sz w:val="20"/>
                <w:szCs w:val="20"/>
              </w:rPr>
              <w:t xml:space="preserve">Nadia Effendi and </w:t>
            </w:r>
            <w:r w:rsidR="00C73BBD" w:rsidRPr="007A5455">
              <w:rPr>
                <w:sz w:val="20"/>
                <w:szCs w:val="20"/>
              </w:rPr>
              <w:t xml:space="preserve">Guy J. Pratte </w:t>
            </w:r>
            <w:r w:rsidR="007C47C2" w:rsidRPr="007A5455">
              <w:rPr>
                <w:sz w:val="20"/>
                <w:szCs w:val="20"/>
              </w:rPr>
              <w:t>for the</w:t>
            </w:r>
            <w:r w:rsidR="00C73BBD" w:rsidRPr="007A5455">
              <w:rPr>
                <w:sz w:val="20"/>
                <w:szCs w:val="20"/>
              </w:rPr>
              <w:t xml:space="preserve"> intervener Railway Association of Canada</w:t>
            </w:r>
            <w:r w:rsidR="007C47C2" w:rsidRPr="007A5455">
              <w:rPr>
                <w:sz w:val="20"/>
                <w:szCs w:val="20"/>
              </w:rPr>
              <w:t>.</w:t>
            </w:r>
          </w:p>
          <w:p w:rsidR="00C73BBD" w:rsidRPr="007A5455" w:rsidRDefault="00C73BBD" w:rsidP="00C73BBD">
            <w:pPr>
              <w:widowControl w:val="0"/>
              <w:jc w:val="both"/>
              <w:rPr>
                <w:sz w:val="20"/>
                <w:szCs w:val="20"/>
              </w:rPr>
            </w:pPr>
          </w:p>
          <w:p w:rsidR="00C73BBD" w:rsidRPr="007A5455" w:rsidRDefault="00C73BBD" w:rsidP="00C73BBD">
            <w:pPr>
              <w:widowControl w:val="0"/>
              <w:jc w:val="both"/>
              <w:rPr>
                <w:sz w:val="20"/>
                <w:szCs w:val="20"/>
              </w:rPr>
            </w:pPr>
            <w:r w:rsidRPr="007A5455">
              <w:rPr>
                <w:sz w:val="20"/>
                <w:szCs w:val="20"/>
              </w:rPr>
              <w:t xml:space="preserve">Mark R. </w:t>
            </w:r>
            <w:proofErr w:type="spellStart"/>
            <w:r w:rsidRPr="007A5455">
              <w:rPr>
                <w:sz w:val="20"/>
                <w:szCs w:val="20"/>
              </w:rPr>
              <w:t>Kindrachuk</w:t>
            </w:r>
            <w:proofErr w:type="spellEnd"/>
            <w:r w:rsidRPr="007A5455">
              <w:rPr>
                <w:sz w:val="20"/>
                <w:szCs w:val="20"/>
              </w:rPr>
              <w:t xml:space="preserve">, Q.C. and Alexander </w:t>
            </w:r>
            <w:proofErr w:type="spellStart"/>
            <w:r w:rsidRPr="007A5455">
              <w:rPr>
                <w:sz w:val="20"/>
                <w:szCs w:val="20"/>
              </w:rPr>
              <w:t>Pless</w:t>
            </w:r>
            <w:proofErr w:type="spellEnd"/>
            <w:r w:rsidRPr="007A5455">
              <w:rPr>
                <w:sz w:val="20"/>
                <w:szCs w:val="20"/>
              </w:rPr>
              <w:t xml:space="preserve"> for the respondent Attorney General of Canada.</w:t>
            </w:r>
          </w:p>
          <w:p w:rsidR="00C73BBD" w:rsidRPr="007A5455" w:rsidRDefault="00C73BBD" w:rsidP="00C73BBD">
            <w:pPr>
              <w:widowControl w:val="0"/>
              <w:jc w:val="both"/>
              <w:rPr>
                <w:sz w:val="20"/>
                <w:szCs w:val="20"/>
              </w:rPr>
            </w:pPr>
          </w:p>
          <w:p w:rsidR="00C73BBD" w:rsidRPr="007A5455" w:rsidRDefault="00C73BBD" w:rsidP="00C73BBD">
            <w:pPr>
              <w:widowControl w:val="0"/>
              <w:jc w:val="both"/>
              <w:rPr>
                <w:sz w:val="20"/>
                <w:szCs w:val="20"/>
              </w:rPr>
            </w:pPr>
            <w:proofErr w:type="spellStart"/>
            <w:r w:rsidRPr="007A5455">
              <w:rPr>
                <w:sz w:val="20"/>
                <w:szCs w:val="20"/>
              </w:rPr>
              <w:t>Valérie</w:t>
            </w:r>
            <w:proofErr w:type="spellEnd"/>
            <w:r w:rsidRPr="007A5455">
              <w:rPr>
                <w:sz w:val="20"/>
                <w:szCs w:val="20"/>
              </w:rPr>
              <w:t xml:space="preserve"> </w:t>
            </w:r>
            <w:proofErr w:type="spellStart"/>
            <w:r w:rsidRPr="007A5455">
              <w:rPr>
                <w:sz w:val="20"/>
                <w:szCs w:val="20"/>
              </w:rPr>
              <w:t>Lagacé</w:t>
            </w:r>
            <w:proofErr w:type="spellEnd"/>
            <w:r w:rsidRPr="007A5455">
              <w:rPr>
                <w:sz w:val="20"/>
                <w:szCs w:val="20"/>
              </w:rPr>
              <w:t xml:space="preserve"> for the respondent Canadian Transportation Agency.</w:t>
            </w:r>
          </w:p>
        </w:tc>
      </w:tr>
    </w:tbl>
    <w:p w:rsidR="007C47C2" w:rsidRPr="007A5455" w:rsidRDefault="007C47C2" w:rsidP="007C47C2">
      <w:pPr>
        <w:widowControl w:val="0"/>
      </w:pPr>
    </w:p>
    <w:p w:rsidR="007C47C2" w:rsidRPr="007A5455" w:rsidRDefault="00E861F7" w:rsidP="007C47C2">
      <w:pPr>
        <w:widowControl w:val="0"/>
        <w:rPr>
          <w:sz w:val="20"/>
          <w:szCs w:val="20"/>
        </w:rPr>
      </w:pPr>
      <w:r w:rsidRPr="007A5455">
        <w:rPr>
          <w:b/>
          <w:sz w:val="20"/>
          <w:szCs w:val="20"/>
        </w:rPr>
        <w:t>RESERVED</w:t>
      </w:r>
      <w:r w:rsidR="007C47C2" w:rsidRPr="007A5455">
        <w:rPr>
          <w:b/>
          <w:sz w:val="20"/>
          <w:szCs w:val="20"/>
        </w:rPr>
        <w:t xml:space="preserve"> / </w:t>
      </w:r>
      <w:r w:rsidRPr="007A5455">
        <w:rPr>
          <w:b/>
          <w:sz w:val="20"/>
          <w:szCs w:val="20"/>
        </w:rPr>
        <w:t>EN DÉLIBÉRÉ</w:t>
      </w:r>
    </w:p>
    <w:p w:rsidR="007C47C2" w:rsidRPr="007A5455"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A5455" w:rsidTr="0022676D">
        <w:tc>
          <w:tcPr>
            <w:tcW w:w="4380" w:type="dxa"/>
            <w:tcMar>
              <w:left w:w="0" w:type="dxa"/>
              <w:right w:w="0" w:type="dxa"/>
            </w:tcMar>
          </w:tcPr>
          <w:p w:rsidR="007C47C2" w:rsidRPr="007A5455" w:rsidRDefault="007C47C2" w:rsidP="0022676D">
            <w:pPr>
              <w:widowControl w:val="0"/>
              <w:jc w:val="both"/>
              <w:rPr>
                <w:b/>
                <w:sz w:val="20"/>
                <w:szCs w:val="20"/>
                <w:u w:val="single"/>
              </w:rPr>
            </w:pPr>
            <w:r w:rsidRPr="007A5455">
              <w:rPr>
                <w:b/>
                <w:sz w:val="20"/>
                <w:szCs w:val="20"/>
                <w:u w:val="single"/>
              </w:rPr>
              <w:t>Nature of the case:</w:t>
            </w:r>
          </w:p>
          <w:p w:rsidR="007C47C2" w:rsidRPr="007A5455" w:rsidRDefault="007C47C2" w:rsidP="0022676D">
            <w:pPr>
              <w:widowControl w:val="0"/>
              <w:jc w:val="both"/>
              <w:rPr>
                <w:b/>
                <w:sz w:val="20"/>
                <w:szCs w:val="20"/>
              </w:rPr>
            </w:pPr>
          </w:p>
          <w:p w:rsidR="007C47C2" w:rsidRPr="007A5455" w:rsidRDefault="00DB63CA" w:rsidP="0022676D">
            <w:pPr>
              <w:widowControl w:val="0"/>
              <w:jc w:val="both"/>
              <w:rPr>
                <w:b/>
                <w:sz w:val="20"/>
                <w:szCs w:val="20"/>
              </w:rPr>
            </w:pPr>
            <w:r w:rsidRPr="007A5455">
              <w:rPr>
                <w:sz w:val="20"/>
                <w:szCs w:val="20"/>
              </w:rPr>
              <w:t>Administrative law - Canadian Transportation Agency - Independence of Agency - Fettering of discretion to pass regulations - Whether administrative bodies must be free from interference from the executive branch of government when exercising legislative as opposed to judicial functions - If so, the extent to which they must be free from interference in exercising those functions.</w:t>
            </w:r>
          </w:p>
        </w:tc>
        <w:tc>
          <w:tcPr>
            <w:tcW w:w="720" w:type="dxa"/>
            <w:tcMar>
              <w:left w:w="0" w:type="dxa"/>
              <w:right w:w="0" w:type="dxa"/>
            </w:tcMar>
          </w:tcPr>
          <w:p w:rsidR="007C47C2" w:rsidRPr="007A5455" w:rsidRDefault="007C47C2" w:rsidP="0022676D">
            <w:pPr>
              <w:widowControl w:val="0"/>
              <w:jc w:val="center"/>
              <w:rPr>
                <w:sz w:val="20"/>
                <w:szCs w:val="20"/>
              </w:rPr>
            </w:pPr>
          </w:p>
        </w:tc>
        <w:tc>
          <w:tcPr>
            <w:tcW w:w="4380" w:type="dxa"/>
            <w:tcMar>
              <w:left w:w="0" w:type="dxa"/>
              <w:right w:w="0" w:type="dxa"/>
            </w:tcMar>
          </w:tcPr>
          <w:p w:rsidR="007C47C2" w:rsidRPr="007A5455" w:rsidRDefault="007C47C2" w:rsidP="0022676D">
            <w:pPr>
              <w:widowControl w:val="0"/>
              <w:jc w:val="both"/>
              <w:rPr>
                <w:b/>
                <w:sz w:val="20"/>
                <w:szCs w:val="20"/>
                <w:u w:val="single"/>
                <w:lang w:val="fr-CA"/>
              </w:rPr>
            </w:pPr>
            <w:r w:rsidRPr="007A5455">
              <w:rPr>
                <w:b/>
                <w:sz w:val="20"/>
                <w:szCs w:val="20"/>
                <w:u w:val="single"/>
                <w:lang w:val="fr-CA"/>
              </w:rPr>
              <w:t>Nature de la cause :</w:t>
            </w:r>
          </w:p>
          <w:p w:rsidR="007C47C2" w:rsidRPr="007A5455" w:rsidRDefault="007C47C2" w:rsidP="0022676D">
            <w:pPr>
              <w:widowControl w:val="0"/>
              <w:jc w:val="both"/>
              <w:rPr>
                <w:sz w:val="20"/>
                <w:szCs w:val="20"/>
                <w:lang w:val="fr-CA"/>
              </w:rPr>
            </w:pPr>
          </w:p>
          <w:p w:rsidR="007C47C2" w:rsidRPr="007A5455" w:rsidRDefault="00DB63CA" w:rsidP="0022676D">
            <w:pPr>
              <w:widowControl w:val="0"/>
              <w:jc w:val="both"/>
              <w:rPr>
                <w:sz w:val="20"/>
                <w:szCs w:val="20"/>
                <w:lang w:val="fr-CA"/>
              </w:rPr>
            </w:pPr>
            <w:r w:rsidRPr="007A5455">
              <w:rPr>
                <w:sz w:val="20"/>
                <w:szCs w:val="20"/>
              </w:rPr>
              <w:t xml:space="preserve">Droit </w:t>
            </w:r>
            <w:proofErr w:type="spellStart"/>
            <w:r w:rsidRPr="007A5455">
              <w:rPr>
                <w:sz w:val="20"/>
                <w:szCs w:val="20"/>
              </w:rPr>
              <w:t>administratif</w:t>
            </w:r>
            <w:proofErr w:type="spellEnd"/>
            <w:r w:rsidRPr="007A5455">
              <w:rPr>
                <w:sz w:val="20"/>
                <w:szCs w:val="20"/>
              </w:rPr>
              <w:t xml:space="preserve"> - Office des transports du Canada - </w:t>
            </w:r>
            <w:proofErr w:type="spellStart"/>
            <w:r w:rsidRPr="007A5455">
              <w:rPr>
                <w:sz w:val="20"/>
                <w:szCs w:val="20"/>
              </w:rPr>
              <w:t>Indépendance</w:t>
            </w:r>
            <w:proofErr w:type="spellEnd"/>
            <w:r w:rsidRPr="007A5455">
              <w:rPr>
                <w:sz w:val="20"/>
                <w:szCs w:val="20"/>
              </w:rPr>
              <w:t xml:space="preserve"> de </w:t>
            </w:r>
            <w:proofErr w:type="spellStart"/>
            <w:r w:rsidRPr="007A5455">
              <w:rPr>
                <w:sz w:val="20"/>
                <w:szCs w:val="20"/>
              </w:rPr>
              <w:t>l’Office</w:t>
            </w:r>
            <w:proofErr w:type="spellEnd"/>
            <w:r w:rsidRPr="007A5455">
              <w:rPr>
                <w:sz w:val="20"/>
                <w:szCs w:val="20"/>
              </w:rPr>
              <w:t xml:space="preserve"> - </w:t>
            </w:r>
            <w:proofErr w:type="spellStart"/>
            <w:r w:rsidRPr="007A5455">
              <w:rPr>
                <w:sz w:val="20"/>
                <w:szCs w:val="20"/>
              </w:rPr>
              <w:t>Entrave</w:t>
            </w:r>
            <w:proofErr w:type="spellEnd"/>
            <w:r w:rsidRPr="007A5455">
              <w:rPr>
                <w:sz w:val="20"/>
                <w:szCs w:val="20"/>
              </w:rPr>
              <w:t xml:space="preserve"> à </w:t>
            </w:r>
            <w:proofErr w:type="spellStart"/>
            <w:r w:rsidRPr="007A5455">
              <w:rPr>
                <w:sz w:val="20"/>
                <w:szCs w:val="20"/>
              </w:rPr>
              <w:t>l’exercice</w:t>
            </w:r>
            <w:proofErr w:type="spellEnd"/>
            <w:r w:rsidRPr="007A5455">
              <w:rPr>
                <w:sz w:val="20"/>
                <w:szCs w:val="20"/>
              </w:rPr>
              <w:t xml:space="preserve"> du </w:t>
            </w:r>
            <w:proofErr w:type="spellStart"/>
            <w:r w:rsidRPr="007A5455">
              <w:rPr>
                <w:sz w:val="20"/>
                <w:szCs w:val="20"/>
              </w:rPr>
              <w:t>pouvoir</w:t>
            </w:r>
            <w:proofErr w:type="spellEnd"/>
            <w:r w:rsidRPr="007A5455">
              <w:rPr>
                <w:sz w:val="20"/>
                <w:szCs w:val="20"/>
              </w:rPr>
              <w:t xml:space="preserve"> </w:t>
            </w:r>
            <w:proofErr w:type="spellStart"/>
            <w:r w:rsidRPr="007A5455">
              <w:rPr>
                <w:sz w:val="20"/>
                <w:szCs w:val="20"/>
              </w:rPr>
              <w:t>discrétionnaire</w:t>
            </w:r>
            <w:proofErr w:type="spellEnd"/>
            <w:r w:rsidRPr="007A5455">
              <w:rPr>
                <w:sz w:val="20"/>
                <w:szCs w:val="20"/>
              </w:rPr>
              <w:t xml:space="preserve"> de </w:t>
            </w:r>
            <w:proofErr w:type="spellStart"/>
            <w:r w:rsidRPr="007A5455">
              <w:rPr>
                <w:sz w:val="20"/>
                <w:szCs w:val="20"/>
              </w:rPr>
              <w:t>prendre</w:t>
            </w:r>
            <w:proofErr w:type="spellEnd"/>
            <w:r w:rsidRPr="007A5455">
              <w:rPr>
                <w:sz w:val="20"/>
                <w:szCs w:val="20"/>
              </w:rPr>
              <w:t xml:space="preserve"> des </w:t>
            </w:r>
            <w:proofErr w:type="spellStart"/>
            <w:r w:rsidRPr="007A5455">
              <w:rPr>
                <w:sz w:val="20"/>
                <w:szCs w:val="20"/>
              </w:rPr>
              <w:t>règlements</w:t>
            </w:r>
            <w:proofErr w:type="spellEnd"/>
            <w:r w:rsidRPr="007A5455">
              <w:rPr>
                <w:sz w:val="20"/>
                <w:szCs w:val="20"/>
              </w:rPr>
              <w:t xml:space="preserve"> - Les </w:t>
            </w:r>
            <w:proofErr w:type="spellStart"/>
            <w:r w:rsidRPr="007A5455">
              <w:rPr>
                <w:sz w:val="20"/>
                <w:szCs w:val="20"/>
              </w:rPr>
              <w:t>organismes</w:t>
            </w:r>
            <w:proofErr w:type="spellEnd"/>
            <w:r w:rsidRPr="007A5455">
              <w:rPr>
                <w:sz w:val="20"/>
                <w:szCs w:val="20"/>
              </w:rPr>
              <w:t xml:space="preserve"> </w:t>
            </w:r>
            <w:proofErr w:type="spellStart"/>
            <w:r w:rsidRPr="007A5455">
              <w:rPr>
                <w:sz w:val="20"/>
                <w:szCs w:val="20"/>
              </w:rPr>
              <w:t>administratifs</w:t>
            </w:r>
            <w:proofErr w:type="spellEnd"/>
            <w:r w:rsidRPr="007A5455">
              <w:rPr>
                <w:sz w:val="20"/>
                <w:szCs w:val="20"/>
              </w:rPr>
              <w:t xml:space="preserve"> </w:t>
            </w:r>
            <w:proofErr w:type="spellStart"/>
            <w:r w:rsidRPr="007A5455">
              <w:rPr>
                <w:sz w:val="20"/>
                <w:szCs w:val="20"/>
              </w:rPr>
              <w:t>doivent-ils</w:t>
            </w:r>
            <w:proofErr w:type="spellEnd"/>
            <w:r w:rsidRPr="007A5455">
              <w:rPr>
                <w:sz w:val="20"/>
                <w:szCs w:val="20"/>
              </w:rPr>
              <w:t xml:space="preserve"> </w:t>
            </w:r>
            <w:proofErr w:type="spellStart"/>
            <w:r w:rsidRPr="007A5455">
              <w:rPr>
                <w:sz w:val="20"/>
                <w:szCs w:val="20"/>
              </w:rPr>
              <w:t>être</w:t>
            </w:r>
            <w:proofErr w:type="spellEnd"/>
            <w:r w:rsidRPr="007A5455">
              <w:rPr>
                <w:sz w:val="20"/>
                <w:szCs w:val="20"/>
              </w:rPr>
              <w:t xml:space="preserve"> </w:t>
            </w:r>
            <w:proofErr w:type="spellStart"/>
            <w:r w:rsidRPr="007A5455">
              <w:rPr>
                <w:sz w:val="20"/>
                <w:szCs w:val="20"/>
              </w:rPr>
              <w:t>libres</w:t>
            </w:r>
            <w:proofErr w:type="spellEnd"/>
            <w:r w:rsidRPr="007A5455">
              <w:rPr>
                <w:sz w:val="20"/>
                <w:szCs w:val="20"/>
              </w:rPr>
              <w:t xml:space="preserve"> de </w:t>
            </w:r>
            <w:proofErr w:type="spellStart"/>
            <w:r w:rsidRPr="007A5455">
              <w:rPr>
                <w:sz w:val="20"/>
                <w:szCs w:val="20"/>
              </w:rPr>
              <w:t>toute</w:t>
            </w:r>
            <w:proofErr w:type="spellEnd"/>
            <w:r w:rsidRPr="007A5455">
              <w:rPr>
                <w:sz w:val="20"/>
                <w:szCs w:val="20"/>
              </w:rPr>
              <w:t xml:space="preserve"> intervention du </w:t>
            </w:r>
            <w:proofErr w:type="spellStart"/>
            <w:r w:rsidRPr="007A5455">
              <w:rPr>
                <w:sz w:val="20"/>
                <w:szCs w:val="20"/>
              </w:rPr>
              <w:t>pouvoir</w:t>
            </w:r>
            <w:proofErr w:type="spellEnd"/>
            <w:r w:rsidRPr="007A5455">
              <w:rPr>
                <w:sz w:val="20"/>
                <w:szCs w:val="20"/>
              </w:rPr>
              <w:t xml:space="preserve"> </w:t>
            </w:r>
            <w:proofErr w:type="spellStart"/>
            <w:r w:rsidRPr="007A5455">
              <w:rPr>
                <w:sz w:val="20"/>
                <w:szCs w:val="20"/>
              </w:rPr>
              <w:t>exécutif</w:t>
            </w:r>
            <w:proofErr w:type="spellEnd"/>
            <w:r w:rsidRPr="007A5455">
              <w:rPr>
                <w:sz w:val="20"/>
                <w:szCs w:val="20"/>
              </w:rPr>
              <w:t xml:space="preserve"> </w:t>
            </w:r>
            <w:proofErr w:type="spellStart"/>
            <w:r w:rsidRPr="007A5455">
              <w:rPr>
                <w:sz w:val="20"/>
                <w:szCs w:val="20"/>
              </w:rPr>
              <w:t>dans</w:t>
            </w:r>
            <w:proofErr w:type="spellEnd"/>
            <w:r w:rsidRPr="007A5455">
              <w:rPr>
                <w:sz w:val="20"/>
                <w:szCs w:val="20"/>
              </w:rPr>
              <w:t xml:space="preserve"> </w:t>
            </w:r>
            <w:proofErr w:type="spellStart"/>
            <w:r w:rsidRPr="007A5455">
              <w:rPr>
                <w:sz w:val="20"/>
                <w:szCs w:val="20"/>
              </w:rPr>
              <w:t>l’exercice</w:t>
            </w:r>
            <w:proofErr w:type="spellEnd"/>
            <w:r w:rsidRPr="007A5455">
              <w:rPr>
                <w:sz w:val="20"/>
                <w:szCs w:val="20"/>
              </w:rPr>
              <w:t xml:space="preserve"> de </w:t>
            </w:r>
            <w:proofErr w:type="spellStart"/>
            <w:r w:rsidRPr="007A5455">
              <w:rPr>
                <w:sz w:val="20"/>
                <w:szCs w:val="20"/>
              </w:rPr>
              <w:t>fonctions</w:t>
            </w:r>
            <w:proofErr w:type="spellEnd"/>
            <w:r w:rsidRPr="007A5455">
              <w:rPr>
                <w:sz w:val="20"/>
                <w:szCs w:val="20"/>
              </w:rPr>
              <w:t xml:space="preserve"> </w:t>
            </w:r>
            <w:proofErr w:type="spellStart"/>
            <w:r w:rsidRPr="007A5455">
              <w:rPr>
                <w:sz w:val="20"/>
                <w:szCs w:val="20"/>
              </w:rPr>
              <w:t>législatives</w:t>
            </w:r>
            <w:proofErr w:type="spellEnd"/>
            <w:r w:rsidRPr="007A5455">
              <w:rPr>
                <w:sz w:val="20"/>
                <w:szCs w:val="20"/>
              </w:rPr>
              <w:t xml:space="preserve">, par opposition aux </w:t>
            </w:r>
            <w:proofErr w:type="spellStart"/>
            <w:r w:rsidRPr="007A5455">
              <w:rPr>
                <w:sz w:val="20"/>
                <w:szCs w:val="20"/>
              </w:rPr>
              <w:t>fonctions</w:t>
            </w:r>
            <w:proofErr w:type="spellEnd"/>
            <w:r w:rsidRPr="007A5455">
              <w:rPr>
                <w:sz w:val="20"/>
                <w:szCs w:val="20"/>
              </w:rPr>
              <w:t xml:space="preserve"> </w:t>
            </w:r>
            <w:proofErr w:type="spellStart"/>
            <w:r w:rsidRPr="007A5455">
              <w:rPr>
                <w:sz w:val="20"/>
                <w:szCs w:val="20"/>
              </w:rPr>
              <w:t>judiciaires</w:t>
            </w:r>
            <w:proofErr w:type="spellEnd"/>
            <w:r w:rsidRPr="007A5455">
              <w:rPr>
                <w:sz w:val="20"/>
                <w:szCs w:val="20"/>
              </w:rPr>
              <w:t xml:space="preserve">? </w:t>
            </w:r>
            <w:proofErr w:type="gramStart"/>
            <w:r w:rsidRPr="007A5455">
              <w:rPr>
                <w:sz w:val="20"/>
                <w:szCs w:val="20"/>
              </w:rPr>
              <w:t xml:space="preserve">- </w:t>
            </w:r>
            <w:proofErr w:type="spellStart"/>
            <w:r w:rsidRPr="007A5455">
              <w:rPr>
                <w:sz w:val="20"/>
                <w:szCs w:val="20"/>
              </w:rPr>
              <w:t>Dans</w:t>
            </w:r>
            <w:proofErr w:type="spellEnd"/>
            <w:proofErr w:type="gramEnd"/>
            <w:r w:rsidRPr="007A5455">
              <w:rPr>
                <w:sz w:val="20"/>
                <w:szCs w:val="20"/>
              </w:rPr>
              <w:t xml:space="preserve"> </w:t>
            </w:r>
            <w:proofErr w:type="spellStart"/>
            <w:r w:rsidRPr="007A5455">
              <w:rPr>
                <w:sz w:val="20"/>
                <w:szCs w:val="20"/>
              </w:rPr>
              <w:t>l’affirmative</w:t>
            </w:r>
            <w:proofErr w:type="spellEnd"/>
            <w:r w:rsidRPr="007A5455">
              <w:rPr>
                <w:sz w:val="20"/>
                <w:szCs w:val="20"/>
              </w:rPr>
              <w:t xml:space="preserve">, </w:t>
            </w:r>
            <w:proofErr w:type="spellStart"/>
            <w:r w:rsidRPr="007A5455">
              <w:rPr>
                <w:sz w:val="20"/>
                <w:szCs w:val="20"/>
              </w:rPr>
              <w:t>dans</w:t>
            </w:r>
            <w:proofErr w:type="spellEnd"/>
            <w:r w:rsidRPr="007A5455">
              <w:rPr>
                <w:sz w:val="20"/>
                <w:szCs w:val="20"/>
              </w:rPr>
              <w:t xml:space="preserve"> </w:t>
            </w:r>
            <w:proofErr w:type="spellStart"/>
            <w:r w:rsidRPr="007A5455">
              <w:rPr>
                <w:sz w:val="20"/>
                <w:szCs w:val="20"/>
              </w:rPr>
              <w:t>quelle</w:t>
            </w:r>
            <w:proofErr w:type="spellEnd"/>
            <w:r w:rsidRPr="007A5455">
              <w:rPr>
                <w:sz w:val="20"/>
                <w:szCs w:val="20"/>
              </w:rPr>
              <w:t xml:space="preserve"> </w:t>
            </w:r>
            <w:proofErr w:type="spellStart"/>
            <w:r w:rsidRPr="007A5455">
              <w:rPr>
                <w:sz w:val="20"/>
                <w:szCs w:val="20"/>
              </w:rPr>
              <w:t>mesure</w:t>
            </w:r>
            <w:proofErr w:type="spellEnd"/>
            <w:r w:rsidRPr="007A5455">
              <w:rPr>
                <w:sz w:val="20"/>
                <w:szCs w:val="20"/>
              </w:rPr>
              <w:t xml:space="preserve"> </w:t>
            </w:r>
            <w:proofErr w:type="spellStart"/>
            <w:r w:rsidRPr="007A5455">
              <w:rPr>
                <w:sz w:val="20"/>
                <w:szCs w:val="20"/>
              </w:rPr>
              <w:t>doivent-ils</w:t>
            </w:r>
            <w:proofErr w:type="spellEnd"/>
            <w:r w:rsidRPr="007A5455">
              <w:rPr>
                <w:sz w:val="20"/>
                <w:szCs w:val="20"/>
              </w:rPr>
              <w:t xml:space="preserve"> </w:t>
            </w:r>
            <w:proofErr w:type="spellStart"/>
            <w:r w:rsidRPr="007A5455">
              <w:rPr>
                <w:sz w:val="20"/>
                <w:szCs w:val="20"/>
              </w:rPr>
              <w:t>être</w:t>
            </w:r>
            <w:proofErr w:type="spellEnd"/>
            <w:r w:rsidRPr="007A5455">
              <w:rPr>
                <w:sz w:val="20"/>
                <w:szCs w:val="20"/>
              </w:rPr>
              <w:t xml:space="preserve"> </w:t>
            </w:r>
            <w:proofErr w:type="spellStart"/>
            <w:r w:rsidRPr="007A5455">
              <w:rPr>
                <w:sz w:val="20"/>
                <w:szCs w:val="20"/>
              </w:rPr>
              <w:t>libres</w:t>
            </w:r>
            <w:proofErr w:type="spellEnd"/>
            <w:r w:rsidRPr="007A5455">
              <w:rPr>
                <w:sz w:val="20"/>
                <w:szCs w:val="20"/>
              </w:rPr>
              <w:t xml:space="preserve"> de </w:t>
            </w:r>
            <w:proofErr w:type="spellStart"/>
            <w:r w:rsidRPr="007A5455">
              <w:rPr>
                <w:sz w:val="20"/>
                <w:szCs w:val="20"/>
              </w:rPr>
              <w:t>toute</w:t>
            </w:r>
            <w:proofErr w:type="spellEnd"/>
            <w:r w:rsidRPr="007A5455">
              <w:rPr>
                <w:sz w:val="20"/>
                <w:szCs w:val="20"/>
              </w:rPr>
              <w:t xml:space="preserve"> intervention </w:t>
            </w:r>
            <w:proofErr w:type="spellStart"/>
            <w:r w:rsidRPr="007A5455">
              <w:rPr>
                <w:sz w:val="20"/>
                <w:szCs w:val="20"/>
              </w:rPr>
              <w:t>dans</w:t>
            </w:r>
            <w:proofErr w:type="spellEnd"/>
            <w:r w:rsidRPr="007A5455">
              <w:rPr>
                <w:sz w:val="20"/>
                <w:szCs w:val="20"/>
              </w:rPr>
              <w:t xml:space="preserve"> </w:t>
            </w:r>
            <w:proofErr w:type="spellStart"/>
            <w:r w:rsidRPr="007A5455">
              <w:rPr>
                <w:sz w:val="20"/>
                <w:szCs w:val="20"/>
              </w:rPr>
              <w:t>l’exercice</w:t>
            </w:r>
            <w:proofErr w:type="spellEnd"/>
            <w:r w:rsidRPr="007A5455">
              <w:rPr>
                <w:sz w:val="20"/>
                <w:szCs w:val="20"/>
              </w:rPr>
              <w:t xml:space="preserve"> de </w:t>
            </w:r>
            <w:proofErr w:type="spellStart"/>
            <w:r w:rsidRPr="007A5455">
              <w:rPr>
                <w:sz w:val="20"/>
                <w:szCs w:val="20"/>
              </w:rPr>
              <w:t>ces</w:t>
            </w:r>
            <w:proofErr w:type="spellEnd"/>
            <w:r w:rsidRPr="007A5455">
              <w:rPr>
                <w:sz w:val="20"/>
                <w:szCs w:val="20"/>
              </w:rPr>
              <w:t xml:space="preserve"> </w:t>
            </w:r>
            <w:proofErr w:type="spellStart"/>
            <w:r w:rsidRPr="007A5455">
              <w:rPr>
                <w:sz w:val="20"/>
                <w:szCs w:val="20"/>
              </w:rPr>
              <w:t>fonctions</w:t>
            </w:r>
            <w:proofErr w:type="spellEnd"/>
            <w:r w:rsidRPr="007A5455">
              <w:rPr>
                <w:sz w:val="20"/>
                <w:szCs w:val="20"/>
              </w:rPr>
              <w:t>?</w:t>
            </w:r>
          </w:p>
        </w:tc>
      </w:tr>
    </w:tbl>
    <w:p w:rsidR="00E940EB" w:rsidRPr="007A5455" w:rsidRDefault="001F68BE" w:rsidP="00732DB7">
      <w:pPr>
        <w:widowControl w:val="0"/>
        <w:rPr>
          <w:sz w:val="20"/>
          <w:szCs w:val="20"/>
          <w:lang w:val="fr-CA"/>
        </w:rPr>
      </w:pPr>
      <w:r>
        <w:rPr>
          <w:sz w:val="20"/>
          <w:szCs w:val="20"/>
          <w:lang w:val="fr-CA"/>
        </w:rPr>
        <w:lastRenderedPageBreak/>
        <w:pict>
          <v:rect id="_x0000_i1078" style="width:2in;height:1pt" o:hrpct="0" o:hralign="center" o:hrstd="t" o:hrnoshade="t" o:hr="t" fillcolor="black [3213]" stroked="f"/>
        </w:pict>
      </w:r>
    </w:p>
    <w:p w:rsidR="00D004FC" w:rsidRPr="007A5455" w:rsidRDefault="00D004FC" w:rsidP="00732DB7">
      <w:pPr>
        <w:widowControl w:val="0"/>
        <w:rPr>
          <w:sz w:val="20"/>
          <w:szCs w:val="20"/>
          <w:lang w:val="fr-CA"/>
        </w:rPr>
      </w:pPr>
    </w:p>
    <w:p w:rsidR="00DC44FD" w:rsidRPr="007A5455" w:rsidRDefault="00DC44FD" w:rsidP="00DC44FD">
      <w:pPr>
        <w:widowControl w:val="0"/>
        <w:rPr>
          <w:sz w:val="20"/>
          <w:szCs w:val="20"/>
        </w:rPr>
      </w:pPr>
      <w:r w:rsidRPr="007A5455">
        <w:rPr>
          <w:sz w:val="20"/>
          <w:szCs w:val="20"/>
        </w:rPr>
        <w:t>10.12.2015</w:t>
      </w:r>
    </w:p>
    <w:p w:rsidR="00DC44FD" w:rsidRPr="007A5455" w:rsidRDefault="00DC44FD" w:rsidP="00DC44FD">
      <w:pPr>
        <w:widowControl w:val="0"/>
        <w:rPr>
          <w:sz w:val="20"/>
          <w:szCs w:val="20"/>
        </w:rPr>
      </w:pPr>
    </w:p>
    <w:p w:rsidR="00DC44FD" w:rsidRPr="007A5455" w:rsidRDefault="00DC44FD" w:rsidP="00DC44FD">
      <w:pPr>
        <w:widowControl w:val="0"/>
        <w:ind w:left="720" w:hanging="720"/>
        <w:rPr>
          <w:sz w:val="20"/>
          <w:szCs w:val="20"/>
          <w:u w:val="single"/>
          <w:lang w:val="fr-CA"/>
        </w:rPr>
      </w:pPr>
      <w:r w:rsidRPr="007A5455">
        <w:rPr>
          <w:sz w:val="20"/>
          <w:szCs w:val="20"/>
        </w:rPr>
        <w:t xml:space="preserve">Coram: </w:t>
      </w:r>
      <w:r w:rsidRPr="007A5455">
        <w:rPr>
          <w:sz w:val="20"/>
          <w:szCs w:val="20"/>
        </w:rPr>
        <w:tab/>
      </w:r>
      <w:r w:rsidRPr="007A5455">
        <w:rPr>
          <w:sz w:val="20"/>
          <w:szCs w:val="20"/>
          <w:u w:val="single"/>
          <w:lang w:val="fr-CA"/>
        </w:rPr>
        <w:t xml:space="preserve">La juge en chef </w:t>
      </w:r>
      <w:proofErr w:type="spellStart"/>
      <w:r w:rsidRPr="007A5455">
        <w:rPr>
          <w:sz w:val="20"/>
          <w:szCs w:val="20"/>
          <w:u w:val="single"/>
          <w:lang w:val="fr-CA"/>
        </w:rPr>
        <w:t>McLachlin</w:t>
      </w:r>
      <w:proofErr w:type="spellEnd"/>
      <w:r w:rsidRPr="007A5455">
        <w:rPr>
          <w:sz w:val="20"/>
          <w:szCs w:val="20"/>
          <w:u w:val="single"/>
          <w:lang w:val="fr-CA"/>
        </w:rPr>
        <w:t xml:space="preserve"> </w:t>
      </w:r>
      <w:proofErr w:type="gramStart"/>
      <w:r w:rsidRPr="007A5455">
        <w:rPr>
          <w:sz w:val="20"/>
          <w:szCs w:val="20"/>
          <w:u w:val="single"/>
          <w:lang w:val="fr-CA"/>
        </w:rPr>
        <w:t>et</w:t>
      </w:r>
      <w:proofErr w:type="gramEnd"/>
      <w:r w:rsidRPr="007A5455">
        <w:rPr>
          <w:sz w:val="20"/>
          <w:szCs w:val="20"/>
          <w:u w:val="single"/>
          <w:lang w:val="fr-CA"/>
        </w:rPr>
        <w:t xml:space="preserve"> les juges Abella, Cromwell, </w:t>
      </w:r>
      <w:proofErr w:type="spellStart"/>
      <w:r w:rsidRPr="007A5455">
        <w:rPr>
          <w:sz w:val="20"/>
          <w:szCs w:val="20"/>
          <w:u w:val="single"/>
          <w:lang w:val="fr-CA"/>
        </w:rPr>
        <w:t>Karakatsanis</w:t>
      </w:r>
      <w:proofErr w:type="spellEnd"/>
      <w:r w:rsidRPr="007A5455">
        <w:rPr>
          <w:sz w:val="20"/>
          <w:szCs w:val="20"/>
          <w:u w:val="single"/>
          <w:lang w:val="fr-CA"/>
        </w:rPr>
        <w:t>, Wagner, Gascon, Côté</w:t>
      </w:r>
    </w:p>
    <w:p w:rsidR="00DC44FD" w:rsidRPr="007A5455" w:rsidRDefault="00DC44FD" w:rsidP="00DC44FD">
      <w:pPr>
        <w:widowControl w:val="0"/>
        <w:ind w:left="720" w:hanging="72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44FD" w:rsidRPr="007A5455" w:rsidTr="0022676D">
        <w:tc>
          <w:tcPr>
            <w:tcW w:w="4380" w:type="dxa"/>
            <w:tcMar>
              <w:left w:w="0" w:type="dxa"/>
              <w:right w:w="0" w:type="dxa"/>
            </w:tcMar>
          </w:tcPr>
          <w:p w:rsidR="00DC44FD" w:rsidRPr="007A5455" w:rsidRDefault="00CB7E9C" w:rsidP="0022676D">
            <w:pPr>
              <w:widowControl w:val="0"/>
              <w:jc w:val="both"/>
              <w:rPr>
                <w:b/>
                <w:sz w:val="20"/>
                <w:szCs w:val="20"/>
              </w:rPr>
            </w:pPr>
            <w:proofErr w:type="spellStart"/>
            <w:r w:rsidRPr="007A5455">
              <w:rPr>
                <w:b/>
                <w:sz w:val="20"/>
                <w:szCs w:val="20"/>
              </w:rPr>
              <w:t>Ferme</w:t>
            </w:r>
            <w:proofErr w:type="spellEnd"/>
            <w:r w:rsidRPr="007A5455">
              <w:rPr>
                <w:b/>
                <w:sz w:val="20"/>
                <w:szCs w:val="20"/>
              </w:rPr>
              <w:t xml:space="preserve"> Vi-</w:t>
            </w:r>
            <w:proofErr w:type="spellStart"/>
            <w:r w:rsidRPr="007A5455">
              <w:rPr>
                <w:b/>
                <w:sz w:val="20"/>
                <w:szCs w:val="20"/>
              </w:rPr>
              <w:t>Ber</w:t>
            </w:r>
            <w:proofErr w:type="spellEnd"/>
            <w:r w:rsidRPr="007A5455">
              <w:rPr>
                <w:b/>
                <w:sz w:val="20"/>
                <w:szCs w:val="20"/>
              </w:rPr>
              <w:t xml:space="preserve"> Inc. et </w:t>
            </w:r>
            <w:proofErr w:type="spellStart"/>
            <w:r w:rsidRPr="007A5455">
              <w:rPr>
                <w:b/>
                <w:sz w:val="20"/>
                <w:szCs w:val="20"/>
              </w:rPr>
              <w:t>autres</w:t>
            </w:r>
            <w:proofErr w:type="spellEnd"/>
          </w:p>
          <w:p w:rsidR="00DC44FD" w:rsidRPr="007A5455" w:rsidRDefault="00DC44FD" w:rsidP="0022676D">
            <w:pPr>
              <w:widowControl w:val="0"/>
              <w:jc w:val="both"/>
              <w:rPr>
                <w:b/>
                <w:sz w:val="20"/>
                <w:szCs w:val="20"/>
              </w:rPr>
            </w:pPr>
          </w:p>
          <w:p w:rsidR="00DC44FD" w:rsidRPr="007A5455" w:rsidRDefault="00DC44FD" w:rsidP="0022676D">
            <w:pPr>
              <w:widowControl w:val="0"/>
              <w:tabs>
                <w:tab w:val="left" w:pos="736"/>
              </w:tabs>
              <w:jc w:val="both"/>
              <w:rPr>
                <w:b/>
                <w:sz w:val="20"/>
                <w:szCs w:val="20"/>
              </w:rPr>
            </w:pPr>
            <w:r w:rsidRPr="007A5455">
              <w:rPr>
                <w:b/>
                <w:sz w:val="20"/>
                <w:szCs w:val="20"/>
              </w:rPr>
              <w:tab/>
              <w:t xml:space="preserve">c. </w:t>
            </w:r>
            <w:r w:rsidRPr="007A5455">
              <w:rPr>
                <w:sz w:val="20"/>
                <w:szCs w:val="20"/>
              </w:rPr>
              <w:t>(</w:t>
            </w:r>
            <w:hyperlink r:id="rId94" w:history="1">
              <w:r w:rsidRPr="007A5455">
                <w:rPr>
                  <w:rStyle w:val="Hyperlink"/>
                  <w:sz w:val="20"/>
                  <w:szCs w:val="20"/>
                </w:rPr>
                <w:t>3620</w:t>
              </w:r>
            </w:hyperlink>
            <w:r w:rsidRPr="007A5455">
              <w:rPr>
                <w:rStyle w:val="Hyperlink"/>
                <w:sz w:val="20"/>
                <w:szCs w:val="20"/>
              </w:rPr>
              <w:t>5</w:t>
            </w:r>
            <w:r w:rsidRPr="007A5455">
              <w:rPr>
                <w:sz w:val="20"/>
                <w:szCs w:val="20"/>
              </w:rPr>
              <w:t>)</w:t>
            </w:r>
          </w:p>
          <w:p w:rsidR="00DC44FD" w:rsidRPr="007A5455" w:rsidRDefault="00DC44FD" w:rsidP="0022676D">
            <w:pPr>
              <w:widowControl w:val="0"/>
              <w:jc w:val="both"/>
              <w:rPr>
                <w:b/>
                <w:sz w:val="20"/>
                <w:szCs w:val="20"/>
              </w:rPr>
            </w:pPr>
          </w:p>
          <w:p w:rsidR="00DC44FD" w:rsidRPr="007A5455" w:rsidRDefault="002A0A7F" w:rsidP="009F7EFD">
            <w:pPr>
              <w:widowControl w:val="0"/>
              <w:jc w:val="both"/>
              <w:rPr>
                <w:sz w:val="20"/>
                <w:szCs w:val="20"/>
              </w:rPr>
            </w:pPr>
            <w:proofErr w:type="spellStart"/>
            <w:r w:rsidRPr="007A5455">
              <w:rPr>
                <w:b/>
                <w:sz w:val="20"/>
                <w:szCs w:val="20"/>
              </w:rPr>
              <w:t>Financière</w:t>
            </w:r>
            <w:proofErr w:type="spellEnd"/>
            <w:r w:rsidRPr="007A5455">
              <w:rPr>
                <w:b/>
                <w:sz w:val="20"/>
                <w:szCs w:val="20"/>
              </w:rPr>
              <w:t xml:space="preserve"> </w:t>
            </w:r>
            <w:proofErr w:type="spellStart"/>
            <w:r w:rsidR="009F7EFD" w:rsidRPr="007A5455">
              <w:rPr>
                <w:b/>
                <w:sz w:val="20"/>
                <w:szCs w:val="20"/>
              </w:rPr>
              <w:t>A</w:t>
            </w:r>
            <w:r w:rsidRPr="007A5455">
              <w:rPr>
                <w:b/>
                <w:sz w:val="20"/>
                <w:szCs w:val="20"/>
              </w:rPr>
              <w:t>gricole</w:t>
            </w:r>
            <w:proofErr w:type="spellEnd"/>
            <w:r w:rsidR="00DC44FD" w:rsidRPr="007A5455">
              <w:rPr>
                <w:b/>
                <w:sz w:val="20"/>
                <w:szCs w:val="20"/>
              </w:rPr>
              <w:t xml:space="preserve"> </w:t>
            </w:r>
            <w:r w:rsidRPr="007A5455">
              <w:rPr>
                <w:b/>
                <w:sz w:val="20"/>
                <w:szCs w:val="20"/>
              </w:rPr>
              <w:t xml:space="preserve">du Québec et </w:t>
            </w:r>
            <w:proofErr w:type="spellStart"/>
            <w:r w:rsidRPr="007A5455">
              <w:rPr>
                <w:b/>
                <w:sz w:val="20"/>
                <w:szCs w:val="20"/>
              </w:rPr>
              <w:t>autres</w:t>
            </w:r>
            <w:proofErr w:type="spellEnd"/>
            <w:r w:rsidRPr="007A5455">
              <w:rPr>
                <w:b/>
                <w:sz w:val="20"/>
                <w:szCs w:val="20"/>
              </w:rPr>
              <w:t xml:space="preserve"> </w:t>
            </w:r>
            <w:r w:rsidR="00DC44FD" w:rsidRPr="007A5455">
              <w:rPr>
                <w:b/>
                <w:sz w:val="20"/>
                <w:szCs w:val="20"/>
              </w:rPr>
              <w:t>(</w:t>
            </w:r>
            <w:r w:rsidRPr="007A5455">
              <w:rPr>
                <w:b/>
                <w:sz w:val="20"/>
                <w:szCs w:val="20"/>
              </w:rPr>
              <w:t>Qc</w:t>
            </w:r>
            <w:r w:rsidR="00DC44FD" w:rsidRPr="007A5455">
              <w:rPr>
                <w:b/>
                <w:sz w:val="20"/>
                <w:szCs w:val="20"/>
              </w:rPr>
              <w:t>) (</w:t>
            </w:r>
            <w:proofErr w:type="spellStart"/>
            <w:r w:rsidR="00DC44FD" w:rsidRPr="007A5455">
              <w:rPr>
                <w:b/>
                <w:sz w:val="20"/>
                <w:szCs w:val="20"/>
              </w:rPr>
              <w:t>Civil</w:t>
            </w:r>
            <w:r w:rsidRPr="007A5455">
              <w:rPr>
                <w:b/>
                <w:sz w:val="20"/>
                <w:szCs w:val="20"/>
              </w:rPr>
              <w:t>e</w:t>
            </w:r>
            <w:proofErr w:type="spellEnd"/>
            <w:r w:rsidR="00DC44FD" w:rsidRPr="007A5455">
              <w:rPr>
                <w:b/>
                <w:sz w:val="20"/>
                <w:szCs w:val="20"/>
              </w:rPr>
              <w:t>)</w:t>
            </w:r>
            <w:r w:rsidRPr="007A5455">
              <w:rPr>
                <w:b/>
                <w:sz w:val="20"/>
                <w:szCs w:val="20"/>
              </w:rPr>
              <w:t xml:space="preserve"> </w:t>
            </w:r>
            <w:r w:rsidR="00DC44FD" w:rsidRPr="007A5455">
              <w:rPr>
                <w:b/>
                <w:sz w:val="20"/>
                <w:szCs w:val="20"/>
              </w:rPr>
              <w:t>(</w:t>
            </w:r>
            <w:proofErr w:type="spellStart"/>
            <w:r w:rsidRPr="007A5455">
              <w:rPr>
                <w:b/>
                <w:sz w:val="20"/>
                <w:szCs w:val="20"/>
              </w:rPr>
              <w:t>Autorisation</w:t>
            </w:r>
            <w:proofErr w:type="spellEnd"/>
            <w:r w:rsidR="00DC44FD" w:rsidRPr="007A5455">
              <w:rPr>
                <w:b/>
                <w:sz w:val="20"/>
                <w:szCs w:val="20"/>
              </w:rPr>
              <w:t>)</w:t>
            </w:r>
          </w:p>
        </w:tc>
        <w:tc>
          <w:tcPr>
            <w:tcW w:w="720" w:type="dxa"/>
            <w:tcMar>
              <w:left w:w="0" w:type="dxa"/>
              <w:right w:w="0" w:type="dxa"/>
            </w:tcMar>
          </w:tcPr>
          <w:p w:rsidR="00DC44FD" w:rsidRPr="007A5455" w:rsidRDefault="00DC44FD" w:rsidP="0022676D">
            <w:pPr>
              <w:widowControl w:val="0"/>
              <w:jc w:val="center"/>
              <w:rPr>
                <w:sz w:val="20"/>
                <w:szCs w:val="20"/>
              </w:rPr>
            </w:pPr>
          </w:p>
        </w:tc>
        <w:tc>
          <w:tcPr>
            <w:tcW w:w="4380" w:type="dxa"/>
            <w:tcMar>
              <w:left w:w="0" w:type="dxa"/>
              <w:right w:w="0" w:type="dxa"/>
            </w:tcMar>
          </w:tcPr>
          <w:p w:rsidR="00DC44FD" w:rsidRPr="007A5455" w:rsidRDefault="00562A22" w:rsidP="0022676D">
            <w:pPr>
              <w:jc w:val="both"/>
              <w:rPr>
                <w:sz w:val="20"/>
                <w:szCs w:val="20"/>
              </w:rPr>
            </w:pPr>
            <w:r w:rsidRPr="007A5455">
              <w:rPr>
                <w:sz w:val="20"/>
                <w:szCs w:val="20"/>
              </w:rPr>
              <w:t xml:space="preserve">Bruno </w:t>
            </w:r>
            <w:proofErr w:type="spellStart"/>
            <w:r w:rsidRPr="007A5455">
              <w:rPr>
                <w:sz w:val="20"/>
                <w:szCs w:val="20"/>
              </w:rPr>
              <w:t>Lepage</w:t>
            </w:r>
            <w:proofErr w:type="spellEnd"/>
            <w:r w:rsidRPr="007A5455">
              <w:rPr>
                <w:sz w:val="20"/>
                <w:szCs w:val="20"/>
              </w:rPr>
              <w:t xml:space="preserve">, Madeleine Lemieux et Dominique-Anne Roy pour les </w:t>
            </w:r>
            <w:proofErr w:type="spellStart"/>
            <w:r w:rsidRPr="007A5455">
              <w:rPr>
                <w:sz w:val="20"/>
                <w:szCs w:val="20"/>
              </w:rPr>
              <w:t>appelants</w:t>
            </w:r>
            <w:proofErr w:type="spellEnd"/>
            <w:r w:rsidR="00DC44FD" w:rsidRPr="007A5455">
              <w:rPr>
                <w:sz w:val="20"/>
                <w:szCs w:val="20"/>
              </w:rPr>
              <w:t>.</w:t>
            </w:r>
          </w:p>
          <w:p w:rsidR="00DC44FD" w:rsidRPr="007A5455" w:rsidRDefault="00DC44FD" w:rsidP="0022676D">
            <w:pPr>
              <w:jc w:val="both"/>
              <w:rPr>
                <w:sz w:val="20"/>
                <w:szCs w:val="20"/>
              </w:rPr>
            </w:pPr>
          </w:p>
          <w:p w:rsidR="00DC44FD" w:rsidRPr="007A5455" w:rsidRDefault="00562A22" w:rsidP="000873DE">
            <w:pPr>
              <w:widowControl w:val="0"/>
              <w:jc w:val="both"/>
              <w:rPr>
                <w:sz w:val="20"/>
                <w:szCs w:val="20"/>
              </w:rPr>
            </w:pPr>
            <w:proofErr w:type="spellStart"/>
            <w:r w:rsidRPr="007A5455">
              <w:rPr>
                <w:sz w:val="20"/>
                <w:szCs w:val="20"/>
              </w:rPr>
              <w:t>Matthieu</w:t>
            </w:r>
            <w:proofErr w:type="spellEnd"/>
            <w:r w:rsidRPr="007A5455">
              <w:rPr>
                <w:sz w:val="20"/>
                <w:szCs w:val="20"/>
              </w:rPr>
              <w:t xml:space="preserve"> Brassard</w:t>
            </w:r>
            <w:r w:rsidR="00CB2B1A" w:rsidRPr="007A5455">
              <w:rPr>
                <w:sz w:val="20"/>
                <w:szCs w:val="20"/>
              </w:rPr>
              <w:t xml:space="preserve">, Jean-Pierre </w:t>
            </w:r>
            <w:proofErr w:type="spellStart"/>
            <w:r w:rsidR="00CB2B1A" w:rsidRPr="007A5455">
              <w:rPr>
                <w:sz w:val="20"/>
                <w:szCs w:val="20"/>
              </w:rPr>
              <w:t>Émond</w:t>
            </w:r>
            <w:proofErr w:type="spellEnd"/>
            <w:r w:rsidRPr="007A5455">
              <w:rPr>
                <w:sz w:val="20"/>
                <w:szCs w:val="20"/>
              </w:rPr>
              <w:t xml:space="preserve"> et </w:t>
            </w:r>
            <w:proofErr w:type="spellStart"/>
            <w:r w:rsidRPr="007A5455">
              <w:rPr>
                <w:sz w:val="20"/>
                <w:szCs w:val="20"/>
              </w:rPr>
              <w:t>Valérie</w:t>
            </w:r>
            <w:proofErr w:type="spellEnd"/>
            <w:r w:rsidRPr="007A5455">
              <w:rPr>
                <w:sz w:val="20"/>
                <w:szCs w:val="20"/>
              </w:rPr>
              <w:t xml:space="preserve"> Blanchet pour les </w:t>
            </w:r>
            <w:proofErr w:type="spellStart"/>
            <w:r w:rsidRPr="007A5455">
              <w:rPr>
                <w:sz w:val="20"/>
                <w:szCs w:val="20"/>
              </w:rPr>
              <w:t>intimées</w:t>
            </w:r>
            <w:proofErr w:type="spellEnd"/>
            <w:r w:rsidR="000873DE" w:rsidRPr="007A5455">
              <w:rPr>
                <w:sz w:val="20"/>
                <w:szCs w:val="20"/>
              </w:rPr>
              <w:t>.</w:t>
            </w:r>
          </w:p>
        </w:tc>
      </w:tr>
    </w:tbl>
    <w:p w:rsidR="00DC44FD" w:rsidRPr="007A5455" w:rsidRDefault="00DC44FD" w:rsidP="00DC44FD">
      <w:pPr>
        <w:widowControl w:val="0"/>
      </w:pPr>
    </w:p>
    <w:p w:rsidR="00DC44FD" w:rsidRPr="007A5455" w:rsidRDefault="00DC44FD" w:rsidP="00DC44FD">
      <w:pPr>
        <w:widowControl w:val="0"/>
        <w:rPr>
          <w:sz w:val="20"/>
          <w:szCs w:val="20"/>
        </w:rPr>
      </w:pPr>
      <w:r w:rsidRPr="007A5455">
        <w:rPr>
          <w:b/>
          <w:sz w:val="20"/>
          <w:szCs w:val="20"/>
        </w:rPr>
        <w:t>RESERVED / EN DÉLIBÉRÉ</w:t>
      </w:r>
    </w:p>
    <w:p w:rsidR="00DC44FD" w:rsidRPr="007A5455" w:rsidRDefault="00DC44FD" w:rsidP="00DC44FD">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44FD" w:rsidRPr="007A5455" w:rsidTr="0022676D">
        <w:tc>
          <w:tcPr>
            <w:tcW w:w="4380" w:type="dxa"/>
            <w:tcMar>
              <w:left w:w="0" w:type="dxa"/>
              <w:right w:w="0" w:type="dxa"/>
            </w:tcMar>
          </w:tcPr>
          <w:p w:rsidR="00DC44FD" w:rsidRPr="007A5455" w:rsidRDefault="00DC44FD" w:rsidP="0022676D">
            <w:pPr>
              <w:widowControl w:val="0"/>
              <w:jc w:val="both"/>
              <w:rPr>
                <w:b/>
                <w:sz w:val="20"/>
                <w:szCs w:val="20"/>
                <w:u w:val="single"/>
              </w:rPr>
            </w:pPr>
            <w:r w:rsidRPr="007A5455">
              <w:rPr>
                <w:b/>
                <w:sz w:val="20"/>
                <w:szCs w:val="20"/>
                <w:u w:val="single"/>
              </w:rPr>
              <w:t>Nature of the case:</w:t>
            </w:r>
          </w:p>
          <w:p w:rsidR="00DC44FD" w:rsidRPr="007A5455" w:rsidRDefault="00DC44FD" w:rsidP="0022676D">
            <w:pPr>
              <w:widowControl w:val="0"/>
              <w:jc w:val="both"/>
              <w:rPr>
                <w:b/>
                <w:sz w:val="20"/>
                <w:szCs w:val="20"/>
              </w:rPr>
            </w:pPr>
          </w:p>
          <w:p w:rsidR="00DC44FD" w:rsidRPr="007A5455" w:rsidRDefault="009F7EFD" w:rsidP="0022676D">
            <w:pPr>
              <w:widowControl w:val="0"/>
              <w:jc w:val="both"/>
              <w:rPr>
                <w:b/>
                <w:sz w:val="20"/>
                <w:szCs w:val="20"/>
              </w:rPr>
            </w:pPr>
            <w:r w:rsidRPr="007A5455">
              <w:rPr>
                <w:sz w:val="20"/>
                <w:szCs w:val="20"/>
              </w:rPr>
              <w:t xml:space="preserve">Agriculture - Contracts - Insurance - Administrative law - Farm income stabilization - Appellants participating in Farm Income Stabilization Insurance Program administered by respondent under </w:t>
            </w:r>
            <w:r w:rsidRPr="007A5455">
              <w:rPr>
                <w:i/>
                <w:sz w:val="20"/>
                <w:szCs w:val="20"/>
              </w:rPr>
              <w:t xml:space="preserve">Act respecting La </w:t>
            </w:r>
            <w:proofErr w:type="spellStart"/>
            <w:r w:rsidRPr="007A5455">
              <w:rPr>
                <w:i/>
                <w:sz w:val="20"/>
                <w:szCs w:val="20"/>
              </w:rPr>
              <w:t>Financière</w:t>
            </w:r>
            <w:proofErr w:type="spellEnd"/>
            <w:r w:rsidRPr="007A5455">
              <w:rPr>
                <w:i/>
                <w:sz w:val="20"/>
                <w:szCs w:val="20"/>
              </w:rPr>
              <w:t xml:space="preserve"> </w:t>
            </w:r>
            <w:proofErr w:type="spellStart"/>
            <w:r w:rsidRPr="007A5455">
              <w:rPr>
                <w:i/>
                <w:sz w:val="20"/>
                <w:szCs w:val="20"/>
              </w:rPr>
              <w:t>agricole</w:t>
            </w:r>
            <w:proofErr w:type="spellEnd"/>
            <w:r w:rsidRPr="007A5455">
              <w:rPr>
                <w:i/>
                <w:sz w:val="20"/>
                <w:szCs w:val="20"/>
              </w:rPr>
              <w:t xml:space="preserve"> du Québec</w:t>
            </w:r>
            <w:r w:rsidRPr="007A5455">
              <w:rPr>
                <w:sz w:val="20"/>
                <w:szCs w:val="20"/>
              </w:rPr>
              <w:t>, R.S.Q., c. L</w:t>
            </w:r>
            <w:r w:rsidRPr="007A5455">
              <w:rPr>
                <w:sz w:val="20"/>
                <w:szCs w:val="20"/>
              </w:rPr>
              <w:noBreakHyphen/>
              <w:t xml:space="preserve">0.1 - Whether Farm Income Stabilization Insurance Program (ASRA) offered to farm producers in Quebec by </w:t>
            </w:r>
            <w:proofErr w:type="spellStart"/>
            <w:r w:rsidRPr="007A5455">
              <w:rPr>
                <w:sz w:val="20"/>
                <w:szCs w:val="20"/>
              </w:rPr>
              <w:t>Financière</w:t>
            </w:r>
            <w:proofErr w:type="spellEnd"/>
            <w:r w:rsidRPr="007A5455">
              <w:rPr>
                <w:sz w:val="20"/>
                <w:szCs w:val="20"/>
              </w:rPr>
              <w:t xml:space="preserve"> </w:t>
            </w:r>
            <w:proofErr w:type="spellStart"/>
            <w:r w:rsidRPr="007A5455">
              <w:rPr>
                <w:sz w:val="20"/>
                <w:szCs w:val="20"/>
              </w:rPr>
              <w:t>agricole</w:t>
            </w:r>
            <w:proofErr w:type="spellEnd"/>
            <w:r w:rsidRPr="007A5455">
              <w:rPr>
                <w:sz w:val="20"/>
                <w:szCs w:val="20"/>
              </w:rPr>
              <w:t xml:space="preserve"> can be exempted from rules applicable to insurance contracts or to contracts more generally because of its administrative and social nature - Whether </w:t>
            </w:r>
            <w:proofErr w:type="spellStart"/>
            <w:r w:rsidRPr="007A5455">
              <w:rPr>
                <w:sz w:val="20"/>
                <w:szCs w:val="20"/>
              </w:rPr>
              <w:t>Financière</w:t>
            </w:r>
            <w:proofErr w:type="spellEnd"/>
            <w:r w:rsidRPr="007A5455">
              <w:rPr>
                <w:sz w:val="20"/>
                <w:szCs w:val="20"/>
              </w:rPr>
              <w:t xml:space="preserve"> </w:t>
            </w:r>
            <w:proofErr w:type="spellStart"/>
            <w:r w:rsidRPr="007A5455">
              <w:rPr>
                <w:sz w:val="20"/>
                <w:szCs w:val="20"/>
              </w:rPr>
              <w:t>agricole</w:t>
            </w:r>
            <w:proofErr w:type="spellEnd"/>
            <w:r w:rsidRPr="007A5455">
              <w:rPr>
                <w:sz w:val="20"/>
                <w:szCs w:val="20"/>
              </w:rPr>
              <w:t xml:space="preserve"> can, without abusing its contractual rights, adopt mode of compensation that deprives producers of personalized indemnity to which they would otherwise have been entitled based on their situation, because of payment of subsidy by federal government.</w:t>
            </w:r>
          </w:p>
        </w:tc>
        <w:tc>
          <w:tcPr>
            <w:tcW w:w="720" w:type="dxa"/>
            <w:tcMar>
              <w:left w:w="0" w:type="dxa"/>
              <w:right w:w="0" w:type="dxa"/>
            </w:tcMar>
          </w:tcPr>
          <w:p w:rsidR="00DC44FD" w:rsidRPr="007A5455" w:rsidRDefault="00DC44FD" w:rsidP="0022676D">
            <w:pPr>
              <w:widowControl w:val="0"/>
              <w:jc w:val="center"/>
              <w:rPr>
                <w:sz w:val="20"/>
                <w:szCs w:val="20"/>
              </w:rPr>
            </w:pPr>
          </w:p>
        </w:tc>
        <w:tc>
          <w:tcPr>
            <w:tcW w:w="4380" w:type="dxa"/>
            <w:tcMar>
              <w:left w:w="0" w:type="dxa"/>
              <w:right w:w="0" w:type="dxa"/>
            </w:tcMar>
          </w:tcPr>
          <w:p w:rsidR="00DC44FD" w:rsidRPr="007A5455" w:rsidRDefault="00DC44FD" w:rsidP="0022676D">
            <w:pPr>
              <w:widowControl w:val="0"/>
              <w:jc w:val="both"/>
              <w:rPr>
                <w:b/>
                <w:sz w:val="20"/>
                <w:szCs w:val="20"/>
                <w:u w:val="single"/>
                <w:lang w:val="fr-CA"/>
              </w:rPr>
            </w:pPr>
            <w:r w:rsidRPr="007A5455">
              <w:rPr>
                <w:b/>
                <w:sz w:val="20"/>
                <w:szCs w:val="20"/>
                <w:u w:val="single"/>
                <w:lang w:val="fr-CA"/>
              </w:rPr>
              <w:t>Nature de la cause :</w:t>
            </w:r>
          </w:p>
          <w:p w:rsidR="00DC44FD" w:rsidRPr="007A5455" w:rsidRDefault="00DC44FD" w:rsidP="0022676D">
            <w:pPr>
              <w:widowControl w:val="0"/>
              <w:jc w:val="both"/>
              <w:rPr>
                <w:sz w:val="20"/>
                <w:szCs w:val="20"/>
                <w:lang w:val="fr-CA"/>
              </w:rPr>
            </w:pPr>
          </w:p>
          <w:p w:rsidR="00DC44FD" w:rsidRPr="007A5455" w:rsidRDefault="009F7EFD" w:rsidP="009F7EFD">
            <w:pPr>
              <w:jc w:val="both"/>
              <w:rPr>
                <w:sz w:val="20"/>
                <w:szCs w:val="20"/>
                <w:lang w:val="fr-CA"/>
              </w:rPr>
            </w:pPr>
            <w:r w:rsidRPr="007A5455">
              <w:rPr>
                <w:rFonts w:eastAsia="Calibri" w:cs="Times New Roman"/>
                <w:sz w:val="20"/>
                <w:szCs w:val="20"/>
                <w:lang w:val="fr-FR"/>
              </w:rPr>
              <w:t xml:space="preserve">Agriculture - Contrats - Assurance - Droit administratif - Stabilisation des revenus agricoles - Appelants adhérant au Programme d’assurance stabilisation des revenus agricoles administré par l’intimée en vertu de la </w:t>
            </w:r>
            <w:r w:rsidRPr="007A5455">
              <w:rPr>
                <w:rFonts w:eastAsia="Calibri" w:cs="Times New Roman"/>
                <w:i/>
                <w:sz w:val="20"/>
                <w:szCs w:val="20"/>
                <w:lang w:val="fr-FR"/>
              </w:rPr>
              <w:t>Loi sur la Financière agricole du Québec</w:t>
            </w:r>
            <w:r w:rsidRPr="007A5455">
              <w:rPr>
                <w:rFonts w:eastAsia="Calibri" w:cs="Times New Roman"/>
                <w:sz w:val="20"/>
                <w:szCs w:val="20"/>
                <w:lang w:val="fr-FR"/>
              </w:rPr>
              <w:t>, L.R.Q., c. L-0.1 - Le Programme d’assurance stabilisation des revenus agricoles (ASRA), offert aux producteurs agricoles du Québec par la Financière agricole, peut-il être soustrait, en raison de son caractère administratif et social, aux règles applicables en matière de contrat d’assurance ou plus généralement en matière de contrat? - La Financière agricole peut-elle, sans abuser de ses droits contractuels, adopter un mode de compensation qui prive le producteur de l’indemnisation personnalisée à laquelle il aurait eu autrement droit en tenant compte de sa situation et ce, en raison du versement d’une subvention par le gouvernement fédéral?</w:t>
            </w:r>
          </w:p>
        </w:tc>
      </w:tr>
    </w:tbl>
    <w:p w:rsidR="00DC44FD" w:rsidRPr="007A5455" w:rsidRDefault="00DC44FD" w:rsidP="00DC44FD">
      <w:pPr>
        <w:widowControl w:val="0"/>
        <w:rPr>
          <w:sz w:val="20"/>
          <w:szCs w:val="20"/>
          <w:lang w:val="fr-CA"/>
        </w:rPr>
      </w:pPr>
    </w:p>
    <w:p w:rsidR="00DC44FD" w:rsidRPr="007A5455" w:rsidRDefault="001F68BE" w:rsidP="00DC44FD">
      <w:pPr>
        <w:widowControl w:val="0"/>
        <w:rPr>
          <w:sz w:val="20"/>
          <w:szCs w:val="20"/>
          <w:lang w:val="fr-CA"/>
        </w:rPr>
      </w:pPr>
      <w:r>
        <w:rPr>
          <w:sz w:val="20"/>
          <w:szCs w:val="20"/>
          <w:lang w:val="fr-CA"/>
        </w:rPr>
        <w:pict>
          <v:rect id="_x0000_i1079" style="width:2in;height:1pt" o:hrpct="0" o:hralign="center" o:hrstd="t" o:hrnoshade="t" o:hr="t" fillcolor="black [3213]" stroked="f"/>
        </w:pict>
      </w:r>
    </w:p>
    <w:p w:rsidR="00DC44FD" w:rsidRPr="007A5455" w:rsidRDefault="00DC44FD" w:rsidP="00DC44FD">
      <w:pPr>
        <w:widowControl w:val="0"/>
        <w:rPr>
          <w:sz w:val="20"/>
          <w:szCs w:val="20"/>
          <w:lang w:val="fr-CA"/>
        </w:rPr>
      </w:pPr>
    </w:p>
    <w:p w:rsidR="007F1BBB" w:rsidRPr="007A5455" w:rsidRDefault="007F1BBB" w:rsidP="007F1BBB">
      <w:pPr>
        <w:widowControl w:val="0"/>
        <w:rPr>
          <w:sz w:val="20"/>
          <w:szCs w:val="20"/>
        </w:rPr>
      </w:pPr>
      <w:r w:rsidRPr="007A5455">
        <w:rPr>
          <w:sz w:val="20"/>
          <w:szCs w:val="20"/>
        </w:rPr>
        <w:t>10.12.2015</w:t>
      </w:r>
    </w:p>
    <w:p w:rsidR="007F1BBB" w:rsidRPr="007A5455" w:rsidRDefault="007F1BBB" w:rsidP="007F1BBB">
      <w:pPr>
        <w:widowControl w:val="0"/>
        <w:rPr>
          <w:sz w:val="20"/>
          <w:szCs w:val="20"/>
        </w:rPr>
      </w:pPr>
    </w:p>
    <w:p w:rsidR="007F1BBB" w:rsidRPr="007A5455" w:rsidRDefault="007F1BBB" w:rsidP="007F1BBB">
      <w:pPr>
        <w:widowControl w:val="0"/>
        <w:ind w:left="720" w:hanging="720"/>
        <w:rPr>
          <w:sz w:val="20"/>
          <w:szCs w:val="20"/>
          <w:u w:val="single"/>
          <w:lang w:val="fr-CA"/>
        </w:rPr>
      </w:pPr>
      <w:r w:rsidRPr="007A5455">
        <w:rPr>
          <w:sz w:val="20"/>
          <w:szCs w:val="20"/>
        </w:rPr>
        <w:t xml:space="preserve">Coram: </w:t>
      </w:r>
      <w:r w:rsidRPr="007A5455">
        <w:rPr>
          <w:sz w:val="20"/>
          <w:szCs w:val="20"/>
        </w:rPr>
        <w:tab/>
      </w:r>
      <w:r w:rsidRPr="007A5455">
        <w:rPr>
          <w:sz w:val="20"/>
          <w:szCs w:val="20"/>
          <w:u w:val="single"/>
          <w:lang w:val="fr-CA"/>
        </w:rPr>
        <w:t xml:space="preserve">La juge en chef </w:t>
      </w:r>
      <w:proofErr w:type="spellStart"/>
      <w:r w:rsidRPr="007A5455">
        <w:rPr>
          <w:sz w:val="20"/>
          <w:szCs w:val="20"/>
          <w:u w:val="single"/>
          <w:lang w:val="fr-CA"/>
        </w:rPr>
        <w:t>McLachlin</w:t>
      </w:r>
      <w:proofErr w:type="spellEnd"/>
      <w:r w:rsidRPr="007A5455">
        <w:rPr>
          <w:sz w:val="20"/>
          <w:szCs w:val="20"/>
          <w:u w:val="single"/>
          <w:lang w:val="fr-CA"/>
        </w:rPr>
        <w:t xml:space="preserve"> </w:t>
      </w:r>
      <w:proofErr w:type="gramStart"/>
      <w:r w:rsidRPr="007A5455">
        <w:rPr>
          <w:sz w:val="20"/>
          <w:szCs w:val="20"/>
          <w:u w:val="single"/>
          <w:lang w:val="fr-CA"/>
        </w:rPr>
        <w:t>et</w:t>
      </w:r>
      <w:proofErr w:type="gramEnd"/>
      <w:r w:rsidRPr="007A5455">
        <w:rPr>
          <w:sz w:val="20"/>
          <w:szCs w:val="20"/>
          <w:u w:val="single"/>
          <w:lang w:val="fr-CA"/>
        </w:rPr>
        <w:t xml:space="preserve"> les juges Abella, Cromwell, </w:t>
      </w:r>
      <w:proofErr w:type="spellStart"/>
      <w:r w:rsidRPr="007A5455">
        <w:rPr>
          <w:sz w:val="20"/>
          <w:szCs w:val="20"/>
          <w:u w:val="single"/>
          <w:lang w:val="fr-CA"/>
        </w:rPr>
        <w:t>Karakatsanis</w:t>
      </w:r>
      <w:proofErr w:type="spellEnd"/>
      <w:r w:rsidRPr="007A5455">
        <w:rPr>
          <w:sz w:val="20"/>
          <w:szCs w:val="20"/>
          <w:u w:val="single"/>
          <w:lang w:val="fr-CA"/>
        </w:rPr>
        <w:t>, Wagner, Gascon, Côté</w:t>
      </w:r>
    </w:p>
    <w:p w:rsidR="007F1BBB" w:rsidRPr="007A5455" w:rsidRDefault="007F1BBB" w:rsidP="007F1BBB">
      <w:pPr>
        <w:widowControl w:val="0"/>
        <w:ind w:left="720" w:hanging="72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F1BBB" w:rsidRPr="007A5455" w:rsidTr="0022676D">
        <w:tc>
          <w:tcPr>
            <w:tcW w:w="4380" w:type="dxa"/>
            <w:tcMar>
              <w:left w:w="0" w:type="dxa"/>
              <w:right w:w="0" w:type="dxa"/>
            </w:tcMar>
          </w:tcPr>
          <w:p w:rsidR="007F1BBB" w:rsidRPr="007A5455" w:rsidRDefault="007F1BBB" w:rsidP="0022676D">
            <w:pPr>
              <w:widowControl w:val="0"/>
              <w:jc w:val="both"/>
              <w:rPr>
                <w:b/>
                <w:sz w:val="20"/>
                <w:szCs w:val="20"/>
              </w:rPr>
            </w:pPr>
            <w:r w:rsidRPr="007A5455">
              <w:rPr>
                <w:b/>
                <w:sz w:val="20"/>
                <w:szCs w:val="20"/>
              </w:rPr>
              <w:t xml:space="preserve">Michel </w:t>
            </w:r>
            <w:proofErr w:type="spellStart"/>
            <w:r w:rsidRPr="007A5455">
              <w:rPr>
                <w:b/>
                <w:sz w:val="20"/>
                <w:szCs w:val="20"/>
              </w:rPr>
              <w:t>Lafortune</w:t>
            </w:r>
            <w:proofErr w:type="spellEnd"/>
            <w:r w:rsidRPr="007A5455">
              <w:rPr>
                <w:b/>
                <w:sz w:val="20"/>
                <w:szCs w:val="20"/>
              </w:rPr>
              <w:t xml:space="preserve"> et </w:t>
            </w:r>
            <w:proofErr w:type="spellStart"/>
            <w:r w:rsidRPr="007A5455">
              <w:rPr>
                <w:b/>
                <w:sz w:val="20"/>
                <w:szCs w:val="20"/>
              </w:rPr>
              <w:t>autres</w:t>
            </w:r>
            <w:proofErr w:type="spellEnd"/>
          </w:p>
          <w:p w:rsidR="007F1BBB" w:rsidRPr="007A5455" w:rsidRDefault="007F1BBB" w:rsidP="0022676D">
            <w:pPr>
              <w:widowControl w:val="0"/>
              <w:jc w:val="both"/>
              <w:rPr>
                <w:b/>
                <w:sz w:val="20"/>
                <w:szCs w:val="20"/>
              </w:rPr>
            </w:pPr>
          </w:p>
          <w:p w:rsidR="007F1BBB" w:rsidRPr="007A5455" w:rsidRDefault="007F1BBB" w:rsidP="0022676D">
            <w:pPr>
              <w:widowControl w:val="0"/>
              <w:tabs>
                <w:tab w:val="left" w:pos="736"/>
              </w:tabs>
              <w:jc w:val="both"/>
              <w:rPr>
                <w:b/>
                <w:sz w:val="20"/>
                <w:szCs w:val="20"/>
              </w:rPr>
            </w:pPr>
            <w:r w:rsidRPr="007A5455">
              <w:rPr>
                <w:b/>
                <w:sz w:val="20"/>
                <w:szCs w:val="20"/>
              </w:rPr>
              <w:tab/>
              <w:t xml:space="preserve">c. </w:t>
            </w:r>
            <w:r w:rsidRPr="007A5455">
              <w:rPr>
                <w:sz w:val="20"/>
                <w:szCs w:val="20"/>
              </w:rPr>
              <w:t>(</w:t>
            </w:r>
            <w:hyperlink r:id="rId95" w:history="1">
              <w:r w:rsidRPr="007A5455">
                <w:rPr>
                  <w:rStyle w:val="Hyperlink"/>
                  <w:sz w:val="20"/>
                  <w:szCs w:val="20"/>
                </w:rPr>
                <w:t>362</w:t>
              </w:r>
              <w:r w:rsidR="00E94C2F" w:rsidRPr="007A5455">
                <w:rPr>
                  <w:rStyle w:val="Hyperlink"/>
                  <w:sz w:val="20"/>
                  <w:szCs w:val="20"/>
                </w:rPr>
                <w:t>1</w:t>
              </w:r>
              <w:r w:rsidRPr="007A5455">
                <w:rPr>
                  <w:rStyle w:val="Hyperlink"/>
                  <w:sz w:val="20"/>
                  <w:szCs w:val="20"/>
                </w:rPr>
                <w:t>0</w:t>
              </w:r>
            </w:hyperlink>
            <w:r w:rsidRPr="007A5455">
              <w:rPr>
                <w:sz w:val="20"/>
                <w:szCs w:val="20"/>
              </w:rPr>
              <w:t>)</w:t>
            </w:r>
          </w:p>
          <w:p w:rsidR="007F1BBB" w:rsidRPr="007A5455" w:rsidRDefault="007F1BBB" w:rsidP="0022676D">
            <w:pPr>
              <w:widowControl w:val="0"/>
              <w:jc w:val="both"/>
              <w:rPr>
                <w:b/>
                <w:sz w:val="20"/>
                <w:szCs w:val="20"/>
              </w:rPr>
            </w:pPr>
          </w:p>
          <w:p w:rsidR="007F1BBB" w:rsidRPr="007A5455" w:rsidRDefault="007F1BBB" w:rsidP="007F1BBB">
            <w:pPr>
              <w:widowControl w:val="0"/>
              <w:jc w:val="both"/>
              <w:rPr>
                <w:sz w:val="20"/>
                <w:szCs w:val="20"/>
              </w:rPr>
            </w:pPr>
            <w:proofErr w:type="spellStart"/>
            <w:r w:rsidRPr="007A5455">
              <w:rPr>
                <w:b/>
                <w:sz w:val="20"/>
                <w:szCs w:val="20"/>
              </w:rPr>
              <w:t>Financière</w:t>
            </w:r>
            <w:proofErr w:type="spellEnd"/>
            <w:r w:rsidRPr="007A5455">
              <w:rPr>
                <w:b/>
                <w:sz w:val="20"/>
                <w:szCs w:val="20"/>
              </w:rPr>
              <w:t xml:space="preserve"> </w:t>
            </w:r>
            <w:proofErr w:type="spellStart"/>
            <w:r w:rsidRPr="007A5455">
              <w:rPr>
                <w:b/>
                <w:sz w:val="20"/>
                <w:szCs w:val="20"/>
              </w:rPr>
              <w:t>Agricole</w:t>
            </w:r>
            <w:proofErr w:type="spellEnd"/>
            <w:r w:rsidRPr="007A5455">
              <w:rPr>
                <w:b/>
                <w:sz w:val="20"/>
                <w:szCs w:val="20"/>
              </w:rPr>
              <w:t xml:space="preserve"> du Québec (Qc) (</w:t>
            </w:r>
            <w:proofErr w:type="spellStart"/>
            <w:r w:rsidRPr="007A5455">
              <w:rPr>
                <w:b/>
                <w:sz w:val="20"/>
                <w:szCs w:val="20"/>
              </w:rPr>
              <w:t>Civile</w:t>
            </w:r>
            <w:proofErr w:type="spellEnd"/>
            <w:r w:rsidRPr="007A5455">
              <w:rPr>
                <w:b/>
                <w:sz w:val="20"/>
                <w:szCs w:val="20"/>
              </w:rPr>
              <w:t>) (</w:t>
            </w:r>
            <w:proofErr w:type="spellStart"/>
            <w:r w:rsidRPr="007A5455">
              <w:rPr>
                <w:b/>
                <w:sz w:val="20"/>
                <w:szCs w:val="20"/>
              </w:rPr>
              <w:t>Autorisation</w:t>
            </w:r>
            <w:proofErr w:type="spellEnd"/>
            <w:r w:rsidRPr="007A5455">
              <w:rPr>
                <w:b/>
                <w:sz w:val="20"/>
                <w:szCs w:val="20"/>
              </w:rPr>
              <w:t>)</w:t>
            </w:r>
          </w:p>
        </w:tc>
        <w:tc>
          <w:tcPr>
            <w:tcW w:w="720" w:type="dxa"/>
            <w:tcMar>
              <w:left w:w="0" w:type="dxa"/>
              <w:right w:w="0" w:type="dxa"/>
            </w:tcMar>
          </w:tcPr>
          <w:p w:rsidR="007F1BBB" w:rsidRPr="007A5455" w:rsidRDefault="007F1BBB" w:rsidP="0022676D">
            <w:pPr>
              <w:widowControl w:val="0"/>
              <w:jc w:val="center"/>
              <w:rPr>
                <w:sz w:val="20"/>
                <w:szCs w:val="20"/>
              </w:rPr>
            </w:pPr>
          </w:p>
        </w:tc>
        <w:tc>
          <w:tcPr>
            <w:tcW w:w="4380" w:type="dxa"/>
            <w:tcMar>
              <w:left w:w="0" w:type="dxa"/>
              <w:right w:w="0" w:type="dxa"/>
            </w:tcMar>
          </w:tcPr>
          <w:p w:rsidR="007F1BBB" w:rsidRPr="007A5455" w:rsidRDefault="00B44283" w:rsidP="0022676D">
            <w:pPr>
              <w:jc w:val="both"/>
              <w:rPr>
                <w:sz w:val="20"/>
                <w:szCs w:val="20"/>
              </w:rPr>
            </w:pPr>
            <w:r w:rsidRPr="007A5455">
              <w:rPr>
                <w:sz w:val="20"/>
                <w:szCs w:val="20"/>
              </w:rPr>
              <w:t xml:space="preserve">Serge Fournier et Camille </w:t>
            </w:r>
            <w:proofErr w:type="spellStart"/>
            <w:r w:rsidRPr="007A5455">
              <w:rPr>
                <w:sz w:val="20"/>
                <w:szCs w:val="20"/>
              </w:rPr>
              <w:t>Janvier-Langis</w:t>
            </w:r>
            <w:proofErr w:type="spellEnd"/>
            <w:r w:rsidRPr="007A5455">
              <w:rPr>
                <w:sz w:val="20"/>
                <w:szCs w:val="20"/>
              </w:rPr>
              <w:t xml:space="preserve"> pour les </w:t>
            </w:r>
            <w:proofErr w:type="spellStart"/>
            <w:r w:rsidR="007F1BBB" w:rsidRPr="007A5455">
              <w:rPr>
                <w:sz w:val="20"/>
                <w:szCs w:val="20"/>
              </w:rPr>
              <w:t>a</w:t>
            </w:r>
            <w:r w:rsidRPr="007A5455">
              <w:rPr>
                <w:sz w:val="20"/>
                <w:szCs w:val="20"/>
              </w:rPr>
              <w:t>p</w:t>
            </w:r>
            <w:r w:rsidR="007F1BBB" w:rsidRPr="007A5455">
              <w:rPr>
                <w:sz w:val="20"/>
                <w:szCs w:val="20"/>
              </w:rPr>
              <w:t>pelant</w:t>
            </w:r>
            <w:r w:rsidRPr="007A5455">
              <w:rPr>
                <w:sz w:val="20"/>
                <w:szCs w:val="20"/>
              </w:rPr>
              <w:t>s</w:t>
            </w:r>
            <w:proofErr w:type="spellEnd"/>
            <w:r w:rsidR="007F1BBB" w:rsidRPr="007A5455">
              <w:rPr>
                <w:sz w:val="20"/>
                <w:szCs w:val="20"/>
              </w:rPr>
              <w:t>.</w:t>
            </w:r>
          </w:p>
          <w:p w:rsidR="007F1BBB" w:rsidRPr="007A5455" w:rsidRDefault="007F1BBB" w:rsidP="0022676D">
            <w:pPr>
              <w:jc w:val="both"/>
              <w:rPr>
                <w:sz w:val="20"/>
                <w:szCs w:val="20"/>
              </w:rPr>
            </w:pPr>
          </w:p>
          <w:p w:rsidR="007F1BBB" w:rsidRPr="007A5455" w:rsidRDefault="00B44283" w:rsidP="000873DE">
            <w:pPr>
              <w:widowControl w:val="0"/>
              <w:jc w:val="both"/>
              <w:rPr>
                <w:sz w:val="20"/>
                <w:szCs w:val="20"/>
              </w:rPr>
            </w:pPr>
            <w:proofErr w:type="spellStart"/>
            <w:r w:rsidRPr="007A5455">
              <w:rPr>
                <w:sz w:val="20"/>
                <w:szCs w:val="20"/>
              </w:rPr>
              <w:t>Matthieu</w:t>
            </w:r>
            <w:proofErr w:type="spellEnd"/>
            <w:r w:rsidRPr="007A5455">
              <w:rPr>
                <w:sz w:val="20"/>
                <w:szCs w:val="20"/>
              </w:rPr>
              <w:t xml:space="preserve"> Brassard</w:t>
            </w:r>
            <w:r w:rsidR="000873DE" w:rsidRPr="007A5455">
              <w:rPr>
                <w:sz w:val="20"/>
                <w:szCs w:val="20"/>
              </w:rPr>
              <w:t xml:space="preserve">, Jean-Pierre </w:t>
            </w:r>
            <w:proofErr w:type="spellStart"/>
            <w:r w:rsidR="000873DE" w:rsidRPr="007A5455">
              <w:rPr>
                <w:sz w:val="20"/>
                <w:szCs w:val="20"/>
              </w:rPr>
              <w:t>Émond</w:t>
            </w:r>
            <w:proofErr w:type="spellEnd"/>
            <w:r w:rsidRPr="007A5455">
              <w:rPr>
                <w:sz w:val="20"/>
                <w:szCs w:val="20"/>
              </w:rPr>
              <w:t xml:space="preserve"> et </w:t>
            </w:r>
            <w:proofErr w:type="spellStart"/>
            <w:r w:rsidRPr="007A5455">
              <w:rPr>
                <w:sz w:val="20"/>
                <w:szCs w:val="20"/>
              </w:rPr>
              <w:t>Valérie</w:t>
            </w:r>
            <w:proofErr w:type="spellEnd"/>
            <w:r w:rsidRPr="007A5455">
              <w:rPr>
                <w:sz w:val="20"/>
                <w:szCs w:val="20"/>
              </w:rPr>
              <w:t xml:space="preserve"> Blanchet pour les </w:t>
            </w:r>
            <w:proofErr w:type="spellStart"/>
            <w:r w:rsidRPr="007A5455">
              <w:rPr>
                <w:sz w:val="20"/>
                <w:szCs w:val="20"/>
              </w:rPr>
              <w:t>intimées</w:t>
            </w:r>
            <w:proofErr w:type="spellEnd"/>
            <w:r w:rsidR="000873DE" w:rsidRPr="007A5455">
              <w:rPr>
                <w:sz w:val="20"/>
                <w:szCs w:val="20"/>
              </w:rPr>
              <w:t>.</w:t>
            </w:r>
          </w:p>
        </w:tc>
      </w:tr>
    </w:tbl>
    <w:p w:rsidR="007F1BBB" w:rsidRPr="007A5455" w:rsidRDefault="007F1BBB" w:rsidP="007F1BBB">
      <w:pPr>
        <w:widowControl w:val="0"/>
      </w:pPr>
    </w:p>
    <w:p w:rsidR="007F1BBB" w:rsidRPr="007A5455" w:rsidRDefault="007F1BBB" w:rsidP="007F1BBB">
      <w:pPr>
        <w:widowControl w:val="0"/>
        <w:rPr>
          <w:sz w:val="20"/>
          <w:szCs w:val="20"/>
        </w:rPr>
      </w:pPr>
      <w:r w:rsidRPr="007A5455">
        <w:rPr>
          <w:b/>
          <w:sz w:val="20"/>
          <w:szCs w:val="20"/>
        </w:rPr>
        <w:t>RESERVED / EN DÉLIBÉRÉ</w:t>
      </w:r>
    </w:p>
    <w:p w:rsidR="007F1BBB" w:rsidRPr="007A5455" w:rsidRDefault="007F1BBB" w:rsidP="007F1BBB">
      <w:pPr>
        <w:rPr>
          <w:sz w:val="20"/>
          <w:szCs w:val="20"/>
        </w:rPr>
      </w:pPr>
    </w:p>
    <w:p w:rsidR="00171CD5" w:rsidRPr="007A5455" w:rsidRDefault="00171CD5">
      <w:pPr>
        <w:rPr>
          <w:sz w:val="20"/>
          <w:szCs w:val="20"/>
        </w:rPr>
      </w:pPr>
      <w:r w:rsidRPr="007A5455">
        <w:rPr>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F1BBB" w:rsidRPr="007A5455" w:rsidTr="0022676D">
        <w:tc>
          <w:tcPr>
            <w:tcW w:w="4380" w:type="dxa"/>
            <w:tcMar>
              <w:left w:w="0" w:type="dxa"/>
              <w:right w:w="0" w:type="dxa"/>
            </w:tcMar>
          </w:tcPr>
          <w:p w:rsidR="007F1BBB" w:rsidRPr="007A5455" w:rsidRDefault="007F1BBB" w:rsidP="0022676D">
            <w:pPr>
              <w:widowControl w:val="0"/>
              <w:jc w:val="both"/>
              <w:rPr>
                <w:b/>
                <w:sz w:val="20"/>
                <w:szCs w:val="20"/>
                <w:u w:val="single"/>
              </w:rPr>
            </w:pPr>
            <w:r w:rsidRPr="007A5455">
              <w:rPr>
                <w:b/>
                <w:sz w:val="20"/>
                <w:szCs w:val="20"/>
                <w:u w:val="single"/>
              </w:rPr>
              <w:lastRenderedPageBreak/>
              <w:t>Nature of the case:</w:t>
            </w:r>
          </w:p>
          <w:p w:rsidR="007F1BBB" w:rsidRPr="007A5455" w:rsidRDefault="007F1BBB" w:rsidP="0022676D">
            <w:pPr>
              <w:widowControl w:val="0"/>
              <w:jc w:val="both"/>
              <w:rPr>
                <w:b/>
                <w:sz w:val="20"/>
                <w:szCs w:val="20"/>
              </w:rPr>
            </w:pPr>
          </w:p>
          <w:p w:rsidR="007F1BBB" w:rsidRPr="007A5455" w:rsidRDefault="00E94C2F" w:rsidP="0022676D">
            <w:pPr>
              <w:widowControl w:val="0"/>
              <w:jc w:val="both"/>
              <w:rPr>
                <w:b/>
                <w:sz w:val="20"/>
                <w:szCs w:val="20"/>
              </w:rPr>
            </w:pPr>
            <w:r w:rsidRPr="007A5455">
              <w:rPr>
                <w:sz w:val="20"/>
                <w:szCs w:val="20"/>
              </w:rPr>
              <w:t xml:space="preserve">Agriculture - Contracts - Insurance - Administrative law - Farm income stabilization - Appellants participating in Farm Income Stabilization Insurance Program administered by respondent under </w:t>
            </w:r>
            <w:r w:rsidRPr="007A5455">
              <w:rPr>
                <w:i/>
                <w:sz w:val="20"/>
                <w:szCs w:val="20"/>
              </w:rPr>
              <w:t xml:space="preserve">Act respecting La </w:t>
            </w:r>
            <w:proofErr w:type="spellStart"/>
            <w:r w:rsidRPr="007A5455">
              <w:rPr>
                <w:i/>
                <w:sz w:val="20"/>
                <w:szCs w:val="20"/>
              </w:rPr>
              <w:t>Financière</w:t>
            </w:r>
            <w:proofErr w:type="spellEnd"/>
            <w:r w:rsidRPr="007A5455">
              <w:rPr>
                <w:i/>
                <w:sz w:val="20"/>
                <w:szCs w:val="20"/>
              </w:rPr>
              <w:t xml:space="preserve"> </w:t>
            </w:r>
            <w:proofErr w:type="spellStart"/>
            <w:r w:rsidRPr="007A5455">
              <w:rPr>
                <w:i/>
                <w:sz w:val="20"/>
                <w:szCs w:val="20"/>
              </w:rPr>
              <w:t>agricole</w:t>
            </w:r>
            <w:proofErr w:type="spellEnd"/>
            <w:r w:rsidRPr="007A5455">
              <w:rPr>
                <w:i/>
                <w:sz w:val="20"/>
                <w:szCs w:val="20"/>
              </w:rPr>
              <w:t xml:space="preserve"> du Québec</w:t>
            </w:r>
            <w:r w:rsidRPr="007A5455">
              <w:rPr>
                <w:sz w:val="20"/>
                <w:szCs w:val="20"/>
              </w:rPr>
              <w:t>, R.S.Q., c. L</w:t>
            </w:r>
            <w:r w:rsidRPr="007A5455">
              <w:rPr>
                <w:sz w:val="20"/>
                <w:szCs w:val="20"/>
              </w:rPr>
              <w:noBreakHyphen/>
              <w:t xml:space="preserve">0.1 - Whether Program constitutes insurance contract or administrative contract </w:t>
            </w:r>
            <w:r w:rsidRPr="007A5455">
              <w:rPr>
                <w:i/>
                <w:sz w:val="20"/>
                <w:szCs w:val="20"/>
              </w:rPr>
              <w:t>sui generis</w:t>
            </w:r>
            <w:r w:rsidRPr="007A5455">
              <w:rPr>
                <w:sz w:val="20"/>
                <w:szCs w:val="20"/>
              </w:rPr>
              <w:t xml:space="preserve"> - Whether lower courts erred in refusing to award damages to appellants.</w:t>
            </w:r>
          </w:p>
        </w:tc>
        <w:tc>
          <w:tcPr>
            <w:tcW w:w="720" w:type="dxa"/>
            <w:tcMar>
              <w:left w:w="0" w:type="dxa"/>
              <w:right w:w="0" w:type="dxa"/>
            </w:tcMar>
          </w:tcPr>
          <w:p w:rsidR="007F1BBB" w:rsidRPr="007A5455" w:rsidRDefault="007F1BBB" w:rsidP="0022676D">
            <w:pPr>
              <w:widowControl w:val="0"/>
              <w:jc w:val="center"/>
              <w:rPr>
                <w:sz w:val="20"/>
                <w:szCs w:val="20"/>
              </w:rPr>
            </w:pPr>
          </w:p>
        </w:tc>
        <w:tc>
          <w:tcPr>
            <w:tcW w:w="4380" w:type="dxa"/>
            <w:tcMar>
              <w:left w:w="0" w:type="dxa"/>
              <w:right w:w="0" w:type="dxa"/>
            </w:tcMar>
          </w:tcPr>
          <w:p w:rsidR="007F1BBB" w:rsidRPr="007A5455" w:rsidRDefault="007F1BBB" w:rsidP="0022676D">
            <w:pPr>
              <w:widowControl w:val="0"/>
              <w:jc w:val="both"/>
              <w:rPr>
                <w:b/>
                <w:sz w:val="20"/>
                <w:szCs w:val="20"/>
                <w:u w:val="single"/>
                <w:lang w:val="fr-CA"/>
              </w:rPr>
            </w:pPr>
            <w:r w:rsidRPr="007A5455">
              <w:rPr>
                <w:b/>
                <w:sz w:val="20"/>
                <w:szCs w:val="20"/>
                <w:u w:val="single"/>
                <w:lang w:val="fr-CA"/>
              </w:rPr>
              <w:t>Nature de la cause :</w:t>
            </w:r>
          </w:p>
          <w:p w:rsidR="007F1BBB" w:rsidRPr="007A5455" w:rsidRDefault="007F1BBB" w:rsidP="0022676D">
            <w:pPr>
              <w:widowControl w:val="0"/>
              <w:jc w:val="both"/>
              <w:rPr>
                <w:sz w:val="20"/>
                <w:szCs w:val="20"/>
                <w:lang w:val="fr-CA"/>
              </w:rPr>
            </w:pPr>
          </w:p>
          <w:p w:rsidR="007F1BBB" w:rsidRPr="007A5455" w:rsidRDefault="00E94C2F" w:rsidP="0022676D">
            <w:pPr>
              <w:widowControl w:val="0"/>
              <w:jc w:val="both"/>
              <w:rPr>
                <w:sz w:val="20"/>
                <w:szCs w:val="20"/>
                <w:lang w:val="fr-CA"/>
              </w:rPr>
            </w:pPr>
            <w:r w:rsidRPr="007A5455">
              <w:rPr>
                <w:sz w:val="20"/>
                <w:szCs w:val="20"/>
                <w:lang w:val="fr-FR"/>
              </w:rPr>
              <w:t xml:space="preserve">Agriculture - Contrats - Assurance - Droit administratif - Stabilisation des revenus agricoles - Appelants adhérant au Programme d’assurance stabilisation des revenus agricoles administré par l’intimée en vertu de la </w:t>
            </w:r>
            <w:r w:rsidRPr="007A5455">
              <w:rPr>
                <w:i/>
                <w:sz w:val="20"/>
                <w:szCs w:val="20"/>
                <w:lang w:val="fr-FR"/>
              </w:rPr>
              <w:t>Loi sur la Financière agricole du Québec</w:t>
            </w:r>
            <w:r w:rsidRPr="007A5455">
              <w:rPr>
                <w:sz w:val="20"/>
                <w:szCs w:val="20"/>
                <w:lang w:val="fr-FR"/>
              </w:rPr>
              <w:t xml:space="preserve">, L.R.Q., c. L-0.1 - Le Programme constitue-t-il un contrat d’assurance ou un contrat administratif </w:t>
            </w:r>
            <w:r w:rsidRPr="007A5455">
              <w:rPr>
                <w:i/>
                <w:sz w:val="20"/>
                <w:szCs w:val="20"/>
                <w:lang w:val="fr-FR"/>
              </w:rPr>
              <w:t>sui generis</w:t>
            </w:r>
            <w:r w:rsidRPr="007A5455">
              <w:rPr>
                <w:sz w:val="20"/>
                <w:szCs w:val="20"/>
                <w:lang w:val="fr-FR"/>
              </w:rPr>
              <w:t xml:space="preserve">? - Les cours inférieures </w:t>
            </w:r>
            <w:proofErr w:type="spellStart"/>
            <w:r w:rsidRPr="007A5455">
              <w:rPr>
                <w:sz w:val="20"/>
                <w:szCs w:val="20"/>
                <w:lang w:val="fr-FR"/>
              </w:rPr>
              <w:t>ont-elles</w:t>
            </w:r>
            <w:proofErr w:type="spellEnd"/>
            <w:r w:rsidRPr="007A5455">
              <w:rPr>
                <w:sz w:val="20"/>
                <w:szCs w:val="20"/>
                <w:lang w:val="fr-FR"/>
              </w:rPr>
              <w:t xml:space="preserve"> fait une erreur en refusant d’octroyer des dommages-intérêts aux appelants?</w:t>
            </w:r>
          </w:p>
        </w:tc>
      </w:tr>
    </w:tbl>
    <w:p w:rsidR="007F1BBB" w:rsidRPr="007A5455" w:rsidRDefault="007F1BBB" w:rsidP="007F1BBB">
      <w:pPr>
        <w:widowControl w:val="0"/>
        <w:rPr>
          <w:sz w:val="20"/>
          <w:szCs w:val="20"/>
          <w:lang w:val="fr-CA"/>
        </w:rPr>
      </w:pPr>
    </w:p>
    <w:p w:rsidR="007F1BBB" w:rsidRPr="007A5455" w:rsidRDefault="001F68BE" w:rsidP="007F1BBB">
      <w:pPr>
        <w:widowControl w:val="0"/>
        <w:rPr>
          <w:sz w:val="20"/>
          <w:szCs w:val="20"/>
          <w:lang w:val="fr-CA"/>
        </w:rPr>
      </w:pPr>
      <w:r>
        <w:rPr>
          <w:sz w:val="20"/>
          <w:szCs w:val="20"/>
          <w:lang w:val="fr-CA"/>
        </w:rPr>
        <w:pict>
          <v:rect id="_x0000_i1080" style="width:2in;height:1pt" o:hrpct="0" o:hralign="center" o:hrstd="t" o:hrnoshade="t" o:hr="t" fillcolor="black [3213]" stroked="f"/>
        </w:pict>
      </w:r>
    </w:p>
    <w:p w:rsidR="00B93B3E" w:rsidRPr="007A5455" w:rsidRDefault="00B93B3E" w:rsidP="00B93B3E">
      <w:pPr>
        <w:widowControl w:val="0"/>
        <w:rPr>
          <w:sz w:val="20"/>
          <w:szCs w:val="20"/>
          <w:lang w:val="fr-CA"/>
        </w:rPr>
      </w:pPr>
    </w:p>
    <w:p w:rsidR="00DC44FD" w:rsidRPr="007A5455" w:rsidRDefault="00DC44FD" w:rsidP="00732DB7">
      <w:pPr>
        <w:widowControl w:val="0"/>
        <w:rPr>
          <w:sz w:val="20"/>
          <w:szCs w:val="20"/>
          <w:lang w:val="fr-CA"/>
        </w:rPr>
      </w:pPr>
    </w:p>
    <w:p w:rsidR="00732DB7" w:rsidRPr="007A5455" w:rsidRDefault="00732DB7" w:rsidP="00732DB7">
      <w:pPr>
        <w:widowControl w:val="0"/>
        <w:rPr>
          <w:sz w:val="20"/>
          <w:szCs w:val="20"/>
          <w:lang w:val="fr-CA"/>
        </w:rPr>
      </w:pPr>
    </w:p>
    <w:p w:rsidR="00732DB7" w:rsidRPr="007A5455" w:rsidRDefault="00732DB7" w:rsidP="00732DB7">
      <w:pPr>
        <w:widowControl w:val="0"/>
        <w:rPr>
          <w:sz w:val="20"/>
          <w:szCs w:val="20"/>
          <w:lang w:val="fr-CA"/>
        </w:rPr>
        <w:sectPr w:rsidR="00732DB7" w:rsidRPr="007A5455" w:rsidSect="00732DB7">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A5455" w:rsidTr="0085476B">
        <w:tc>
          <w:tcPr>
            <w:tcW w:w="4200" w:type="dxa"/>
            <w:tcMar>
              <w:left w:w="0" w:type="dxa"/>
              <w:right w:w="0" w:type="dxa"/>
            </w:tcMar>
          </w:tcPr>
          <w:p w:rsidR="00FF6EEC" w:rsidRPr="007A5455" w:rsidRDefault="00FF6EEC" w:rsidP="0085476B">
            <w:pPr>
              <w:keepNext/>
              <w:keepLines/>
              <w:tabs>
                <w:tab w:val="left" w:pos="-1440"/>
                <w:tab w:val="left" w:pos="-720"/>
              </w:tabs>
              <w:rPr>
                <w:b/>
                <w:szCs w:val="24"/>
              </w:rPr>
            </w:pPr>
            <w:r w:rsidRPr="007A5455">
              <w:rPr>
                <w:b/>
                <w:szCs w:val="24"/>
              </w:rPr>
              <w:lastRenderedPageBreak/>
              <w:t>PRONOUNCEMENTS OF APPEALS</w:t>
            </w:r>
            <w:r w:rsidR="0085476B" w:rsidRPr="007A5455">
              <w:rPr>
                <w:b/>
                <w:szCs w:val="24"/>
              </w:rPr>
              <w:t xml:space="preserve"> </w:t>
            </w:r>
            <w:r w:rsidRPr="007A5455">
              <w:rPr>
                <w:b/>
                <w:szCs w:val="24"/>
              </w:rPr>
              <w:t>RESERVED</w:t>
            </w:r>
          </w:p>
          <w:p w:rsidR="00FF6EEC" w:rsidRPr="007A545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7A545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7A5455">
              <w:rPr>
                <w:b/>
                <w:szCs w:val="24"/>
              </w:rPr>
              <w:t>Reasons for judgment are available</w:t>
            </w:r>
          </w:p>
        </w:tc>
        <w:tc>
          <w:tcPr>
            <w:tcW w:w="1200" w:type="dxa"/>
            <w:tcMar>
              <w:left w:w="0" w:type="dxa"/>
              <w:right w:w="0" w:type="dxa"/>
            </w:tcMar>
          </w:tcPr>
          <w:p w:rsidR="00FF6EEC" w:rsidRPr="007A5455" w:rsidRDefault="00FF6EEC" w:rsidP="00FF6EEC">
            <w:pPr>
              <w:keepNext/>
              <w:keepLines/>
              <w:tabs>
                <w:tab w:val="left" w:pos="-1440"/>
                <w:tab w:val="left" w:pos="-720"/>
              </w:tabs>
              <w:jc w:val="center"/>
              <w:rPr>
                <w:b/>
                <w:szCs w:val="24"/>
              </w:rPr>
            </w:pPr>
          </w:p>
          <w:p w:rsidR="00FF6EEC" w:rsidRPr="007A5455" w:rsidRDefault="00FF6EEC" w:rsidP="00FF6EEC">
            <w:pPr>
              <w:keepNext/>
              <w:keepLines/>
              <w:tabs>
                <w:tab w:val="left" w:pos="-1440"/>
                <w:tab w:val="left" w:pos="-720"/>
              </w:tabs>
              <w:jc w:val="center"/>
              <w:rPr>
                <w:b/>
                <w:szCs w:val="24"/>
              </w:rPr>
            </w:pPr>
          </w:p>
          <w:p w:rsidR="00FF6EEC" w:rsidRPr="007A5455" w:rsidRDefault="00FF6EEC" w:rsidP="00FF6EEC">
            <w:pPr>
              <w:keepNext/>
              <w:keepLines/>
              <w:tabs>
                <w:tab w:val="left" w:pos="-1440"/>
                <w:tab w:val="left" w:pos="-720"/>
              </w:tabs>
              <w:jc w:val="center"/>
              <w:rPr>
                <w:b/>
                <w:szCs w:val="24"/>
              </w:rPr>
            </w:pPr>
          </w:p>
          <w:p w:rsidR="00FF6EEC" w:rsidRPr="007A5455" w:rsidRDefault="00FF6EEC" w:rsidP="00FF6EEC">
            <w:pPr>
              <w:keepNext/>
              <w:keepLines/>
              <w:tabs>
                <w:tab w:val="left" w:pos="-1440"/>
                <w:tab w:val="left" w:pos="-720"/>
              </w:tabs>
              <w:jc w:val="center"/>
              <w:rPr>
                <w:b/>
                <w:szCs w:val="24"/>
              </w:rPr>
            </w:pPr>
          </w:p>
          <w:p w:rsidR="00FF6EEC" w:rsidRPr="007A5455"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7A5455" w:rsidRDefault="00FF6EEC" w:rsidP="00FF6EEC">
            <w:pPr>
              <w:keepNext/>
              <w:keepLines/>
              <w:tabs>
                <w:tab w:val="left" w:pos="-1440"/>
                <w:tab w:val="left" w:pos="-720"/>
              </w:tabs>
              <w:rPr>
                <w:b/>
                <w:szCs w:val="24"/>
                <w:lang w:val="fr-CA"/>
              </w:rPr>
            </w:pPr>
            <w:r w:rsidRPr="007A5455">
              <w:rPr>
                <w:b/>
                <w:szCs w:val="24"/>
                <w:lang w:val="fr-CA"/>
              </w:rPr>
              <w:t>JUGEMENTS RENDUS SUR LES APPELS EN DÉLIBÉRÉ</w:t>
            </w:r>
          </w:p>
          <w:p w:rsidR="00FF6EEC" w:rsidRPr="007A545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7A5455"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7A5455">
              <w:rPr>
                <w:b/>
                <w:szCs w:val="24"/>
                <w:lang w:val="fr-CA"/>
              </w:rPr>
              <w:t>Les motifs de jugement sont disponibles</w:t>
            </w:r>
          </w:p>
        </w:tc>
      </w:tr>
    </w:tbl>
    <w:p w:rsidR="00FF6EEC" w:rsidRPr="007A5455" w:rsidRDefault="00FF6EEC" w:rsidP="00FF6EEC">
      <w:pPr>
        <w:rPr>
          <w:b/>
          <w:sz w:val="20"/>
          <w:szCs w:val="20"/>
          <w:lang w:val="fr-CA"/>
        </w:rPr>
      </w:pPr>
    </w:p>
    <w:p w:rsidR="0052229C" w:rsidRPr="007A5455" w:rsidRDefault="00EF7BAA" w:rsidP="0052229C">
      <w:pPr>
        <w:rPr>
          <w:b/>
          <w:sz w:val="20"/>
          <w:szCs w:val="20"/>
          <w:lang w:val="fr-CA"/>
        </w:rPr>
      </w:pPr>
      <w:r w:rsidRPr="007A5455">
        <w:rPr>
          <w:b/>
          <w:sz w:val="20"/>
          <w:szCs w:val="20"/>
          <w:lang w:val="fr-CA"/>
        </w:rPr>
        <w:t>DECEMBER</w:t>
      </w:r>
      <w:r w:rsidR="0052229C" w:rsidRPr="007A5455">
        <w:rPr>
          <w:b/>
          <w:sz w:val="20"/>
          <w:szCs w:val="20"/>
          <w:lang w:val="fr-CA"/>
        </w:rPr>
        <w:t xml:space="preserve"> 1</w:t>
      </w:r>
      <w:r w:rsidRPr="007A5455">
        <w:rPr>
          <w:b/>
          <w:sz w:val="20"/>
          <w:szCs w:val="20"/>
          <w:lang w:val="fr-CA"/>
        </w:rPr>
        <w:t>0</w:t>
      </w:r>
      <w:r w:rsidR="0052229C" w:rsidRPr="007A5455">
        <w:rPr>
          <w:b/>
          <w:sz w:val="20"/>
          <w:szCs w:val="20"/>
          <w:lang w:val="fr-CA"/>
        </w:rPr>
        <w:t>, 201</w:t>
      </w:r>
      <w:r w:rsidRPr="007A5455">
        <w:rPr>
          <w:b/>
          <w:sz w:val="20"/>
          <w:szCs w:val="20"/>
          <w:lang w:val="fr-CA"/>
        </w:rPr>
        <w:t>5</w:t>
      </w:r>
      <w:r w:rsidR="0052229C" w:rsidRPr="007A5455">
        <w:rPr>
          <w:b/>
          <w:sz w:val="20"/>
          <w:szCs w:val="20"/>
          <w:lang w:val="fr-CA"/>
        </w:rPr>
        <w:t xml:space="preserve"> / LE 1</w:t>
      </w:r>
      <w:r w:rsidRPr="007A5455">
        <w:rPr>
          <w:b/>
          <w:sz w:val="20"/>
          <w:szCs w:val="20"/>
          <w:lang w:val="fr-CA"/>
        </w:rPr>
        <w:t>0</w:t>
      </w:r>
      <w:r w:rsidR="0052229C" w:rsidRPr="007A5455">
        <w:rPr>
          <w:b/>
          <w:sz w:val="20"/>
          <w:szCs w:val="20"/>
          <w:lang w:val="fr-CA"/>
        </w:rPr>
        <w:t xml:space="preserve"> </w:t>
      </w:r>
      <w:r w:rsidRPr="007A5455">
        <w:rPr>
          <w:b/>
          <w:sz w:val="20"/>
          <w:szCs w:val="20"/>
          <w:lang w:val="fr-CA"/>
        </w:rPr>
        <w:t>DÉCEMBRE</w:t>
      </w:r>
      <w:r w:rsidR="0052229C" w:rsidRPr="007A5455">
        <w:rPr>
          <w:b/>
          <w:sz w:val="20"/>
          <w:szCs w:val="20"/>
          <w:lang w:val="fr-CA"/>
        </w:rPr>
        <w:t xml:space="preserve"> 201</w:t>
      </w:r>
      <w:r w:rsidRPr="007A5455">
        <w:rPr>
          <w:b/>
          <w:sz w:val="20"/>
          <w:szCs w:val="20"/>
          <w:lang w:val="fr-CA"/>
        </w:rPr>
        <w:t>5</w:t>
      </w:r>
    </w:p>
    <w:p w:rsidR="0052229C" w:rsidRPr="007A5455" w:rsidRDefault="0052229C" w:rsidP="0052229C">
      <w:pPr>
        <w:rPr>
          <w:sz w:val="20"/>
          <w:szCs w:val="20"/>
          <w:lang w:val="fr-CA"/>
        </w:rPr>
      </w:pPr>
    </w:p>
    <w:p w:rsidR="0052229C" w:rsidRPr="007A5455" w:rsidRDefault="000E27A5" w:rsidP="0052229C">
      <w:pPr>
        <w:ind w:left="1440" w:hanging="1440"/>
        <w:jc w:val="both"/>
        <w:rPr>
          <w:sz w:val="20"/>
          <w:lang w:val="fr-CA"/>
        </w:rPr>
      </w:pPr>
      <w:r w:rsidRPr="007A5455">
        <w:rPr>
          <w:b/>
          <w:sz w:val="20"/>
        </w:rPr>
        <w:fldChar w:fldCharType="begin"/>
      </w:r>
      <w:r w:rsidR="0052229C" w:rsidRPr="007A5455">
        <w:rPr>
          <w:b/>
          <w:sz w:val="20"/>
          <w:lang w:val="fr-CA"/>
        </w:rPr>
        <w:instrText xml:space="preserve"> SEQ CHAPTER \h \r 1</w:instrText>
      </w:r>
      <w:r w:rsidRPr="007A5455">
        <w:rPr>
          <w:b/>
          <w:sz w:val="20"/>
        </w:rPr>
        <w:fldChar w:fldCharType="end"/>
      </w:r>
      <w:r w:rsidR="0052229C" w:rsidRPr="007A5455">
        <w:rPr>
          <w:b/>
          <w:sz w:val="20"/>
          <w:lang w:val="fr-CA"/>
        </w:rPr>
        <w:t>3</w:t>
      </w:r>
      <w:r w:rsidR="00EE467B" w:rsidRPr="007A5455">
        <w:rPr>
          <w:b/>
          <w:sz w:val="20"/>
          <w:lang w:val="fr-CA"/>
        </w:rPr>
        <w:t>599</w:t>
      </w:r>
      <w:r w:rsidR="0052229C" w:rsidRPr="007A5455">
        <w:rPr>
          <w:b/>
          <w:sz w:val="20"/>
          <w:lang w:val="fr-CA"/>
        </w:rPr>
        <w:t>0</w:t>
      </w:r>
      <w:r w:rsidR="0052229C" w:rsidRPr="007A5455">
        <w:rPr>
          <w:sz w:val="20"/>
          <w:lang w:val="fr-CA"/>
        </w:rPr>
        <w:tab/>
      </w:r>
      <w:proofErr w:type="spellStart"/>
      <w:r w:rsidR="00E37FEE" w:rsidRPr="007A5455">
        <w:rPr>
          <w:b/>
          <w:sz w:val="20"/>
          <w:u w:val="single"/>
          <w:lang w:val="fr-CA"/>
        </w:rPr>
        <w:t>Jeyakannan</w:t>
      </w:r>
      <w:proofErr w:type="spellEnd"/>
      <w:r w:rsidR="00E37FEE" w:rsidRPr="007A5455">
        <w:rPr>
          <w:b/>
          <w:sz w:val="20"/>
          <w:u w:val="single"/>
          <w:lang w:val="fr-CA"/>
        </w:rPr>
        <w:t xml:space="preserve"> </w:t>
      </w:r>
      <w:proofErr w:type="spellStart"/>
      <w:r w:rsidR="00E37FEE" w:rsidRPr="007A5455">
        <w:rPr>
          <w:b/>
          <w:sz w:val="20"/>
          <w:u w:val="single"/>
          <w:lang w:val="fr-CA"/>
        </w:rPr>
        <w:t>Kanthasamy</w:t>
      </w:r>
      <w:proofErr w:type="spellEnd"/>
      <w:r w:rsidR="00E37FEE" w:rsidRPr="007A5455">
        <w:rPr>
          <w:b/>
          <w:sz w:val="20"/>
          <w:u w:val="single"/>
          <w:lang w:val="fr-CA"/>
        </w:rPr>
        <w:t xml:space="preserve"> v. </w:t>
      </w:r>
      <w:proofErr w:type="spellStart"/>
      <w:r w:rsidR="00E37FEE" w:rsidRPr="007A5455">
        <w:rPr>
          <w:b/>
          <w:sz w:val="20"/>
          <w:u w:val="single"/>
          <w:lang w:val="fr-CA"/>
        </w:rPr>
        <w:t>Minister</w:t>
      </w:r>
      <w:proofErr w:type="spellEnd"/>
      <w:r w:rsidR="00E37FEE" w:rsidRPr="007A5455">
        <w:rPr>
          <w:b/>
          <w:sz w:val="20"/>
          <w:u w:val="single"/>
          <w:lang w:val="fr-CA"/>
        </w:rPr>
        <w:t xml:space="preserve"> of </w:t>
      </w:r>
      <w:proofErr w:type="spellStart"/>
      <w:r w:rsidR="00E37FEE" w:rsidRPr="007A5455">
        <w:rPr>
          <w:b/>
          <w:sz w:val="20"/>
          <w:u w:val="single"/>
          <w:lang w:val="fr-CA"/>
        </w:rPr>
        <w:t>Citizenship</w:t>
      </w:r>
      <w:proofErr w:type="spellEnd"/>
      <w:r w:rsidR="00E37FEE" w:rsidRPr="007A5455">
        <w:rPr>
          <w:b/>
          <w:sz w:val="20"/>
          <w:u w:val="single"/>
          <w:lang w:val="fr-CA"/>
        </w:rPr>
        <w:t xml:space="preserve"> and Immigration – and – Canadian Council for </w:t>
      </w:r>
      <w:proofErr w:type="spellStart"/>
      <w:r w:rsidR="00E37FEE" w:rsidRPr="007A5455">
        <w:rPr>
          <w:b/>
          <w:sz w:val="20"/>
          <w:u w:val="single"/>
          <w:lang w:val="fr-CA"/>
        </w:rPr>
        <w:t>Refugees</w:t>
      </w:r>
      <w:proofErr w:type="spellEnd"/>
      <w:r w:rsidR="00E37FEE" w:rsidRPr="007A5455">
        <w:rPr>
          <w:b/>
          <w:sz w:val="20"/>
          <w:u w:val="single"/>
          <w:lang w:val="fr-CA"/>
        </w:rPr>
        <w:t xml:space="preserve">, Justice for </w:t>
      </w:r>
      <w:proofErr w:type="spellStart"/>
      <w:r w:rsidR="00E37FEE" w:rsidRPr="007A5455">
        <w:rPr>
          <w:b/>
          <w:sz w:val="20"/>
          <w:u w:val="single"/>
          <w:lang w:val="fr-CA"/>
        </w:rPr>
        <w:t>Children</w:t>
      </w:r>
      <w:proofErr w:type="spellEnd"/>
      <w:r w:rsidR="00E37FEE" w:rsidRPr="007A5455">
        <w:rPr>
          <w:b/>
          <w:sz w:val="20"/>
          <w:u w:val="single"/>
          <w:lang w:val="fr-CA"/>
        </w:rPr>
        <w:t xml:space="preserve"> and </w:t>
      </w:r>
      <w:proofErr w:type="spellStart"/>
      <w:r w:rsidR="00E37FEE" w:rsidRPr="007A5455">
        <w:rPr>
          <w:b/>
          <w:sz w:val="20"/>
          <w:u w:val="single"/>
          <w:lang w:val="fr-CA"/>
        </w:rPr>
        <w:t>Youth</w:t>
      </w:r>
      <w:proofErr w:type="spellEnd"/>
      <w:r w:rsidR="00E37FEE" w:rsidRPr="007A5455">
        <w:rPr>
          <w:b/>
          <w:sz w:val="20"/>
          <w:u w:val="single"/>
          <w:lang w:val="fr-CA"/>
        </w:rPr>
        <w:t xml:space="preserve">, Barbra </w:t>
      </w:r>
      <w:proofErr w:type="spellStart"/>
      <w:r w:rsidR="00E37FEE" w:rsidRPr="007A5455">
        <w:rPr>
          <w:b/>
          <w:sz w:val="20"/>
          <w:u w:val="single"/>
          <w:lang w:val="fr-CA"/>
        </w:rPr>
        <w:t>Schlifer</w:t>
      </w:r>
      <w:proofErr w:type="spellEnd"/>
      <w:r w:rsidR="00E37FEE" w:rsidRPr="007A5455">
        <w:rPr>
          <w:b/>
          <w:sz w:val="20"/>
          <w:u w:val="single"/>
          <w:lang w:val="fr-CA"/>
        </w:rPr>
        <w:t xml:space="preserve"> </w:t>
      </w:r>
      <w:proofErr w:type="spellStart"/>
      <w:r w:rsidR="00E37FEE" w:rsidRPr="007A5455">
        <w:rPr>
          <w:b/>
          <w:sz w:val="20"/>
          <w:u w:val="single"/>
          <w:lang w:val="fr-CA"/>
        </w:rPr>
        <w:t>Commemorative</w:t>
      </w:r>
      <w:proofErr w:type="spellEnd"/>
      <w:r w:rsidR="00E37FEE" w:rsidRPr="007A5455">
        <w:rPr>
          <w:b/>
          <w:sz w:val="20"/>
          <w:u w:val="single"/>
          <w:lang w:val="fr-CA"/>
        </w:rPr>
        <w:t xml:space="preserve"> </w:t>
      </w:r>
      <w:proofErr w:type="spellStart"/>
      <w:r w:rsidR="00E37FEE" w:rsidRPr="007A5455">
        <w:rPr>
          <w:b/>
          <w:sz w:val="20"/>
          <w:u w:val="single"/>
          <w:lang w:val="fr-CA"/>
        </w:rPr>
        <w:t>Clinic</w:t>
      </w:r>
      <w:proofErr w:type="spellEnd"/>
      <w:r w:rsidR="00894FCE" w:rsidRPr="007A5455">
        <w:rPr>
          <w:b/>
          <w:sz w:val="20"/>
          <w:u w:val="single"/>
          <w:lang w:val="fr-CA"/>
        </w:rPr>
        <w:t>,</w:t>
      </w:r>
      <w:r w:rsidR="00E37FEE" w:rsidRPr="007A5455">
        <w:rPr>
          <w:b/>
          <w:sz w:val="20"/>
          <w:u w:val="single"/>
          <w:lang w:val="fr-CA"/>
        </w:rPr>
        <w:t xml:space="preserve"> Canadian Centre for </w:t>
      </w:r>
      <w:proofErr w:type="spellStart"/>
      <w:r w:rsidR="00E37FEE" w:rsidRPr="007A5455">
        <w:rPr>
          <w:b/>
          <w:sz w:val="20"/>
          <w:u w:val="single"/>
          <w:lang w:val="fr-CA"/>
        </w:rPr>
        <w:t>Victims</w:t>
      </w:r>
      <w:proofErr w:type="spellEnd"/>
      <w:r w:rsidR="00E37FEE" w:rsidRPr="007A5455">
        <w:rPr>
          <w:b/>
          <w:sz w:val="20"/>
          <w:u w:val="single"/>
          <w:lang w:val="fr-CA"/>
        </w:rPr>
        <w:t xml:space="preserve"> of Torture, Canadian Association of </w:t>
      </w:r>
      <w:proofErr w:type="spellStart"/>
      <w:r w:rsidR="00E37FEE" w:rsidRPr="007A5455">
        <w:rPr>
          <w:b/>
          <w:sz w:val="20"/>
          <w:u w:val="single"/>
          <w:lang w:val="fr-CA"/>
        </w:rPr>
        <w:t>Refugee</w:t>
      </w:r>
      <w:proofErr w:type="spellEnd"/>
      <w:r w:rsidR="00E37FEE" w:rsidRPr="007A5455">
        <w:rPr>
          <w:b/>
          <w:sz w:val="20"/>
          <w:u w:val="single"/>
          <w:lang w:val="fr-CA"/>
        </w:rPr>
        <w:t xml:space="preserve"> </w:t>
      </w:r>
      <w:proofErr w:type="spellStart"/>
      <w:r w:rsidR="00E37FEE" w:rsidRPr="007A5455">
        <w:rPr>
          <w:b/>
          <w:sz w:val="20"/>
          <w:u w:val="single"/>
          <w:lang w:val="fr-CA"/>
        </w:rPr>
        <w:t>Lawyers</w:t>
      </w:r>
      <w:proofErr w:type="spellEnd"/>
      <w:r w:rsidR="00E37FEE" w:rsidRPr="007A5455">
        <w:rPr>
          <w:b/>
          <w:sz w:val="20"/>
          <w:u w:val="single"/>
          <w:lang w:val="fr-CA"/>
        </w:rPr>
        <w:t xml:space="preserve"> and </w:t>
      </w:r>
      <w:proofErr w:type="spellStart"/>
      <w:r w:rsidR="00E37FEE" w:rsidRPr="007A5455">
        <w:rPr>
          <w:b/>
          <w:sz w:val="20"/>
          <w:u w:val="single"/>
          <w:lang w:val="fr-CA"/>
        </w:rPr>
        <w:t>Parkdale</w:t>
      </w:r>
      <w:proofErr w:type="spellEnd"/>
      <w:r w:rsidR="00E37FEE" w:rsidRPr="007A5455">
        <w:rPr>
          <w:b/>
          <w:sz w:val="20"/>
          <w:u w:val="single"/>
          <w:lang w:val="fr-CA"/>
        </w:rPr>
        <w:t xml:space="preserve"> </w:t>
      </w:r>
      <w:proofErr w:type="spellStart"/>
      <w:r w:rsidR="00E37FEE" w:rsidRPr="007A5455">
        <w:rPr>
          <w:b/>
          <w:sz w:val="20"/>
          <w:u w:val="single"/>
          <w:lang w:val="fr-CA"/>
        </w:rPr>
        <w:t>Community</w:t>
      </w:r>
      <w:proofErr w:type="spellEnd"/>
      <w:r w:rsidR="00E37FEE" w:rsidRPr="007A5455">
        <w:rPr>
          <w:b/>
          <w:sz w:val="20"/>
          <w:u w:val="single"/>
          <w:lang w:val="fr-CA"/>
        </w:rPr>
        <w:t xml:space="preserve"> </w:t>
      </w:r>
      <w:proofErr w:type="spellStart"/>
      <w:r w:rsidR="00E37FEE" w:rsidRPr="007A5455">
        <w:rPr>
          <w:b/>
          <w:sz w:val="20"/>
          <w:u w:val="single"/>
          <w:lang w:val="fr-CA"/>
        </w:rPr>
        <w:t>Legal</w:t>
      </w:r>
      <w:proofErr w:type="spellEnd"/>
      <w:r w:rsidR="00E37FEE" w:rsidRPr="007A5455">
        <w:rPr>
          <w:b/>
          <w:sz w:val="20"/>
          <w:u w:val="single"/>
          <w:lang w:val="fr-CA"/>
        </w:rPr>
        <w:t xml:space="preserve"> Services</w:t>
      </w:r>
      <w:r w:rsidR="0052229C" w:rsidRPr="007A5455">
        <w:rPr>
          <w:b/>
          <w:sz w:val="20"/>
          <w:lang w:val="fr-CA"/>
        </w:rPr>
        <w:t xml:space="preserve"> </w:t>
      </w:r>
      <w:r w:rsidR="0052229C" w:rsidRPr="007A5455">
        <w:rPr>
          <w:iCs/>
          <w:sz w:val="20"/>
          <w:lang w:val="fr-CA"/>
        </w:rPr>
        <w:t>(</w:t>
      </w:r>
      <w:r w:rsidR="001633B0" w:rsidRPr="007A5455">
        <w:rPr>
          <w:iCs/>
          <w:sz w:val="20"/>
          <w:lang w:val="fr-CA"/>
        </w:rPr>
        <w:t>F.C.</w:t>
      </w:r>
      <w:r w:rsidR="0052229C" w:rsidRPr="007A5455">
        <w:rPr>
          <w:iCs/>
          <w:sz w:val="20"/>
          <w:lang w:val="fr-CA"/>
        </w:rPr>
        <w:t>)</w:t>
      </w:r>
    </w:p>
    <w:p w:rsidR="0052229C" w:rsidRPr="007A545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7A5455">
        <w:rPr>
          <w:b/>
          <w:sz w:val="20"/>
          <w:lang w:val="fr-CA"/>
        </w:rPr>
        <w:t>201</w:t>
      </w:r>
      <w:r w:rsidR="001633B0" w:rsidRPr="007A5455">
        <w:rPr>
          <w:b/>
          <w:sz w:val="20"/>
          <w:lang w:val="fr-CA"/>
        </w:rPr>
        <w:t>5</w:t>
      </w:r>
      <w:r w:rsidRPr="007A5455">
        <w:rPr>
          <w:b/>
          <w:sz w:val="20"/>
          <w:lang w:val="fr-CA"/>
        </w:rPr>
        <w:t xml:space="preserve"> SCC </w:t>
      </w:r>
      <w:r w:rsidR="000062FB" w:rsidRPr="007A5455">
        <w:rPr>
          <w:b/>
          <w:sz w:val="20"/>
          <w:lang w:val="fr-CA"/>
        </w:rPr>
        <w:t>6</w:t>
      </w:r>
      <w:r w:rsidRPr="007A5455">
        <w:rPr>
          <w:b/>
          <w:sz w:val="20"/>
          <w:lang w:val="fr-CA"/>
        </w:rPr>
        <w:t>1 / 201</w:t>
      </w:r>
      <w:r w:rsidR="001633B0" w:rsidRPr="007A5455">
        <w:rPr>
          <w:b/>
          <w:sz w:val="20"/>
          <w:lang w:val="fr-CA"/>
        </w:rPr>
        <w:t>5</w:t>
      </w:r>
      <w:r w:rsidRPr="007A5455">
        <w:rPr>
          <w:b/>
          <w:sz w:val="20"/>
          <w:lang w:val="fr-CA"/>
        </w:rPr>
        <w:t xml:space="preserve"> CSC </w:t>
      </w:r>
      <w:r w:rsidR="000062FB" w:rsidRPr="007A5455">
        <w:rPr>
          <w:b/>
          <w:sz w:val="20"/>
          <w:lang w:val="fr-CA"/>
        </w:rPr>
        <w:t>6</w:t>
      </w:r>
      <w:r w:rsidRPr="007A5455">
        <w:rPr>
          <w:b/>
          <w:sz w:val="20"/>
          <w:lang w:val="fr-CA"/>
        </w:rPr>
        <w:t>1</w:t>
      </w:r>
    </w:p>
    <w:p w:rsidR="0052229C" w:rsidRPr="007A545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7A5455" w:rsidRDefault="0052229C" w:rsidP="0052229C">
      <w:pPr>
        <w:ind w:left="1440" w:hanging="1440"/>
        <w:rPr>
          <w:sz w:val="20"/>
          <w:u w:val="single"/>
          <w:lang w:val="fr-CA"/>
        </w:rPr>
      </w:pPr>
      <w:r w:rsidRPr="007A5455">
        <w:rPr>
          <w:sz w:val="20"/>
          <w:lang w:val="fr-CA"/>
        </w:rPr>
        <w:t>Coram:</w:t>
      </w:r>
      <w:r w:rsidRPr="007A5455">
        <w:rPr>
          <w:sz w:val="20"/>
          <w:lang w:val="fr-CA"/>
        </w:rPr>
        <w:tab/>
      </w:r>
      <w:proofErr w:type="spellStart"/>
      <w:r w:rsidR="001633B0" w:rsidRPr="007A5455">
        <w:rPr>
          <w:sz w:val="20"/>
          <w:szCs w:val="20"/>
          <w:u w:val="single"/>
        </w:rPr>
        <w:t>McLachlin</w:t>
      </w:r>
      <w:proofErr w:type="spellEnd"/>
      <w:r w:rsidR="001633B0" w:rsidRPr="007A5455">
        <w:rPr>
          <w:sz w:val="20"/>
          <w:szCs w:val="20"/>
          <w:u w:val="single"/>
        </w:rPr>
        <w:t xml:space="preserve"> C.J. and </w:t>
      </w:r>
      <w:proofErr w:type="spellStart"/>
      <w:r w:rsidR="000C65CC" w:rsidRPr="007A5455">
        <w:rPr>
          <w:sz w:val="20"/>
          <w:szCs w:val="20"/>
          <w:u w:val="single"/>
        </w:rPr>
        <w:t>Abella</w:t>
      </w:r>
      <w:proofErr w:type="spellEnd"/>
      <w:r w:rsidR="001633B0" w:rsidRPr="007A5455">
        <w:rPr>
          <w:sz w:val="20"/>
          <w:szCs w:val="20"/>
          <w:u w:val="single"/>
        </w:rPr>
        <w:t xml:space="preserve">, </w:t>
      </w:r>
      <w:r w:rsidR="000C65CC" w:rsidRPr="007A5455">
        <w:rPr>
          <w:sz w:val="20"/>
          <w:szCs w:val="20"/>
          <w:u w:val="single"/>
        </w:rPr>
        <w:t>Cromwell</w:t>
      </w:r>
      <w:r w:rsidR="001633B0" w:rsidRPr="007A5455">
        <w:rPr>
          <w:sz w:val="20"/>
          <w:szCs w:val="20"/>
          <w:u w:val="single"/>
        </w:rPr>
        <w:t xml:space="preserve">, </w:t>
      </w:r>
      <w:proofErr w:type="spellStart"/>
      <w:r w:rsidR="000C65CC" w:rsidRPr="007A5455">
        <w:rPr>
          <w:sz w:val="20"/>
          <w:szCs w:val="20"/>
          <w:u w:val="single"/>
        </w:rPr>
        <w:t>Moldaver</w:t>
      </w:r>
      <w:proofErr w:type="spellEnd"/>
      <w:r w:rsidR="001633B0" w:rsidRPr="007A5455">
        <w:rPr>
          <w:sz w:val="20"/>
          <w:szCs w:val="20"/>
          <w:u w:val="single"/>
        </w:rPr>
        <w:t xml:space="preserve">, </w:t>
      </w:r>
      <w:proofErr w:type="spellStart"/>
      <w:r w:rsidR="000C65CC" w:rsidRPr="007A5455">
        <w:rPr>
          <w:sz w:val="20"/>
          <w:szCs w:val="20"/>
          <w:u w:val="single"/>
        </w:rPr>
        <w:t>Karakatsanis</w:t>
      </w:r>
      <w:proofErr w:type="spellEnd"/>
      <w:r w:rsidR="001633B0" w:rsidRPr="007A5455">
        <w:rPr>
          <w:sz w:val="20"/>
          <w:szCs w:val="20"/>
          <w:u w:val="single"/>
        </w:rPr>
        <w:t xml:space="preserve">, </w:t>
      </w:r>
      <w:r w:rsidR="000C65CC" w:rsidRPr="007A5455">
        <w:rPr>
          <w:sz w:val="20"/>
          <w:szCs w:val="20"/>
          <w:u w:val="single"/>
        </w:rPr>
        <w:t>Wagner</w:t>
      </w:r>
      <w:r w:rsidR="001633B0" w:rsidRPr="007A5455">
        <w:rPr>
          <w:sz w:val="20"/>
          <w:szCs w:val="20"/>
          <w:u w:val="single"/>
        </w:rPr>
        <w:t xml:space="preserve"> and </w:t>
      </w:r>
      <w:proofErr w:type="spellStart"/>
      <w:r w:rsidR="000C65CC" w:rsidRPr="007A5455">
        <w:rPr>
          <w:sz w:val="20"/>
          <w:szCs w:val="20"/>
          <w:u w:val="single"/>
        </w:rPr>
        <w:t>Gascon</w:t>
      </w:r>
      <w:proofErr w:type="spellEnd"/>
      <w:r w:rsidR="001633B0" w:rsidRPr="007A5455">
        <w:rPr>
          <w:sz w:val="20"/>
          <w:szCs w:val="20"/>
          <w:u w:val="single"/>
        </w:rPr>
        <w:t xml:space="preserve"> JJ</w:t>
      </w:r>
      <w:r w:rsidR="0047207D" w:rsidRPr="007A5455">
        <w:rPr>
          <w:sz w:val="20"/>
          <w:szCs w:val="20"/>
          <w:u w:val="single"/>
        </w:rPr>
        <w:t>.</w:t>
      </w:r>
    </w:p>
    <w:p w:rsidR="0052229C" w:rsidRPr="007A5455" w:rsidRDefault="0052229C" w:rsidP="0052229C">
      <w:pPr>
        <w:ind w:left="1440" w:hanging="1440"/>
        <w:rPr>
          <w:sz w:val="16"/>
          <w:u w:val="single"/>
          <w:lang w:val="fr-CA"/>
        </w:rPr>
      </w:pPr>
      <w:r w:rsidRPr="007A5455">
        <w:rPr>
          <w:sz w:val="20"/>
          <w:u w:val="single"/>
          <w:lang w:val="fr-CA"/>
        </w:rPr>
        <w:t xml:space="preserve"> </w:t>
      </w:r>
    </w:p>
    <w:p w:rsidR="00880345" w:rsidRPr="007A5455" w:rsidRDefault="00880345" w:rsidP="00880345">
      <w:pPr>
        <w:jc w:val="both"/>
      </w:pPr>
      <w:r w:rsidRPr="007A5455">
        <w:rPr>
          <w:sz w:val="20"/>
          <w:szCs w:val="20"/>
        </w:rPr>
        <w:t xml:space="preserve">The appeal from the judgment of the Federal Court of Appeal, Number A-272-13, 2014 FCA 113, dated May 2, 2014, heard on April 16, 2015, is granted with costs. The Senior Immigration Officer’s decision is set aside and the matter is remitted for reconsideration. </w:t>
      </w:r>
      <w:proofErr w:type="spellStart"/>
      <w:r w:rsidRPr="007A5455">
        <w:rPr>
          <w:sz w:val="20"/>
          <w:szCs w:val="20"/>
        </w:rPr>
        <w:t>Moldaver</w:t>
      </w:r>
      <w:proofErr w:type="spellEnd"/>
      <w:r w:rsidRPr="007A5455">
        <w:rPr>
          <w:sz w:val="20"/>
          <w:szCs w:val="20"/>
        </w:rPr>
        <w:t xml:space="preserve"> and Wagner JJ. </w:t>
      </w:r>
      <w:proofErr w:type="gramStart"/>
      <w:r w:rsidRPr="007A5455">
        <w:rPr>
          <w:sz w:val="20"/>
          <w:szCs w:val="20"/>
        </w:rPr>
        <w:t>are</w:t>
      </w:r>
      <w:proofErr w:type="gramEnd"/>
      <w:r w:rsidRPr="007A5455">
        <w:rPr>
          <w:sz w:val="20"/>
          <w:szCs w:val="20"/>
        </w:rPr>
        <w:t xml:space="preserve"> dissenting.</w:t>
      </w:r>
    </w:p>
    <w:p w:rsidR="001633B0" w:rsidRPr="007A5455" w:rsidRDefault="001633B0" w:rsidP="001633B0">
      <w:pPr>
        <w:jc w:val="both"/>
        <w:rPr>
          <w:rFonts w:eastAsia="Calibri"/>
          <w:sz w:val="20"/>
          <w:szCs w:val="20"/>
        </w:rPr>
      </w:pPr>
    </w:p>
    <w:p w:rsidR="001633B0" w:rsidRPr="007A5455" w:rsidRDefault="00880345" w:rsidP="001633B0">
      <w:pPr>
        <w:jc w:val="both"/>
        <w:rPr>
          <w:rFonts w:eastAsia="Calibri"/>
          <w:sz w:val="20"/>
          <w:szCs w:val="20"/>
          <w:lang w:val="fr-CA"/>
        </w:rPr>
      </w:pPr>
      <w:r w:rsidRPr="007A5455">
        <w:rPr>
          <w:sz w:val="20"/>
          <w:szCs w:val="20"/>
          <w:lang w:val="fr-CA"/>
        </w:rPr>
        <w:t xml:space="preserve">L’appel interjeté contre l’arrêt de la </w:t>
      </w:r>
      <w:r w:rsidRPr="007A5455">
        <w:rPr>
          <w:sz w:val="20"/>
          <w:szCs w:val="20"/>
          <w:lang w:val="fr-FR"/>
        </w:rPr>
        <w:t>Cour d’appel fédérale</w:t>
      </w:r>
      <w:r w:rsidRPr="007A5455">
        <w:rPr>
          <w:sz w:val="20"/>
          <w:szCs w:val="20"/>
          <w:lang w:val="fr-CA"/>
        </w:rPr>
        <w:t xml:space="preserve">, numéro </w:t>
      </w:r>
      <w:r w:rsidRPr="007A5455">
        <w:rPr>
          <w:sz w:val="20"/>
          <w:szCs w:val="20"/>
          <w:lang w:val="fr-FR"/>
        </w:rPr>
        <w:t>A-272-13, 2014 CAF 113</w:t>
      </w:r>
      <w:r w:rsidRPr="007A5455">
        <w:rPr>
          <w:sz w:val="20"/>
          <w:szCs w:val="20"/>
          <w:lang w:val="fr-CA"/>
        </w:rPr>
        <w:t xml:space="preserve">, en date du </w:t>
      </w:r>
      <w:r w:rsidRPr="007A5455">
        <w:rPr>
          <w:sz w:val="20"/>
          <w:szCs w:val="20"/>
          <w:lang w:val="fr-FR"/>
        </w:rPr>
        <w:t>2 mai 2014</w:t>
      </w:r>
      <w:r w:rsidRPr="007A5455">
        <w:rPr>
          <w:sz w:val="20"/>
          <w:szCs w:val="20"/>
          <w:lang w:val="fr-CA"/>
        </w:rPr>
        <w:t xml:space="preserve">, entendu le </w:t>
      </w:r>
      <w:r w:rsidRPr="007A5455">
        <w:rPr>
          <w:sz w:val="20"/>
          <w:szCs w:val="20"/>
          <w:lang w:val="fr-FR"/>
        </w:rPr>
        <w:t>16 avril 2015,</w:t>
      </w:r>
      <w:r w:rsidRPr="007A5455">
        <w:rPr>
          <w:sz w:val="20"/>
          <w:szCs w:val="20"/>
          <w:lang w:val="fr-CA"/>
        </w:rPr>
        <w:t xml:space="preserve"> est accueilli avec dépens.  La décision de l’agente principale d’immigration est annulée et l’affaire est renvoyée pour réexamen.  Les juges </w:t>
      </w:r>
      <w:proofErr w:type="spellStart"/>
      <w:r w:rsidRPr="007A5455">
        <w:rPr>
          <w:sz w:val="20"/>
          <w:szCs w:val="20"/>
          <w:lang w:val="fr-CA"/>
        </w:rPr>
        <w:t>Moldaver</w:t>
      </w:r>
      <w:proofErr w:type="spellEnd"/>
      <w:r w:rsidRPr="007A5455">
        <w:rPr>
          <w:sz w:val="20"/>
          <w:szCs w:val="20"/>
          <w:lang w:val="fr-CA"/>
        </w:rPr>
        <w:t xml:space="preserve"> et Wagner sont dissidents.</w:t>
      </w:r>
    </w:p>
    <w:p w:rsidR="0052229C" w:rsidRPr="007A5455" w:rsidRDefault="0052229C" w:rsidP="0052229C">
      <w:pPr>
        <w:rPr>
          <w:sz w:val="20"/>
          <w:szCs w:val="20"/>
        </w:rPr>
      </w:pPr>
    </w:p>
    <w:p w:rsidR="0052229C" w:rsidRPr="007A5455" w:rsidRDefault="001F68BE" w:rsidP="0052229C">
      <w:pPr>
        <w:spacing w:line="0" w:lineRule="atLeast"/>
        <w:rPr>
          <w:sz w:val="20"/>
          <w:szCs w:val="20"/>
        </w:rPr>
      </w:pPr>
      <w:r>
        <w:rPr>
          <w:b/>
          <w:sz w:val="20"/>
          <w:szCs w:val="20"/>
        </w:rPr>
        <w:pict>
          <v:rect id="_x0000_i1083" style="width:144.3pt;height:1pt" o:hrpct="300" o:hralign="center" o:hrstd="t" o:hrnoshade="t" o:hr="t" fillcolor="black [3213]" stroked="f"/>
        </w:pict>
      </w:r>
    </w:p>
    <w:p w:rsidR="0052229C" w:rsidRPr="007A5455" w:rsidRDefault="0052229C" w:rsidP="0052229C">
      <w:pPr>
        <w:spacing w:line="0" w:lineRule="atLeast"/>
        <w:rPr>
          <w:sz w:val="20"/>
          <w:szCs w:val="20"/>
        </w:rPr>
      </w:pPr>
    </w:p>
    <w:p w:rsidR="0052229C" w:rsidRPr="007A5455" w:rsidRDefault="009D722B" w:rsidP="0052229C">
      <w:pPr>
        <w:rPr>
          <w:b/>
          <w:sz w:val="20"/>
          <w:szCs w:val="20"/>
        </w:rPr>
      </w:pPr>
      <w:r w:rsidRPr="007A5455">
        <w:rPr>
          <w:b/>
          <w:sz w:val="20"/>
          <w:szCs w:val="20"/>
        </w:rPr>
        <w:t>DECEMBER</w:t>
      </w:r>
      <w:r w:rsidR="0052229C" w:rsidRPr="007A5455">
        <w:rPr>
          <w:b/>
          <w:sz w:val="20"/>
          <w:szCs w:val="20"/>
        </w:rPr>
        <w:t xml:space="preserve"> 1</w:t>
      </w:r>
      <w:r w:rsidRPr="007A5455">
        <w:rPr>
          <w:b/>
          <w:sz w:val="20"/>
          <w:szCs w:val="20"/>
        </w:rPr>
        <w:t>1</w:t>
      </w:r>
      <w:r w:rsidR="0052229C" w:rsidRPr="007A5455">
        <w:rPr>
          <w:b/>
          <w:sz w:val="20"/>
          <w:szCs w:val="20"/>
        </w:rPr>
        <w:t>, 201</w:t>
      </w:r>
      <w:r w:rsidRPr="007A5455">
        <w:rPr>
          <w:b/>
          <w:sz w:val="20"/>
          <w:szCs w:val="20"/>
        </w:rPr>
        <w:t>5</w:t>
      </w:r>
      <w:r w:rsidR="0052229C" w:rsidRPr="007A5455">
        <w:rPr>
          <w:b/>
          <w:sz w:val="20"/>
          <w:szCs w:val="20"/>
        </w:rPr>
        <w:t xml:space="preserve"> / LE 1</w:t>
      </w:r>
      <w:r w:rsidRPr="007A5455">
        <w:rPr>
          <w:b/>
          <w:sz w:val="20"/>
          <w:szCs w:val="20"/>
        </w:rPr>
        <w:t>1</w:t>
      </w:r>
      <w:r w:rsidR="0052229C" w:rsidRPr="007A5455">
        <w:rPr>
          <w:b/>
          <w:sz w:val="20"/>
          <w:szCs w:val="20"/>
        </w:rPr>
        <w:t xml:space="preserve"> </w:t>
      </w:r>
      <w:r w:rsidRPr="007A5455">
        <w:rPr>
          <w:b/>
          <w:sz w:val="20"/>
          <w:szCs w:val="20"/>
        </w:rPr>
        <w:t>DÉCEMBRE</w:t>
      </w:r>
      <w:r w:rsidR="0052229C" w:rsidRPr="007A5455">
        <w:rPr>
          <w:b/>
          <w:sz w:val="20"/>
          <w:szCs w:val="20"/>
        </w:rPr>
        <w:t xml:space="preserve"> 201</w:t>
      </w:r>
      <w:r w:rsidRPr="007A5455">
        <w:rPr>
          <w:b/>
          <w:sz w:val="20"/>
          <w:szCs w:val="20"/>
        </w:rPr>
        <w:t>5</w:t>
      </w:r>
    </w:p>
    <w:p w:rsidR="0052229C" w:rsidRPr="007A5455" w:rsidRDefault="0052229C" w:rsidP="0052229C">
      <w:pPr>
        <w:spacing w:line="0" w:lineRule="atLeast"/>
        <w:rPr>
          <w:rFonts w:cs="Times New Roman"/>
          <w:sz w:val="20"/>
          <w:szCs w:val="20"/>
        </w:rPr>
      </w:pPr>
    </w:p>
    <w:p w:rsidR="0052229C" w:rsidRPr="007A5455" w:rsidRDefault="000E27A5" w:rsidP="0052229C">
      <w:pPr>
        <w:ind w:left="1440" w:hanging="1440"/>
        <w:jc w:val="both"/>
        <w:rPr>
          <w:sz w:val="20"/>
          <w:szCs w:val="20"/>
        </w:rPr>
      </w:pPr>
      <w:r w:rsidRPr="007A5455">
        <w:rPr>
          <w:b/>
          <w:sz w:val="20"/>
          <w:szCs w:val="20"/>
        </w:rPr>
        <w:fldChar w:fldCharType="begin"/>
      </w:r>
      <w:r w:rsidR="0052229C" w:rsidRPr="007A5455">
        <w:rPr>
          <w:b/>
          <w:sz w:val="20"/>
          <w:szCs w:val="20"/>
        </w:rPr>
        <w:instrText xml:space="preserve"> SEQ CHAPTER \h \r 1</w:instrText>
      </w:r>
      <w:r w:rsidRPr="007A5455">
        <w:rPr>
          <w:b/>
          <w:sz w:val="20"/>
          <w:szCs w:val="20"/>
        </w:rPr>
        <w:fldChar w:fldCharType="end"/>
      </w:r>
      <w:r w:rsidR="0052229C" w:rsidRPr="007A5455">
        <w:rPr>
          <w:b/>
          <w:sz w:val="20"/>
          <w:szCs w:val="20"/>
        </w:rPr>
        <w:t>3</w:t>
      </w:r>
      <w:r w:rsidR="001E7639" w:rsidRPr="007A5455">
        <w:rPr>
          <w:b/>
          <w:sz w:val="20"/>
          <w:szCs w:val="20"/>
        </w:rPr>
        <w:t>5838</w:t>
      </w:r>
      <w:r w:rsidR="0052229C" w:rsidRPr="007A5455">
        <w:rPr>
          <w:sz w:val="20"/>
          <w:szCs w:val="20"/>
        </w:rPr>
        <w:tab/>
      </w:r>
      <w:r w:rsidR="001E7639" w:rsidRPr="007A5455">
        <w:rPr>
          <w:b/>
          <w:sz w:val="20"/>
          <w:szCs w:val="20"/>
          <w:u w:val="single"/>
        </w:rPr>
        <w:t>M.M. v. Minister of Justice Canada on behalf of the United States of America – and – Criminal Lawyers’ Association (Ontario) and British Columbia Civil Liberties Association</w:t>
      </w:r>
      <w:r w:rsidR="001E7639" w:rsidRPr="007A5455">
        <w:rPr>
          <w:b/>
          <w:sz w:val="20"/>
          <w:szCs w:val="20"/>
        </w:rPr>
        <w:t xml:space="preserve"> </w:t>
      </w:r>
      <w:r w:rsidR="0052229C" w:rsidRPr="007A5455">
        <w:rPr>
          <w:iCs/>
          <w:sz w:val="20"/>
          <w:szCs w:val="20"/>
        </w:rPr>
        <w:t>(</w:t>
      </w:r>
      <w:r w:rsidR="001E7639" w:rsidRPr="007A5455">
        <w:rPr>
          <w:iCs/>
          <w:sz w:val="20"/>
          <w:szCs w:val="20"/>
        </w:rPr>
        <w:t>Que.</w:t>
      </w:r>
      <w:r w:rsidR="0052229C" w:rsidRPr="007A5455">
        <w:rPr>
          <w:iCs/>
          <w:sz w:val="20"/>
          <w:szCs w:val="20"/>
        </w:rPr>
        <w:t>)</w:t>
      </w:r>
    </w:p>
    <w:p w:rsidR="0052229C" w:rsidRPr="007A545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7A5455">
        <w:rPr>
          <w:b/>
          <w:sz w:val="20"/>
          <w:szCs w:val="20"/>
        </w:rPr>
        <w:t>201</w:t>
      </w:r>
      <w:r w:rsidR="009D722B" w:rsidRPr="007A5455">
        <w:rPr>
          <w:b/>
          <w:sz w:val="20"/>
          <w:szCs w:val="20"/>
        </w:rPr>
        <w:t>5</w:t>
      </w:r>
      <w:r w:rsidRPr="007A5455">
        <w:rPr>
          <w:b/>
          <w:sz w:val="20"/>
          <w:szCs w:val="20"/>
        </w:rPr>
        <w:t xml:space="preserve"> SCC </w:t>
      </w:r>
      <w:r w:rsidR="00654E3A" w:rsidRPr="007A5455">
        <w:rPr>
          <w:b/>
          <w:sz w:val="20"/>
          <w:szCs w:val="20"/>
        </w:rPr>
        <w:t>6</w:t>
      </w:r>
      <w:r w:rsidR="009D722B" w:rsidRPr="007A5455">
        <w:rPr>
          <w:b/>
          <w:sz w:val="20"/>
          <w:szCs w:val="20"/>
        </w:rPr>
        <w:t>2</w:t>
      </w:r>
      <w:r w:rsidRPr="007A5455">
        <w:rPr>
          <w:b/>
          <w:sz w:val="20"/>
          <w:szCs w:val="20"/>
        </w:rPr>
        <w:t xml:space="preserve"> / 201</w:t>
      </w:r>
      <w:r w:rsidR="009D722B" w:rsidRPr="007A5455">
        <w:rPr>
          <w:b/>
          <w:sz w:val="20"/>
          <w:szCs w:val="20"/>
        </w:rPr>
        <w:t>5</w:t>
      </w:r>
      <w:r w:rsidRPr="007A5455">
        <w:rPr>
          <w:b/>
          <w:sz w:val="20"/>
          <w:szCs w:val="20"/>
        </w:rPr>
        <w:t xml:space="preserve"> CSC </w:t>
      </w:r>
      <w:r w:rsidR="00654E3A" w:rsidRPr="007A5455">
        <w:rPr>
          <w:b/>
          <w:sz w:val="20"/>
          <w:szCs w:val="20"/>
        </w:rPr>
        <w:t>6</w:t>
      </w:r>
      <w:r w:rsidR="009D722B" w:rsidRPr="007A5455">
        <w:rPr>
          <w:b/>
          <w:sz w:val="20"/>
          <w:szCs w:val="20"/>
        </w:rPr>
        <w:t>2</w:t>
      </w:r>
    </w:p>
    <w:p w:rsidR="0052229C" w:rsidRPr="007A545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47207D" w:rsidRPr="007A5455" w:rsidRDefault="0052229C" w:rsidP="0047207D">
      <w:pPr>
        <w:ind w:left="1440" w:hanging="1440"/>
        <w:rPr>
          <w:sz w:val="20"/>
          <w:u w:val="single"/>
          <w:lang w:val="fr-CA"/>
        </w:rPr>
      </w:pPr>
      <w:r w:rsidRPr="007A5455">
        <w:rPr>
          <w:sz w:val="20"/>
          <w:szCs w:val="20"/>
        </w:rPr>
        <w:t>Coram:</w:t>
      </w:r>
      <w:r w:rsidRPr="007A5455">
        <w:rPr>
          <w:sz w:val="20"/>
          <w:szCs w:val="20"/>
        </w:rPr>
        <w:tab/>
      </w:r>
      <w:proofErr w:type="spellStart"/>
      <w:r w:rsidR="0047207D" w:rsidRPr="007A5455">
        <w:rPr>
          <w:sz w:val="20"/>
          <w:szCs w:val="20"/>
          <w:u w:val="single"/>
        </w:rPr>
        <w:t>McLachlin</w:t>
      </w:r>
      <w:proofErr w:type="spellEnd"/>
      <w:r w:rsidR="0047207D" w:rsidRPr="007A5455">
        <w:rPr>
          <w:sz w:val="20"/>
          <w:szCs w:val="20"/>
          <w:u w:val="single"/>
        </w:rPr>
        <w:t xml:space="preserve"> C.J. and </w:t>
      </w:r>
      <w:proofErr w:type="spellStart"/>
      <w:r w:rsidR="0047207D" w:rsidRPr="007A5455">
        <w:rPr>
          <w:sz w:val="20"/>
          <w:szCs w:val="20"/>
          <w:u w:val="single"/>
        </w:rPr>
        <w:t>Abella</w:t>
      </w:r>
      <w:proofErr w:type="spellEnd"/>
      <w:r w:rsidR="0047207D" w:rsidRPr="007A5455">
        <w:rPr>
          <w:sz w:val="20"/>
          <w:szCs w:val="20"/>
          <w:u w:val="single"/>
        </w:rPr>
        <w:t xml:space="preserve">, Cromwell, </w:t>
      </w:r>
      <w:proofErr w:type="spellStart"/>
      <w:r w:rsidR="0047207D" w:rsidRPr="007A5455">
        <w:rPr>
          <w:sz w:val="20"/>
          <w:szCs w:val="20"/>
          <w:u w:val="single"/>
        </w:rPr>
        <w:t>Moldaver</w:t>
      </w:r>
      <w:proofErr w:type="spellEnd"/>
      <w:r w:rsidR="0047207D" w:rsidRPr="007A5455">
        <w:rPr>
          <w:sz w:val="20"/>
          <w:szCs w:val="20"/>
          <w:u w:val="single"/>
        </w:rPr>
        <w:t xml:space="preserve">, </w:t>
      </w:r>
      <w:proofErr w:type="spellStart"/>
      <w:r w:rsidR="0047207D" w:rsidRPr="007A5455">
        <w:rPr>
          <w:sz w:val="20"/>
          <w:szCs w:val="20"/>
          <w:u w:val="single"/>
        </w:rPr>
        <w:t>Karakatsanis</w:t>
      </w:r>
      <w:proofErr w:type="spellEnd"/>
      <w:r w:rsidR="0047207D" w:rsidRPr="007A5455">
        <w:rPr>
          <w:sz w:val="20"/>
          <w:szCs w:val="20"/>
          <w:u w:val="single"/>
        </w:rPr>
        <w:t xml:space="preserve">, Wagner and </w:t>
      </w:r>
      <w:proofErr w:type="spellStart"/>
      <w:r w:rsidR="00AA1CF8" w:rsidRPr="007A5455">
        <w:rPr>
          <w:sz w:val="20"/>
          <w:szCs w:val="20"/>
          <w:u w:val="single"/>
        </w:rPr>
        <w:t>Côté</w:t>
      </w:r>
      <w:proofErr w:type="spellEnd"/>
      <w:r w:rsidR="0047207D" w:rsidRPr="007A5455">
        <w:rPr>
          <w:sz w:val="20"/>
          <w:szCs w:val="20"/>
          <w:u w:val="single"/>
        </w:rPr>
        <w:t xml:space="preserve"> JJ.</w:t>
      </w:r>
    </w:p>
    <w:p w:rsidR="0052229C" w:rsidRPr="007A5455" w:rsidRDefault="0052229C" w:rsidP="0052229C">
      <w:pPr>
        <w:ind w:left="1440" w:hanging="1440"/>
        <w:jc w:val="both"/>
        <w:rPr>
          <w:sz w:val="20"/>
          <w:szCs w:val="20"/>
          <w:u w:val="single"/>
        </w:rPr>
      </w:pPr>
    </w:p>
    <w:p w:rsidR="00BA5742" w:rsidRPr="007A5455" w:rsidRDefault="00BA5742" w:rsidP="00BA5742">
      <w:pPr>
        <w:jc w:val="both"/>
        <w:rPr>
          <w:sz w:val="20"/>
          <w:szCs w:val="20"/>
        </w:rPr>
      </w:pPr>
      <w:r w:rsidRPr="007A5455">
        <w:rPr>
          <w:sz w:val="20"/>
          <w:szCs w:val="20"/>
        </w:rPr>
        <w:t xml:space="preserve">The appeal from the judgments of the Court of Appeal of Quebec (Montréal), Number  500-10-005343-130, 2014 QCCA 681, dated April 4, 2014, and Number 500-10-005000-110, 2012 QCCA 1142, dated June 15, 2012, heard on March 17, 2015, is dismissed. There will be no order with respect to costs. </w:t>
      </w:r>
      <w:proofErr w:type="spellStart"/>
      <w:r w:rsidRPr="007A5455">
        <w:rPr>
          <w:sz w:val="20"/>
          <w:szCs w:val="20"/>
        </w:rPr>
        <w:t>Abella</w:t>
      </w:r>
      <w:proofErr w:type="spellEnd"/>
      <w:r w:rsidRPr="007A5455">
        <w:rPr>
          <w:sz w:val="20"/>
          <w:szCs w:val="20"/>
        </w:rPr>
        <w:t xml:space="preserve">, </w:t>
      </w:r>
      <w:proofErr w:type="spellStart"/>
      <w:r w:rsidRPr="007A5455">
        <w:rPr>
          <w:sz w:val="20"/>
          <w:szCs w:val="20"/>
        </w:rPr>
        <w:t>Karakatsanis</w:t>
      </w:r>
      <w:proofErr w:type="spellEnd"/>
      <w:r w:rsidRPr="007A5455">
        <w:rPr>
          <w:sz w:val="20"/>
          <w:szCs w:val="20"/>
        </w:rPr>
        <w:t xml:space="preserve"> and </w:t>
      </w:r>
      <w:proofErr w:type="spellStart"/>
      <w:r w:rsidRPr="007A5455">
        <w:rPr>
          <w:sz w:val="20"/>
          <w:szCs w:val="20"/>
        </w:rPr>
        <w:t>Côté</w:t>
      </w:r>
      <w:proofErr w:type="spellEnd"/>
      <w:r w:rsidRPr="007A5455">
        <w:rPr>
          <w:sz w:val="20"/>
          <w:szCs w:val="20"/>
        </w:rPr>
        <w:t xml:space="preserve"> JJ. </w:t>
      </w:r>
      <w:proofErr w:type="gramStart"/>
      <w:r w:rsidRPr="007A5455">
        <w:rPr>
          <w:sz w:val="20"/>
          <w:szCs w:val="20"/>
        </w:rPr>
        <w:t>are</w:t>
      </w:r>
      <w:proofErr w:type="gramEnd"/>
      <w:r w:rsidRPr="007A5455">
        <w:rPr>
          <w:sz w:val="20"/>
          <w:szCs w:val="20"/>
        </w:rPr>
        <w:t xml:space="preserve"> dissenting.</w:t>
      </w:r>
    </w:p>
    <w:p w:rsidR="0052229C" w:rsidRPr="007A5455" w:rsidRDefault="0052229C" w:rsidP="0052229C">
      <w:pPr>
        <w:jc w:val="both"/>
        <w:rPr>
          <w:rFonts w:eastAsia="Calibri"/>
          <w:sz w:val="20"/>
          <w:szCs w:val="20"/>
        </w:rPr>
      </w:pPr>
    </w:p>
    <w:p w:rsidR="0052229C" w:rsidRPr="007A5455" w:rsidRDefault="00BA5742" w:rsidP="0052229C">
      <w:pPr>
        <w:jc w:val="both"/>
        <w:rPr>
          <w:rFonts w:eastAsia="Calibri"/>
          <w:sz w:val="20"/>
          <w:szCs w:val="20"/>
          <w:lang w:val="fr-CA"/>
        </w:rPr>
      </w:pPr>
      <w:r w:rsidRPr="007A5455">
        <w:rPr>
          <w:sz w:val="20"/>
          <w:szCs w:val="20"/>
          <w:lang w:val="fr-CA"/>
        </w:rPr>
        <w:t xml:space="preserve">L’appel interjeté contre les arrêts de la Cour d’appel du Québec (Montréal), numéro  500-10-005343-130, 2014 QCCA 681, en date du 4 avril 2014, et numéro 500-10-005000-110, 2012 QCCA 1142, en date du 15 juin 2012, entendu le 17 mars 2015, est rejeté. Aucune ordonnance n’est rendue concernant les dépens. Les juges Abella, </w:t>
      </w:r>
      <w:proofErr w:type="spellStart"/>
      <w:r w:rsidRPr="007A5455">
        <w:rPr>
          <w:sz w:val="20"/>
          <w:szCs w:val="20"/>
          <w:lang w:val="fr-CA"/>
        </w:rPr>
        <w:t>Karakatsanis</w:t>
      </w:r>
      <w:proofErr w:type="spellEnd"/>
      <w:r w:rsidRPr="007A5455">
        <w:rPr>
          <w:sz w:val="20"/>
          <w:szCs w:val="20"/>
          <w:lang w:val="fr-CA"/>
        </w:rPr>
        <w:t xml:space="preserve"> et Côté sont dissidentes.</w:t>
      </w:r>
    </w:p>
    <w:p w:rsidR="00D004FC" w:rsidRPr="007A5455" w:rsidRDefault="00D004FC" w:rsidP="00D004FC">
      <w:pPr>
        <w:spacing w:line="0" w:lineRule="atLeast"/>
        <w:rPr>
          <w:rFonts w:cs="Times New Roman"/>
          <w:sz w:val="20"/>
          <w:szCs w:val="20"/>
          <w:lang w:val="fr-CA"/>
        </w:rPr>
      </w:pPr>
    </w:p>
    <w:p w:rsidR="00D004FC" w:rsidRPr="007A5455" w:rsidRDefault="001F68BE" w:rsidP="00D004FC">
      <w:pPr>
        <w:jc w:val="both"/>
        <w:rPr>
          <w:rFonts w:cs="Times New Roman"/>
          <w:b/>
          <w:sz w:val="20"/>
          <w:szCs w:val="20"/>
        </w:rPr>
      </w:pPr>
      <w:r>
        <w:rPr>
          <w:rFonts w:cs="Times New Roman"/>
          <w:b/>
          <w:sz w:val="20"/>
          <w:szCs w:val="20"/>
        </w:rPr>
        <w:pict>
          <v:rect id="_x0000_i1084" style="width:144.3pt;height:1pt" o:hrpct="300" o:hralign="center" o:hrstd="t" o:hrnoshade="t" o:hr="t" fillcolor="black [3213]" stroked="f"/>
        </w:pict>
      </w:r>
    </w:p>
    <w:p w:rsidR="00D004FC" w:rsidRPr="007A5455" w:rsidRDefault="00D004FC" w:rsidP="00D004FC">
      <w:pPr>
        <w:jc w:val="both"/>
        <w:rPr>
          <w:rFonts w:cs="Times New Roman"/>
          <w:sz w:val="20"/>
          <w:szCs w:val="20"/>
        </w:rPr>
      </w:pPr>
    </w:p>
    <w:p w:rsidR="00D004FC" w:rsidRPr="007A5455"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7A5455" w:rsidRDefault="00732DB7" w:rsidP="00732DB7">
      <w:pPr>
        <w:widowControl w:val="0"/>
        <w:rPr>
          <w:sz w:val="20"/>
          <w:szCs w:val="20"/>
        </w:rPr>
      </w:pPr>
    </w:p>
    <w:p w:rsidR="00697C62" w:rsidRPr="007A5455" w:rsidRDefault="00697C62" w:rsidP="00732DB7">
      <w:pPr>
        <w:widowControl w:val="0"/>
        <w:rPr>
          <w:sz w:val="20"/>
          <w:szCs w:val="20"/>
        </w:rPr>
        <w:sectPr w:rsidR="00697C62" w:rsidRPr="007A5455" w:rsidSect="00782AE4">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7A5455" w:rsidTr="0085476B">
        <w:tc>
          <w:tcPr>
            <w:tcW w:w="4200" w:type="dxa"/>
            <w:tcMar>
              <w:left w:w="0" w:type="dxa"/>
              <w:right w:w="0" w:type="dxa"/>
            </w:tcMar>
          </w:tcPr>
          <w:p w:rsidR="00782AE4" w:rsidRPr="007A5455" w:rsidRDefault="00782AE4" w:rsidP="00782AE4">
            <w:pPr>
              <w:keepNext/>
              <w:keepLines/>
              <w:jc w:val="both"/>
              <w:rPr>
                <w:b/>
                <w:szCs w:val="24"/>
              </w:rPr>
            </w:pPr>
            <w:r w:rsidRPr="007A5455">
              <w:rPr>
                <w:b/>
                <w:szCs w:val="24"/>
              </w:rPr>
              <w:lastRenderedPageBreak/>
              <w:t>HEADNOTES OF RECENT</w:t>
            </w:r>
          </w:p>
          <w:p w:rsidR="00782AE4" w:rsidRPr="007A5455" w:rsidRDefault="00782AE4" w:rsidP="00782AE4">
            <w:pPr>
              <w:keepNext/>
              <w:keepLines/>
              <w:jc w:val="both"/>
              <w:rPr>
                <w:b/>
                <w:szCs w:val="24"/>
              </w:rPr>
            </w:pPr>
            <w:r w:rsidRPr="007A5455">
              <w:rPr>
                <w:b/>
                <w:szCs w:val="24"/>
              </w:rPr>
              <w:t>JUDGMENTS</w:t>
            </w:r>
          </w:p>
        </w:tc>
        <w:tc>
          <w:tcPr>
            <w:tcW w:w="1200" w:type="dxa"/>
            <w:tcMar>
              <w:left w:w="0" w:type="dxa"/>
              <w:right w:w="0" w:type="dxa"/>
            </w:tcMar>
          </w:tcPr>
          <w:p w:rsidR="00782AE4" w:rsidRPr="007A5455" w:rsidRDefault="00782AE4" w:rsidP="00102926">
            <w:pPr>
              <w:keepNext/>
              <w:keepLines/>
              <w:jc w:val="center"/>
              <w:rPr>
                <w:b/>
                <w:szCs w:val="24"/>
              </w:rPr>
            </w:pPr>
          </w:p>
          <w:p w:rsidR="00782AE4" w:rsidRPr="007A5455" w:rsidRDefault="00782AE4" w:rsidP="00102926">
            <w:pPr>
              <w:keepNext/>
              <w:keepLines/>
              <w:jc w:val="center"/>
              <w:rPr>
                <w:b/>
                <w:szCs w:val="24"/>
              </w:rPr>
            </w:pPr>
          </w:p>
          <w:p w:rsidR="00782AE4" w:rsidRPr="007A5455" w:rsidRDefault="00782AE4" w:rsidP="00102926">
            <w:pPr>
              <w:keepNext/>
              <w:keepLines/>
              <w:jc w:val="center"/>
              <w:rPr>
                <w:b/>
                <w:szCs w:val="24"/>
              </w:rPr>
            </w:pPr>
          </w:p>
        </w:tc>
        <w:tc>
          <w:tcPr>
            <w:tcW w:w="4080" w:type="dxa"/>
            <w:tcMar>
              <w:left w:w="0" w:type="dxa"/>
              <w:right w:w="0" w:type="dxa"/>
            </w:tcMar>
          </w:tcPr>
          <w:p w:rsidR="00782AE4" w:rsidRPr="007A5455" w:rsidRDefault="00782AE4" w:rsidP="00782AE4">
            <w:pPr>
              <w:keepNext/>
              <w:keepLines/>
              <w:rPr>
                <w:b/>
                <w:szCs w:val="24"/>
              </w:rPr>
            </w:pPr>
            <w:r w:rsidRPr="007A5455">
              <w:rPr>
                <w:b/>
                <w:szCs w:val="24"/>
              </w:rPr>
              <w:t>SOMMAIRES DE JUGEMENTS RÉCENTS</w:t>
            </w:r>
          </w:p>
        </w:tc>
      </w:tr>
    </w:tbl>
    <w:p w:rsidR="003B3977" w:rsidRPr="007A5455" w:rsidRDefault="003B3977" w:rsidP="005C6840">
      <w:pPr>
        <w:rPr>
          <w:rFonts w:cs="Times New Roman"/>
          <w:i/>
          <w:sz w:val="20"/>
          <w:szCs w:val="20"/>
        </w:rPr>
      </w:pPr>
    </w:p>
    <w:p w:rsidR="0052229C" w:rsidRPr="007A5455" w:rsidRDefault="00FC5995" w:rsidP="0052229C">
      <w:pPr>
        <w:ind w:left="1440" w:hanging="1440"/>
        <w:jc w:val="both"/>
        <w:rPr>
          <w:sz w:val="20"/>
          <w:szCs w:val="20"/>
          <w:lang w:val="fr-CA"/>
        </w:rPr>
      </w:pPr>
      <w:proofErr w:type="spellStart"/>
      <w:r w:rsidRPr="007A5455">
        <w:rPr>
          <w:rFonts w:eastAsia="Calibri"/>
          <w:i/>
          <w:sz w:val="20"/>
          <w:szCs w:val="20"/>
          <w:lang w:val="fr-CA"/>
        </w:rPr>
        <w:t>Jeyakannan</w:t>
      </w:r>
      <w:proofErr w:type="spellEnd"/>
      <w:r w:rsidRPr="007A5455">
        <w:rPr>
          <w:rFonts w:eastAsia="Calibri"/>
          <w:i/>
          <w:sz w:val="20"/>
          <w:szCs w:val="20"/>
          <w:lang w:val="fr-CA"/>
        </w:rPr>
        <w:t xml:space="preserve"> </w:t>
      </w:r>
      <w:proofErr w:type="spellStart"/>
      <w:r w:rsidRPr="007A5455">
        <w:rPr>
          <w:rFonts w:eastAsia="Calibri"/>
          <w:i/>
          <w:sz w:val="20"/>
          <w:szCs w:val="20"/>
          <w:lang w:val="fr-CA"/>
        </w:rPr>
        <w:t>Kanthasamy</w:t>
      </w:r>
      <w:proofErr w:type="spellEnd"/>
      <w:r w:rsidR="0052229C" w:rsidRPr="007A5455">
        <w:rPr>
          <w:rFonts w:eastAsia="Calibri"/>
          <w:i/>
          <w:sz w:val="20"/>
          <w:szCs w:val="20"/>
          <w:lang w:val="fr-CA"/>
        </w:rPr>
        <w:t xml:space="preserve"> </w:t>
      </w:r>
      <w:r w:rsidR="00AD1332" w:rsidRPr="007A5455">
        <w:rPr>
          <w:rFonts w:eastAsia="Calibri"/>
          <w:i/>
          <w:sz w:val="20"/>
          <w:szCs w:val="20"/>
          <w:lang w:val="fr-CA"/>
        </w:rPr>
        <w:t>v</w:t>
      </w:r>
      <w:r w:rsidR="0052229C" w:rsidRPr="007A5455">
        <w:rPr>
          <w:rFonts w:eastAsia="Calibri"/>
          <w:i/>
          <w:sz w:val="20"/>
          <w:szCs w:val="20"/>
          <w:lang w:val="fr-CA"/>
        </w:rPr>
        <w:t xml:space="preserve">. </w:t>
      </w:r>
      <w:proofErr w:type="spellStart"/>
      <w:r w:rsidR="0052229C" w:rsidRPr="007A5455">
        <w:rPr>
          <w:rFonts w:eastAsia="Calibri"/>
          <w:i/>
          <w:sz w:val="20"/>
          <w:szCs w:val="20"/>
          <w:lang w:val="fr-CA"/>
        </w:rPr>
        <w:t>Mi</w:t>
      </w:r>
      <w:r w:rsidR="00AD1332" w:rsidRPr="007A5455">
        <w:rPr>
          <w:rFonts w:eastAsia="Calibri"/>
          <w:i/>
          <w:sz w:val="20"/>
          <w:szCs w:val="20"/>
          <w:lang w:val="fr-CA"/>
        </w:rPr>
        <w:t>nister</w:t>
      </w:r>
      <w:proofErr w:type="spellEnd"/>
      <w:r w:rsidR="00AD1332" w:rsidRPr="007A5455">
        <w:rPr>
          <w:rFonts w:eastAsia="Calibri"/>
          <w:i/>
          <w:sz w:val="20"/>
          <w:szCs w:val="20"/>
          <w:lang w:val="fr-CA"/>
        </w:rPr>
        <w:t xml:space="preserve"> of </w:t>
      </w:r>
      <w:proofErr w:type="spellStart"/>
      <w:r w:rsidR="00AD1332" w:rsidRPr="007A5455">
        <w:rPr>
          <w:rFonts w:eastAsia="Calibri"/>
          <w:i/>
          <w:sz w:val="20"/>
          <w:szCs w:val="20"/>
          <w:lang w:val="fr-CA"/>
        </w:rPr>
        <w:t>Citizenship</w:t>
      </w:r>
      <w:proofErr w:type="spellEnd"/>
      <w:r w:rsidR="00AD1332" w:rsidRPr="007A5455">
        <w:rPr>
          <w:rFonts w:eastAsia="Calibri"/>
          <w:i/>
          <w:sz w:val="20"/>
          <w:szCs w:val="20"/>
          <w:lang w:val="fr-CA"/>
        </w:rPr>
        <w:t xml:space="preserve"> and Immigration </w:t>
      </w:r>
      <w:r w:rsidR="00AD1332" w:rsidRPr="007A5455">
        <w:rPr>
          <w:rFonts w:eastAsia="Calibri"/>
          <w:sz w:val="20"/>
          <w:szCs w:val="20"/>
          <w:lang w:val="fr-CA"/>
        </w:rPr>
        <w:t>(</w:t>
      </w:r>
      <w:r w:rsidR="00AD1332" w:rsidRPr="007A5455">
        <w:rPr>
          <w:sz w:val="20"/>
          <w:szCs w:val="20"/>
          <w:lang w:val="fr-CA"/>
        </w:rPr>
        <w:t>F.C.</w:t>
      </w:r>
      <w:r w:rsidR="0052229C" w:rsidRPr="007A5455">
        <w:rPr>
          <w:sz w:val="20"/>
          <w:szCs w:val="20"/>
          <w:lang w:val="fr-CA"/>
        </w:rPr>
        <w:t>) (</w:t>
      </w:r>
      <w:hyperlink r:id="rId108" w:history="1">
        <w:r w:rsidR="0052229C" w:rsidRPr="007A5455">
          <w:rPr>
            <w:rStyle w:val="Hyperlink"/>
            <w:sz w:val="20"/>
            <w:szCs w:val="20"/>
            <w:lang w:val="fr-CA"/>
          </w:rPr>
          <w:t>3</w:t>
        </w:r>
        <w:r w:rsidR="00AD1332" w:rsidRPr="007A5455">
          <w:rPr>
            <w:rStyle w:val="Hyperlink"/>
            <w:sz w:val="20"/>
            <w:szCs w:val="20"/>
            <w:lang w:val="fr-CA"/>
          </w:rPr>
          <w:t>5990</w:t>
        </w:r>
      </w:hyperlink>
      <w:r w:rsidR="0052229C" w:rsidRPr="007A5455">
        <w:rPr>
          <w:sz w:val="20"/>
          <w:szCs w:val="20"/>
          <w:lang w:val="fr-CA"/>
        </w:rPr>
        <w:t>)</w:t>
      </w:r>
    </w:p>
    <w:p w:rsidR="0057048E" w:rsidRPr="007A5455" w:rsidRDefault="0052229C" w:rsidP="0057048E">
      <w:pPr>
        <w:jc w:val="both"/>
        <w:rPr>
          <w:rStyle w:val="SCCRespondentForIndexChar"/>
          <w:rFonts w:eastAsiaTheme="minorHAnsi"/>
          <w:sz w:val="20"/>
        </w:rPr>
      </w:pPr>
      <w:r w:rsidRPr="007A5455">
        <w:rPr>
          <w:b/>
          <w:sz w:val="20"/>
          <w:szCs w:val="20"/>
        </w:rPr>
        <w:t xml:space="preserve">Indexed as:  </w:t>
      </w:r>
      <w:proofErr w:type="spellStart"/>
      <w:r w:rsidR="00FC5995" w:rsidRPr="007A5455">
        <w:rPr>
          <w:b/>
          <w:sz w:val="20"/>
          <w:szCs w:val="20"/>
        </w:rPr>
        <w:t>Kanthasamy</w:t>
      </w:r>
      <w:proofErr w:type="spellEnd"/>
      <w:r w:rsidRPr="007A5455">
        <w:rPr>
          <w:b/>
          <w:sz w:val="20"/>
          <w:szCs w:val="20"/>
        </w:rPr>
        <w:t xml:space="preserve"> </w:t>
      </w:r>
      <w:r w:rsidRPr="007A5455">
        <w:rPr>
          <w:b/>
          <w:i/>
          <w:sz w:val="20"/>
          <w:szCs w:val="20"/>
        </w:rPr>
        <w:t>v.</w:t>
      </w:r>
      <w:r w:rsidRPr="007A5455">
        <w:rPr>
          <w:b/>
          <w:sz w:val="20"/>
          <w:szCs w:val="20"/>
        </w:rPr>
        <w:t xml:space="preserve"> </w:t>
      </w:r>
      <w:r w:rsidR="00FC5995" w:rsidRPr="007A5455">
        <w:rPr>
          <w:rFonts w:eastAsia="Times New Roman" w:cs="Times New Roman"/>
          <w:b/>
          <w:sz w:val="20"/>
          <w:szCs w:val="20"/>
          <w:lang w:eastAsia="en-CA"/>
        </w:rPr>
        <w:t>Canada (Citizenship and Immigration)</w:t>
      </w:r>
      <w:r w:rsidRPr="007A5455">
        <w:rPr>
          <w:rStyle w:val="SCCRespondentForIndexChar"/>
          <w:rFonts w:eastAsiaTheme="minorHAnsi"/>
          <w:sz w:val="20"/>
        </w:rPr>
        <w:t xml:space="preserve"> / </w:t>
      </w:r>
      <w:proofErr w:type="spellStart"/>
      <w:proofErr w:type="gramStart"/>
      <w:r w:rsidRPr="007A5455">
        <w:rPr>
          <w:b/>
          <w:sz w:val="20"/>
          <w:szCs w:val="20"/>
        </w:rPr>
        <w:t>Répertorié</w:t>
      </w:r>
      <w:proofErr w:type="spellEnd"/>
      <w:r w:rsidRPr="007A5455">
        <w:rPr>
          <w:b/>
          <w:sz w:val="20"/>
          <w:szCs w:val="20"/>
        </w:rPr>
        <w:t> :</w:t>
      </w:r>
      <w:proofErr w:type="gramEnd"/>
      <w:r w:rsidRPr="007A5455">
        <w:rPr>
          <w:b/>
          <w:sz w:val="20"/>
          <w:szCs w:val="20"/>
        </w:rPr>
        <w:t> </w:t>
      </w:r>
      <w:r w:rsidR="002026CA" w:rsidRPr="007A5455">
        <w:rPr>
          <w:b/>
          <w:sz w:val="20"/>
          <w:szCs w:val="20"/>
        </w:rPr>
        <w:t> </w:t>
      </w:r>
      <w:proofErr w:type="spellStart"/>
      <w:r w:rsidR="0057048E" w:rsidRPr="007A5455">
        <w:rPr>
          <w:b/>
          <w:sz w:val="20"/>
          <w:szCs w:val="20"/>
        </w:rPr>
        <w:t>Kanthasamy</w:t>
      </w:r>
      <w:proofErr w:type="spellEnd"/>
      <w:r w:rsidRPr="007A5455">
        <w:rPr>
          <w:b/>
          <w:sz w:val="20"/>
          <w:szCs w:val="20"/>
        </w:rPr>
        <w:t xml:space="preserve"> </w:t>
      </w:r>
      <w:r w:rsidRPr="007A5455">
        <w:rPr>
          <w:b/>
          <w:i/>
          <w:sz w:val="20"/>
          <w:szCs w:val="20"/>
        </w:rPr>
        <w:t>c.</w:t>
      </w:r>
      <w:r w:rsidRPr="007A5455">
        <w:rPr>
          <w:b/>
          <w:sz w:val="20"/>
          <w:szCs w:val="20"/>
        </w:rPr>
        <w:t xml:space="preserve"> </w:t>
      </w:r>
      <w:r w:rsidR="0057048E" w:rsidRPr="007A5455">
        <w:rPr>
          <w:rStyle w:val="SCCRespondentForIndexChar"/>
          <w:rFonts w:eastAsiaTheme="minorHAnsi"/>
          <w:sz w:val="20"/>
        </w:rPr>
        <w:t>Canada (</w:t>
      </w:r>
      <w:r w:rsidR="0057048E" w:rsidRPr="007A5455">
        <w:rPr>
          <w:rFonts w:eastAsia="Times New Roman" w:cs="Times New Roman"/>
          <w:b/>
          <w:sz w:val="20"/>
          <w:szCs w:val="20"/>
          <w:lang w:val="fr-CA" w:eastAsia="en-CA"/>
        </w:rPr>
        <w:t>Citoyenneté et Immigration)</w:t>
      </w:r>
    </w:p>
    <w:p w:rsidR="0052229C" w:rsidRPr="007A5455" w:rsidRDefault="0052229C" w:rsidP="0057048E">
      <w:pPr>
        <w:jc w:val="both"/>
        <w:rPr>
          <w:sz w:val="20"/>
        </w:rPr>
      </w:pPr>
      <w:r w:rsidRPr="007A5455">
        <w:rPr>
          <w:sz w:val="20"/>
        </w:rPr>
        <w:t>Neutral citation:  201</w:t>
      </w:r>
      <w:r w:rsidR="00020DC3" w:rsidRPr="007A5455">
        <w:rPr>
          <w:sz w:val="20"/>
        </w:rPr>
        <w:t>5</w:t>
      </w:r>
      <w:r w:rsidRPr="007A5455">
        <w:rPr>
          <w:sz w:val="20"/>
        </w:rPr>
        <w:t xml:space="preserve"> SCC </w:t>
      </w:r>
      <w:r w:rsidR="008659C8" w:rsidRPr="007A5455">
        <w:rPr>
          <w:sz w:val="20"/>
        </w:rPr>
        <w:t>6</w:t>
      </w:r>
      <w:r w:rsidRPr="007A5455">
        <w:rPr>
          <w:sz w:val="20"/>
        </w:rPr>
        <w:t xml:space="preserve">1 / </w:t>
      </w:r>
      <w:proofErr w:type="spellStart"/>
      <w:r w:rsidRPr="007A5455">
        <w:rPr>
          <w:sz w:val="20"/>
        </w:rPr>
        <w:t>Référence</w:t>
      </w:r>
      <w:proofErr w:type="spellEnd"/>
      <w:r w:rsidRPr="007A5455">
        <w:rPr>
          <w:sz w:val="20"/>
        </w:rPr>
        <w:t xml:space="preserve"> </w:t>
      </w:r>
      <w:proofErr w:type="spellStart"/>
      <w:proofErr w:type="gramStart"/>
      <w:r w:rsidRPr="007A5455">
        <w:rPr>
          <w:sz w:val="20"/>
        </w:rPr>
        <w:t>neutre</w:t>
      </w:r>
      <w:proofErr w:type="spellEnd"/>
      <w:r w:rsidRPr="007A5455">
        <w:rPr>
          <w:sz w:val="20"/>
        </w:rPr>
        <w:t xml:space="preserve"> :</w:t>
      </w:r>
      <w:proofErr w:type="gramEnd"/>
      <w:r w:rsidRPr="007A5455">
        <w:rPr>
          <w:sz w:val="20"/>
        </w:rPr>
        <w:t xml:space="preserve"> 201</w:t>
      </w:r>
      <w:r w:rsidR="00020DC3" w:rsidRPr="007A5455">
        <w:rPr>
          <w:sz w:val="20"/>
        </w:rPr>
        <w:t>5</w:t>
      </w:r>
      <w:r w:rsidRPr="007A5455">
        <w:rPr>
          <w:sz w:val="20"/>
        </w:rPr>
        <w:t xml:space="preserve"> CSC </w:t>
      </w:r>
      <w:r w:rsidR="008659C8" w:rsidRPr="007A5455">
        <w:rPr>
          <w:sz w:val="20"/>
        </w:rPr>
        <w:t>6</w:t>
      </w:r>
      <w:r w:rsidRPr="007A5455">
        <w:rPr>
          <w:sz w:val="20"/>
        </w:rPr>
        <w:t>1</w:t>
      </w:r>
    </w:p>
    <w:p w:rsidR="0052229C" w:rsidRPr="007A5455" w:rsidRDefault="0052229C" w:rsidP="0052229C">
      <w:pPr>
        <w:rPr>
          <w:rFonts w:cs="Times New Roman"/>
          <w:sz w:val="20"/>
          <w:szCs w:val="20"/>
        </w:rPr>
      </w:pPr>
      <w:r w:rsidRPr="007A5455">
        <w:rPr>
          <w:rFonts w:cs="Times New Roman"/>
          <w:sz w:val="20"/>
          <w:szCs w:val="20"/>
        </w:rPr>
        <w:t xml:space="preserve">Hearing:  April </w:t>
      </w:r>
      <w:r w:rsidR="00AD1332" w:rsidRPr="007A5455">
        <w:rPr>
          <w:rFonts w:cs="Times New Roman"/>
          <w:sz w:val="20"/>
          <w:szCs w:val="20"/>
        </w:rPr>
        <w:t>16</w:t>
      </w:r>
      <w:r w:rsidRPr="007A5455">
        <w:rPr>
          <w:rFonts w:cs="Times New Roman"/>
          <w:sz w:val="20"/>
          <w:szCs w:val="20"/>
        </w:rPr>
        <w:t>, 201</w:t>
      </w:r>
      <w:r w:rsidR="00AD1332" w:rsidRPr="007A5455">
        <w:rPr>
          <w:rFonts w:cs="Times New Roman"/>
          <w:sz w:val="20"/>
          <w:szCs w:val="20"/>
        </w:rPr>
        <w:t>5</w:t>
      </w:r>
      <w:r w:rsidRPr="007A5455">
        <w:rPr>
          <w:rFonts w:cs="Times New Roman"/>
          <w:sz w:val="20"/>
          <w:szCs w:val="20"/>
        </w:rPr>
        <w:t xml:space="preserve"> / Judgment:  </w:t>
      </w:r>
      <w:r w:rsidR="00AD1332" w:rsidRPr="007A5455">
        <w:rPr>
          <w:rFonts w:cs="Times New Roman"/>
          <w:sz w:val="20"/>
          <w:szCs w:val="20"/>
        </w:rPr>
        <w:t>December</w:t>
      </w:r>
      <w:r w:rsidRPr="007A5455">
        <w:rPr>
          <w:rFonts w:cs="Times New Roman"/>
          <w:sz w:val="20"/>
          <w:szCs w:val="20"/>
        </w:rPr>
        <w:t xml:space="preserve"> 1</w:t>
      </w:r>
      <w:r w:rsidR="00AD1332" w:rsidRPr="007A5455">
        <w:rPr>
          <w:rFonts w:cs="Times New Roman"/>
          <w:sz w:val="20"/>
          <w:szCs w:val="20"/>
        </w:rPr>
        <w:t>0</w:t>
      </w:r>
      <w:r w:rsidRPr="007A5455">
        <w:rPr>
          <w:rFonts w:cs="Times New Roman"/>
          <w:sz w:val="20"/>
          <w:szCs w:val="20"/>
        </w:rPr>
        <w:t>, 201</w:t>
      </w:r>
      <w:r w:rsidR="00020DC3" w:rsidRPr="007A5455">
        <w:rPr>
          <w:rFonts w:cs="Times New Roman"/>
          <w:sz w:val="20"/>
          <w:szCs w:val="20"/>
        </w:rPr>
        <w:t>5</w:t>
      </w:r>
    </w:p>
    <w:p w:rsidR="0052229C" w:rsidRPr="007A5455" w:rsidRDefault="0052229C" w:rsidP="0052229C">
      <w:pPr>
        <w:rPr>
          <w:rFonts w:cs="Times New Roman"/>
          <w:sz w:val="20"/>
          <w:szCs w:val="20"/>
          <w:lang w:val="fr-CA"/>
        </w:rPr>
      </w:pPr>
      <w:r w:rsidRPr="007A5455">
        <w:rPr>
          <w:rFonts w:cs="Times New Roman"/>
          <w:sz w:val="20"/>
          <w:szCs w:val="20"/>
          <w:lang w:val="fr-CA"/>
        </w:rPr>
        <w:t xml:space="preserve">Audition : Le </w:t>
      </w:r>
      <w:r w:rsidR="00AD1332" w:rsidRPr="007A5455">
        <w:rPr>
          <w:rFonts w:cs="Times New Roman"/>
          <w:sz w:val="20"/>
          <w:szCs w:val="20"/>
          <w:lang w:val="fr-CA"/>
        </w:rPr>
        <w:t>16</w:t>
      </w:r>
      <w:r w:rsidRPr="007A5455">
        <w:rPr>
          <w:rFonts w:cs="Times New Roman"/>
          <w:sz w:val="20"/>
          <w:szCs w:val="20"/>
          <w:lang w:val="fr-CA"/>
        </w:rPr>
        <w:t xml:space="preserve"> avril 201</w:t>
      </w:r>
      <w:r w:rsidR="00AD1332" w:rsidRPr="007A5455">
        <w:rPr>
          <w:rFonts w:cs="Times New Roman"/>
          <w:sz w:val="20"/>
          <w:szCs w:val="20"/>
          <w:lang w:val="fr-CA"/>
        </w:rPr>
        <w:t>5</w:t>
      </w:r>
      <w:r w:rsidRPr="007A5455">
        <w:rPr>
          <w:rFonts w:cs="Times New Roman"/>
          <w:sz w:val="20"/>
          <w:szCs w:val="20"/>
          <w:lang w:val="fr-CA"/>
        </w:rPr>
        <w:t xml:space="preserve"> / Jugement : Le 1</w:t>
      </w:r>
      <w:r w:rsidR="00AD1332" w:rsidRPr="007A5455">
        <w:rPr>
          <w:rFonts w:cs="Times New Roman"/>
          <w:sz w:val="20"/>
          <w:szCs w:val="20"/>
          <w:lang w:val="fr-CA"/>
        </w:rPr>
        <w:t>0</w:t>
      </w:r>
      <w:r w:rsidRPr="007A5455">
        <w:rPr>
          <w:rFonts w:cs="Times New Roman"/>
          <w:sz w:val="20"/>
          <w:szCs w:val="20"/>
          <w:lang w:val="fr-CA"/>
        </w:rPr>
        <w:t xml:space="preserve"> </w:t>
      </w:r>
      <w:r w:rsidR="00AD1332" w:rsidRPr="007A5455">
        <w:rPr>
          <w:rFonts w:cs="Times New Roman"/>
          <w:sz w:val="20"/>
          <w:szCs w:val="20"/>
          <w:lang w:val="fr-CA"/>
        </w:rPr>
        <w:t>décembre</w:t>
      </w:r>
      <w:r w:rsidRPr="007A5455">
        <w:rPr>
          <w:rFonts w:cs="Times New Roman"/>
          <w:sz w:val="20"/>
          <w:szCs w:val="20"/>
          <w:lang w:val="fr-CA"/>
        </w:rPr>
        <w:t xml:space="preserve"> 201</w:t>
      </w:r>
      <w:r w:rsidR="00020DC3" w:rsidRPr="007A5455">
        <w:rPr>
          <w:rFonts w:cs="Times New Roman"/>
          <w:sz w:val="20"/>
          <w:szCs w:val="20"/>
          <w:lang w:val="fr-CA"/>
        </w:rPr>
        <w:t>5</w:t>
      </w:r>
    </w:p>
    <w:p w:rsidR="005C6840" w:rsidRPr="007A5455" w:rsidRDefault="001F68BE" w:rsidP="005C6840">
      <w:pPr>
        <w:rPr>
          <w:rFonts w:cs="Times New Roman"/>
          <w:sz w:val="20"/>
          <w:szCs w:val="20"/>
          <w:lang w:val="fr-CA"/>
        </w:rPr>
      </w:pPr>
      <w:r>
        <w:rPr>
          <w:rFonts w:cs="Times New Roman"/>
          <w:i/>
          <w:sz w:val="20"/>
          <w:szCs w:val="20"/>
        </w:rPr>
        <w:pict>
          <v:rect id="_x0000_i1087" style="width:480.95pt;height:1pt" o:hralign="center" o:hrstd="t" o:hrnoshade="t" o:hr="t" fillcolor="black [3213]" stroked="f"/>
        </w:pict>
      </w:r>
    </w:p>
    <w:p w:rsidR="005C6840" w:rsidRPr="007A5455" w:rsidRDefault="005C6840" w:rsidP="005C6840">
      <w:pPr>
        <w:rPr>
          <w:rFonts w:cs="Times New Roman"/>
          <w:sz w:val="20"/>
          <w:szCs w:val="20"/>
          <w:lang w:val="fr-CA"/>
        </w:rPr>
      </w:pPr>
    </w:p>
    <w:p w:rsidR="006874C7" w:rsidRPr="007A5455" w:rsidRDefault="006874C7" w:rsidP="006874C7">
      <w:pPr>
        <w:jc w:val="both"/>
        <w:rPr>
          <w:sz w:val="20"/>
          <w:szCs w:val="20"/>
        </w:rPr>
      </w:pPr>
      <w:r w:rsidRPr="007A5455">
        <w:rPr>
          <w:sz w:val="20"/>
          <w:szCs w:val="20"/>
        </w:rPr>
        <w:t xml:space="preserve">Present:  </w:t>
      </w:r>
      <w:proofErr w:type="spellStart"/>
      <w:r w:rsidR="00E73FED" w:rsidRPr="007A5455">
        <w:rPr>
          <w:sz w:val="20"/>
          <w:szCs w:val="20"/>
        </w:rPr>
        <w:t>McLachlin</w:t>
      </w:r>
      <w:proofErr w:type="spellEnd"/>
      <w:r w:rsidR="00E73FED" w:rsidRPr="007A5455">
        <w:rPr>
          <w:sz w:val="20"/>
          <w:szCs w:val="20"/>
        </w:rPr>
        <w:t xml:space="preserve"> C.J. and</w:t>
      </w:r>
      <w:r w:rsidRPr="007A5455">
        <w:rPr>
          <w:sz w:val="20"/>
          <w:szCs w:val="20"/>
        </w:rPr>
        <w:t xml:space="preserve"> </w:t>
      </w:r>
      <w:proofErr w:type="spellStart"/>
      <w:r w:rsidRPr="007A5455">
        <w:rPr>
          <w:sz w:val="20"/>
          <w:szCs w:val="20"/>
        </w:rPr>
        <w:t>Abella</w:t>
      </w:r>
      <w:proofErr w:type="spellEnd"/>
      <w:r w:rsidRPr="007A5455">
        <w:rPr>
          <w:sz w:val="20"/>
          <w:szCs w:val="20"/>
        </w:rPr>
        <w:t xml:space="preserve">, </w:t>
      </w:r>
      <w:r w:rsidR="00E73FED" w:rsidRPr="007A5455">
        <w:rPr>
          <w:sz w:val="20"/>
          <w:szCs w:val="20"/>
        </w:rPr>
        <w:t>Cromwell</w:t>
      </w:r>
      <w:r w:rsidRPr="007A5455">
        <w:rPr>
          <w:sz w:val="20"/>
          <w:szCs w:val="20"/>
        </w:rPr>
        <w:t xml:space="preserve">, </w:t>
      </w:r>
      <w:proofErr w:type="spellStart"/>
      <w:r w:rsidR="00E73FED" w:rsidRPr="007A5455">
        <w:rPr>
          <w:sz w:val="20"/>
          <w:szCs w:val="20"/>
        </w:rPr>
        <w:t>Moldaver</w:t>
      </w:r>
      <w:proofErr w:type="spellEnd"/>
      <w:r w:rsidRPr="007A5455">
        <w:rPr>
          <w:sz w:val="20"/>
          <w:szCs w:val="20"/>
        </w:rPr>
        <w:t xml:space="preserve">, </w:t>
      </w:r>
      <w:proofErr w:type="spellStart"/>
      <w:r w:rsidRPr="007A5455">
        <w:rPr>
          <w:sz w:val="20"/>
          <w:szCs w:val="20"/>
        </w:rPr>
        <w:t>Karakatsanis</w:t>
      </w:r>
      <w:proofErr w:type="spellEnd"/>
      <w:r w:rsidR="00E73FED" w:rsidRPr="007A5455">
        <w:rPr>
          <w:sz w:val="20"/>
          <w:szCs w:val="20"/>
        </w:rPr>
        <w:t>,</w:t>
      </w:r>
      <w:r w:rsidRPr="007A5455">
        <w:rPr>
          <w:sz w:val="20"/>
          <w:szCs w:val="20"/>
        </w:rPr>
        <w:t xml:space="preserve"> Wagner</w:t>
      </w:r>
      <w:r w:rsidR="00E73FED" w:rsidRPr="007A5455">
        <w:rPr>
          <w:sz w:val="20"/>
          <w:szCs w:val="20"/>
        </w:rPr>
        <w:t xml:space="preserve"> and </w:t>
      </w:r>
      <w:proofErr w:type="spellStart"/>
      <w:r w:rsidR="00E73FED" w:rsidRPr="007A5455">
        <w:rPr>
          <w:sz w:val="20"/>
          <w:szCs w:val="20"/>
        </w:rPr>
        <w:t>Gascon</w:t>
      </w:r>
      <w:proofErr w:type="spellEnd"/>
      <w:r w:rsidR="00E73FED" w:rsidRPr="007A5455">
        <w:rPr>
          <w:sz w:val="20"/>
          <w:szCs w:val="20"/>
        </w:rPr>
        <w:t xml:space="preserve"> </w:t>
      </w:r>
      <w:r w:rsidRPr="007A5455">
        <w:rPr>
          <w:sz w:val="20"/>
          <w:szCs w:val="20"/>
        </w:rPr>
        <w:t>JJ.</w:t>
      </w:r>
    </w:p>
    <w:p w:rsidR="006874C7" w:rsidRPr="007A5455" w:rsidRDefault="006874C7" w:rsidP="006874C7">
      <w:pPr>
        <w:pStyle w:val="SCCLowerCourtNameLowercase"/>
        <w:spacing w:line="240" w:lineRule="auto"/>
        <w:rPr>
          <w:sz w:val="20"/>
        </w:rPr>
      </w:pPr>
    </w:p>
    <w:p w:rsidR="00F824BC" w:rsidRPr="00F824BC" w:rsidRDefault="00F824BC" w:rsidP="00F824BC">
      <w:pPr>
        <w:tabs>
          <w:tab w:val="left" w:pos="1168"/>
        </w:tabs>
        <w:jc w:val="both"/>
        <w:rPr>
          <w:rFonts w:eastAsia="Times New Roman" w:cs="Times New Roman"/>
          <w:i/>
          <w:sz w:val="20"/>
          <w:szCs w:val="20"/>
          <w:lang w:val="en-US" w:eastAsia="en-CA"/>
        </w:rPr>
      </w:pPr>
      <w:r w:rsidRPr="00F824BC">
        <w:rPr>
          <w:rFonts w:eastAsia="Times New Roman" w:cs="Times New Roman"/>
          <w:sz w:val="20"/>
          <w:szCs w:val="20"/>
          <w:lang w:eastAsia="en-CA"/>
        </w:rPr>
        <w:tab/>
      </w:r>
      <w:r w:rsidRPr="00F824BC">
        <w:rPr>
          <w:rFonts w:eastAsia="Times New Roman" w:cs="Times New Roman"/>
          <w:i/>
          <w:sz w:val="20"/>
          <w:szCs w:val="20"/>
          <w:lang w:val="en-US" w:eastAsia="en-CA"/>
        </w:rPr>
        <w:t>Immigration — Judicial review — Refugee claim — Humanitarian and compassionate considerations — Best interests of child — 17</w:t>
      </w:r>
      <w:r w:rsidRPr="00F824BC">
        <w:rPr>
          <w:rFonts w:eastAsia="Times New Roman" w:cs="Times New Roman"/>
          <w:i/>
          <w:sz w:val="20"/>
          <w:szCs w:val="20"/>
          <w:lang w:val="en-US" w:eastAsia="en-CA"/>
        </w:rPr>
        <w:noBreakHyphen/>
        <w:t>year old refugee claimant from Sri Lanka seeking humanitarian and compassionate exemption to apply for permanent residence from within Canada — Whether decision to deny relief was reasonable exercise of humanitarian and compassionate discretion — Proper role of Ministerial Guidelines used by immigration officers in determining whether humanitarian and compassionate considerations warrant relief — Immigration and Refugee Protection Act, S.C. 2001, c. 27, s. 25(1).</w:t>
      </w:r>
    </w:p>
    <w:p w:rsidR="006874C7" w:rsidRPr="007A5455" w:rsidRDefault="006874C7" w:rsidP="006874C7">
      <w:pPr>
        <w:pStyle w:val="SCCNormalDoubleSpacing"/>
        <w:spacing w:line="240" w:lineRule="auto"/>
        <w:rPr>
          <w:sz w:val="20"/>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K is a Tamil from northern Sri Lanka. In April 2010, fearing for his safety after he was subjected to detention and questioning by the Sri Lankan army and police, K’s family arranged for him to travel to Canada to live with his uncle. He was 16 years old. When he arrived in Canada, he made a claim for refugee protection which was refused. K’s application for a pre</w:t>
      </w:r>
      <w:r w:rsidRPr="00857B87">
        <w:rPr>
          <w:rFonts w:eastAsia="Times New Roman" w:cs="Times New Roman"/>
          <w:sz w:val="20"/>
          <w:szCs w:val="20"/>
          <w:lang w:val="en-US" w:eastAsia="en-CA"/>
        </w:rPr>
        <w:noBreakHyphen/>
        <w:t xml:space="preserve">removal risk assessment was also rejected. K additionally filed an application for humanitarian and compassionate relief under s. 25(1) of the </w:t>
      </w:r>
      <w:r w:rsidRPr="00857B87">
        <w:rPr>
          <w:rFonts w:eastAsia="Times New Roman" w:cs="Times New Roman"/>
          <w:i/>
          <w:sz w:val="20"/>
          <w:szCs w:val="20"/>
          <w:lang w:val="en-US" w:eastAsia="en-CA"/>
        </w:rPr>
        <w:t>Immigration and Refugee Protection Act</w:t>
      </w:r>
      <w:r w:rsidRPr="00857B87">
        <w:rPr>
          <w:rFonts w:eastAsia="Times New Roman" w:cs="Times New Roman"/>
          <w:sz w:val="20"/>
          <w:szCs w:val="20"/>
          <w:lang w:val="en-US" w:eastAsia="en-CA"/>
        </w:rPr>
        <w:t xml:space="preserve"> seeking to apply for permanent resident status from within Canada. The Officer reviewing his application concluded that relief was not justified as she was not satisfied that a return to Sri Lanka would result in hardship that was unusual and undeserved or disproportionate. On judicial review, the Federal Court found that the Officer’s decision to deny relief was reasonable. The Federal Court of Appeal agreed.</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r>
      <w:r w:rsidRPr="00857B87">
        <w:rPr>
          <w:rFonts w:eastAsia="Times New Roman" w:cs="Times New Roman"/>
          <w:i/>
          <w:sz w:val="20"/>
          <w:szCs w:val="20"/>
          <w:lang w:val="en-US" w:eastAsia="en-CA"/>
        </w:rPr>
        <w:t xml:space="preserve">Held </w:t>
      </w:r>
      <w:r w:rsidRPr="00857B87">
        <w:rPr>
          <w:rFonts w:eastAsia="Times New Roman" w:cs="Times New Roman"/>
          <w:sz w:val="20"/>
          <w:szCs w:val="20"/>
          <w:lang w:val="en-US" w:eastAsia="en-CA"/>
        </w:rPr>
        <w:t>(</w:t>
      </w:r>
      <w:proofErr w:type="spellStart"/>
      <w:r w:rsidRPr="00857B87">
        <w:rPr>
          <w:rFonts w:eastAsia="Times New Roman" w:cs="Times New Roman"/>
          <w:sz w:val="20"/>
          <w:szCs w:val="20"/>
          <w:lang w:val="en-US" w:eastAsia="en-CA"/>
        </w:rPr>
        <w:t>Moldaver</w:t>
      </w:r>
      <w:proofErr w:type="spellEnd"/>
      <w:r w:rsidRPr="00857B87">
        <w:rPr>
          <w:rFonts w:eastAsia="Times New Roman" w:cs="Times New Roman"/>
          <w:sz w:val="20"/>
          <w:szCs w:val="20"/>
          <w:lang w:val="en-US" w:eastAsia="en-CA"/>
        </w:rPr>
        <w:t xml:space="preserve"> and Wagner JJ. dissenting): The appeal should be allowed. The Officer’s decision was unreasonable and should be set aside. The matter is remitted for reconsideration.</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r>
      <w:r w:rsidRPr="00857B87">
        <w:rPr>
          <w:rFonts w:eastAsia="Times New Roman" w:cs="Times New Roman"/>
          <w:i/>
          <w:sz w:val="20"/>
          <w:szCs w:val="20"/>
          <w:lang w:val="en-US" w:eastAsia="en-CA"/>
        </w:rPr>
        <w:t>Per</w:t>
      </w:r>
      <w:r w:rsidRPr="00857B87">
        <w:rPr>
          <w:rFonts w:eastAsia="Times New Roman" w:cs="Times New Roman"/>
          <w:sz w:val="20"/>
          <w:szCs w:val="20"/>
          <w:lang w:val="en-US" w:eastAsia="en-CA"/>
        </w:rPr>
        <w:t xml:space="preserve"> </w:t>
      </w:r>
      <w:proofErr w:type="spellStart"/>
      <w:r w:rsidRPr="00857B87">
        <w:rPr>
          <w:rFonts w:eastAsia="Times New Roman" w:cs="Times New Roman"/>
          <w:sz w:val="20"/>
          <w:szCs w:val="20"/>
          <w:lang w:val="en-US" w:eastAsia="en-CA"/>
        </w:rPr>
        <w:t>McLachlin</w:t>
      </w:r>
      <w:proofErr w:type="spellEnd"/>
      <w:r w:rsidRPr="00857B87">
        <w:rPr>
          <w:rFonts w:eastAsia="Times New Roman" w:cs="Times New Roman"/>
          <w:sz w:val="20"/>
          <w:szCs w:val="20"/>
          <w:lang w:val="en-US" w:eastAsia="en-CA"/>
        </w:rPr>
        <w:t xml:space="preserve"> C.J. and </w:t>
      </w:r>
      <w:proofErr w:type="spellStart"/>
      <w:r w:rsidRPr="00857B87">
        <w:rPr>
          <w:rFonts w:eastAsia="Times New Roman" w:cs="Times New Roman"/>
          <w:b/>
          <w:sz w:val="20"/>
          <w:szCs w:val="20"/>
          <w:lang w:val="en-US" w:eastAsia="en-CA"/>
        </w:rPr>
        <w:t>Abella</w:t>
      </w:r>
      <w:proofErr w:type="spellEnd"/>
      <w:r w:rsidRPr="00857B87">
        <w:rPr>
          <w:rFonts w:eastAsia="Times New Roman" w:cs="Times New Roman"/>
          <w:sz w:val="20"/>
          <w:szCs w:val="20"/>
          <w:lang w:val="en-US" w:eastAsia="en-CA"/>
        </w:rPr>
        <w:t xml:space="preserve">, Cromwell, </w:t>
      </w:r>
      <w:proofErr w:type="spellStart"/>
      <w:r w:rsidRPr="00857B87">
        <w:rPr>
          <w:rFonts w:eastAsia="Times New Roman" w:cs="Times New Roman"/>
          <w:sz w:val="20"/>
          <w:szCs w:val="20"/>
          <w:lang w:val="en-US" w:eastAsia="en-CA"/>
        </w:rPr>
        <w:t>Karakatsanis</w:t>
      </w:r>
      <w:proofErr w:type="spellEnd"/>
      <w:r w:rsidRPr="00857B87">
        <w:rPr>
          <w:rFonts w:eastAsia="Times New Roman" w:cs="Times New Roman"/>
          <w:sz w:val="20"/>
          <w:szCs w:val="20"/>
          <w:lang w:val="en-US" w:eastAsia="en-CA"/>
        </w:rPr>
        <w:t xml:space="preserve"> and </w:t>
      </w:r>
      <w:proofErr w:type="spellStart"/>
      <w:r w:rsidRPr="00857B87">
        <w:rPr>
          <w:rFonts w:eastAsia="Times New Roman" w:cs="Times New Roman"/>
          <w:sz w:val="20"/>
          <w:szCs w:val="20"/>
          <w:lang w:val="en-US" w:eastAsia="en-CA"/>
        </w:rPr>
        <w:t>Gascon</w:t>
      </w:r>
      <w:proofErr w:type="spellEnd"/>
      <w:r w:rsidRPr="00857B87">
        <w:rPr>
          <w:rFonts w:eastAsia="Times New Roman" w:cs="Times New Roman"/>
          <w:sz w:val="20"/>
          <w:szCs w:val="20"/>
          <w:lang w:val="en-US" w:eastAsia="en-CA"/>
        </w:rPr>
        <w:t xml:space="preserve"> JJ: </w:t>
      </w:r>
      <w:r w:rsidRPr="00857B87">
        <w:rPr>
          <w:rFonts w:eastAsia="Times New Roman" w:cs="Times New Roman"/>
          <w:sz w:val="20"/>
          <w:szCs w:val="20"/>
          <w:lang w:eastAsia="en-CA"/>
        </w:rPr>
        <w:t xml:space="preserve">Section 25(1) of the </w:t>
      </w:r>
      <w:r w:rsidRPr="00857B87">
        <w:rPr>
          <w:rFonts w:eastAsia="Times New Roman" w:cs="Times New Roman"/>
          <w:i/>
          <w:sz w:val="20"/>
          <w:szCs w:val="20"/>
          <w:lang w:eastAsia="en-CA"/>
        </w:rPr>
        <w:t xml:space="preserve">Immigration and Refugee Protection Act </w:t>
      </w:r>
      <w:r w:rsidRPr="00857B87">
        <w:rPr>
          <w:rFonts w:eastAsia="Times New Roman" w:cs="Times New Roman"/>
          <w:sz w:val="20"/>
          <w:szCs w:val="20"/>
          <w:lang w:eastAsia="en-CA"/>
        </w:rPr>
        <w:t>gives the Minister discretion to exempt foreign nationals — individuals who are neither citizens nor permanent residents — from the ordinary requirements of the</w:t>
      </w:r>
      <w:r w:rsidRPr="00857B87">
        <w:rPr>
          <w:rFonts w:eastAsia="Times New Roman" w:cs="Times New Roman"/>
          <w:i/>
          <w:sz w:val="20"/>
          <w:szCs w:val="20"/>
          <w:lang w:eastAsia="en-CA"/>
        </w:rPr>
        <w:t xml:space="preserve"> Act</w:t>
      </w:r>
      <w:r w:rsidRPr="00857B87">
        <w:rPr>
          <w:rFonts w:eastAsia="Times New Roman" w:cs="Times New Roman"/>
          <w:sz w:val="20"/>
          <w:szCs w:val="20"/>
          <w:lang w:eastAsia="en-CA"/>
        </w:rPr>
        <w:t xml:space="preserve"> if the Minister is of the opinion that such relief is justified by humanitarian and compassionate considerations. Those considerations are to include the best interests of a child directly affected</w:t>
      </w:r>
      <w:r w:rsidRPr="00857B87">
        <w:rPr>
          <w:rFonts w:eastAsia="Times New Roman" w:cs="Times New Roman"/>
          <w:i/>
          <w:sz w:val="20"/>
          <w:szCs w:val="20"/>
          <w:lang w:eastAsia="en-CA"/>
        </w:rPr>
        <w:t>.</w:t>
      </w:r>
      <w:r w:rsidRPr="00857B87">
        <w:rPr>
          <w:rFonts w:eastAsia="Times New Roman" w:cs="Times New Roman"/>
          <w:sz w:val="20"/>
          <w:szCs w:val="20"/>
          <w:lang w:eastAsia="en-CA"/>
        </w:rPr>
        <w:t xml:space="preserve"> </w:t>
      </w:r>
      <w:r w:rsidRPr="00857B87">
        <w:rPr>
          <w:rFonts w:eastAsia="Times New Roman" w:cs="Times New Roman"/>
          <w:sz w:val="20"/>
          <w:szCs w:val="20"/>
          <w:lang w:val="en-US" w:eastAsia="en-CA"/>
        </w:rPr>
        <w:t xml:space="preserve">The purpose of s. 25(1) is to offer equitable relief. That purpose was furthered in Ministerial Guidelines intended to assist Immigration Officers in determining whether humanitarian and compassionate considerations warrant relief under s. 25(1). They state that the determination of whether there are sufficient grounds to justify granting a humanitarian and compassionate application under s. 25(1) is done by an “assessment of hardship”. What warrants relief will vary depending on the facts and context of the case, but officers making humanitarian and compassionate determinations must substantively consider and weigh all the relevant facts and factors before </w:t>
      </w:r>
      <w:proofErr w:type="gramStart"/>
      <w:r w:rsidRPr="00857B87">
        <w:rPr>
          <w:rFonts w:eastAsia="Times New Roman" w:cs="Times New Roman"/>
          <w:sz w:val="20"/>
          <w:szCs w:val="20"/>
          <w:lang w:val="en-US" w:eastAsia="en-CA"/>
        </w:rPr>
        <w:t>them.</w:t>
      </w:r>
      <w:proofErr w:type="gramEnd"/>
      <w:r w:rsidRPr="00857B87">
        <w:rPr>
          <w:rFonts w:eastAsia="Times New Roman" w:cs="Times New Roman"/>
          <w:sz w:val="20"/>
          <w:szCs w:val="20"/>
          <w:lang w:val="en-US" w:eastAsia="en-CA"/>
        </w:rPr>
        <w:t xml:space="preserve"> An officer can take the underlying facts adduced in refugee determination proceedings into account in determining whether the applicant’s circumstances warrant humanitarian and compassionate relief.</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The Guidelines state that applicants must demonstrate either “unusual and undeserved” </w:t>
      </w:r>
      <w:r w:rsidRPr="00857B87">
        <w:rPr>
          <w:rFonts w:eastAsia="Times New Roman" w:cs="Times New Roman"/>
          <w:i/>
          <w:sz w:val="20"/>
          <w:szCs w:val="20"/>
          <w:lang w:val="en-US" w:eastAsia="en-CA"/>
        </w:rPr>
        <w:t>or</w:t>
      </w:r>
      <w:r w:rsidRPr="00857B87">
        <w:rPr>
          <w:rFonts w:eastAsia="Times New Roman" w:cs="Times New Roman"/>
          <w:sz w:val="20"/>
          <w:szCs w:val="20"/>
          <w:lang w:val="en-US" w:eastAsia="en-CA"/>
        </w:rPr>
        <w:t xml:space="preserve"> “disproportionate” hardship for relief under s. 25(1) to be granted. “Unusual and undeserved hardship” is defined in the Guidelines as hardship that is “not anticipated or addressed” by the </w:t>
      </w:r>
      <w:r w:rsidRPr="00857B87">
        <w:rPr>
          <w:rFonts w:eastAsia="Times New Roman" w:cs="Times New Roman"/>
          <w:i/>
          <w:sz w:val="20"/>
          <w:szCs w:val="20"/>
          <w:lang w:val="en-US" w:eastAsia="en-CA"/>
        </w:rPr>
        <w:t xml:space="preserve">Act </w:t>
      </w:r>
      <w:r w:rsidRPr="00857B87">
        <w:rPr>
          <w:rFonts w:eastAsia="Times New Roman" w:cs="Times New Roman"/>
          <w:sz w:val="20"/>
          <w:szCs w:val="20"/>
          <w:lang w:val="en-US" w:eastAsia="en-CA"/>
        </w:rPr>
        <w:t xml:space="preserve">or its regulations, and is “beyond the person’s control”. “Disproportionate hardship” is defined as “an unreasonable impact on the applicant due to their personal circumstances”. </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While the Guidelines are useful, they are not legally binding and are not intended to be either exhaustive or restrictive. Officers should not fetter their discretion by treating them as if they were mandatory requirements that limit the equitable humanitarian and compassionate discretion anticipated by s. 25(1). The words “unusual and undeserved or disproportionate hardship” should instead be treated as descriptive, not as creating three new thresholds for relief separate </w:t>
      </w:r>
      <w:r w:rsidRPr="00857B87">
        <w:rPr>
          <w:rFonts w:eastAsia="Times New Roman" w:cs="Times New Roman"/>
          <w:sz w:val="20"/>
          <w:szCs w:val="20"/>
          <w:lang w:val="en-US" w:eastAsia="en-CA"/>
        </w:rPr>
        <w:lastRenderedPageBreak/>
        <w:t xml:space="preserve">and apart from the humanitarian purpose of s. 25(1). As a result, officers should not look at s. 25(1) through the lens of the three adjectives as discrete and high thresholds. This has the result of using the language of “unusual and undeserved or disproportionate hardship” in a way that limits the officer’s ability to consider and give weight to </w:t>
      </w:r>
      <w:r w:rsidRPr="00857B87">
        <w:rPr>
          <w:rFonts w:eastAsia="Times New Roman" w:cs="Times New Roman"/>
          <w:i/>
          <w:sz w:val="20"/>
          <w:szCs w:val="20"/>
          <w:lang w:val="en-US" w:eastAsia="en-CA"/>
        </w:rPr>
        <w:t>all</w:t>
      </w:r>
      <w:r w:rsidRPr="00857B87">
        <w:rPr>
          <w:rFonts w:eastAsia="Times New Roman" w:cs="Times New Roman"/>
          <w:sz w:val="20"/>
          <w:szCs w:val="20"/>
          <w:lang w:val="en-US" w:eastAsia="en-CA"/>
        </w:rPr>
        <w:t xml:space="preserve"> relevant humanitarian and compassionate considerations in a particular case. The three adjectives should be seen as instructive but not determinative, allowing s. 25(1) to respond more flexibly to the equitable goals of the provision.</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Section 25(1) also refers to the need to take into account the best interests of a child directly affected. Where, as here, the legislation specifically directs that the best interests of a child who is “directly affected” be considered, those interests are a singularly significant focus and perspective. The “best interests” principle is highly contextual because of the multitude of factors that may impinge on the child’s best interests. A decision under s. 25(1) will therefore be found to be unreasonable if the interests of children affected by the decision are not sufficiently considered. </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It is difficult to see how a child can be more directly affected than when he or she is the applicant. The status of the applicant as a child triggers not only the requirement that the “best interests” be treated as a significant factor in the analysis, it should also influence the manner in which the child’s other circumstances are evaluated. And since children will rarely, if ever, be deserving of </w:t>
      </w:r>
      <w:r w:rsidRPr="00857B87">
        <w:rPr>
          <w:rFonts w:eastAsia="Times New Roman" w:cs="Times New Roman"/>
          <w:i/>
          <w:sz w:val="20"/>
          <w:szCs w:val="20"/>
          <w:lang w:val="en-US" w:eastAsia="en-CA"/>
        </w:rPr>
        <w:t>any</w:t>
      </w:r>
      <w:r w:rsidRPr="00857B87">
        <w:rPr>
          <w:rFonts w:eastAsia="Times New Roman" w:cs="Times New Roman"/>
          <w:sz w:val="20"/>
          <w:szCs w:val="20"/>
          <w:lang w:val="en-US" w:eastAsia="en-CA"/>
        </w:rPr>
        <w:t xml:space="preserve"> hardship, the concept of unusual or undeserved hardship is presumptively inapplicable to the assessment of the hardship invoked by a child to support his or her application for humanitarian and compassionate relief. Because children may experience greater hardship than adults faced with a comparable situation, circumstances which may not warrant humanitarian and compassionate relief when applied to an adult, may nonetheless entitle a child to relief.</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In this case, the Officer failed to consider K’s circumstances as a whole and took an unduly narrow approach to the assessment of his circumstances. The Officer failed to give sufficiently serious consideration to K’s youth, his mental health, and the evidence that he would suffer discrimination if he were returned to Sri Lanka. Instead, she took a segmented approach, assessing each factor to see whether it represented hardship that was “unusual and undeserved or disproportionate”. The Officer’s literal obedience to those words, which do not appear anywhere in s. 25(1), rather than looking at K’s circumstances as a whole, led her to see each of them as a distinct legal test, rather than as words designed to help reify the equitable purpose of the provision. This had the effect of improperly restricting her discretion, rendering her decision unreasonable. </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The Officer accepted the diagnosis in the psychological report of post</w:t>
      </w:r>
      <w:r w:rsidRPr="00857B87">
        <w:rPr>
          <w:rFonts w:eastAsia="Times New Roman" w:cs="Times New Roman"/>
          <w:sz w:val="20"/>
          <w:szCs w:val="20"/>
          <w:lang w:val="en-US" w:eastAsia="en-CA"/>
        </w:rPr>
        <w:noBreakHyphen/>
        <w:t xml:space="preserve">traumatic stress disorder, yet required K to adduce </w:t>
      </w:r>
      <w:r w:rsidRPr="00857B87">
        <w:rPr>
          <w:rFonts w:eastAsia="Times New Roman" w:cs="Times New Roman"/>
          <w:i/>
          <w:sz w:val="20"/>
          <w:szCs w:val="20"/>
          <w:lang w:val="en-US" w:eastAsia="en-CA"/>
        </w:rPr>
        <w:t>additional</w:t>
      </w:r>
      <w:r w:rsidRPr="00857B87">
        <w:rPr>
          <w:rFonts w:eastAsia="Times New Roman" w:cs="Times New Roman"/>
          <w:sz w:val="20"/>
          <w:szCs w:val="20"/>
          <w:lang w:val="en-US" w:eastAsia="en-CA"/>
        </w:rPr>
        <w:t xml:space="preserve"> evidence about whether he did or did not seek treatment, whether any was even available, or what treatment was or was not available in Sri Lanka. Once she accepted that he had post</w:t>
      </w:r>
      <w:r w:rsidRPr="00857B87">
        <w:rPr>
          <w:rFonts w:eastAsia="Times New Roman" w:cs="Times New Roman"/>
          <w:sz w:val="20"/>
          <w:szCs w:val="20"/>
          <w:lang w:val="en-US" w:eastAsia="en-CA"/>
        </w:rPr>
        <w:noBreakHyphen/>
        <w:t>traumatic stress disorder, adjustment disorder, and depression based on his experiences in Sri Lanka, requiring further evidence of the availability of treatment, either in Canada or in Sri Lanka, undermined the diagnosis and had the problematic effect of making it a conditional rather than a significant factor. In her exclusive focus on whether treatment was available to K in Sri Lanka, the Officer ignored what the effect of removal from Canada would be on his mental health. The fact that K’s mental health would likely worsen if he were to be removed to Sri Lanka is a relevant consideration that must be identified and weighed regardless of whether there is treatment available in Sri Lanka to help treat his condition. And while the Officer did not dispute the psychological report presented, she found that the medical opinion rested mainly on hearsay because the psychologist was not a witness to the events that led to the anxiety experienced by K. This disregards the unavoidable reality that psychological reports like the one in this case will necessarily be based to some degree on hearsay. Only rarely will a mental health professional personally witness the events for which a patient seeks professional assistance. To suggest that applicants for relief on humanitarian and compassionate grounds may only file expert reports from professionals who have witnessed the facts or events underlying their findings, is unrealistic and results in the absence of significant evidence.</w:t>
      </w:r>
      <w:r w:rsidRPr="00857B87">
        <w:rPr>
          <w:rFonts w:eastAsia="Times New Roman" w:cs="Times New Roman"/>
          <w:sz w:val="20"/>
          <w:szCs w:val="20"/>
          <w:lang w:eastAsia="en-CA"/>
        </w:rPr>
        <w:t xml:space="preserve"> </w:t>
      </w:r>
      <w:r w:rsidRPr="00857B87">
        <w:rPr>
          <w:rFonts w:eastAsia="Times New Roman" w:cs="Times New Roman"/>
          <w:sz w:val="20"/>
          <w:szCs w:val="20"/>
          <w:lang w:val="en-US" w:eastAsia="en-CA"/>
        </w:rPr>
        <w:t>A psychologist need not be an expert on country conditions in a particular country to provide expert information about the probable psychological effect of removal from Canada.</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The Officer considered the discrimination K would likely endure in Sri Lanka, but effectively concluded that in the absence of evidence from K that he would be personally targeted by discriminatory action, there was no evidence of discrimination. This approach however, failed to account for the fact that discrimination can be inferred where an applicant shows that he or she is a member of a group that is discriminated against. Evidence of discrimination experienced by others who share the applicant’s identity is relevant under s. 25(1), whether or not the applicant has evidence that he or she has been personally targeted. </w:t>
      </w: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lastRenderedPageBreak/>
        <w:tab/>
        <w:t>Further, the Officer here did not appear to turn her mind to how K’s status as a child affected the evaluation of the other evidence raised in his application. This approach is inconsistent with how hardship should be uniquely addressed for children. Moreover, by evaluating K’s best interests through the same literal approach she applied to each of his other circumstances — whether the hardship was “unusual and undeserved or disproportionate” — the Officer misconstrued the best interests of the child analysis, most crucially disregarding the guiding admonition that children cannot be said to be deserving of hardship. </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The Officer therefore avoided the requisite analysis of whether, in light of the humanitarian purpose of s. 25(1) of the </w:t>
      </w:r>
      <w:r w:rsidRPr="00857B87">
        <w:rPr>
          <w:rFonts w:eastAsia="Times New Roman" w:cs="Times New Roman"/>
          <w:i/>
          <w:sz w:val="20"/>
          <w:szCs w:val="20"/>
          <w:lang w:val="en-US" w:eastAsia="en-CA"/>
        </w:rPr>
        <w:t>Immigration and Refugee Protection Act</w:t>
      </w:r>
      <w:r w:rsidRPr="00857B87">
        <w:rPr>
          <w:rFonts w:eastAsia="Times New Roman" w:cs="Times New Roman"/>
          <w:sz w:val="20"/>
          <w:szCs w:val="20"/>
          <w:lang w:val="en-US" w:eastAsia="en-CA"/>
        </w:rPr>
        <w:t xml:space="preserve">, the evidence </w:t>
      </w:r>
      <w:r w:rsidRPr="00857B87">
        <w:rPr>
          <w:rFonts w:eastAsia="Times New Roman" w:cs="Times New Roman"/>
          <w:i/>
          <w:sz w:val="20"/>
          <w:szCs w:val="20"/>
          <w:lang w:val="en-US" w:eastAsia="en-CA"/>
        </w:rPr>
        <w:t>as a whole</w:t>
      </w:r>
      <w:r w:rsidRPr="00857B87">
        <w:rPr>
          <w:rFonts w:eastAsia="Times New Roman" w:cs="Times New Roman"/>
          <w:sz w:val="20"/>
          <w:szCs w:val="20"/>
          <w:lang w:val="en-US" w:eastAsia="en-CA"/>
        </w:rPr>
        <w:t xml:space="preserve"> justified relief. This approach unduly fettered her discretion and led to its unreasonable exercise.</w:t>
      </w:r>
    </w:p>
    <w:p w:rsidR="00857B87" w:rsidRPr="007A5455" w:rsidRDefault="00857B87" w:rsidP="00857B87">
      <w:pPr>
        <w:tabs>
          <w:tab w:val="left" w:pos="1168"/>
        </w:tabs>
        <w:jc w:val="both"/>
        <w:rPr>
          <w:rFonts w:eastAsia="Times New Roman" w:cs="Times New Roman"/>
          <w:i/>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i/>
          <w:sz w:val="20"/>
          <w:szCs w:val="20"/>
          <w:lang w:val="en-US" w:eastAsia="en-CA"/>
        </w:rPr>
        <w:tab/>
        <w:t>Per</w:t>
      </w:r>
      <w:r w:rsidRPr="00857B87">
        <w:rPr>
          <w:rFonts w:eastAsia="Times New Roman" w:cs="Times New Roman"/>
          <w:sz w:val="20"/>
          <w:szCs w:val="20"/>
          <w:lang w:val="en-US" w:eastAsia="en-CA"/>
        </w:rPr>
        <w:t xml:space="preserve"> </w:t>
      </w:r>
      <w:proofErr w:type="spellStart"/>
      <w:r w:rsidRPr="00857B87">
        <w:rPr>
          <w:rFonts w:eastAsia="Times New Roman" w:cs="Times New Roman"/>
          <w:b/>
          <w:sz w:val="20"/>
          <w:szCs w:val="20"/>
          <w:lang w:val="en-US" w:eastAsia="en-CA"/>
        </w:rPr>
        <w:t>Moldaver</w:t>
      </w:r>
      <w:proofErr w:type="spellEnd"/>
      <w:r w:rsidRPr="00857B87">
        <w:rPr>
          <w:rFonts w:eastAsia="Times New Roman" w:cs="Times New Roman"/>
          <w:sz w:val="20"/>
          <w:szCs w:val="20"/>
          <w:lang w:val="en-US" w:eastAsia="en-CA"/>
        </w:rPr>
        <w:t xml:space="preserve"> and Wagner JJ. (</w:t>
      </w:r>
      <w:proofErr w:type="gramStart"/>
      <w:r w:rsidRPr="00857B87">
        <w:rPr>
          <w:rFonts w:eastAsia="Times New Roman" w:cs="Times New Roman"/>
          <w:sz w:val="20"/>
          <w:szCs w:val="20"/>
          <w:lang w:val="en-US" w:eastAsia="en-CA"/>
        </w:rPr>
        <w:t>dissenting</w:t>
      </w:r>
      <w:proofErr w:type="gramEnd"/>
      <w:r w:rsidRPr="00857B87">
        <w:rPr>
          <w:rFonts w:eastAsia="Times New Roman" w:cs="Times New Roman"/>
          <w:sz w:val="20"/>
          <w:szCs w:val="20"/>
          <w:lang w:val="en-US" w:eastAsia="en-CA"/>
        </w:rPr>
        <w:t>):  While there is agreement with much of the majority’s discussion on the meaning of the phrase “justified by humanitarian and compassionate considerations”, there is no agreement with the test proposed for granting relief under s. 25(1). The scheme of the</w:t>
      </w:r>
      <w:r w:rsidRPr="00857B87">
        <w:rPr>
          <w:rFonts w:eastAsia="Times New Roman" w:cs="Times New Roman"/>
          <w:i/>
          <w:sz w:val="20"/>
          <w:szCs w:val="20"/>
          <w:lang w:val="en-US" w:eastAsia="en-CA"/>
        </w:rPr>
        <w:t xml:space="preserve"> Immigration and Refugee Protection Act</w:t>
      </w:r>
      <w:r w:rsidRPr="00857B87">
        <w:rPr>
          <w:rFonts w:eastAsia="Times New Roman" w:cs="Times New Roman"/>
          <w:sz w:val="20"/>
          <w:szCs w:val="20"/>
          <w:lang w:val="en-US" w:eastAsia="en-CA"/>
        </w:rPr>
        <w:t xml:space="preserve"> and the intention of Parliament in enacting s. 25(1) suggest that this provision is meant to provide a flexible — but exceptional — mechanism for relief. Giving it an overly broad interpretation risks creating a separate, freestanding immigration process, something Parliament clearly did not intend. Parliament recognized that cases could arise in which the strict application of the rules would not reflect Canada’s policy goals, or would lead to an arbitrary or inhumane result. That said, Parliament did not intend to provide relief on a routine basis. The test for humanitarian and compassionate (“H&amp;C”) relief must balance the dual characteristics of stringency and flexibility and reflect the broad range of factors that may be relevant. </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The hardship test is a good test in that it achieves the degree of stringency required to grant H&amp;C relief. If an applicant can demonstrate “unusual and undeserved or disproportionate hardship”, he or she should be granted relief. However, the test falls down on the flexibility side as it risks excluding or diminishing the weight that some factors may deserve in deciding whether H&amp;C relief should be granted. Section 25(1) does not limit </w:t>
      </w:r>
      <w:r w:rsidRPr="00857B87">
        <w:rPr>
          <w:rFonts w:eastAsia="Times New Roman" w:cs="Times New Roman"/>
          <w:i/>
          <w:sz w:val="20"/>
          <w:szCs w:val="20"/>
          <w:lang w:val="en-US" w:eastAsia="en-CA"/>
        </w:rPr>
        <w:t>when</w:t>
      </w:r>
      <w:r w:rsidRPr="00857B87">
        <w:rPr>
          <w:rFonts w:eastAsia="Times New Roman" w:cs="Times New Roman"/>
          <w:sz w:val="20"/>
          <w:szCs w:val="20"/>
          <w:lang w:val="en-US" w:eastAsia="en-CA"/>
        </w:rPr>
        <w:t xml:space="preserve"> the relevant H&amp;C considerations must occur; nor does it require that they be viewed only from the applicant’s perspective. It asks only that decision makers look at H&amp;C considerations </w:t>
      </w:r>
      <w:r w:rsidRPr="00857B87">
        <w:rPr>
          <w:rFonts w:eastAsia="Times New Roman" w:cs="Times New Roman"/>
          <w:i/>
          <w:sz w:val="20"/>
          <w:szCs w:val="20"/>
          <w:lang w:val="en-US" w:eastAsia="en-CA"/>
        </w:rPr>
        <w:t>relating to</w:t>
      </w:r>
      <w:r w:rsidRPr="00857B87">
        <w:rPr>
          <w:rFonts w:eastAsia="Times New Roman" w:cs="Times New Roman"/>
          <w:sz w:val="20"/>
          <w:szCs w:val="20"/>
          <w:lang w:val="en-US" w:eastAsia="en-CA"/>
        </w:rPr>
        <w:t xml:space="preserve"> the applicant. Section 25(1) is framed in broad terms because it is impossible to foresee all situations in which it might be appropriate to grant relief to someone seeking to enter or remain in Canada. A more comprehensive approach is therefore required.</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Bearing in mind the purpose and context of s. 25(1), and the fact that the hardship test used to date may, in some circumstances, be overly restrictive, the test for granting relief should be reframed as follows: whether, having regard to all of the circumstances, including the exceptional nature of H&amp;C relief, the applicant has demonstrated that decent, fair</w:t>
      </w:r>
      <w:r w:rsidRPr="00857B87">
        <w:rPr>
          <w:rFonts w:eastAsia="Times New Roman" w:cs="Times New Roman"/>
          <w:sz w:val="20"/>
          <w:szCs w:val="20"/>
          <w:lang w:val="en-US" w:eastAsia="en-CA"/>
        </w:rPr>
        <w:noBreakHyphen/>
        <w:t>minded Canadians would find it simply unacceptable to deny the relief sought. To be “simply unacceptable”, a case should be sufficiently compelling to generate a broad consensus that exceptional relief should be granted. This test maintains the stringency of the hardship test — but does not exceed it. At the same time, it is more flexible than the hardship test. It asks decision makers to turn their minds to all of the relevant circumstances when deciding whether refusing relief would be “simply unacceptable”. This prevents decision makers from excluding relevant H&amp;C considerations because they do not fit within the future</w:t>
      </w:r>
      <w:r w:rsidRPr="00857B87">
        <w:rPr>
          <w:rFonts w:eastAsia="Times New Roman" w:cs="Times New Roman"/>
          <w:sz w:val="20"/>
          <w:szCs w:val="20"/>
          <w:lang w:val="en-US" w:eastAsia="en-CA"/>
        </w:rPr>
        <w:noBreakHyphen/>
        <w:t xml:space="preserve">oriented hardship framework or because they do not involve hardship experienced solely by the applicant. The test proposed by the majority does not provide any guidance to decision makers as to the kinds of factors outside the hardship test that would be sufficient to justify relief. Even more problematic, by introducing equitable principles, it runs the risk of watering down the stringency of the hardship test. </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The Officer’s decision in this case falls within the range of possible, acceptable outcomes which are defensible in respect of the facts and law, and was therefore reasonable. Decision making under s. 25(1) is highly discretionary and is entitled to deference. Care must be taken not to overly dissect or parse an officer’s reasons. Rather, reasonableness review entails respectful attention to the reasons offered or which could be offered in support of a decision. As is the case with every other court, this Court has no license to find an officer’s decision unreasonable simply because it would itself have come to a different result, lest we be accused of adopting a “do as we say, not what we do” approach to reasonableness review. </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 xml:space="preserve">In evaluating the application, the decision maker must not segment the evidence and require that each piece either rise above the hardship threshold or be discounted entirely. Rather, the decision maker must fairly consider the totality of the circumstances and base the disposition on the evidence as a whole. Likewise, the decision maker must not </w:t>
      </w:r>
      <w:r w:rsidRPr="00857B87">
        <w:rPr>
          <w:rFonts w:eastAsia="Times New Roman" w:cs="Times New Roman"/>
          <w:sz w:val="20"/>
          <w:szCs w:val="20"/>
          <w:lang w:val="en-US" w:eastAsia="en-CA"/>
        </w:rPr>
        <w:lastRenderedPageBreak/>
        <w:t>fetter his or her discretion by applying the Guidelines – the “unusual and undeserved or disproportionate hardship” framework – as a strict legal test to the exclusion of all other factors. Taken as a whole, the Officer’s decision in this case denying K’s H&amp;C application is transparent. She provided intelligible reasons for concluding that K did not meet his onus of establishing, on balance, that he should be permitted to apply for permanent residency from within Canada for H&amp;C reasons. She did not use the hardship framework in a way that fettered her discretion or caused her to discount relevant evidence. Her conclusions are reasonable, and well</w:t>
      </w:r>
      <w:r w:rsidRPr="00857B87">
        <w:rPr>
          <w:rFonts w:eastAsia="Times New Roman" w:cs="Times New Roman"/>
          <w:sz w:val="20"/>
          <w:szCs w:val="20"/>
          <w:lang w:val="en-US" w:eastAsia="en-CA"/>
        </w:rPr>
        <w:noBreakHyphen/>
        <w:t xml:space="preserve">supported by the record. While aspects of K’s situation warrant sympathy, sympathetic circumstances alone do not meet the threshold required to obtain relief. </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It was open to the Officer to find that the record did not justify relief under s. 25(1). While the Officer’s reasons could have engaged more fully with the psychological evidence and while it would have been helpful had she specifically addressed the issue of the impact of removal on K’s mental health, her failure to do so does not render her decision unreasonable. The Officer’s approach to the issue of discrimination was also not unreasonable, nor did it render her decision unreasonable. The applicant need only show that the denial of relief would pose a certain risk of harm. However, that risk must necessarily be a “personalized risk”, in the sense that the applicant must fall within the category of people who, on the evidence submitted, would face that risk. When viewed in context, the Officer’s conclusion that K had failed to provide sufficient evidence to support his statements that he will be personally discriminated against simply reiterated the wording of his submissions. Lastly, the Officer’s analysis and conclusion on K’s best interests as a child were also reasonable. It was highly relevant that K was only one day away from turning 18 when he initially applied for H&amp;C relief. K was a teenager on the verge of adulthood. On the record before her, it was open to the Officer to conclude that removal to Sri Lanka would not impair K’s best interests, because he would be returning to his immediate family rather than being separated from them.</w:t>
      </w:r>
    </w:p>
    <w:p w:rsidR="00857B87" w:rsidRPr="007A5455" w:rsidRDefault="00857B87" w:rsidP="00857B87">
      <w:pPr>
        <w:tabs>
          <w:tab w:val="left" w:pos="1168"/>
        </w:tabs>
        <w:jc w:val="both"/>
        <w:rPr>
          <w:rFonts w:eastAsia="Times New Roman" w:cs="Times New Roman"/>
          <w:sz w:val="20"/>
          <w:szCs w:val="20"/>
          <w:lang w:val="en-US" w:eastAsia="en-CA"/>
        </w:rPr>
      </w:pPr>
    </w:p>
    <w:p w:rsidR="00857B87" w:rsidRPr="00857B87" w:rsidRDefault="00857B87" w:rsidP="00857B87">
      <w:pPr>
        <w:tabs>
          <w:tab w:val="left" w:pos="1168"/>
        </w:tabs>
        <w:jc w:val="both"/>
        <w:rPr>
          <w:rFonts w:eastAsia="Times New Roman" w:cs="Times New Roman"/>
          <w:sz w:val="20"/>
          <w:szCs w:val="20"/>
          <w:lang w:val="en-US" w:eastAsia="en-CA"/>
        </w:rPr>
      </w:pPr>
      <w:r w:rsidRPr="00857B87">
        <w:rPr>
          <w:rFonts w:eastAsia="Times New Roman" w:cs="Times New Roman"/>
          <w:sz w:val="20"/>
          <w:szCs w:val="20"/>
          <w:lang w:val="en-US" w:eastAsia="en-CA"/>
        </w:rPr>
        <w:tab/>
        <w:t>Although the Officer applied the hardship standard from the Guidelines, she did not do so in a way that fettered her discretion. Further, had she applied the test reframed, she would inevitably have come to the same result. The Officer’s decision to deny an exemption to K was reasonable.</w:t>
      </w:r>
    </w:p>
    <w:p w:rsidR="006874C7" w:rsidRPr="007A5455" w:rsidRDefault="006874C7" w:rsidP="006874C7">
      <w:pPr>
        <w:pStyle w:val="SCCNormalDoubleSpacing"/>
        <w:spacing w:line="240" w:lineRule="auto"/>
        <w:rPr>
          <w:sz w:val="20"/>
        </w:rPr>
      </w:pPr>
    </w:p>
    <w:p w:rsidR="0076497D" w:rsidRPr="0076497D" w:rsidRDefault="0076497D" w:rsidP="0076497D">
      <w:pPr>
        <w:tabs>
          <w:tab w:val="left" w:pos="1168"/>
        </w:tabs>
        <w:jc w:val="both"/>
        <w:rPr>
          <w:rFonts w:eastAsia="Times New Roman" w:cs="Times New Roman"/>
          <w:sz w:val="20"/>
          <w:szCs w:val="20"/>
          <w:lang w:eastAsia="en-CA"/>
        </w:rPr>
      </w:pPr>
      <w:r w:rsidRPr="0076497D">
        <w:rPr>
          <w:rFonts w:eastAsia="Times New Roman" w:cs="Times New Roman"/>
          <w:sz w:val="20"/>
          <w:szCs w:val="20"/>
          <w:lang w:eastAsia="en-CA"/>
        </w:rPr>
        <w:tab/>
        <w:t>APPEAL from a judgment of the Federal Court of Appeal (</w:t>
      </w:r>
      <w:proofErr w:type="spellStart"/>
      <w:r w:rsidRPr="0076497D">
        <w:rPr>
          <w:rFonts w:eastAsia="Times New Roman" w:cs="Times New Roman"/>
          <w:sz w:val="20"/>
          <w:szCs w:val="20"/>
          <w:lang w:eastAsia="en-CA"/>
        </w:rPr>
        <w:t>Blais</w:t>
      </w:r>
      <w:proofErr w:type="spellEnd"/>
      <w:r w:rsidRPr="0076497D">
        <w:rPr>
          <w:rFonts w:eastAsia="Times New Roman" w:cs="Times New Roman"/>
          <w:sz w:val="20"/>
          <w:szCs w:val="20"/>
          <w:lang w:eastAsia="en-CA"/>
        </w:rPr>
        <w:t xml:space="preserve"> C.J. and </w:t>
      </w:r>
      <w:proofErr w:type="spellStart"/>
      <w:r w:rsidRPr="0076497D">
        <w:rPr>
          <w:rFonts w:eastAsia="Times New Roman" w:cs="Times New Roman"/>
          <w:sz w:val="20"/>
          <w:szCs w:val="20"/>
          <w:lang w:eastAsia="en-CA"/>
        </w:rPr>
        <w:t>Sharlow</w:t>
      </w:r>
      <w:proofErr w:type="spellEnd"/>
      <w:r w:rsidRPr="0076497D">
        <w:rPr>
          <w:rFonts w:eastAsia="Times New Roman" w:cs="Times New Roman"/>
          <w:sz w:val="20"/>
          <w:szCs w:val="20"/>
          <w:lang w:eastAsia="en-CA"/>
        </w:rPr>
        <w:t xml:space="preserve"> and </w:t>
      </w:r>
      <w:proofErr w:type="spellStart"/>
      <w:r w:rsidRPr="0076497D">
        <w:rPr>
          <w:rFonts w:eastAsia="Times New Roman" w:cs="Times New Roman"/>
          <w:sz w:val="20"/>
          <w:szCs w:val="20"/>
          <w:lang w:eastAsia="en-CA"/>
        </w:rPr>
        <w:t>Stratas</w:t>
      </w:r>
      <w:proofErr w:type="spellEnd"/>
      <w:r w:rsidRPr="0076497D">
        <w:rPr>
          <w:rFonts w:eastAsia="Times New Roman" w:cs="Times New Roman"/>
          <w:sz w:val="20"/>
          <w:szCs w:val="20"/>
          <w:lang w:eastAsia="en-CA"/>
        </w:rPr>
        <w:t xml:space="preserve"> JJ.A.), 2014 FCA 113, [2015] 1 F.C.R. 335, 459 N.R. 367, 372 D.L.R. (4th) 539, 77 Admin. L.R. (5th) 181, 27 </w:t>
      </w:r>
      <w:proofErr w:type="spellStart"/>
      <w:r w:rsidRPr="0076497D">
        <w:rPr>
          <w:rFonts w:eastAsia="Times New Roman" w:cs="Times New Roman"/>
          <w:sz w:val="20"/>
          <w:szCs w:val="20"/>
          <w:lang w:eastAsia="en-CA"/>
        </w:rPr>
        <w:t>Imm</w:t>
      </w:r>
      <w:proofErr w:type="spellEnd"/>
      <w:r w:rsidRPr="0076497D">
        <w:rPr>
          <w:rFonts w:eastAsia="Times New Roman" w:cs="Times New Roman"/>
          <w:sz w:val="20"/>
          <w:szCs w:val="20"/>
          <w:lang w:eastAsia="en-CA"/>
        </w:rPr>
        <w:t xml:space="preserve">. L.R. (4th) 1, [2014] F.C.J. No. 472 (QL), 2014 </w:t>
      </w:r>
      <w:proofErr w:type="spellStart"/>
      <w:r w:rsidRPr="0076497D">
        <w:rPr>
          <w:rFonts w:eastAsia="Times New Roman" w:cs="Times New Roman"/>
          <w:sz w:val="20"/>
          <w:szCs w:val="20"/>
          <w:lang w:eastAsia="en-CA"/>
        </w:rPr>
        <w:t>CarswellNat</w:t>
      </w:r>
      <w:proofErr w:type="spellEnd"/>
      <w:r w:rsidRPr="0076497D">
        <w:rPr>
          <w:rFonts w:eastAsia="Times New Roman" w:cs="Times New Roman"/>
          <w:sz w:val="20"/>
          <w:szCs w:val="20"/>
          <w:lang w:eastAsia="en-CA"/>
        </w:rPr>
        <w:t xml:space="preserve"> 1435 (WL Can.), affirming a decision of Kane J., 2013 FC 802, [2014] 3 F.C.R. 438, 437 F.T.R. 120, [2013] F.C.J. No. 848 (QL), 2013 </w:t>
      </w:r>
      <w:proofErr w:type="spellStart"/>
      <w:r w:rsidRPr="0076497D">
        <w:rPr>
          <w:rFonts w:eastAsia="Times New Roman" w:cs="Times New Roman"/>
          <w:sz w:val="20"/>
          <w:szCs w:val="20"/>
          <w:lang w:eastAsia="en-CA"/>
        </w:rPr>
        <w:t>CarswellNat</w:t>
      </w:r>
      <w:proofErr w:type="spellEnd"/>
      <w:r w:rsidRPr="0076497D">
        <w:rPr>
          <w:rFonts w:eastAsia="Times New Roman" w:cs="Times New Roman"/>
          <w:sz w:val="20"/>
          <w:szCs w:val="20"/>
          <w:lang w:eastAsia="en-CA"/>
        </w:rPr>
        <w:t xml:space="preserve"> 2568 (WL Can.), dismissing an application for judicial review. Appeal allowed, </w:t>
      </w:r>
      <w:proofErr w:type="spellStart"/>
      <w:r w:rsidRPr="0076497D">
        <w:rPr>
          <w:rFonts w:eastAsia="Times New Roman" w:cs="Times New Roman"/>
          <w:sz w:val="20"/>
          <w:szCs w:val="20"/>
          <w:lang w:eastAsia="en-CA"/>
        </w:rPr>
        <w:t>Moldaver</w:t>
      </w:r>
      <w:proofErr w:type="spellEnd"/>
      <w:r w:rsidRPr="0076497D">
        <w:rPr>
          <w:rFonts w:eastAsia="Times New Roman" w:cs="Times New Roman"/>
          <w:sz w:val="20"/>
          <w:szCs w:val="20"/>
          <w:lang w:eastAsia="en-CA"/>
        </w:rPr>
        <w:t xml:space="preserve"> and Wagner JJ. </w:t>
      </w:r>
      <w:proofErr w:type="gramStart"/>
      <w:r w:rsidRPr="0076497D">
        <w:rPr>
          <w:rFonts w:eastAsia="Times New Roman" w:cs="Times New Roman"/>
          <w:sz w:val="20"/>
          <w:szCs w:val="20"/>
          <w:lang w:eastAsia="en-CA"/>
        </w:rPr>
        <w:t>dissenting</w:t>
      </w:r>
      <w:proofErr w:type="gramEnd"/>
      <w:r w:rsidRPr="0076497D">
        <w:rPr>
          <w:rFonts w:eastAsia="Times New Roman" w:cs="Times New Roman"/>
          <w:sz w:val="20"/>
          <w:szCs w:val="20"/>
          <w:lang w:eastAsia="en-CA"/>
        </w:rPr>
        <w:t>.</w:t>
      </w:r>
    </w:p>
    <w:p w:rsidR="0076497D" w:rsidRPr="007A5455" w:rsidRDefault="0076497D" w:rsidP="0076497D">
      <w:pPr>
        <w:tabs>
          <w:tab w:val="left" w:pos="1168"/>
        </w:tabs>
        <w:jc w:val="both"/>
        <w:rPr>
          <w:rFonts w:eastAsia="Times New Roman" w:cs="Times New Roman"/>
          <w:sz w:val="20"/>
          <w:szCs w:val="20"/>
          <w:lang w:eastAsia="en-CA"/>
        </w:rPr>
      </w:pPr>
    </w:p>
    <w:p w:rsidR="0076497D" w:rsidRPr="0076497D" w:rsidRDefault="0076497D" w:rsidP="0076497D">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Barbara Jackman</w:t>
      </w:r>
      <w:r w:rsidRPr="007A5455">
        <w:rPr>
          <w:rFonts w:eastAsia="Times New Roman" w:cs="Times New Roman"/>
          <w:sz w:val="20"/>
          <w:szCs w:val="20"/>
          <w:lang w:eastAsia="en-CA"/>
        </w:rPr>
        <w:t xml:space="preserve"> and </w:t>
      </w:r>
      <w:proofErr w:type="spellStart"/>
      <w:r w:rsidRPr="007A5455">
        <w:rPr>
          <w:rFonts w:eastAsia="Times New Roman" w:cs="Times New Roman"/>
          <w:i/>
          <w:sz w:val="20"/>
          <w:szCs w:val="20"/>
          <w:lang w:eastAsia="en-CA"/>
        </w:rPr>
        <w:t>Ksenija</w:t>
      </w:r>
      <w:proofErr w:type="spellEnd"/>
      <w:r w:rsidRPr="007A5455">
        <w:rPr>
          <w:rFonts w:eastAsia="Times New Roman" w:cs="Times New Roman"/>
          <w:i/>
          <w:sz w:val="20"/>
          <w:szCs w:val="20"/>
          <w:lang w:eastAsia="en-CA"/>
        </w:rPr>
        <w:t xml:space="preserve"> Trahan</w:t>
      </w:r>
      <w:r w:rsidRPr="007A5455">
        <w:rPr>
          <w:rFonts w:eastAsia="Times New Roman" w:cs="Times New Roman"/>
          <w:sz w:val="20"/>
          <w:szCs w:val="20"/>
          <w:lang w:eastAsia="en-CA"/>
        </w:rPr>
        <w:t>, for the appellant.</w:t>
      </w:r>
    </w:p>
    <w:p w:rsidR="0076497D" w:rsidRPr="007A5455" w:rsidRDefault="0076497D" w:rsidP="0076497D">
      <w:pPr>
        <w:tabs>
          <w:tab w:val="left" w:pos="1168"/>
        </w:tabs>
        <w:jc w:val="both"/>
        <w:rPr>
          <w:rFonts w:eastAsia="Times New Roman" w:cs="Times New Roman"/>
          <w:sz w:val="20"/>
          <w:szCs w:val="20"/>
          <w:lang w:eastAsia="en-CA"/>
        </w:rPr>
      </w:pPr>
    </w:p>
    <w:p w:rsidR="0076497D" w:rsidRPr="0076497D" w:rsidRDefault="0076497D" w:rsidP="0076497D">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 xml:space="preserve">Marianne </w:t>
      </w:r>
      <w:proofErr w:type="spellStart"/>
      <w:r w:rsidRPr="007A5455">
        <w:rPr>
          <w:rFonts w:eastAsia="Times New Roman" w:cs="Times New Roman"/>
          <w:i/>
          <w:sz w:val="20"/>
          <w:szCs w:val="20"/>
          <w:lang w:eastAsia="en-CA"/>
        </w:rPr>
        <w:t>Zoric</w:t>
      </w:r>
      <w:proofErr w:type="spellEnd"/>
      <w:r w:rsidRPr="007A5455">
        <w:rPr>
          <w:rFonts w:eastAsia="Times New Roman" w:cs="Times New Roman"/>
          <w:sz w:val="20"/>
          <w:szCs w:val="20"/>
          <w:lang w:eastAsia="en-CA"/>
        </w:rPr>
        <w:t xml:space="preserve"> and </w:t>
      </w:r>
      <w:r w:rsidRPr="007A5455">
        <w:rPr>
          <w:rFonts w:eastAsia="Times New Roman" w:cs="Times New Roman"/>
          <w:i/>
          <w:sz w:val="20"/>
          <w:szCs w:val="20"/>
          <w:lang w:eastAsia="en-CA"/>
        </w:rPr>
        <w:t xml:space="preserve">Kathryn </w:t>
      </w:r>
      <w:proofErr w:type="spellStart"/>
      <w:r w:rsidRPr="007A5455">
        <w:rPr>
          <w:rFonts w:eastAsia="Times New Roman" w:cs="Times New Roman"/>
          <w:i/>
          <w:sz w:val="20"/>
          <w:szCs w:val="20"/>
          <w:lang w:eastAsia="en-CA"/>
        </w:rPr>
        <w:t>Hucal</w:t>
      </w:r>
      <w:proofErr w:type="spellEnd"/>
      <w:r w:rsidRPr="007A5455">
        <w:rPr>
          <w:rFonts w:eastAsia="Times New Roman" w:cs="Times New Roman"/>
          <w:sz w:val="20"/>
          <w:szCs w:val="20"/>
          <w:lang w:eastAsia="en-CA"/>
        </w:rPr>
        <w:t>, for the respondent.</w:t>
      </w:r>
    </w:p>
    <w:p w:rsidR="0076497D" w:rsidRPr="007A5455" w:rsidRDefault="0076497D" w:rsidP="0076497D">
      <w:pPr>
        <w:tabs>
          <w:tab w:val="left" w:pos="1168"/>
        </w:tabs>
        <w:jc w:val="both"/>
        <w:rPr>
          <w:rFonts w:eastAsia="Times New Roman" w:cs="Times New Roman"/>
          <w:sz w:val="20"/>
          <w:szCs w:val="20"/>
          <w:lang w:eastAsia="en-CA"/>
        </w:rPr>
      </w:pPr>
    </w:p>
    <w:p w:rsidR="0076497D" w:rsidRPr="0076497D" w:rsidRDefault="0076497D" w:rsidP="0076497D">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 xml:space="preserve">Jamie </w:t>
      </w:r>
      <w:proofErr w:type="spellStart"/>
      <w:r w:rsidRPr="007A5455">
        <w:rPr>
          <w:rFonts w:eastAsia="Times New Roman" w:cs="Times New Roman"/>
          <w:i/>
          <w:sz w:val="20"/>
          <w:szCs w:val="20"/>
          <w:lang w:eastAsia="en-CA"/>
        </w:rPr>
        <w:t>Liew</w:t>
      </w:r>
      <w:proofErr w:type="spellEnd"/>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Jennifer Stone</w:t>
      </w:r>
      <w:r w:rsidRPr="007A5455">
        <w:rPr>
          <w:rFonts w:eastAsia="Times New Roman" w:cs="Times New Roman"/>
          <w:sz w:val="20"/>
          <w:szCs w:val="20"/>
          <w:lang w:eastAsia="en-CA"/>
        </w:rPr>
        <w:t xml:space="preserve"> and </w:t>
      </w:r>
      <w:r w:rsidRPr="007A5455">
        <w:rPr>
          <w:rFonts w:eastAsia="Times New Roman" w:cs="Times New Roman"/>
          <w:i/>
          <w:sz w:val="20"/>
          <w:szCs w:val="20"/>
          <w:lang w:eastAsia="en-CA"/>
        </w:rPr>
        <w:t xml:space="preserve">Michael </w:t>
      </w:r>
      <w:proofErr w:type="spellStart"/>
      <w:r w:rsidRPr="007A5455">
        <w:rPr>
          <w:rFonts w:eastAsia="Times New Roman" w:cs="Times New Roman"/>
          <w:i/>
          <w:sz w:val="20"/>
          <w:szCs w:val="20"/>
          <w:lang w:eastAsia="en-CA"/>
        </w:rPr>
        <w:t>Bossin</w:t>
      </w:r>
      <w:proofErr w:type="spellEnd"/>
      <w:r w:rsidRPr="007A5455">
        <w:rPr>
          <w:rFonts w:eastAsia="Times New Roman" w:cs="Times New Roman"/>
          <w:sz w:val="20"/>
          <w:szCs w:val="20"/>
          <w:lang w:eastAsia="en-CA"/>
        </w:rPr>
        <w:t>, for the intervener the Canadian Council for Refugees.</w:t>
      </w:r>
    </w:p>
    <w:p w:rsidR="0076497D" w:rsidRPr="007A5455" w:rsidRDefault="0076497D" w:rsidP="0076497D">
      <w:pPr>
        <w:tabs>
          <w:tab w:val="left" w:pos="1168"/>
        </w:tabs>
        <w:jc w:val="both"/>
        <w:rPr>
          <w:rFonts w:eastAsia="Times New Roman" w:cs="Times New Roman"/>
          <w:sz w:val="20"/>
          <w:szCs w:val="20"/>
          <w:lang w:eastAsia="en-CA"/>
        </w:rPr>
      </w:pPr>
    </w:p>
    <w:p w:rsidR="0076497D" w:rsidRPr="0076497D" w:rsidRDefault="0076497D" w:rsidP="0076497D">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Emily Chan</w:t>
      </w:r>
      <w:r w:rsidRPr="007A5455">
        <w:rPr>
          <w:rFonts w:eastAsia="Times New Roman" w:cs="Times New Roman"/>
          <w:sz w:val="20"/>
          <w:szCs w:val="20"/>
          <w:lang w:eastAsia="en-CA"/>
        </w:rPr>
        <w:t xml:space="preserve"> and </w:t>
      </w:r>
      <w:r w:rsidRPr="007A5455">
        <w:rPr>
          <w:rFonts w:eastAsia="Times New Roman" w:cs="Times New Roman"/>
          <w:i/>
          <w:sz w:val="20"/>
          <w:szCs w:val="20"/>
          <w:lang w:eastAsia="en-CA"/>
        </w:rPr>
        <w:t>Samira Ahmed</w:t>
      </w:r>
      <w:r w:rsidRPr="007A5455">
        <w:rPr>
          <w:rFonts w:eastAsia="Times New Roman" w:cs="Times New Roman"/>
          <w:sz w:val="20"/>
          <w:szCs w:val="20"/>
          <w:lang w:eastAsia="en-CA"/>
        </w:rPr>
        <w:t>, for the intervener Justice for Children and Youth.</w:t>
      </w:r>
    </w:p>
    <w:p w:rsidR="0076497D" w:rsidRPr="007A5455" w:rsidRDefault="0076497D" w:rsidP="0076497D">
      <w:pPr>
        <w:tabs>
          <w:tab w:val="left" w:pos="1168"/>
        </w:tabs>
        <w:jc w:val="both"/>
        <w:rPr>
          <w:rFonts w:eastAsia="Times New Roman" w:cs="Times New Roman"/>
          <w:sz w:val="20"/>
          <w:szCs w:val="20"/>
          <w:lang w:eastAsia="en-CA"/>
        </w:rPr>
      </w:pPr>
    </w:p>
    <w:p w:rsidR="0076497D" w:rsidRPr="0076497D" w:rsidRDefault="0076497D" w:rsidP="0076497D">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Alyssa Manning</w:t>
      </w:r>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 xml:space="preserve">Laila </w:t>
      </w:r>
      <w:proofErr w:type="spellStart"/>
      <w:r w:rsidRPr="007A5455">
        <w:rPr>
          <w:rFonts w:eastAsia="Times New Roman" w:cs="Times New Roman"/>
          <w:i/>
          <w:sz w:val="20"/>
          <w:szCs w:val="20"/>
          <w:lang w:eastAsia="en-CA"/>
        </w:rPr>
        <w:t>Demirdache</w:t>
      </w:r>
      <w:proofErr w:type="spellEnd"/>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 xml:space="preserve">Aviva </w:t>
      </w:r>
      <w:proofErr w:type="spellStart"/>
      <w:r w:rsidRPr="007A5455">
        <w:rPr>
          <w:rFonts w:eastAsia="Times New Roman" w:cs="Times New Roman"/>
          <w:i/>
          <w:sz w:val="20"/>
          <w:szCs w:val="20"/>
          <w:lang w:eastAsia="en-CA"/>
        </w:rPr>
        <w:t>Basman</w:t>
      </w:r>
      <w:proofErr w:type="spellEnd"/>
      <w:r w:rsidRPr="007A5455">
        <w:rPr>
          <w:rFonts w:eastAsia="Times New Roman" w:cs="Times New Roman"/>
          <w:sz w:val="20"/>
          <w:szCs w:val="20"/>
          <w:lang w:eastAsia="en-CA"/>
        </w:rPr>
        <w:t xml:space="preserve"> and </w:t>
      </w:r>
      <w:proofErr w:type="spellStart"/>
      <w:r w:rsidRPr="007A5455">
        <w:rPr>
          <w:rFonts w:eastAsia="Times New Roman" w:cs="Times New Roman"/>
          <w:i/>
          <w:sz w:val="20"/>
          <w:szCs w:val="20"/>
          <w:lang w:eastAsia="en-CA"/>
        </w:rPr>
        <w:t>Rathika</w:t>
      </w:r>
      <w:proofErr w:type="spellEnd"/>
      <w:r w:rsidRPr="007A5455">
        <w:rPr>
          <w:rFonts w:eastAsia="Times New Roman" w:cs="Times New Roman"/>
          <w:i/>
          <w:sz w:val="20"/>
          <w:szCs w:val="20"/>
          <w:lang w:eastAsia="en-CA"/>
        </w:rPr>
        <w:t xml:space="preserve"> </w:t>
      </w:r>
      <w:proofErr w:type="spellStart"/>
      <w:r w:rsidRPr="007A5455">
        <w:rPr>
          <w:rFonts w:eastAsia="Times New Roman" w:cs="Times New Roman"/>
          <w:i/>
          <w:sz w:val="20"/>
          <w:szCs w:val="20"/>
          <w:lang w:eastAsia="en-CA"/>
        </w:rPr>
        <w:t>Vasavithasan</w:t>
      </w:r>
      <w:proofErr w:type="spellEnd"/>
      <w:r w:rsidRPr="007A5455">
        <w:rPr>
          <w:rFonts w:eastAsia="Times New Roman" w:cs="Times New Roman"/>
          <w:sz w:val="20"/>
          <w:szCs w:val="20"/>
          <w:lang w:eastAsia="en-CA"/>
        </w:rPr>
        <w:t xml:space="preserve">, for the interveners the Barbra </w:t>
      </w:r>
      <w:proofErr w:type="spellStart"/>
      <w:r w:rsidRPr="007A5455">
        <w:rPr>
          <w:rFonts w:eastAsia="Times New Roman" w:cs="Times New Roman"/>
          <w:sz w:val="20"/>
          <w:szCs w:val="20"/>
          <w:lang w:eastAsia="en-CA"/>
        </w:rPr>
        <w:t>Schlifer</w:t>
      </w:r>
      <w:proofErr w:type="spellEnd"/>
      <w:r w:rsidRPr="007A5455">
        <w:rPr>
          <w:rFonts w:eastAsia="Times New Roman" w:cs="Times New Roman"/>
          <w:sz w:val="20"/>
          <w:szCs w:val="20"/>
          <w:lang w:eastAsia="en-CA"/>
        </w:rPr>
        <w:t xml:space="preserve"> Commemorative Clinic and the Canadian Centre for Victims of Torture.</w:t>
      </w:r>
    </w:p>
    <w:p w:rsidR="0076497D" w:rsidRPr="007A5455" w:rsidRDefault="0076497D" w:rsidP="0076497D">
      <w:pPr>
        <w:tabs>
          <w:tab w:val="left" w:pos="1168"/>
        </w:tabs>
        <w:jc w:val="both"/>
        <w:rPr>
          <w:rFonts w:eastAsia="Times New Roman" w:cs="Times New Roman"/>
          <w:sz w:val="20"/>
          <w:szCs w:val="20"/>
          <w:lang w:eastAsia="en-CA"/>
        </w:rPr>
      </w:pPr>
    </w:p>
    <w:p w:rsidR="0076497D" w:rsidRPr="0076497D" w:rsidRDefault="0076497D" w:rsidP="0076497D">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Audrey Macklin</w:t>
      </w:r>
      <w:r w:rsidRPr="007A5455">
        <w:rPr>
          <w:rFonts w:eastAsia="Times New Roman" w:cs="Times New Roman"/>
          <w:sz w:val="20"/>
          <w:szCs w:val="20"/>
          <w:lang w:eastAsia="en-CA"/>
        </w:rPr>
        <w:t xml:space="preserve">, </w:t>
      </w:r>
      <w:proofErr w:type="spellStart"/>
      <w:r w:rsidRPr="007A5455">
        <w:rPr>
          <w:rFonts w:eastAsia="Times New Roman" w:cs="Times New Roman"/>
          <w:i/>
          <w:sz w:val="20"/>
          <w:szCs w:val="20"/>
          <w:lang w:eastAsia="en-CA"/>
        </w:rPr>
        <w:t>Joo</w:t>
      </w:r>
      <w:proofErr w:type="spellEnd"/>
      <w:r w:rsidRPr="007A5455">
        <w:rPr>
          <w:rFonts w:eastAsia="Times New Roman" w:cs="Times New Roman"/>
          <w:i/>
          <w:sz w:val="20"/>
          <w:szCs w:val="20"/>
          <w:lang w:eastAsia="en-CA"/>
        </w:rPr>
        <w:t xml:space="preserve"> </w:t>
      </w:r>
      <w:proofErr w:type="spellStart"/>
      <w:r w:rsidRPr="007A5455">
        <w:rPr>
          <w:rFonts w:eastAsia="Times New Roman" w:cs="Times New Roman"/>
          <w:i/>
          <w:sz w:val="20"/>
          <w:szCs w:val="20"/>
          <w:lang w:eastAsia="en-CA"/>
        </w:rPr>
        <w:t>Eun</w:t>
      </w:r>
      <w:proofErr w:type="spellEnd"/>
      <w:r w:rsidRPr="007A5455">
        <w:rPr>
          <w:rFonts w:eastAsia="Times New Roman" w:cs="Times New Roman"/>
          <w:i/>
          <w:sz w:val="20"/>
          <w:szCs w:val="20"/>
          <w:lang w:eastAsia="en-CA"/>
        </w:rPr>
        <w:t xml:space="preserve"> Kim</w:t>
      </w:r>
      <w:r w:rsidRPr="007A5455">
        <w:rPr>
          <w:rFonts w:eastAsia="Times New Roman" w:cs="Times New Roman"/>
          <w:sz w:val="20"/>
          <w:szCs w:val="20"/>
          <w:lang w:eastAsia="en-CA"/>
        </w:rPr>
        <w:t xml:space="preserve"> and </w:t>
      </w:r>
      <w:r w:rsidRPr="007A5455">
        <w:rPr>
          <w:rFonts w:eastAsia="Times New Roman" w:cs="Times New Roman"/>
          <w:i/>
          <w:sz w:val="20"/>
          <w:szCs w:val="20"/>
          <w:lang w:eastAsia="en-CA"/>
        </w:rPr>
        <w:t xml:space="preserve">Laura </w:t>
      </w:r>
      <w:proofErr w:type="spellStart"/>
      <w:r w:rsidRPr="007A5455">
        <w:rPr>
          <w:rFonts w:eastAsia="Times New Roman" w:cs="Times New Roman"/>
          <w:i/>
          <w:sz w:val="20"/>
          <w:szCs w:val="20"/>
          <w:lang w:eastAsia="en-CA"/>
        </w:rPr>
        <w:t>Brittain</w:t>
      </w:r>
      <w:proofErr w:type="spellEnd"/>
      <w:r w:rsidRPr="007A5455">
        <w:rPr>
          <w:rFonts w:eastAsia="Times New Roman" w:cs="Times New Roman"/>
          <w:sz w:val="20"/>
          <w:szCs w:val="20"/>
          <w:lang w:eastAsia="en-CA"/>
        </w:rPr>
        <w:t>, for the intervener the Canadian Association of Refugee Lawyers.</w:t>
      </w:r>
    </w:p>
    <w:p w:rsidR="0076497D" w:rsidRPr="007A5455" w:rsidRDefault="0076497D" w:rsidP="0076497D">
      <w:pPr>
        <w:tabs>
          <w:tab w:val="left" w:pos="1168"/>
        </w:tabs>
        <w:jc w:val="both"/>
        <w:rPr>
          <w:rFonts w:eastAsia="Times New Roman" w:cs="Times New Roman"/>
          <w:sz w:val="20"/>
          <w:szCs w:val="20"/>
          <w:lang w:eastAsia="en-CA"/>
        </w:rPr>
      </w:pPr>
    </w:p>
    <w:p w:rsidR="0076497D" w:rsidRPr="0076497D" w:rsidRDefault="0076497D" w:rsidP="0076497D">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 xml:space="preserve">Ronald </w:t>
      </w:r>
      <w:proofErr w:type="spellStart"/>
      <w:r w:rsidRPr="007A5455">
        <w:rPr>
          <w:rFonts w:eastAsia="Times New Roman" w:cs="Times New Roman"/>
          <w:i/>
          <w:sz w:val="20"/>
          <w:szCs w:val="20"/>
          <w:lang w:eastAsia="en-CA"/>
        </w:rPr>
        <w:t>Poulton</w:t>
      </w:r>
      <w:proofErr w:type="spellEnd"/>
      <w:r w:rsidRPr="007A5455">
        <w:rPr>
          <w:rFonts w:eastAsia="Times New Roman" w:cs="Times New Roman"/>
          <w:sz w:val="20"/>
          <w:szCs w:val="20"/>
          <w:lang w:eastAsia="en-CA"/>
        </w:rPr>
        <w:t xml:space="preserve"> and </w:t>
      </w:r>
      <w:r w:rsidRPr="007A5455">
        <w:rPr>
          <w:rFonts w:eastAsia="Times New Roman" w:cs="Times New Roman"/>
          <w:i/>
          <w:sz w:val="20"/>
          <w:szCs w:val="20"/>
          <w:lang w:eastAsia="en-CA"/>
        </w:rPr>
        <w:t>Toni Schweitzer</w:t>
      </w:r>
      <w:r w:rsidRPr="007A5455">
        <w:rPr>
          <w:rFonts w:eastAsia="Times New Roman" w:cs="Times New Roman"/>
          <w:sz w:val="20"/>
          <w:szCs w:val="20"/>
          <w:lang w:eastAsia="en-CA"/>
        </w:rPr>
        <w:t>, for the intervener Parkdale Community Legal Services.</w:t>
      </w:r>
    </w:p>
    <w:p w:rsidR="0076497D" w:rsidRPr="007A5455" w:rsidRDefault="0076497D" w:rsidP="0076497D">
      <w:pPr>
        <w:tabs>
          <w:tab w:val="left" w:pos="1168"/>
        </w:tabs>
        <w:jc w:val="both"/>
        <w:rPr>
          <w:rFonts w:eastAsia="Times New Roman" w:cs="Times New Roman"/>
          <w:i/>
          <w:sz w:val="20"/>
          <w:szCs w:val="20"/>
          <w:lang w:eastAsia="en-CA"/>
        </w:rPr>
      </w:pPr>
    </w:p>
    <w:p w:rsidR="0076497D" w:rsidRPr="0076497D" w:rsidRDefault="0076497D" w:rsidP="0076497D">
      <w:pPr>
        <w:tabs>
          <w:tab w:val="left" w:pos="1168"/>
        </w:tabs>
        <w:jc w:val="both"/>
        <w:rPr>
          <w:rFonts w:eastAsia="Times New Roman" w:cs="Times New Roman"/>
          <w:i/>
          <w:sz w:val="20"/>
          <w:szCs w:val="20"/>
          <w:lang w:eastAsia="en-CA"/>
        </w:rPr>
      </w:pPr>
      <w:r w:rsidRPr="0076497D">
        <w:rPr>
          <w:rFonts w:eastAsia="Times New Roman" w:cs="Times New Roman"/>
          <w:i/>
          <w:sz w:val="20"/>
          <w:szCs w:val="20"/>
          <w:lang w:eastAsia="en-CA"/>
        </w:rPr>
        <w:tab/>
        <w:t xml:space="preserve">Solicitors for the appellant: Jackman, </w:t>
      </w:r>
      <w:proofErr w:type="spellStart"/>
      <w:r w:rsidRPr="0076497D">
        <w:rPr>
          <w:rFonts w:eastAsia="Times New Roman" w:cs="Times New Roman"/>
          <w:i/>
          <w:sz w:val="20"/>
          <w:szCs w:val="20"/>
          <w:lang w:eastAsia="en-CA"/>
        </w:rPr>
        <w:t>Nazami</w:t>
      </w:r>
      <w:proofErr w:type="spellEnd"/>
      <w:r w:rsidRPr="0076497D">
        <w:rPr>
          <w:rFonts w:eastAsia="Times New Roman" w:cs="Times New Roman"/>
          <w:i/>
          <w:sz w:val="20"/>
          <w:szCs w:val="20"/>
          <w:lang w:eastAsia="en-CA"/>
        </w:rPr>
        <w:t xml:space="preserve"> &amp; Associates, Toronto.</w:t>
      </w:r>
    </w:p>
    <w:p w:rsidR="0076497D" w:rsidRPr="007A5455" w:rsidRDefault="0076497D" w:rsidP="0076497D">
      <w:pPr>
        <w:tabs>
          <w:tab w:val="left" w:pos="1168"/>
        </w:tabs>
        <w:jc w:val="both"/>
        <w:rPr>
          <w:rFonts w:eastAsia="Times New Roman" w:cs="Times New Roman"/>
          <w:i/>
          <w:sz w:val="20"/>
          <w:szCs w:val="20"/>
          <w:lang w:eastAsia="en-CA"/>
        </w:rPr>
      </w:pPr>
    </w:p>
    <w:p w:rsidR="0076497D" w:rsidRPr="0076497D" w:rsidRDefault="0076497D" w:rsidP="0076497D">
      <w:pPr>
        <w:tabs>
          <w:tab w:val="left" w:pos="1168"/>
        </w:tabs>
        <w:jc w:val="both"/>
        <w:rPr>
          <w:rFonts w:eastAsia="Times New Roman" w:cs="Times New Roman"/>
          <w:i/>
          <w:sz w:val="20"/>
          <w:szCs w:val="20"/>
          <w:lang w:eastAsia="en-CA"/>
        </w:rPr>
      </w:pPr>
      <w:r w:rsidRPr="0076497D">
        <w:rPr>
          <w:rFonts w:eastAsia="Times New Roman" w:cs="Times New Roman"/>
          <w:i/>
          <w:sz w:val="20"/>
          <w:szCs w:val="20"/>
          <w:lang w:eastAsia="en-CA"/>
        </w:rPr>
        <w:tab/>
        <w:t>Solicitor for the respondent: Attorney General of Canada, Toronto.</w:t>
      </w:r>
    </w:p>
    <w:p w:rsidR="0076497D" w:rsidRPr="007A5455" w:rsidRDefault="0076497D" w:rsidP="0076497D">
      <w:pPr>
        <w:tabs>
          <w:tab w:val="left" w:pos="1168"/>
        </w:tabs>
        <w:jc w:val="both"/>
        <w:rPr>
          <w:rFonts w:eastAsia="Times New Roman" w:cs="Times New Roman"/>
          <w:i/>
          <w:sz w:val="20"/>
          <w:szCs w:val="20"/>
          <w:lang w:eastAsia="en-CA"/>
        </w:rPr>
      </w:pPr>
    </w:p>
    <w:p w:rsidR="0076497D" w:rsidRPr="0076497D" w:rsidRDefault="0076497D" w:rsidP="0076497D">
      <w:pPr>
        <w:tabs>
          <w:tab w:val="left" w:pos="1168"/>
        </w:tabs>
        <w:jc w:val="both"/>
        <w:rPr>
          <w:rFonts w:eastAsia="Times New Roman" w:cs="Times New Roman"/>
          <w:i/>
          <w:sz w:val="20"/>
          <w:szCs w:val="20"/>
          <w:lang w:eastAsia="en-CA"/>
        </w:rPr>
      </w:pPr>
      <w:r w:rsidRPr="0076497D">
        <w:rPr>
          <w:rFonts w:eastAsia="Times New Roman" w:cs="Times New Roman"/>
          <w:i/>
          <w:sz w:val="20"/>
          <w:szCs w:val="20"/>
          <w:lang w:eastAsia="en-CA"/>
        </w:rPr>
        <w:tab/>
        <w:t>Solicitors for the intervener the Canadian Council for Refugees: Neighbourhood Legal Services, Toronto; Ottawa Community Legal Services, Ottawa.</w:t>
      </w:r>
    </w:p>
    <w:p w:rsidR="0076497D" w:rsidRPr="007A5455" w:rsidRDefault="0076497D" w:rsidP="0076497D">
      <w:pPr>
        <w:tabs>
          <w:tab w:val="left" w:pos="1168"/>
        </w:tabs>
        <w:jc w:val="both"/>
        <w:rPr>
          <w:rFonts w:eastAsia="Times New Roman" w:cs="Times New Roman"/>
          <w:i/>
          <w:sz w:val="20"/>
          <w:szCs w:val="20"/>
          <w:lang w:eastAsia="en-CA"/>
        </w:rPr>
      </w:pPr>
    </w:p>
    <w:p w:rsidR="0076497D" w:rsidRPr="0076497D" w:rsidRDefault="0076497D" w:rsidP="0076497D">
      <w:pPr>
        <w:tabs>
          <w:tab w:val="left" w:pos="1168"/>
        </w:tabs>
        <w:jc w:val="both"/>
        <w:rPr>
          <w:rFonts w:eastAsia="Times New Roman" w:cs="Times New Roman"/>
          <w:i/>
          <w:sz w:val="20"/>
          <w:szCs w:val="20"/>
          <w:lang w:eastAsia="en-CA"/>
        </w:rPr>
      </w:pPr>
      <w:r w:rsidRPr="0076497D">
        <w:rPr>
          <w:rFonts w:eastAsia="Times New Roman" w:cs="Times New Roman"/>
          <w:i/>
          <w:sz w:val="20"/>
          <w:szCs w:val="20"/>
          <w:lang w:eastAsia="en-CA"/>
        </w:rPr>
        <w:lastRenderedPageBreak/>
        <w:tab/>
        <w:t>Solicitor for the intervener Justice for Children and Youth: Justice for Children and Youth, Toronto.</w:t>
      </w:r>
    </w:p>
    <w:p w:rsidR="0076497D" w:rsidRPr="007A5455" w:rsidRDefault="0076497D" w:rsidP="0076497D">
      <w:pPr>
        <w:tabs>
          <w:tab w:val="left" w:pos="1168"/>
        </w:tabs>
        <w:jc w:val="both"/>
        <w:rPr>
          <w:rFonts w:eastAsia="Times New Roman" w:cs="Times New Roman"/>
          <w:i/>
          <w:sz w:val="20"/>
          <w:szCs w:val="20"/>
          <w:lang w:eastAsia="en-CA"/>
        </w:rPr>
      </w:pPr>
    </w:p>
    <w:p w:rsidR="0076497D" w:rsidRPr="0076497D" w:rsidRDefault="0076497D" w:rsidP="0076497D">
      <w:pPr>
        <w:tabs>
          <w:tab w:val="left" w:pos="1168"/>
        </w:tabs>
        <w:jc w:val="both"/>
        <w:rPr>
          <w:rFonts w:eastAsia="Times New Roman" w:cs="Times New Roman"/>
          <w:i/>
          <w:sz w:val="20"/>
          <w:szCs w:val="20"/>
          <w:lang w:eastAsia="en-CA"/>
        </w:rPr>
      </w:pPr>
      <w:r w:rsidRPr="0076497D">
        <w:rPr>
          <w:rFonts w:eastAsia="Times New Roman" w:cs="Times New Roman"/>
          <w:i/>
          <w:sz w:val="20"/>
          <w:szCs w:val="20"/>
          <w:lang w:eastAsia="en-CA"/>
        </w:rPr>
        <w:tab/>
        <w:t xml:space="preserve">Solicitors for the interveners the Barbra </w:t>
      </w:r>
      <w:proofErr w:type="spellStart"/>
      <w:r w:rsidRPr="0076497D">
        <w:rPr>
          <w:rFonts w:eastAsia="Times New Roman" w:cs="Times New Roman"/>
          <w:i/>
          <w:sz w:val="20"/>
          <w:szCs w:val="20"/>
          <w:lang w:eastAsia="en-CA"/>
        </w:rPr>
        <w:t>Schlifer</w:t>
      </w:r>
      <w:proofErr w:type="spellEnd"/>
      <w:r w:rsidRPr="0076497D">
        <w:rPr>
          <w:rFonts w:eastAsia="Times New Roman" w:cs="Times New Roman"/>
          <w:i/>
          <w:sz w:val="20"/>
          <w:szCs w:val="20"/>
          <w:lang w:eastAsia="en-CA"/>
        </w:rPr>
        <w:t xml:space="preserve"> Commemorative Clinic and the Canadian Centre for Victims of Torture: Refugee Law Office, Toronto; Ottawa Community Legal Services, Ottawa; Barbra </w:t>
      </w:r>
      <w:proofErr w:type="spellStart"/>
      <w:r w:rsidRPr="0076497D">
        <w:rPr>
          <w:rFonts w:eastAsia="Times New Roman" w:cs="Times New Roman"/>
          <w:i/>
          <w:sz w:val="20"/>
          <w:szCs w:val="20"/>
          <w:lang w:eastAsia="en-CA"/>
        </w:rPr>
        <w:t>Schlifer</w:t>
      </w:r>
      <w:proofErr w:type="spellEnd"/>
      <w:r w:rsidRPr="0076497D">
        <w:rPr>
          <w:rFonts w:eastAsia="Times New Roman" w:cs="Times New Roman"/>
          <w:i/>
          <w:sz w:val="20"/>
          <w:szCs w:val="20"/>
          <w:lang w:eastAsia="en-CA"/>
        </w:rPr>
        <w:t xml:space="preserve"> Commemorative Clinic, Toronto.</w:t>
      </w:r>
    </w:p>
    <w:p w:rsidR="0076497D" w:rsidRPr="007A5455" w:rsidRDefault="0076497D" w:rsidP="0076497D">
      <w:pPr>
        <w:tabs>
          <w:tab w:val="left" w:pos="1168"/>
        </w:tabs>
        <w:jc w:val="both"/>
        <w:rPr>
          <w:rFonts w:eastAsia="Times New Roman" w:cs="Times New Roman"/>
          <w:i/>
          <w:sz w:val="20"/>
          <w:szCs w:val="20"/>
          <w:lang w:eastAsia="en-CA"/>
        </w:rPr>
      </w:pPr>
    </w:p>
    <w:p w:rsidR="0076497D" w:rsidRPr="0076497D" w:rsidRDefault="0076497D" w:rsidP="0076497D">
      <w:pPr>
        <w:tabs>
          <w:tab w:val="left" w:pos="1168"/>
        </w:tabs>
        <w:jc w:val="both"/>
        <w:rPr>
          <w:rFonts w:eastAsia="Times New Roman" w:cs="Times New Roman"/>
          <w:i/>
          <w:sz w:val="20"/>
          <w:szCs w:val="20"/>
          <w:lang w:eastAsia="en-CA"/>
        </w:rPr>
      </w:pPr>
      <w:r w:rsidRPr="0076497D">
        <w:rPr>
          <w:rFonts w:eastAsia="Times New Roman" w:cs="Times New Roman"/>
          <w:i/>
          <w:sz w:val="20"/>
          <w:szCs w:val="20"/>
          <w:lang w:eastAsia="en-CA"/>
        </w:rPr>
        <w:tab/>
        <w:t>Solicitor for the intervener the Canadian Association of Refugee Lawyers: University of Toronto, Toronto; Refugee Law Office, Toronto.</w:t>
      </w:r>
    </w:p>
    <w:p w:rsidR="0076497D" w:rsidRPr="007A5455" w:rsidRDefault="0076497D" w:rsidP="0076497D">
      <w:pPr>
        <w:tabs>
          <w:tab w:val="left" w:pos="1168"/>
        </w:tabs>
        <w:jc w:val="both"/>
        <w:rPr>
          <w:rFonts w:eastAsia="Times New Roman" w:cs="Times New Roman"/>
          <w:i/>
          <w:sz w:val="20"/>
          <w:szCs w:val="20"/>
          <w:lang w:eastAsia="en-CA"/>
        </w:rPr>
      </w:pPr>
    </w:p>
    <w:p w:rsidR="0076497D" w:rsidRPr="0076497D" w:rsidRDefault="0076497D" w:rsidP="0076497D">
      <w:pPr>
        <w:tabs>
          <w:tab w:val="left" w:pos="1168"/>
        </w:tabs>
        <w:jc w:val="both"/>
        <w:rPr>
          <w:rFonts w:eastAsia="Times New Roman" w:cs="Times New Roman"/>
          <w:i/>
          <w:sz w:val="20"/>
          <w:szCs w:val="20"/>
          <w:lang w:eastAsia="en-CA"/>
        </w:rPr>
      </w:pPr>
      <w:r w:rsidRPr="0076497D">
        <w:rPr>
          <w:rFonts w:eastAsia="Times New Roman" w:cs="Times New Roman"/>
          <w:i/>
          <w:sz w:val="20"/>
          <w:szCs w:val="20"/>
          <w:lang w:eastAsia="en-CA"/>
        </w:rPr>
        <w:tab/>
        <w:t>Solicitors for the intervener Parkdale Community Legal Services: </w:t>
      </w:r>
      <w:proofErr w:type="spellStart"/>
      <w:r w:rsidRPr="0076497D">
        <w:rPr>
          <w:rFonts w:eastAsia="Times New Roman" w:cs="Times New Roman"/>
          <w:i/>
          <w:sz w:val="20"/>
          <w:szCs w:val="20"/>
          <w:lang w:eastAsia="en-CA"/>
        </w:rPr>
        <w:t>Poulton</w:t>
      </w:r>
      <w:proofErr w:type="spellEnd"/>
      <w:r w:rsidRPr="0076497D">
        <w:rPr>
          <w:rFonts w:eastAsia="Times New Roman" w:cs="Times New Roman"/>
          <w:i/>
          <w:sz w:val="20"/>
          <w:szCs w:val="20"/>
          <w:lang w:eastAsia="en-CA"/>
        </w:rPr>
        <w:t xml:space="preserve"> Law Office, Toronto; Parkdale Community Legal Services, Toronto.</w:t>
      </w:r>
    </w:p>
    <w:p w:rsidR="006874C7" w:rsidRPr="007A5455" w:rsidRDefault="006874C7" w:rsidP="006874C7">
      <w:pPr>
        <w:rPr>
          <w:rFonts w:cs="Times New Roman"/>
          <w:sz w:val="20"/>
          <w:szCs w:val="20"/>
        </w:rPr>
      </w:pPr>
      <w:r w:rsidRPr="007A5455">
        <w:rPr>
          <w:rFonts w:cs="Times New Roman"/>
          <w:sz w:val="20"/>
          <w:szCs w:val="20"/>
        </w:rPr>
        <w:t>________________________</w:t>
      </w:r>
    </w:p>
    <w:p w:rsidR="006874C7" w:rsidRPr="007A5455" w:rsidRDefault="006874C7" w:rsidP="0052229C">
      <w:pPr>
        <w:jc w:val="both"/>
        <w:rPr>
          <w:sz w:val="20"/>
          <w:szCs w:val="20"/>
          <w:lang w:val="fr-CA"/>
        </w:rPr>
      </w:pPr>
    </w:p>
    <w:p w:rsidR="0052229C" w:rsidRPr="007A5455" w:rsidRDefault="0052229C" w:rsidP="0052229C">
      <w:pPr>
        <w:jc w:val="both"/>
        <w:rPr>
          <w:sz w:val="20"/>
          <w:szCs w:val="20"/>
          <w:lang w:val="fr-CA"/>
        </w:rPr>
      </w:pPr>
      <w:r w:rsidRPr="007A5455">
        <w:rPr>
          <w:sz w:val="20"/>
          <w:szCs w:val="20"/>
          <w:lang w:val="fr-CA"/>
        </w:rPr>
        <w:t>Présents : L</w:t>
      </w:r>
      <w:r w:rsidR="00E43B4C" w:rsidRPr="007A5455">
        <w:rPr>
          <w:sz w:val="20"/>
          <w:szCs w:val="20"/>
          <w:lang w:val="fr-CA"/>
        </w:rPr>
        <w:t>a</w:t>
      </w:r>
      <w:r w:rsidRPr="007A5455">
        <w:rPr>
          <w:sz w:val="20"/>
          <w:szCs w:val="20"/>
          <w:lang w:val="fr-CA"/>
        </w:rPr>
        <w:t xml:space="preserve"> juge</w:t>
      </w:r>
      <w:r w:rsidR="00E43B4C" w:rsidRPr="007A5455">
        <w:rPr>
          <w:sz w:val="20"/>
          <w:szCs w:val="20"/>
          <w:lang w:val="fr-CA"/>
        </w:rPr>
        <w:t xml:space="preserve"> en chef </w:t>
      </w:r>
      <w:proofErr w:type="spellStart"/>
      <w:r w:rsidR="00E43B4C" w:rsidRPr="007A5455">
        <w:rPr>
          <w:sz w:val="20"/>
          <w:szCs w:val="20"/>
          <w:lang w:val="fr-CA"/>
        </w:rPr>
        <w:t>McLachlin</w:t>
      </w:r>
      <w:proofErr w:type="spellEnd"/>
      <w:r w:rsidR="00E43B4C" w:rsidRPr="007A5455">
        <w:rPr>
          <w:sz w:val="20"/>
          <w:szCs w:val="20"/>
          <w:lang w:val="fr-CA"/>
        </w:rPr>
        <w:t xml:space="preserve"> et</w:t>
      </w:r>
      <w:r w:rsidRPr="007A5455">
        <w:rPr>
          <w:sz w:val="20"/>
          <w:szCs w:val="20"/>
          <w:lang w:val="fr-CA"/>
        </w:rPr>
        <w:t xml:space="preserve"> </w:t>
      </w:r>
      <w:r w:rsidR="00E43B4C" w:rsidRPr="007A5455">
        <w:rPr>
          <w:sz w:val="20"/>
          <w:szCs w:val="20"/>
          <w:lang w:val="fr-CA"/>
        </w:rPr>
        <w:t xml:space="preserve">les juges </w:t>
      </w:r>
      <w:r w:rsidRPr="007A5455">
        <w:rPr>
          <w:sz w:val="20"/>
          <w:szCs w:val="20"/>
          <w:lang w:val="fr-CA"/>
        </w:rPr>
        <w:t xml:space="preserve">Abella, Cromwell, </w:t>
      </w:r>
      <w:proofErr w:type="spellStart"/>
      <w:r w:rsidRPr="007A5455">
        <w:rPr>
          <w:sz w:val="20"/>
          <w:szCs w:val="20"/>
          <w:lang w:val="fr-CA"/>
        </w:rPr>
        <w:t>Moldaver</w:t>
      </w:r>
      <w:proofErr w:type="spellEnd"/>
      <w:r w:rsidRPr="007A5455">
        <w:rPr>
          <w:sz w:val="20"/>
          <w:szCs w:val="20"/>
          <w:lang w:val="fr-CA"/>
        </w:rPr>
        <w:t xml:space="preserve">, </w:t>
      </w:r>
      <w:proofErr w:type="spellStart"/>
      <w:r w:rsidRPr="007A5455">
        <w:rPr>
          <w:sz w:val="20"/>
          <w:szCs w:val="20"/>
          <w:lang w:val="fr-CA"/>
        </w:rPr>
        <w:t>Karakatsanis</w:t>
      </w:r>
      <w:proofErr w:type="spellEnd"/>
      <w:r w:rsidR="00E43B4C" w:rsidRPr="007A5455">
        <w:rPr>
          <w:sz w:val="20"/>
          <w:szCs w:val="20"/>
          <w:lang w:val="fr-CA"/>
        </w:rPr>
        <w:t>,</w:t>
      </w:r>
      <w:r w:rsidRPr="007A5455">
        <w:rPr>
          <w:sz w:val="20"/>
          <w:szCs w:val="20"/>
          <w:lang w:val="fr-CA"/>
        </w:rPr>
        <w:t xml:space="preserve"> Wagner</w:t>
      </w:r>
      <w:r w:rsidR="00E43B4C" w:rsidRPr="007A5455">
        <w:rPr>
          <w:sz w:val="20"/>
          <w:szCs w:val="20"/>
          <w:lang w:val="fr-CA"/>
        </w:rPr>
        <w:t xml:space="preserve"> et Gascon</w:t>
      </w:r>
      <w:r w:rsidRPr="007A5455">
        <w:rPr>
          <w:sz w:val="20"/>
          <w:szCs w:val="20"/>
          <w:lang w:val="fr-CA"/>
        </w:rPr>
        <w:t>.</w:t>
      </w:r>
    </w:p>
    <w:p w:rsidR="0052229C" w:rsidRPr="007A5455" w:rsidRDefault="0052229C" w:rsidP="0052229C">
      <w:pPr>
        <w:jc w:val="both"/>
        <w:rPr>
          <w:smallCaps/>
          <w:sz w:val="20"/>
          <w:lang w:val="fr-CA"/>
        </w:rPr>
      </w:pPr>
    </w:p>
    <w:p w:rsidR="00B57833" w:rsidRPr="00B57833" w:rsidRDefault="00B57833" w:rsidP="00B57833">
      <w:pPr>
        <w:tabs>
          <w:tab w:val="left" w:pos="1168"/>
        </w:tabs>
        <w:jc w:val="both"/>
        <w:rPr>
          <w:rFonts w:eastAsia="Times New Roman" w:cs="Times New Roman"/>
          <w:i/>
          <w:sz w:val="20"/>
          <w:szCs w:val="20"/>
          <w:lang w:val="fr-CA" w:eastAsia="en-CA"/>
        </w:rPr>
      </w:pPr>
      <w:r w:rsidRPr="00B57833">
        <w:rPr>
          <w:rFonts w:eastAsia="Times New Roman" w:cs="Times New Roman"/>
          <w:sz w:val="20"/>
          <w:szCs w:val="20"/>
          <w:lang w:val="fr-CA" w:eastAsia="en-CA"/>
        </w:rPr>
        <w:tab/>
      </w:r>
      <w:r w:rsidRPr="00B57833">
        <w:rPr>
          <w:rFonts w:eastAsia="Times New Roman" w:cs="Times New Roman"/>
          <w:i/>
          <w:sz w:val="20"/>
          <w:szCs w:val="20"/>
          <w:lang w:val="fr-CA" w:eastAsia="en-CA"/>
        </w:rPr>
        <w:t>Immigration — Contrôle judiciaire — Demande d’asile — Considérations d’ordre humanitaire — Intérêt supérieur de l’enfant — Sollicitation d’une dispense pour considérations d’ordre humanitaire par un demandeur d’asile sri</w:t>
      </w:r>
      <w:r w:rsidRPr="00B57833">
        <w:rPr>
          <w:rFonts w:eastAsia="Times New Roman" w:cs="Times New Roman"/>
          <w:i/>
          <w:sz w:val="20"/>
          <w:szCs w:val="20"/>
          <w:lang w:val="fr-CA" w:eastAsia="en-CA"/>
        </w:rPr>
        <w:noBreakHyphen/>
        <w:t>lankais de 17 ans afin de présenter au Canada une demande de résidence permanente — La décision de refuser la dispense résultait</w:t>
      </w:r>
      <w:r w:rsidRPr="00B57833">
        <w:rPr>
          <w:rFonts w:eastAsia="Times New Roman" w:cs="Times New Roman"/>
          <w:i/>
          <w:sz w:val="20"/>
          <w:szCs w:val="20"/>
          <w:lang w:val="fr-CA" w:eastAsia="en-CA"/>
        </w:rPr>
        <w:noBreakHyphen/>
        <w:t>elle d’un exercice raisonnable du pouvoir discrétionnaire fondé sur des considérations d’ordre humanitaire? — Portée véritable des Lignes directrices qu’utilisent les agents d’immigration pour déterminer si des considérations d’ordre humanitaire justifient ou non une dispense — Loi sur l’immigration et la protection</w:t>
      </w:r>
      <w:r w:rsidRPr="00B57833">
        <w:rPr>
          <w:rFonts w:eastAsia="Times New Roman" w:cs="Times New Roman"/>
          <w:i/>
          <w:szCs w:val="20"/>
          <w:lang w:val="fr-CA" w:eastAsia="en-CA"/>
        </w:rPr>
        <w:t xml:space="preserve"> des </w:t>
      </w:r>
      <w:r w:rsidRPr="00B57833">
        <w:rPr>
          <w:rFonts w:eastAsia="Times New Roman" w:cs="Times New Roman"/>
          <w:i/>
          <w:sz w:val="20"/>
          <w:szCs w:val="20"/>
          <w:lang w:val="fr-CA" w:eastAsia="en-CA"/>
        </w:rPr>
        <w:t>réfugiés, L.C. 2001, c. 27, art. 25(1).</w:t>
      </w:r>
    </w:p>
    <w:p w:rsidR="0052229C" w:rsidRPr="007A5455" w:rsidRDefault="0052229C" w:rsidP="00AA24DD">
      <w:pPr>
        <w:pStyle w:val="SCCNormalDoubleSpacing"/>
        <w:spacing w:line="240" w:lineRule="auto"/>
        <w:rPr>
          <w:sz w:val="20"/>
          <w:lang w:val="fr-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K est un Tamoul originaire du nord du Sri Lanka. En avril 2010, craignant pour sa sécurité après qu’il eut été détenu et interrogé par l’armée et la police sri</w:t>
      </w:r>
      <w:r w:rsidRPr="00AA24DD">
        <w:rPr>
          <w:rFonts w:eastAsia="Times New Roman" w:cs="Times New Roman"/>
          <w:sz w:val="20"/>
          <w:szCs w:val="20"/>
          <w:lang w:val="fr-CA" w:eastAsia="en-CA"/>
        </w:rPr>
        <w:noBreakHyphen/>
        <w:t xml:space="preserve">lankaises, sa famille a pris les arrangements nécessaires afin qu’il se rende au Canada pour y vivre chez son oncle. Il était alors âgé de 16 ans. À son arrivée au pays, il a demandé la protection à titre de réfugié, ce qui lui a été refusé. Sa demande d’examen des risques avant renvoi a elle aussi débouché sur une décision défavorable. Il a également demandé une dispense pour considérations d’ordre humanitaire sur le fondement du par. 25(1) de la </w:t>
      </w:r>
      <w:r w:rsidRPr="00AA24DD">
        <w:rPr>
          <w:rFonts w:eastAsia="Times New Roman" w:cs="Times New Roman"/>
          <w:i/>
          <w:iCs/>
          <w:sz w:val="20"/>
          <w:szCs w:val="20"/>
          <w:lang w:val="fr-CA" w:eastAsia="en-CA"/>
        </w:rPr>
        <w:t>Loi sur l’immigration et la protection des réfugiés</w:t>
      </w:r>
      <w:r w:rsidRPr="00AA24DD">
        <w:rPr>
          <w:rFonts w:eastAsia="Times New Roman" w:cs="Times New Roman"/>
          <w:sz w:val="20"/>
          <w:szCs w:val="20"/>
          <w:lang w:val="fr-CA" w:eastAsia="en-CA"/>
        </w:rPr>
        <w:t xml:space="preserve"> afin de présenter au Canada sa demande de résidence permanente. </w:t>
      </w:r>
      <w:r w:rsidRPr="007A5455">
        <w:rPr>
          <w:rFonts w:eastAsia="Times New Roman" w:cs="Times New Roman"/>
          <w:iCs/>
          <w:sz w:val="20"/>
          <w:szCs w:val="20"/>
          <w:lang w:val="fr-CA" w:eastAsia="en-CA"/>
        </w:rPr>
        <w:t xml:space="preserve">L’agente saisie de la demande a conclu que la dispense sollicitée n’était pas justifiée car elle n’était pas convaincue que le renvoi de K au Sri Lanka lui causerait des </w:t>
      </w:r>
      <w:r w:rsidRPr="00AA24DD">
        <w:rPr>
          <w:rFonts w:eastAsia="Times New Roman" w:cs="Times New Roman"/>
          <w:sz w:val="20"/>
          <w:szCs w:val="20"/>
          <w:lang w:val="fr-CA" w:eastAsia="en-CA"/>
        </w:rPr>
        <w:t>difficultés inhabituelles et injustifiées ou démesurées. À l’issue d’un contrôle judiciaire, la Cour fédérale a conclu que la décision de l’agente de refuser la dispense était raisonnable. La Cour d’appel fédérale a confirmé sa décision.</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r>
      <w:r w:rsidRPr="00AA24DD">
        <w:rPr>
          <w:rFonts w:eastAsia="Times New Roman" w:cs="Times New Roman"/>
          <w:i/>
          <w:sz w:val="20"/>
          <w:szCs w:val="20"/>
          <w:lang w:val="fr-CA" w:eastAsia="en-CA"/>
        </w:rPr>
        <w:t>Arrêt</w:t>
      </w:r>
      <w:r w:rsidRPr="00AA24DD">
        <w:rPr>
          <w:rFonts w:eastAsia="Times New Roman" w:cs="Times New Roman"/>
          <w:sz w:val="20"/>
          <w:szCs w:val="20"/>
          <w:lang w:val="fr-CA" w:eastAsia="en-CA"/>
        </w:rPr>
        <w:t xml:space="preserve"> (les juges </w:t>
      </w:r>
      <w:proofErr w:type="spellStart"/>
      <w:r w:rsidRPr="00AA24DD">
        <w:rPr>
          <w:rFonts w:eastAsia="Times New Roman" w:cs="Times New Roman"/>
          <w:sz w:val="20"/>
          <w:szCs w:val="20"/>
          <w:lang w:val="fr-CA" w:eastAsia="en-CA"/>
        </w:rPr>
        <w:t>Moldaver</w:t>
      </w:r>
      <w:proofErr w:type="spellEnd"/>
      <w:r w:rsidRPr="00AA24DD">
        <w:rPr>
          <w:rFonts w:eastAsia="Times New Roman" w:cs="Times New Roman"/>
          <w:sz w:val="20"/>
          <w:szCs w:val="20"/>
          <w:lang w:val="fr-CA" w:eastAsia="en-CA"/>
        </w:rPr>
        <w:t xml:space="preserve"> et Wagner sont dissidents) : Le pourvoi est accueilli. La décision de l’agente est déraisonnable et doit être annulée. Le dossier est renvoyé pour réexamen.</w:t>
      </w:r>
    </w:p>
    <w:p w:rsidR="00AA24DD" w:rsidRPr="007A5455" w:rsidRDefault="00AA24DD" w:rsidP="00AA24DD">
      <w:pPr>
        <w:tabs>
          <w:tab w:val="left" w:pos="1168"/>
        </w:tabs>
        <w:jc w:val="both"/>
        <w:rPr>
          <w:rFonts w:eastAsia="Times New Roman" w:cs="Times New Roman"/>
          <w:i/>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i/>
          <w:sz w:val="20"/>
          <w:szCs w:val="20"/>
          <w:lang w:val="fr-CA" w:eastAsia="en-CA"/>
        </w:rPr>
        <w:tab/>
        <w:t>La</w:t>
      </w:r>
      <w:r w:rsidRPr="00AA24DD">
        <w:rPr>
          <w:rFonts w:eastAsia="Times New Roman" w:cs="Times New Roman"/>
          <w:sz w:val="20"/>
          <w:szCs w:val="20"/>
          <w:lang w:val="fr-CA" w:eastAsia="en-CA"/>
        </w:rPr>
        <w:t xml:space="preserve"> juge en chef </w:t>
      </w:r>
      <w:proofErr w:type="spellStart"/>
      <w:r w:rsidRPr="00AA24DD">
        <w:rPr>
          <w:rFonts w:eastAsia="Times New Roman" w:cs="Times New Roman"/>
          <w:sz w:val="20"/>
          <w:szCs w:val="20"/>
          <w:lang w:val="fr-CA" w:eastAsia="en-CA"/>
        </w:rPr>
        <w:t>McLachlin</w:t>
      </w:r>
      <w:proofErr w:type="spellEnd"/>
      <w:r w:rsidRPr="00AA24DD">
        <w:rPr>
          <w:rFonts w:eastAsia="Times New Roman" w:cs="Times New Roman"/>
          <w:sz w:val="20"/>
          <w:szCs w:val="20"/>
          <w:lang w:val="fr-CA" w:eastAsia="en-CA"/>
        </w:rPr>
        <w:t xml:space="preserve"> et les juges </w:t>
      </w:r>
      <w:r w:rsidRPr="00AA24DD">
        <w:rPr>
          <w:rFonts w:eastAsia="Times New Roman" w:cs="Times New Roman"/>
          <w:b/>
          <w:sz w:val="20"/>
          <w:szCs w:val="20"/>
          <w:lang w:val="fr-CA" w:eastAsia="en-CA"/>
        </w:rPr>
        <w:t>Abella</w:t>
      </w:r>
      <w:r w:rsidRPr="00AA24DD">
        <w:rPr>
          <w:rFonts w:eastAsia="Times New Roman" w:cs="Times New Roman"/>
          <w:sz w:val="20"/>
          <w:szCs w:val="20"/>
          <w:lang w:val="fr-CA" w:eastAsia="en-CA"/>
        </w:rPr>
        <w:t xml:space="preserve">, Cromwell, </w:t>
      </w:r>
      <w:proofErr w:type="spellStart"/>
      <w:r w:rsidRPr="00AA24DD">
        <w:rPr>
          <w:rFonts w:eastAsia="Times New Roman" w:cs="Times New Roman"/>
          <w:sz w:val="20"/>
          <w:szCs w:val="20"/>
          <w:lang w:val="fr-CA" w:eastAsia="en-CA"/>
        </w:rPr>
        <w:t>Karakatsanis</w:t>
      </w:r>
      <w:proofErr w:type="spellEnd"/>
      <w:r w:rsidRPr="00AA24DD">
        <w:rPr>
          <w:rFonts w:eastAsia="Times New Roman" w:cs="Times New Roman"/>
          <w:sz w:val="20"/>
          <w:szCs w:val="20"/>
          <w:lang w:val="fr-CA" w:eastAsia="en-CA"/>
        </w:rPr>
        <w:t xml:space="preserve"> et Gascon : Le paragraphe 25(1) de la </w:t>
      </w:r>
      <w:r w:rsidRPr="00AA24DD">
        <w:rPr>
          <w:rFonts w:eastAsia="Times New Roman" w:cs="Times New Roman"/>
          <w:i/>
          <w:iCs/>
          <w:sz w:val="20"/>
          <w:szCs w:val="20"/>
          <w:lang w:val="fr-CA" w:eastAsia="en-CA"/>
        </w:rPr>
        <w:t xml:space="preserve">Loi sur l’immigration et la protection des réfugiés </w:t>
      </w:r>
      <w:r w:rsidRPr="00AA24DD">
        <w:rPr>
          <w:rFonts w:eastAsia="Times New Roman" w:cs="Times New Roman"/>
          <w:sz w:val="20"/>
          <w:szCs w:val="20"/>
          <w:lang w:val="fr-CA" w:eastAsia="en-CA"/>
        </w:rPr>
        <w:t>confère au ministre un pouvoir discrétionnaire qui lui permet de dispenser un étranger — soit une personne qui n’est ni citoyen ni résident permanent — du respect des exigences habituelles de la</w:t>
      </w:r>
      <w:r w:rsidRPr="00AA24DD">
        <w:rPr>
          <w:rFonts w:eastAsia="Times New Roman" w:cs="Times New Roman"/>
          <w:i/>
          <w:iCs/>
          <w:sz w:val="20"/>
          <w:szCs w:val="20"/>
          <w:lang w:val="fr-CA" w:eastAsia="en-CA"/>
        </w:rPr>
        <w:t xml:space="preserve"> Loi</w:t>
      </w:r>
      <w:r w:rsidRPr="00AA24DD">
        <w:rPr>
          <w:rFonts w:eastAsia="Times New Roman" w:cs="Times New Roman"/>
          <w:sz w:val="20"/>
          <w:szCs w:val="20"/>
          <w:lang w:val="fr-CA" w:eastAsia="en-CA"/>
        </w:rPr>
        <w:t xml:space="preserve"> s’il estime que des considérations d’ordre humanitaires le justifient. Ces considérations englobent l’intérêt supérieur d’un enfant directement touché. La raison d’être du par. 25(1) est d’offrir une mesure à vocation équitable. Les Lignes directrices ministérielles conçues à l’intention des agents d’immigration afin de les aider à déterminer si des considérations d’ordre humanitaire justifient ou non une dispense fondée sur le par. 25(1) vont dans ce sens. Elles prévoient que l’ « évaluation des difficultés » permet de déterminer si des considérations d’ordre humanitaire justifient une dispense sur le fondement du par. 25(1). Ce qui </w:t>
      </w:r>
      <w:r w:rsidRPr="00AA24DD">
        <w:rPr>
          <w:rFonts w:eastAsia="Times New Roman" w:cs="Times New Roman"/>
          <w:iCs/>
          <w:sz w:val="20"/>
          <w:szCs w:val="20"/>
          <w:lang w:val="fr-CA" w:eastAsia="en-CA"/>
        </w:rPr>
        <w:t>justifie</w:t>
      </w:r>
      <w:r w:rsidRPr="00AA24DD">
        <w:rPr>
          <w:rFonts w:eastAsia="Times New Roman" w:cs="Times New Roman"/>
          <w:i/>
          <w:iCs/>
          <w:sz w:val="20"/>
          <w:szCs w:val="20"/>
          <w:lang w:val="fr-CA" w:eastAsia="en-CA"/>
        </w:rPr>
        <w:t xml:space="preserve"> </w:t>
      </w:r>
      <w:r w:rsidRPr="00AA24DD">
        <w:rPr>
          <w:rFonts w:eastAsia="Times New Roman" w:cs="Times New Roman"/>
          <w:sz w:val="20"/>
          <w:szCs w:val="20"/>
          <w:lang w:val="fr-CA" w:eastAsia="en-CA"/>
        </w:rPr>
        <w:t xml:space="preserve">une dispense dépend évidemment des faits et du contexte du dossier, mais l’agent appelé à se prononcer sur l’existence de considérations d’ordre humanitaire doit véritablement examiner </w:t>
      </w:r>
      <w:r w:rsidRPr="00AA24DD">
        <w:rPr>
          <w:rFonts w:eastAsia="Times New Roman" w:cs="Times New Roman"/>
          <w:iCs/>
          <w:sz w:val="20"/>
          <w:szCs w:val="20"/>
          <w:lang w:val="fr-CA" w:eastAsia="en-CA"/>
        </w:rPr>
        <w:t xml:space="preserve">tous </w:t>
      </w:r>
      <w:r w:rsidRPr="00AA24DD">
        <w:rPr>
          <w:rFonts w:eastAsia="Times New Roman" w:cs="Times New Roman"/>
          <w:sz w:val="20"/>
          <w:szCs w:val="20"/>
          <w:lang w:val="fr-CA" w:eastAsia="en-CA"/>
        </w:rPr>
        <w:t>les faits et les facteurs pertinents portés à sa connaissance et leur accorder du poids. L’agent peut tenir compte des faits présentés à l’appui d’une demande d’asile pour déterminer si la situation du demandeur justifie ou non une dispense pour considérations d’ordre humanitaire.</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 xml:space="preserve">Pour obtenir la dispense prévue au </w:t>
      </w:r>
      <w:proofErr w:type="spellStart"/>
      <w:r w:rsidRPr="00AA24DD">
        <w:rPr>
          <w:rFonts w:eastAsia="Times New Roman" w:cs="Times New Roman"/>
          <w:sz w:val="20"/>
          <w:szCs w:val="20"/>
          <w:lang w:val="fr-CA" w:eastAsia="en-CA"/>
        </w:rPr>
        <w:t>par</w:t>
      </w:r>
      <w:proofErr w:type="spellEnd"/>
      <w:r w:rsidRPr="00AA24DD">
        <w:rPr>
          <w:rFonts w:eastAsia="Times New Roman" w:cs="Times New Roman"/>
          <w:sz w:val="20"/>
          <w:szCs w:val="20"/>
          <w:lang w:val="fr-CA" w:eastAsia="en-CA"/>
        </w:rPr>
        <w:t xml:space="preserve">. 25(1), le demandeur doit, selon les Lignes directrices, démontrer l’existence de difficultés « inhabituelles et injustifiées » </w:t>
      </w:r>
      <w:r w:rsidRPr="00AA24DD">
        <w:rPr>
          <w:rFonts w:eastAsia="Times New Roman" w:cs="Times New Roman"/>
          <w:i/>
          <w:sz w:val="20"/>
          <w:szCs w:val="20"/>
          <w:lang w:val="fr-CA" w:eastAsia="en-CA"/>
        </w:rPr>
        <w:t>ou</w:t>
      </w:r>
      <w:r w:rsidRPr="00AA24DD">
        <w:rPr>
          <w:rFonts w:eastAsia="Times New Roman" w:cs="Times New Roman"/>
          <w:sz w:val="20"/>
          <w:szCs w:val="20"/>
          <w:lang w:val="fr-CA" w:eastAsia="en-CA"/>
        </w:rPr>
        <w:t xml:space="preserve"> « démesurées ». Suivant leur définition dans les Lignes directrices, les difficultés « inhabituelles et injustifiées » sont celles qui « ne sont pas envisagées » par la </w:t>
      </w:r>
      <w:r w:rsidRPr="00AA24DD">
        <w:rPr>
          <w:rFonts w:eastAsia="Times New Roman" w:cs="Times New Roman"/>
          <w:i/>
          <w:iCs/>
          <w:sz w:val="20"/>
          <w:szCs w:val="20"/>
          <w:lang w:val="fr-CA" w:eastAsia="en-CA"/>
        </w:rPr>
        <w:t xml:space="preserve">Loi </w:t>
      </w:r>
      <w:r w:rsidRPr="00AA24DD">
        <w:rPr>
          <w:rFonts w:eastAsia="Times New Roman" w:cs="Times New Roman"/>
          <w:sz w:val="20"/>
          <w:szCs w:val="20"/>
          <w:lang w:val="fr-CA" w:eastAsia="en-CA"/>
        </w:rPr>
        <w:t xml:space="preserve">ou son règlement d’application et qui sont « le résultat de circonstances indépendantes de [la] volonté [du demandeur] ». Quant </w:t>
      </w:r>
      <w:r w:rsidRPr="00AA24DD">
        <w:rPr>
          <w:rFonts w:eastAsia="Times New Roman" w:cs="Times New Roman"/>
          <w:sz w:val="20"/>
          <w:szCs w:val="20"/>
          <w:lang w:val="fr-CA" w:eastAsia="en-CA"/>
        </w:rPr>
        <w:lastRenderedPageBreak/>
        <w:t>aux « difficultés démesurées », ce sont celles qui « auraient un impact déraisonnable sur le demandeur en raison de sa situation personnelle ».</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 xml:space="preserve">Les Lignes directrices sont certes utiles, mais elles ne sont pas juridiquement contraignantes et ne se veulent ni exhaustives ni restrictives. L’agent ne doit pas y voir des exigences absolues qui limitent le pouvoir discrétionnaire à vocation équitable que le par. 25(1) lui permet d’exercer lorsque des considérations d’ordre humanitaire le justifient. Il faut donc considérer que l’expression « difficultés inhabituelles et injustifiées ou démesurées » est de nature descriptive et ne crée pas, pour l’obtention d’une dispense, trois nouveaux seuils en sus de celui des considérations d’ordre humanitaire que prévoit déjà le par. 25(1). Par conséquent, ce que l’agent ne doit pas faire c’est voir dans le par. 25(1) trois adjectifs à chacun desquels s’applique un seuil élevé. Cela reviendrait en effet à appliquer la notion de « difficultés inhabituelles et injustifiées ou démesurées » d’une manière qui restreint sa faculté d’examiner et de soupeser </w:t>
      </w:r>
      <w:r w:rsidRPr="00AA24DD">
        <w:rPr>
          <w:rFonts w:eastAsia="Times New Roman" w:cs="Times New Roman"/>
          <w:i/>
          <w:iCs/>
          <w:sz w:val="20"/>
          <w:szCs w:val="20"/>
          <w:lang w:val="fr-CA" w:eastAsia="en-CA"/>
        </w:rPr>
        <w:t xml:space="preserve">toutes </w:t>
      </w:r>
      <w:r w:rsidRPr="00AA24DD">
        <w:rPr>
          <w:rFonts w:eastAsia="Times New Roman" w:cs="Times New Roman"/>
          <w:sz w:val="20"/>
          <w:szCs w:val="20"/>
          <w:lang w:val="fr-CA" w:eastAsia="en-CA"/>
        </w:rPr>
        <w:t xml:space="preserve">les considérations d’ordre humanitaire pertinentes dans un cas donné. Les trois adjectifs doivent être considérés comme des éléments instructifs, mais non décisifs, qui permettent au </w:t>
      </w:r>
      <w:proofErr w:type="spellStart"/>
      <w:r w:rsidRPr="00AA24DD">
        <w:rPr>
          <w:rFonts w:eastAsia="Times New Roman" w:cs="Times New Roman"/>
          <w:sz w:val="20"/>
          <w:szCs w:val="20"/>
          <w:lang w:val="fr-CA" w:eastAsia="en-CA"/>
        </w:rPr>
        <w:t>par</w:t>
      </w:r>
      <w:proofErr w:type="spellEnd"/>
      <w:r w:rsidRPr="00AA24DD">
        <w:rPr>
          <w:rFonts w:eastAsia="Times New Roman" w:cs="Times New Roman"/>
          <w:sz w:val="20"/>
          <w:szCs w:val="20"/>
          <w:lang w:val="fr-CA" w:eastAsia="en-CA"/>
        </w:rPr>
        <w:t>. 25(1) de répondre avec plus de souplesse aux objectifs d’équité qui le sous</w:t>
      </w:r>
      <w:r w:rsidRPr="00AA24DD">
        <w:rPr>
          <w:rFonts w:eastAsia="Times New Roman" w:cs="Times New Roman"/>
          <w:sz w:val="20"/>
          <w:szCs w:val="20"/>
          <w:lang w:val="fr-CA" w:eastAsia="en-CA"/>
        </w:rPr>
        <w:noBreakHyphen/>
        <w:t>tendent.</w:t>
      </w:r>
    </w:p>
    <w:p w:rsidR="00AA24DD" w:rsidRPr="007A5455" w:rsidRDefault="00AA24DD" w:rsidP="00AA24DD">
      <w:pPr>
        <w:tabs>
          <w:tab w:val="left" w:pos="1168"/>
        </w:tabs>
        <w:jc w:val="both"/>
        <w:rPr>
          <w:rFonts w:eastAsia="Times New Roman" w:cs="Times New Roman"/>
          <w:bCs/>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bCs/>
          <w:sz w:val="20"/>
          <w:szCs w:val="20"/>
          <w:lang w:val="fr-CA" w:eastAsia="en-CA"/>
        </w:rPr>
        <w:tab/>
        <w:t xml:space="preserve">Le </w:t>
      </w:r>
      <w:r w:rsidRPr="00AA24DD">
        <w:rPr>
          <w:rFonts w:eastAsia="Times New Roman" w:cs="Times New Roman"/>
          <w:sz w:val="20"/>
          <w:szCs w:val="20"/>
          <w:lang w:val="fr-CA" w:eastAsia="en-CA"/>
        </w:rPr>
        <w:t xml:space="preserve">par. 25(1) renvoie aussi à la nécessité de tenir compte </w:t>
      </w:r>
      <w:r w:rsidRPr="00AA24DD">
        <w:rPr>
          <w:rFonts w:eastAsia="Times New Roman" w:cs="Times New Roman"/>
          <w:iCs/>
          <w:sz w:val="20"/>
          <w:szCs w:val="20"/>
          <w:lang w:val="fr-CA" w:eastAsia="en-CA"/>
        </w:rPr>
        <w:t xml:space="preserve">de l’intérêt </w:t>
      </w:r>
      <w:r w:rsidRPr="00AA24DD">
        <w:rPr>
          <w:rFonts w:eastAsia="Times New Roman" w:cs="Times New Roman"/>
          <w:sz w:val="20"/>
          <w:szCs w:val="20"/>
          <w:lang w:val="fr-CA" w:eastAsia="en-CA"/>
        </w:rPr>
        <w:t>supérieur</w:t>
      </w:r>
      <w:r w:rsidRPr="00AA24DD">
        <w:rPr>
          <w:rFonts w:eastAsia="Times New Roman" w:cs="Times New Roman"/>
          <w:iCs/>
          <w:sz w:val="20"/>
          <w:szCs w:val="20"/>
          <w:lang w:val="fr-CA" w:eastAsia="en-CA"/>
        </w:rPr>
        <w:t xml:space="preserve"> de l’enfant directement touché. </w:t>
      </w:r>
      <w:r w:rsidRPr="00AA24DD">
        <w:rPr>
          <w:rFonts w:eastAsia="Times New Roman" w:cs="Times New Roman"/>
          <w:sz w:val="20"/>
          <w:szCs w:val="20"/>
          <w:lang w:val="fr-CA" w:eastAsia="en-CA"/>
        </w:rPr>
        <w:t>Lorsque, comme en l’espèce, la loi exige expressément la prise en compte de l’intérêt supérieur de l’enfant « directement touché », cet intérêt représente une considération singulièrement importante dans l’analyse. L’application du principe de l’« intérêt supérieur » de l’enfant dépend fortement du contexte  en raison de la multitude de facteurs qui risquent de faire obstacle à l’intérêt de l’enfant. Par conséquent, la décision rendue en application du par. 25(1) sera jugée déraisonnable lorsque l’intérêt supérieur de l’enfant qu’elle touche n’est pas suffisamment pris en compte.</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 xml:space="preserve">Il est difficile de voir comment un enfant pourrait être plus directement touché que lorsqu’il est l’auteur de la demande. Étant donné la qualité d’enfant du demandeur, non seulement l’« intérêt supérieur » doit constituer un élément important de l’analyse, mais il doit jouer dans l’appréciation des autres aspects de la situation de l’enfant. Et comme les enfants méritent rarement, sinon jamais, d’être exposés à </w:t>
      </w:r>
      <w:r w:rsidRPr="00AA24DD">
        <w:rPr>
          <w:rFonts w:eastAsia="Times New Roman" w:cs="Times New Roman"/>
          <w:i/>
          <w:sz w:val="20"/>
          <w:szCs w:val="20"/>
          <w:lang w:val="fr-CA" w:eastAsia="en-CA"/>
        </w:rPr>
        <w:t>quelque</w:t>
      </w:r>
      <w:r w:rsidRPr="00AA24DD">
        <w:rPr>
          <w:rFonts w:eastAsia="Times New Roman" w:cs="Times New Roman"/>
          <w:sz w:val="20"/>
          <w:szCs w:val="20"/>
          <w:lang w:val="fr-CA" w:eastAsia="en-CA"/>
        </w:rPr>
        <w:t xml:space="preserve"> difficulté, la notion de difficultés inhabituelles et injustifiées ne saurait généralement s’appliquer aux difficultés alléguées par un enfant à l’appui de sa demande de dispense pour considérations d’ordre humanitaire. Puisque l’enfant peut éprouver de plus grandes difficultés qu’un adulte aux prises avec une situation comparable, des circonstances qui ne justifieraient pas une dispense dans le cas d’un adulte pourraient néanmoins la justifier dans le cas d’un enfant.</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Dans la présente affaire, l’agente n’a pas tenu compte de la situation de K de manière globale et l’a examinée de manière trop restrictive. Elle n’a pas accordé une attention suffisamment sérieuse au jeune âge de K, à son état de santé mentale et aux éléments de preuve suivant lesquels il serait victime de discrimination s’il était renvoyé au Sri Lanka.</w:t>
      </w:r>
      <w:r w:rsidRPr="00AA24DD">
        <w:rPr>
          <w:rFonts w:eastAsia="Times New Roman" w:cs="Times New Roman"/>
          <w:b/>
          <w:sz w:val="20"/>
          <w:szCs w:val="20"/>
          <w:lang w:val="fr-CA" w:eastAsia="en-CA"/>
        </w:rPr>
        <w:t xml:space="preserve"> </w:t>
      </w:r>
      <w:r w:rsidRPr="00AA24DD">
        <w:rPr>
          <w:rFonts w:eastAsia="Times New Roman" w:cs="Times New Roman"/>
          <w:sz w:val="20"/>
          <w:szCs w:val="20"/>
          <w:lang w:val="fr-CA" w:eastAsia="en-CA"/>
        </w:rPr>
        <w:t>Elle a plutôt eu recours à une démarche fragmentaire et s’est penchée sur chacun des facteurs invoqués pour déterminer s’il correspondait ou non à des difficultés « inhabituelles et injustifiées ou démesurées ». L’interprétation littérale de cette expression — une démarche qui ne s’appuie aucunement sur le libellé du par. 25(1) — en lieu et place d’une appréciation globale de la situation de K l’a amenée à voir dans chacun des adjectifs un critère juridique distinct plutôt qu’un terme visant à concrétiser la vocation équitable de la disposition. Cela a eu pour effet de limiter indûment son pouvoir discrétionnaire et de rendre sa décision déraisonnable.</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Après avoir fait droit au diagnostic d’un trouble de stress post</w:t>
      </w:r>
      <w:r w:rsidRPr="00AA24DD">
        <w:rPr>
          <w:rFonts w:eastAsia="Times New Roman" w:cs="Times New Roman"/>
          <w:sz w:val="20"/>
          <w:szCs w:val="20"/>
          <w:lang w:val="fr-CA" w:eastAsia="en-CA"/>
        </w:rPr>
        <w:noBreakHyphen/>
        <w:t xml:space="preserve">traumatique de la psychologue, l’agente a quand même exigé de K une preuve </w:t>
      </w:r>
      <w:r w:rsidRPr="00AA24DD">
        <w:rPr>
          <w:rFonts w:eastAsia="Times New Roman" w:cs="Times New Roman"/>
          <w:i/>
          <w:sz w:val="20"/>
          <w:szCs w:val="20"/>
          <w:lang w:val="fr-CA" w:eastAsia="en-CA"/>
        </w:rPr>
        <w:t>supplémentaire</w:t>
      </w:r>
      <w:r w:rsidRPr="00AA24DD">
        <w:rPr>
          <w:rFonts w:eastAsia="Times New Roman" w:cs="Times New Roman"/>
          <w:sz w:val="20"/>
          <w:szCs w:val="20"/>
          <w:lang w:val="fr-CA" w:eastAsia="en-CA"/>
        </w:rPr>
        <w:t xml:space="preserve"> quant à savoir s’il avait ou non cherché à obtenir des soins ou si de tels soins étaient même offerts, ou quant aux soins qui existaient ou non au Sri Lanka. Une fois reconnu qu’il souffrait d’un trouble de stress post</w:t>
      </w:r>
      <w:r w:rsidRPr="00AA24DD">
        <w:rPr>
          <w:rFonts w:eastAsia="Times New Roman" w:cs="Times New Roman"/>
          <w:sz w:val="20"/>
          <w:szCs w:val="20"/>
          <w:lang w:val="fr-CA" w:eastAsia="en-CA"/>
        </w:rPr>
        <w:noBreakHyphen/>
        <w:t>traumatique, d’un trouble d’adaptation et de dépression en raison de ce qu’il avait vécu au Sri Lanka, exiger en sus la preuve de l’existence de soins au Canada ou au Sri Lanka a mis à mal le diagnostic et a eu l’effet discutable d’en faire un facteur conditionnel plutôt qu’important. En s’attachant uniquement à la possibilité que K soit traité au Sri Lanka, l’agente a passé sous silence les répercussions de son renvoi du Canada sur sa santé mentale. Le fait même que K verrait, selon toute vraisemblance, sa santé mentale se détériorer s’il était renvoyé au Sri Lanka constitue une considération pertinente qui doit être retenue puis soupesée, peu importe la possibilité d’obtenir au Sri Lanka des soins susceptibles d’améliorer son état. Et même si elle n’a pas contesté le rapport de la psychologue, l’agente a conclu que l’opinion médicale reposait essentiellement sur du ouï</w:t>
      </w:r>
      <w:r w:rsidRPr="00AA24DD">
        <w:rPr>
          <w:rFonts w:eastAsia="Times New Roman" w:cs="Times New Roman"/>
          <w:sz w:val="20"/>
          <w:szCs w:val="20"/>
          <w:lang w:val="fr-CA" w:eastAsia="en-CA"/>
        </w:rPr>
        <w:noBreakHyphen/>
        <w:t xml:space="preserve">dire, car la psychologue n’avait pas été témoin des faits à l’origine de l’anxiété vécue par K. Cette conclusion méconnaît une réalité incontournable, à savoir qu’un rapport d’évaluation psychologique comme celui soumis en l’espèce comporte nécessairement une part </w:t>
      </w:r>
      <w:proofErr w:type="gramStart"/>
      <w:r w:rsidRPr="00AA24DD">
        <w:rPr>
          <w:rFonts w:eastAsia="Times New Roman" w:cs="Times New Roman"/>
          <w:sz w:val="20"/>
          <w:szCs w:val="20"/>
          <w:lang w:val="fr-CA" w:eastAsia="en-CA"/>
        </w:rPr>
        <w:t>de ouï</w:t>
      </w:r>
      <w:r w:rsidRPr="00AA24DD">
        <w:rPr>
          <w:rFonts w:eastAsia="Times New Roman" w:cs="Times New Roman"/>
          <w:sz w:val="20"/>
          <w:szCs w:val="20"/>
          <w:lang w:val="fr-CA" w:eastAsia="en-CA"/>
        </w:rPr>
        <w:noBreakHyphen/>
        <w:t>dire</w:t>
      </w:r>
      <w:proofErr w:type="gramEnd"/>
      <w:r w:rsidRPr="00AA24DD">
        <w:rPr>
          <w:rFonts w:eastAsia="Times New Roman" w:cs="Times New Roman"/>
          <w:sz w:val="20"/>
          <w:szCs w:val="20"/>
          <w:lang w:val="fr-CA" w:eastAsia="en-CA"/>
        </w:rPr>
        <w:t xml:space="preserve">. Un professionnel de la santé mentale n’assiste que rarement aux événements pour lesquels un patient le consulte. La </w:t>
      </w:r>
      <w:r w:rsidRPr="00AA24DD">
        <w:rPr>
          <w:rFonts w:eastAsia="Times New Roman" w:cs="Times New Roman"/>
          <w:sz w:val="20"/>
          <w:szCs w:val="20"/>
          <w:lang w:val="fr-CA" w:eastAsia="en-CA"/>
        </w:rPr>
        <w:lastRenderedPageBreak/>
        <w:t>prétention selon laquelle la personne qui demande une dispense pour considérations d’ordre humanitaire ne peut présenter que le rapport d’expert d’un professionnel qui a été témoin des faits ou des événements qui sous</w:t>
      </w:r>
      <w:r w:rsidRPr="00AA24DD">
        <w:rPr>
          <w:rFonts w:eastAsia="Times New Roman" w:cs="Times New Roman"/>
          <w:sz w:val="20"/>
          <w:szCs w:val="20"/>
          <w:lang w:val="fr-CA" w:eastAsia="en-CA"/>
        </w:rPr>
        <w:noBreakHyphen/>
        <w:t>tendent ses conclusions est irréaliste et y faire droit entraînerait d’importantes lacunes dans la preuve. De toute manière, un psychologue n’a pas à être expert de la situation dans un pays en particulier pour donner son opinion sur les conséquences psychologiques probables d’un renvoi du Canada.</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L’agente a considéré la discrimination dont K serait vraisemblablement victime au Sri Lanka, mais elle a en fait conclu que, à défaut d’éléments de preuve selon lesquels il ferait personnellement l’objet de mesures discriminatoires, il n’y avait pas de preuve de discrimination. Or, cette démarche ne tenait pas compte du fait que la discrimination peut être inférée lorsqu’un demandeur établit qu’il appartient à un groupe qui est victime de discrimination. La preuve d’actes discriminatoires contre d’autres personnes qui partagent les mêmes caractéristiques personnelles est donc pertinente pour l’application du par. 25(1), et ce, que le demandeur puisse démontrer ou non qu’il est personnellement visé.</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Qui plus est, l’agente n’a pas paru envisager en l’espèce que la qualité d’enfant de K puisse jouer dans l’appréciation des autres éléments invoqués à l’appui de la demande. Sa démarche est incompatible avec le caractère unique de l’examen du préjudice qui s’impose dans le cas d’un enfant. De plus, lorsqu’elle a apprécié l’intérêt supérieur de K et qu’elle l’a soumis à la même interprétation littérale que tous les autres volets de sa situation, c’est</w:t>
      </w:r>
      <w:r w:rsidRPr="00AA24DD">
        <w:rPr>
          <w:rFonts w:eastAsia="Times New Roman" w:cs="Times New Roman"/>
          <w:sz w:val="20"/>
          <w:szCs w:val="20"/>
          <w:lang w:val="fr-CA" w:eastAsia="en-CA"/>
        </w:rPr>
        <w:noBreakHyphen/>
        <w:t>à</w:t>
      </w:r>
      <w:r w:rsidRPr="00AA24DD">
        <w:rPr>
          <w:rFonts w:eastAsia="Times New Roman" w:cs="Times New Roman"/>
          <w:sz w:val="20"/>
          <w:szCs w:val="20"/>
          <w:lang w:val="fr-CA" w:eastAsia="en-CA"/>
        </w:rPr>
        <w:noBreakHyphen/>
        <w:t>dire en se demandant si les difficultés appréhendées seraient « inhabituelles et injustifiées ou démesurées », elle a interprété erronément la notion d’intérêt supérieur de l’enfant, surtout en ce qu’elle a fait abstraction de la mise en garde éclairante selon laquelle les enfants méritent rarement, sinon jamais, d’être exposés à des difficultés.</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 xml:space="preserve">L’agente a donc omis de se demander si, étant donné la vocation humanitaire du par. 25(1) de la </w:t>
      </w:r>
      <w:r w:rsidRPr="00AA24DD">
        <w:rPr>
          <w:rFonts w:eastAsia="Times New Roman" w:cs="Times New Roman"/>
          <w:i/>
          <w:sz w:val="20"/>
          <w:szCs w:val="20"/>
          <w:lang w:val="fr-CA" w:eastAsia="en-CA"/>
        </w:rPr>
        <w:t>Loi sur l’immigration et la protection des réfugiés</w:t>
      </w:r>
      <w:r w:rsidRPr="00AA24DD">
        <w:rPr>
          <w:rFonts w:eastAsia="Times New Roman" w:cs="Times New Roman"/>
          <w:sz w:val="20"/>
          <w:szCs w:val="20"/>
          <w:lang w:val="fr-CA" w:eastAsia="en-CA"/>
        </w:rPr>
        <w:t xml:space="preserve">, la preuve considérée </w:t>
      </w:r>
      <w:r w:rsidRPr="00AA24DD">
        <w:rPr>
          <w:rFonts w:eastAsia="Times New Roman" w:cs="Times New Roman"/>
          <w:i/>
          <w:iCs/>
          <w:sz w:val="20"/>
          <w:szCs w:val="20"/>
          <w:lang w:val="fr-CA" w:eastAsia="en-CA"/>
        </w:rPr>
        <w:t>dans son ensemble</w:t>
      </w:r>
      <w:r w:rsidRPr="00AA24DD">
        <w:rPr>
          <w:rFonts w:eastAsia="Times New Roman" w:cs="Times New Roman"/>
          <w:sz w:val="20"/>
          <w:szCs w:val="20"/>
          <w:lang w:val="fr-CA" w:eastAsia="en-CA"/>
        </w:rPr>
        <w:t xml:space="preserve"> justifiait une dispense. De ce fait, elle a limité indûment son pouvoir discrétionnaire, ce qui a donné lieu à un exercice déraisonnable de ce pouvoir.</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r>
      <w:r w:rsidRPr="00AA24DD">
        <w:rPr>
          <w:rFonts w:eastAsia="Times New Roman" w:cs="Times New Roman"/>
          <w:i/>
          <w:sz w:val="20"/>
          <w:szCs w:val="20"/>
          <w:lang w:val="fr-CA" w:eastAsia="en-CA"/>
        </w:rPr>
        <w:t>Les</w:t>
      </w:r>
      <w:r w:rsidRPr="00AA24DD">
        <w:rPr>
          <w:rFonts w:eastAsia="Times New Roman" w:cs="Times New Roman"/>
          <w:sz w:val="20"/>
          <w:szCs w:val="20"/>
          <w:lang w:val="fr-CA" w:eastAsia="en-CA"/>
        </w:rPr>
        <w:t xml:space="preserve"> juges </w:t>
      </w:r>
      <w:proofErr w:type="spellStart"/>
      <w:r w:rsidRPr="00AA24DD">
        <w:rPr>
          <w:rFonts w:eastAsia="Times New Roman" w:cs="Times New Roman"/>
          <w:b/>
          <w:sz w:val="20"/>
          <w:szCs w:val="20"/>
          <w:lang w:val="fr-CA" w:eastAsia="en-CA"/>
        </w:rPr>
        <w:t>Moldaver</w:t>
      </w:r>
      <w:proofErr w:type="spellEnd"/>
      <w:r w:rsidRPr="00AA24DD">
        <w:rPr>
          <w:rFonts w:eastAsia="Times New Roman" w:cs="Times New Roman"/>
          <w:sz w:val="20"/>
          <w:szCs w:val="20"/>
          <w:lang w:val="fr-CA" w:eastAsia="en-CA"/>
        </w:rPr>
        <w:t xml:space="preserve"> et Wagner (dissidents) : Malgré l’accord avec une grande partie de l’analyse des juges majoritaires concernant le sens de l’expression « des considérations d’ordre humanitaire [. . .] le justifient », il y a désaccord quant au critère proposé pour l’octroi de la dispense prévue au </w:t>
      </w:r>
      <w:proofErr w:type="spellStart"/>
      <w:r w:rsidRPr="00AA24DD">
        <w:rPr>
          <w:rFonts w:eastAsia="Times New Roman" w:cs="Times New Roman"/>
          <w:sz w:val="20"/>
          <w:szCs w:val="20"/>
          <w:lang w:val="fr-CA" w:eastAsia="en-CA"/>
        </w:rPr>
        <w:t>par</w:t>
      </w:r>
      <w:proofErr w:type="spellEnd"/>
      <w:r w:rsidRPr="00AA24DD">
        <w:rPr>
          <w:rFonts w:eastAsia="Times New Roman" w:cs="Times New Roman"/>
          <w:sz w:val="20"/>
          <w:szCs w:val="20"/>
          <w:lang w:val="fr-CA" w:eastAsia="en-CA"/>
        </w:rPr>
        <w:t xml:space="preserve">. 25(1). Le régime de la </w:t>
      </w:r>
      <w:bookmarkStart w:id="3" w:name="OLE_LINK3"/>
      <w:bookmarkStart w:id="4" w:name="OLE_LINK4"/>
      <w:r w:rsidRPr="00AA24DD">
        <w:rPr>
          <w:rFonts w:eastAsia="Times New Roman" w:cs="Times New Roman"/>
          <w:i/>
          <w:sz w:val="20"/>
          <w:szCs w:val="20"/>
          <w:lang w:val="fr-CA" w:eastAsia="en-CA"/>
        </w:rPr>
        <w:t>Loi sur l’immigration et la protection des réfugiés</w:t>
      </w:r>
      <w:r w:rsidRPr="00AA24DD">
        <w:rPr>
          <w:rFonts w:eastAsia="Times New Roman" w:cs="Times New Roman"/>
          <w:sz w:val="20"/>
          <w:szCs w:val="20"/>
          <w:lang w:val="fr-CA" w:eastAsia="en-CA"/>
        </w:rPr>
        <w:t>,</w:t>
      </w:r>
      <w:bookmarkEnd w:id="3"/>
      <w:bookmarkEnd w:id="4"/>
      <w:r w:rsidRPr="00AA24DD">
        <w:rPr>
          <w:rFonts w:eastAsia="Times New Roman" w:cs="Times New Roman"/>
          <w:sz w:val="20"/>
          <w:szCs w:val="20"/>
          <w:lang w:val="fr-CA" w:eastAsia="en-CA"/>
        </w:rPr>
        <w:t xml:space="preserve"> ainsi que l’intention du législateur lorsqu’il a adopté le par. 25(1), indiquent que, pour les besoins de la disposition, la procédure se veut souple, mais d’application exceptionnelle. Interpréter trop largement cette disposition risque de créer un processus d’immigration autonome distinct, ce que le législateur n’a clairement pas voulu. Le législateur a reconnu qu’il peut arriver que l’application stricte des règles ne soit pas conforme aux objectifs généraux du Canada ou qu’elle mène à un résultat arbitraire ou inhumain. Cela dit, il n’entendait pas accorder la dispense d’office. L’application du critère relatif à l’octroi d’une dispense pour considérations d’ordre humanitaire doit mettre en balance les deux caractéristiques que sont la rigueur et la souplesse et refléter la vaste gamme des facteurs susceptibles d’être pertinents.</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 xml:space="preserve">Le critère des difficultés est valable en ce qu’il garantit la rigueur nécessaire à l’octroi de la dispense pour considérations d’ordre humanitaire. Le demandeur qui peut démontrer qu’il sera exposé à des « difficultés inhabituelles et injustifiées ou démesurées » doit obtenir la dispense. Mais ce critère ne permet pas assez de souplesse et risque d’exclure certains facteurs ou d’en atténuer l’importance au moment de décider si une dispense pour considérations d’ordre humanitaire doit être accordée ou non. Le paragraphe 25(1) ne précise pas la </w:t>
      </w:r>
      <w:r w:rsidRPr="00AA24DD">
        <w:rPr>
          <w:rFonts w:eastAsia="Times New Roman" w:cs="Times New Roman"/>
          <w:i/>
          <w:sz w:val="20"/>
          <w:szCs w:val="20"/>
          <w:lang w:val="fr-CA" w:eastAsia="en-CA"/>
        </w:rPr>
        <w:t>période</w:t>
      </w:r>
      <w:r w:rsidRPr="00AA24DD">
        <w:rPr>
          <w:rFonts w:eastAsia="Times New Roman" w:cs="Times New Roman"/>
          <w:sz w:val="20"/>
          <w:szCs w:val="20"/>
          <w:lang w:val="fr-CA" w:eastAsia="en-CA"/>
        </w:rPr>
        <w:t xml:space="preserve"> pendant laquelle il doit y avoir considérations d’ordre humanitaire et il ne requiert pas non plus que l’existence de celles</w:t>
      </w:r>
      <w:r w:rsidRPr="00AA24DD">
        <w:rPr>
          <w:rFonts w:eastAsia="Times New Roman" w:cs="Times New Roman"/>
          <w:sz w:val="20"/>
          <w:szCs w:val="20"/>
          <w:lang w:val="fr-CA" w:eastAsia="en-CA"/>
        </w:rPr>
        <w:noBreakHyphen/>
        <w:t>ci ne soit envisagée que vis</w:t>
      </w:r>
      <w:r w:rsidRPr="00AA24DD">
        <w:rPr>
          <w:rFonts w:eastAsia="Times New Roman" w:cs="Times New Roman"/>
          <w:sz w:val="20"/>
          <w:szCs w:val="20"/>
          <w:lang w:val="fr-CA" w:eastAsia="en-CA"/>
        </w:rPr>
        <w:noBreakHyphen/>
        <w:t>à</w:t>
      </w:r>
      <w:r w:rsidRPr="00AA24DD">
        <w:rPr>
          <w:rFonts w:eastAsia="Times New Roman" w:cs="Times New Roman"/>
          <w:sz w:val="20"/>
          <w:szCs w:val="20"/>
          <w:lang w:val="fr-CA" w:eastAsia="en-CA"/>
        </w:rPr>
        <w:noBreakHyphen/>
        <w:t xml:space="preserve">vis du demandeur. Ce paragraphe exige seulement du décideur qu’il se penche sur l’existence de considérations d’ordre humanitaire </w:t>
      </w:r>
      <w:r w:rsidRPr="00AA24DD">
        <w:rPr>
          <w:rFonts w:eastAsia="Times New Roman" w:cs="Times New Roman"/>
          <w:i/>
          <w:sz w:val="20"/>
          <w:szCs w:val="20"/>
          <w:lang w:val="fr-CA" w:eastAsia="en-CA"/>
        </w:rPr>
        <w:t>relatives</w:t>
      </w:r>
      <w:r w:rsidRPr="00AA24DD">
        <w:rPr>
          <w:rFonts w:eastAsia="Times New Roman" w:cs="Times New Roman"/>
          <w:sz w:val="20"/>
          <w:szCs w:val="20"/>
          <w:lang w:val="fr-CA" w:eastAsia="en-CA"/>
        </w:rPr>
        <w:t xml:space="preserve"> au demandeur. Il est formulé en termes généraux parce qu’il est impossible de prévoir toutes les situations où il pourrait être approprié d’accorder une dispense à une personne désireuse d’entrer au Canada ou d’y demeurer. Une approche plus globale s’impose donc.</w:t>
      </w:r>
    </w:p>
    <w:p w:rsidR="00AA24DD" w:rsidRPr="007A5455" w:rsidRDefault="00AA24DD" w:rsidP="00AA24DD">
      <w:pPr>
        <w:tabs>
          <w:tab w:val="left" w:pos="1168"/>
        </w:tabs>
        <w:jc w:val="both"/>
        <w:rPr>
          <w:rFonts w:eastAsiaTheme="minorEastAsia" w:cs="Times New Roman"/>
          <w:sz w:val="20"/>
          <w:szCs w:val="20"/>
          <w:lang w:val="fr-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heme="minorEastAsia" w:cs="Times New Roman"/>
          <w:sz w:val="20"/>
          <w:szCs w:val="20"/>
          <w:lang w:val="fr-CA"/>
        </w:rPr>
        <w:tab/>
        <w:t xml:space="preserve">Eu égard à l’objet et au contexte du par. 25(1), et compte tenu du fait que le </w:t>
      </w:r>
      <w:r w:rsidRPr="00AA24DD">
        <w:rPr>
          <w:rFonts w:eastAsia="Times New Roman" w:cs="Times New Roman"/>
          <w:sz w:val="20"/>
          <w:szCs w:val="20"/>
          <w:lang w:val="fr-CA" w:eastAsia="en-CA"/>
        </w:rPr>
        <w:t>critère</w:t>
      </w:r>
      <w:r w:rsidRPr="00AA24DD">
        <w:rPr>
          <w:rFonts w:eastAsiaTheme="minorEastAsia" w:cs="Times New Roman"/>
          <w:sz w:val="20"/>
          <w:szCs w:val="20"/>
          <w:lang w:val="fr-CA"/>
        </w:rPr>
        <w:t xml:space="preserve"> des difficultés appliqué jusqu’à ce jour peut, dans certains cas, être trop restrictif, le critère applicable à l’octroi de la dispense devrait être reformulé comme suit : compte tenu de toutes les circonstances, dont la nature exceptionnelle de la dispense pour considérations d’ordre humanitaire, le demandeur </w:t>
      </w:r>
      <w:proofErr w:type="spellStart"/>
      <w:r w:rsidRPr="00AA24DD">
        <w:rPr>
          <w:rFonts w:eastAsiaTheme="minorEastAsia" w:cs="Times New Roman"/>
          <w:sz w:val="20"/>
          <w:szCs w:val="20"/>
          <w:lang w:val="fr-CA"/>
        </w:rPr>
        <w:t>a</w:t>
      </w:r>
      <w:r w:rsidRPr="00AA24DD">
        <w:rPr>
          <w:rFonts w:eastAsiaTheme="minorEastAsia" w:cs="Times New Roman"/>
          <w:sz w:val="20"/>
          <w:szCs w:val="20"/>
          <w:lang w:val="fr-CA"/>
        </w:rPr>
        <w:noBreakHyphen/>
        <w:t>t</w:t>
      </w:r>
      <w:r w:rsidRPr="00AA24DD">
        <w:rPr>
          <w:rFonts w:eastAsiaTheme="minorEastAsia" w:cs="Times New Roman"/>
          <w:sz w:val="20"/>
          <w:szCs w:val="20"/>
          <w:lang w:val="fr-CA"/>
        </w:rPr>
        <w:noBreakHyphen/>
        <w:t>il</w:t>
      </w:r>
      <w:proofErr w:type="spellEnd"/>
      <w:r w:rsidRPr="00AA24DD">
        <w:rPr>
          <w:rFonts w:eastAsiaTheme="minorEastAsia" w:cs="Times New Roman"/>
          <w:sz w:val="20"/>
          <w:szCs w:val="20"/>
          <w:lang w:val="fr-CA"/>
        </w:rPr>
        <w:t xml:space="preserve"> démontré qu’un Canadien honnête et ouvert d’esprit estimerait qu’il est simplement inacceptable de ne pas faire droit à la demande? Pour que le refus soit « simplement inacceptable », la situation doit être suffisamment pressante pour que l’opportunité d’une dispense exceptionnelle fasse largement </w:t>
      </w:r>
      <w:r w:rsidRPr="00AA24DD">
        <w:rPr>
          <w:rFonts w:eastAsiaTheme="minorEastAsia" w:cs="Times New Roman"/>
          <w:sz w:val="20"/>
          <w:szCs w:val="20"/>
          <w:lang w:val="fr-CA"/>
        </w:rPr>
        <w:lastRenderedPageBreak/>
        <w:t xml:space="preserve">consensus. </w:t>
      </w:r>
      <w:r w:rsidRPr="00AA24DD">
        <w:rPr>
          <w:rFonts w:eastAsia="Times New Roman" w:cs="Times New Roman"/>
          <w:sz w:val="20"/>
          <w:szCs w:val="20"/>
          <w:lang w:val="fr-CA" w:eastAsia="en-CA"/>
        </w:rPr>
        <w:t>Ce critère conserve la rigueur du critère des difficultés sans l’accroître. Pourtant, le critère proposé est plus souple que celui des difficultés. Le décideur doit examiner toutes les circonstances pertinentes pour décider s’il serait « simplement inacceptable » de refuser la dispense. Dès lors, il ne peut exclure des considérations d’ordre humanitaire pertinentes au motif qu’elles ne cadrent pas avec l’analyse prospective inhérente au critère des difficultés ou qu’elles ne concernent pas des difficultés que seul le demandeur risque de rencontrer. Le critère dont les juges majoritaires préconisent l’application ne permet pas au décideur de savoir quels éléments étrangers au critère des difficultés peuvent justifier une dispense. Mais surtout, le recours aux principes d’équité risque d’atténuer la rigueur du critère des difficultés.</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 xml:space="preserve">La décision de l’agente en l’espèce appartient aux issues possibles et acceptables pouvant se justifier au regard des faits et du droit et elle est de ce fait raisonnable. La décision rendue sur le fondement du par. 25(1) est hautement discrétionnaire et commande la déférence. Il faut se garder de trop décortiquer ou disséquer les motifs d’un agent. La norme de la </w:t>
      </w:r>
      <w:proofErr w:type="spellStart"/>
      <w:r w:rsidRPr="00AA24DD">
        <w:rPr>
          <w:rFonts w:eastAsia="Times New Roman" w:cs="Times New Roman"/>
          <w:sz w:val="20"/>
          <w:szCs w:val="20"/>
          <w:lang w:val="fr-CA" w:eastAsia="en-CA"/>
        </w:rPr>
        <w:t>raisonnabilité</w:t>
      </w:r>
      <w:proofErr w:type="spellEnd"/>
      <w:r w:rsidRPr="00AA24DD">
        <w:rPr>
          <w:rFonts w:eastAsia="Times New Roman" w:cs="Times New Roman"/>
          <w:sz w:val="20"/>
          <w:szCs w:val="20"/>
          <w:lang w:val="fr-CA" w:eastAsia="en-CA"/>
        </w:rPr>
        <w:t xml:space="preserve"> appelle plutôt une attention respectueuse aux motifs invoqués à l’appui de la décision ou à ceux qui pourraient l’être. Comme n’importe quel tribunal, la Cour ne peut conclure au caractère déraisonnable de la décision d’un agent pour le seul motif qu’elle serait arrivée, elle, à un autre résultat, sous peine de se voir reprocher de ne pas faire ce qu’elle préconise lors d’un contrôle au regard de la norme de la </w:t>
      </w:r>
      <w:proofErr w:type="spellStart"/>
      <w:r w:rsidRPr="00AA24DD">
        <w:rPr>
          <w:rFonts w:eastAsia="Times New Roman" w:cs="Times New Roman"/>
          <w:sz w:val="20"/>
          <w:szCs w:val="20"/>
          <w:lang w:val="fr-CA" w:eastAsia="en-CA"/>
        </w:rPr>
        <w:t>raisonnabilité</w:t>
      </w:r>
      <w:proofErr w:type="spellEnd"/>
      <w:r w:rsidRPr="00AA24DD">
        <w:rPr>
          <w:rFonts w:eastAsia="Times New Roman" w:cs="Times New Roman"/>
          <w:sz w:val="20"/>
          <w:szCs w:val="20"/>
          <w:lang w:val="fr-CA" w:eastAsia="en-CA"/>
        </w:rPr>
        <w:t>.</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Lorsqu’il examine la demande, le décideur ne doit pas fragmenter la preuve et exiger que chacun de ses éléments satisfasse au critère des difficultés sous peine d’être totalement écarté. Il doit plutôt bien apprécier la totalité des circonstances et appuyer sa décision sur la preuve dans son ensemble. De même, il ne doit pas limiter son pouvoir discrétionnaire en appliquant les Lignes directrices — et leur critère des « difficultés inhabituelles et injustifiées ou démesurées » — comme s’il s’agissait d’un critère juridique strict, à l’exclusion de tous les autres facteurs. Dans l’ensemble, la décision de l’agente de refuser à K une dispense pour considérations d’ordre humanitaire est transparente. Elle renferme des motifs intelligibles à l’appui de la conclusion selon laquelle K n’a pas établi, selon la prépondérance des probabilités, qu’il convient de lui accorder, pour des considérations d’ordre humanitaire, une dispense lui permettant de présenter au Canada une demande de résidence permanente. L’agente n’a pas eu recours au critère des difficultés de manière à limiter son pouvoir discrétionnaire ou à écarter des éléments de preuve pertinents. Ses conclusions sont raisonnables et bien étayées par le dossier. Certains aspects de la situation de K inspirent de la sympathie, mais cela ne suffit pas à justifier la dispense.</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Il était loisible à l’agente de conclure que le dossier ne justifiait pas une dispense suivant le par. 25(1). L’agente aurait pu soupeser davantage la preuve psychologique dans ses motifs et il aurait été utile qu’elle se penche expressément sur les répercussions du renvoi de K sur sa santé mentale, mais l’omission de le faire ne rend pas sa décision déraisonnable. Son approche de la discrimination n’était pas déraisonnable et elle n’a pas rendu sa décision déraisonnable. Le demandeur doit seulement démontrer que le refus de la dispense l’exposerait à un certain risque de préjudice. Or, le risque doit nécessairement être « personnel », c’est</w:t>
      </w:r>
      <w:r w:rsidRPr="00AA24DD">
        <w:rPr>
          <w:rFonts w:eastAsia="Times New Roman" w:cs="Times New Roman"/>
          <w:sz w:val="20"/>
          <w:szCs w:val="20"/>
          <w:lang w:val="fr-CA" w:eastAsia="en-CA"/>
        </w:rPr>
        <w:noBreakHyphen/>
        <w:t>à</w:t>
      </w:r>
      <w:r w:rsidRPr="00AA24DD">
        <w:rPr>
          <w:rFonts w:eastAsia="Times New Roman" w:cs="Times New Roman"/>
          <w:sz w:val="20"/>
          <w:szCs w:val="20"/>
          <w:lang w:val="fr-CA" w:eastAsia="en-CA"/>
        </w:rPr>
        <w:noBreakHyphen/>
        <w:t>dire que le demandeur doit appartenir à la catégorie des personnes qui, au vu de la preuve présentée, seraient exposées à un tel risque. Considérée dans son contexte, la conclusion de l’agente selon laquelle K n’a pas fourni suffisamment d’éléments de preuve pour étayer son allégation selon laquelle il sera personnellement victime de discrimination reprend simplement les termes employés par K. Enfin, l’analyse de l’agente de l’intérêt supérieur de K en tant qu’enfant et sa conclusion à ce sujet étaient raisonnables. Le fait que K a demandé la dispense pour considérations d’ordre humanitaire seulement un jour avant d’avoir 18 ans était très pertinent. K était un adolescent sur le point d’atteindre l’âge adulte. Au vu du dossier dont elle disposait, l’agente avait tout loisir de conclure que le renvoi de K au Sri Lanka ne compromettrait pas son intérêt supérieur, car il retournerait dans sa famille immédiate au lieu d’en être séparé.</w:t>
      </w:r>
    </w:p>
    <w:p w:rsidR="00AA24DD" w:rsidRPr="007A5455" w:rsidRDefault="00AA24DD" w:rsidP="00AA24DD">
      <w:pPr>
        <w:tabs>
          <w:tab w:val="left" w:pos="1168"/>
        </w:tabs>
        <w:jc w:val="both"/>
        <w:rPr>
          <w:rFonts w:eastAsia="Times New Roman" w:cs="Times New Roman"/>
          <w:sz w:val="20"/>
          <w:szCs w:val="20"/>
          <w:lang w:val="fr-CA" w:eastAsia="en-CA"/>
        </w:rPr>
      </w:pPr>
    </w:p>
    <w:p w:rsidR="00AA24DD" w:rsidRPr="00AA24DD" w:rsidRDefault="00AA24DD" w:rsidP="00AA24DD">
      <w:pPr>
        <w:tabs>
          <w:tab w:val="left" w:pos="1168"/>
        </w:tabs>
        <w:jc w:val="both"/>
        <w:rPr>
          <w:rFonts w:eastAsia="Times New Roman" w:cs="Times New Roman"/>
          <w:sz w:val="20"/>
          <w:szCs w:val="20"/>
          <w:lang w:val="fr-CA" w:eastAsia="en-CA"/>
        </w:rPr>
      </w:pPr>
      <w:r w:rsidRPr="00AA24DD">
        <w:rPr>
          <w:rFonts w:eastAsia="Times New Roman" w:cs="Times New Roman"/>
          <w:sz w:val="20"/>
          <w:szCs w:val="20"/>
          <w:lang w:val="fr-CA" w:eastAsia="en-CA"/>
        </w:rPr>
        <w:tab/>
        <w:t>L’agente a appliqué le critère des difficultés prévu par les Lignes directrices, mais elle l’a fait sans limiter son pouvoir discrétionnaire. En outre, si elle avait appliqué le critère reformulé, elle serait forcément arrivée au même résultat. Sa décision de refuser la dispense à K était raisonnable.</w:t>
      </w:r>
    </w:p>
    <w:p w:rsidR="0052229C" w:rsidRPr="007A5455" w:rsidRDefault="0052229C" w:rsidP="0052229C">
      <w:pPr>
        <w:pStyle w:val="SCCNormalDoubleSpacing"/>
        <w:spacing w:line="240" w:lineRule="auto"/>
        <w:rPr>
          <w:sz w:val="20"/>
          <w:lang w:val="fr-CA"/>
        </w:rPr>
      </w:pPr>
    </w:p>
    <w:p w:rsidR="00A4198B" w:rsidRPr="00A4198B" w:rsidRDefault="00A4198B" w:rsidP="00A4198B">
      <w:pPr>
        <w:tabs>
          <w:tab w:val="left" w:pos="1168"/>
        </w:tabs>
        <w:jc w:val="both"/>
        <w:rPr>
          <w:rFonts w:eastAsia="Times New Roman" w:cs="Times New Roman"/>
          <w:sz w:val="20"/>
          <w:szCs w:val="20"/>
          <w:lang w:val="fr-CA" w:eastAsia="en-CA"/>
        </w:rPr>
      </w:pPr>
      <w:r w:rsidRPr="00A4198B">
        <w:rPr>
          <w:rFonts w:eastAsia="Times New Roman" w:cs="Times New Roman"/>
          <w:sz w:val="20"/>
          <w:szCs w:val="20"/>
          <w:lang w:val="en-US" w:eastAsia="en-CA"/>
        </w:rPr>
        <w:tab/>
      </w:r>
      <w:r w:rsidRPr="00A4198B">
        <w:rPr>
          <w:rFonts w:eastAsia="Times New Roman" w:cs="Times New Roman"/>
          <w:sz w:val="20"/>
          <w:szCs w:val="20"/>
          <w:lang w:val="fr-CA" w:eastAsia="en-CA"/>
        </w:rPr>
        <w:t xml:space="preserve">POURVOI contre un arrêt de la Cour d’appel fédérale (le juge en chef Blais et les juges </w:t>
      </w:r>
      <w:proofErr w:type="spellStart"/>
      <w:r w:rsidRPr="00A4198B">
        <w:rPr>
          <w:rFonts w:eastAsia="Times New Roman" w:cs="Times New Roman"/>
          <w:sz w:val="20"/>
          <w:szCs w:val="20"/>
          <w:lang w:val="fr-CA" w:eastAsia="en-CA"/>
        </w:rPr>
        <w:t>Sharlow</w:t>
      </w:r>
      <w:proofErr w:type="spellEnd"/>
      <w:r w:rsidRPr="00A4198B">
        <w:rPr>
          <w:rFonts w:eastAsia="Times New Roman" w:cs="Times New Roman"/>
          <w:sz w:val="20"/>
          <w:szCs w:val="20"/>
          <w:lang w:val="fr-CA" w:eastAsia="en-CA"/>
        </w:rPr>
        <w:t xml:space="preserve"> et </w:t>
      </w:r>
      <w:proofErr w:type="spellStart"/>
      <w:r w:rsidRPr="00A4198B">
        <w:rPr>
          <w:rFonts w:eastAsia="Times New Roman" w:cs="Times New Roman"/>
          <w:sz w:val="20"/>
          <w:szCs w:val="20"/>
          <w:lang w:val="fr-CA" w:eastAsia="en-CA"/>
        </w:rPr>
        <w:t>Stratas</w:t>
      </w:r>
      <w:proofErr w:type="spellEnd"/>
      <w:r w:rsidRPr="00A4198B">
        <w:rPr>
          <w:rFonts w:eastAsia="Times New Roman" w:cs="Times New Roman"/>
          <w:sz w:val="20"/>
          <w:szCs w:val="20"/>
          <w:lang w:val="fr-CA" w:eastAsia="en-CA"/>
        </w:rPr>
        <w:t xml:space="preserve">), 2014 CAF 113, [2015] 1 R.C.F. 335, 459 N.R. 367, 372 D.L.R. (4th) 539, 77 Admin. L.R. (5th) 181, 27 </w:t>
      </w:r>
      <w:proofErr w:type="spellStart"/>
      <w:r w:rsidRPr="00A4198B">
        <w:rPr>
          <w:rFonts w:eastAsia="Times New Roman" w:cs="Times New Roman"/>
          <w:sz w:val="20"/>
          <w:szCs w:val="20"/>
          <w:lang w:val="fr-CA" w:eastAsia="en-CA"/>
        </w:rPr>
        <w:t>Imm</w:t>
      </w:r>
      <w:proofErr w:type="spellEnd"/>
      <w:r w:rsidRPr="00A4198B">
        <w:rPr>
          <w:rFonts w:eastAsia="Times New Roman" w:cs="Times New Roman"/>
          <w:sz w:val="20"/>
          <w:szCs w:val="20"/>
          <w:lang w:val="fr-CA" w:eastAsia="en-CA"/>
        </w:rPr>
        <w:t>. L.R. (4th) 1, [2014] A.C.F. n</w:t>
      </w:r>
      <w:r w:rsidRPr="00A4198B">
        <w:rPr>
          <w:rFonts w:eastAsia="Times New Roman" w:cs="Times New Roman"/>
          <w:sz w:val="20"/>
          <w:szCs w:val="20"/>
          <w:vertAlign w:val="superscript"/>
          <w:lang w:val="fr-CA" w:eastAsia="en-CA"/>
        </w:rPr>
        <w:t>o</w:t>
      </w:r>
      <w:r w:rsidRPr="00A4198B">
        <w:rPr>
          <w:rFonts w:eastAsia="Times New Roman" w:cs="Times New Roman"/>
          <w:sz w:val="20"/>
          <w:szCs w:val="20"/>
          <w:lang w:val="fr-CA" w:eastAsia="en-CA"/>
        </w:rPr>
        <w:t xml:space="preserve"> 472 (QL), 2014 </w:t>
      </w:r>
      <w:proofErr w:type="spellStart"/>
      <w:r w:rsidRPr="00A4198B">
        <w:rPr>
          <w:rFonts w:eastAsia="Times New Roman" w:cs="Times New Roman"/>
          <w:sz w:val="20"/>
          <w:szCs w:val="20"/>
          <w:lang w:val="fr-CA" w:eastAsia="en-CA"/>
        </w:rPr>
        <w:t>CarswellNat</w:t>
      </w:r>
      <w:proofErr w:type="spellEnd"/>
      <w:r w:rsidRPr="00A4198B">
        <w:rPr>
          <w:rFonts w:eastAsia="Times New Roman" w:cs="Times New Roman"/>
          <w:sz w:val="20"/>
          <w:szCs w:val="20"/>
          <w:lang w:val="fr-CA" w:eastAsia="en-CA"/>
        </w:rPr>
        <w:t xml:space="preserve"> 5486 (WL Can.), qui a confirmé une décision de la juge Kane, 2013 CF 802, [2014] 3 R.C.F. 438, 437 F.T.R. 120, [2013] A.C.F. n</w:t>
      </w:r>
      <w:r w:rsidRPr="00A4198B">
        <w:rPr>
          <w:rFonts w:eastAsia="Times New Roman" w:cs="Times New Roman"/>
          <w:sz w:val="20"/>
          <w:szCs w:val="20"/>
          <w:vertAlign w:val="superscript"/>
          <w:lang w:val="fr-CA" w:eastAsia="en-CA"/>
        </w:rPr>
        <w:t>o</w:t>
      </w:r>
      <w:r w:rsidRPr="00A4198B">
        <w:rPr>
          <w:rFonts w:eastAsia="Times New Roman" w:cs="Times New Roman"/>
          <w:sz w:val="20"/>
          <w:szCs w:val="20"/>
          <w:lang w:val="fr-CA" w:eastAsia="en-CA"/>
        </w:rPr>
        <w:t xml:space="preserve"> 848 (QL), 2013 </w:t>
      </w:r>
      <w:proofErr w:type="spellStart"/>
      <w:r w:rsidRPr="00A4198B">
        <w:rPr>
          <w:rFonts w:eastAsia="Times New Roman" w:cs="Times New Roman"/>
          <w:sz w:val="20"/>
          <w:szCs w:val="20"/>
          <w:lang w:val="fr-CA" w:eastAsia="en-CA"/>
        </w:rPr>
        <w:t>CarswellNat</w:t>
      </w:r>
      <w:proofErr w:type="spellEnd"/>
      <w:r w:rsidRPr="00A4198B">
        <w:rPr>
          <w:rFonts w:eastAsia="Times New Roman" w:cs="Times New Roman"/>
          <w:sz w:val="20"/>
          <w:szCs w:val="20"/>
          <w:lang w:val="fr-CA" w:eastAsia="en-CA"/>
        </w:rPr>
        <w:t xml:space="preserve"> 3903 (WL Can.), qui avait rejeté une demande de contrôle judiciaire. Pourvoi accueilli, les juges </w:t>
      </w:r>
      <w:proofErr w:type="spellStart"/>
      <w:r w:rsidRPr="00A4198B">
        <w:rPr>
          <w:rFonts w:eastAsia="Times New Roman" w:cs="Times New Roman"/>
          <w:sz w:val="20"/>
          <w:szCs w:val="20"/>
          <w:lang w:val="fr-CA" w:eastAsia="en-CA"/>
        </w:rPr>
        <w:t>Moldaver</w:t>
      </w:r>
      <w:proofErr w:type="spellEnd"/>
      <w:r w:rsidRPr="00A4198B">
        <w:rPr>
          <w:rFonts w:eastAsia="Times New Roman" w:cs="Times New Roman"/>
          <w:sz w:val="20"/>
          <w:szCs w:val="20"/>
          <w:lang w:val="fr-CA" w:eastAsia="en-CA"/>
        </w:rPr>
        <w:t xml:space="preserve"> et Wagner sont dissidents.</w:t>
      </w:r>
    </w:p>
    <w:p w:rsidR="00A4198B" w:rsidRPr="007A5455" w:rsidRDefault="00A4198B" w:rsidP="00A4198B">
      <w:pPr>
        <w:tabs>
          <w:tab w:val="left" w:pos="1168"/>
        </w:tabs>
        <w:jc w:val="both"/>
        <w:rPr>
          <w:rFonts w:eastAsia="Times New Roman" w:cs="Times New Roman"/>
          <w:sz w:val="20"/>
          <w:szCs w:val="20"/>
          <w:lang w:val="fr-CA" w:eastAsia="en-CA"/>
        </w:rPr>
      </w:pPr>
    </w:p>
    <w:p w:rsidR="00A4198B" w:rsidRPr="00A4198B" w:rsidRDefault="00A4198B" w:rsidP="00A4198B">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val="fr-CA" w:eastAsia="en-CA"/>
        </w:rPr>
        <w:tab/>
      </w:r>
      <w:r w:rsidRPr="007A5455">
        <w:rPr>
          <w:rFonts w:eastAsia="Times New Roman" w:cs="Times New Roman"/>
          <w:i/>
          <w:sz w:val="20"/>
          <w:szCs w:val="20"/>
          <w:lang w:val="fr-CA" w:eastAsia="en-CA"/>
        </w:rPr>
        <w:t xml:space="preserve">Barbara </w:t>
      </w:r>
      <w:proofErr w:type="spellStart"/>
      <w:r w:rsidRPr="007A5455">
        <w:rPr>
          <w:rFonts w:eastAsia="Times New Roman" w:cs="Times New Roman"/>
          <w:i/>
          <w:sz w:val="20"/>
          <w:szCs w:val="20"/>
          <w:lang w:val="fr-CA" w:eastAsia="en-CA"/>
        </w:rPr>
        <w:t>Jackman</w:t>
      </w:r>
      <w:proofErr w:type="spellEnd"/>
      <w:r w:rsidRPr="007A5455">
        <w:rPr>
          <w:rFonts w:eastAsia="Times New Roman" w:cs="Times New Roman"/>
          <w:sz w:val="20"/>
          <w:szCs w:val="20"/>
          <w:lang w:val="fr-CA" w:eastAsia="en-CA"/>
        </w:rPr>
        <w:t xml:space="preserve"> et </w:t>
      </w:r>
      <w:proofErr w:type="spellStart"/>
      <w:r w:rsidRPr="007A5455">
        <w:rPr>
          <w:rFonts w:eastAsia="Times New Roman" w:cs="Times New Roman"/>
          <w:i/>
          <w:sz w:val="20"/>
          <w:szCs w:val="20"/>
          <w:lang w:val="fr-CA" w:eastAsia="en-CA"/>
        </w:rPr>
        <w:t>Ksenija</w:t>
      </w:r>
      <w:proofErr w:type="spellEnd"/>
      <w:r w:rsidRPr="007A5455">
        <w:rPr>
          <w:rFonts w:eastAsia="Times New Roman" w:cs="Times New Roman"/>
          <w:i/>
          <w:sz w:val="20"/>
          <w:szCs w:val="20"/>
          <w:lang w:val="fr-CA" w:eastAsia="en-CA"/>
        </w:rPr>
        <w:t xml:space="preserve"> </w:t>
      </w:r>
      <w:proofErr w:type="spellStart"/>
      <w:r w:rsidRPr="007A5455">
        <w:rPr>
          <w:rFonts w:eastAsia="Times New Roman" w:cs="Times New Roman"/>
          <w:i/>
          <w:sz w:val="20"/>
          <w:szCs w:val="20"/>
          <w:lang w:val="fr-CA" w:eastAsia="en-CA"/>
        </w:rPr>
        <w:t>Trahan</w:t>
      </w:r>
      <w:proofErr w:type="spellEnd"/>
      <w:r w:rsidRPr="007A5455">
        <w:rPr>
          <w:rFonts w:eastAsia="Times New Roman" w:cs="Times New Roman"/>
          <w:sz w:val="20"/>
          <w:szCs w:val="20"/>
          <w:lang w:val="fr-CA" w:eastAsia="en-CA"/>
        </w:rPr>
        <w:t>, pour l’appelant.</w:t>
      </w:r>
    </w:p>
    <w:p w:rsidR="00A4198B" w:rsidRPr="00A4198B" w:rsidRDefault="00A4198B" w:rsidP="00A4198B">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val="fr-CA" w:eastAsia="en-CA"/>
        </w:rPr>
        <w:lastRenderedPageBreak/>
        <w:tab/>
      </w:r>
      <w:r w:rsidRPr="007A5455">
        <w:rPr>
          <w:rFonts w:eastAsia="Times New Roman" w:cs="Times New Roman"/>
          <w:i/>
          <w:sz w:val="20"/>
          <w:szCs w:val="20"/>
          <w:lang w:val="fr-CA" w:eastAsia="en-CA"/>
        </w:rPr>
        <w:t xml:space="preserve">Marianne </w:t>
      </w:r>
      <w:proofErr w:type="spellStart"/>
      <w:r w:rsidRPr="007A5455">
        <w:rPr>
          <w:rFonts w:eastAsia="Times New Roman" w:cs="Times New Roman"/>
          <w:i/>
          <w:sz w:val="20"/>
          <w:szCs w:val="20"/>
          <w:lang w:val="fr-CA" w:eastAsia="en-CA"/>
        </w:rPr>
        <w:t>Zoric</w:t>
      </w:r>
      <w:proofErr w:type="spellEnd"/>
      <w:r w:rsidRPr="007A5455">
        <w:rPr>
          <w:rFonts w:eastAsia="Times New Roman" w:cs="Times New Roman"/>
          <w:sz w:val="20"/>
          <w:szCs w:val="20"/>
          <w:lang w:val="fr-CA" w:eastAsia="en-CA"/>
        </w:rPr>
        <w:t xml:space="preserve"> et </w:t>
      </w:r>
      <w:r w:rsidRPr="007A5455">
        <w:rPr>
          <w:rFonts w:eastAsia="Times New Roman" w:cs="Times New Roman"/>
          <w:i/>
          <w:sz w:val="20"/>
          <w:szCs w:val="20"/>
          <w:lang w:val="fr-CA" w:eastAsia="en-CA"/>
        </w:rPr>
        <w:t xml:space="preserve">Kathryn </w:t>
      </w:r>
      <w:proofErr w:type="spellStart"/>
      <w:r w:rsidRPr="007A5455">
        <w:rPr>
          <w:rFonts w:eastAsia="Times New Roman" w:cs="Times New Roman"/>
          <w:i/>
          <w:sz w:val="20"/>
          <w:szCs w:val="20"/>
          <w:lang w:val="fr-CA" w:eastAsia="en-CA"/>
        </w:rPr>
        <w:t>Hucal</w:t>
      </w:r>
      <w:proofErr w:type="spellEnd"/>
      <w:r w:rsidRPr="007A5455">
        <w:rPr>
          <w:rFonts w:eastAsia="Times New Roman" w:cs="Times New Roman"/>
          <w:sz w:val="20"/>
          <w:szCs w:val="20"/>
          <w:lang w:val="fr-CA" w:eastAsia="en-CA"/>
        </w:rPr>
        <w:t>, pour l’intimé.</w:t>
      </w:r>
    </w:p>
    <w:p w:rsidR="00A4198B" w:rsidRPr="007A5455" w:rsidRDefault="00A4198B" w:rsidP="00A4198B">
      <w:pPr>
        <w:tabs>
          <w:tab w:val="left" w:pos="1168"/>
        </w:tabs>
        <w:jc w:val="both"/>
        <w:rPr>
          <w:rFonts w:eastAsia="Times New Roman" w:cs="Times New Roman"/>
          <w:sz w:val="20"/>
          <w:szCs w:val="20"/>
          <w:lang w:val="fr-CA" w:eastAsia="en-CA"/>
        </w:rPr>
      </w:pPr>
    </w:p>
    <w:p w:rsidR="00A4198B" w:rsidRPr="00A4198B" w:rsidRDefault="00A4198B" w:rsidP="00A4198B">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val="fr-CA" w:eastAsia="en-CA"/>
        </w:rPr>
        <w:tab/>
      </w:r>
      <w:r w:rsidRPr="007A5455">
        <w:rPr>
          <w:rFonts w:eastAsia="Times New Roman" w:cs="Times New Roman"/>
          <w:i/>
          <w:sz w:val="20"/>
          <w:szCs w:val="20"/>
          <w:lang w:val="fr-CA" w:eastAsia="en-CA"/>
        </w:rPr>
        <w:t xml:space="preserve">Jamie </w:t>
      </w:r>
      <w:proofErr w:type="spellStart"/>
      <w:r w:rsidRPr="007A5455">
        <w:rPr>
          <w:rFonts w:eastAsia="Times New Roman" w:cs="Times New Roman"/>
          <w:i/>
          <w:sz w:val="20"/>
          <w:szCs w:val="20"/>
          <w:lang w:val="fr-CA" w:eastAsia="en-CA"/>
        </w:rPr>
        <w:t>Liew</w:t>
      </w:r>
      <w:proofErr w:type="spellEnd"/>
      <w:r w:rsidRPr="007A5455">
        <w:rPr>
          <w:rFonts w:eastAsia="Times New Roman" w:cs="Times New Roman"/>
          <w:sz w:val="20"/>
          <w:szCs w:val="20"/>
          <w:lang w:val="fr-CA" w:eastAsia="en-CA"/>
        </w:rPr>
        <w:t xml:space="preserve">, </w:t>
      </w:r>
      <w:r w:rsidRPr="007A5455">
        <w:rPr>
          <w:rFonts w:eastAsia="Times New Roman" w:cs="Times New Roman"/>
          <w:i/>
          <w:sz w:val="20"/>
          <w:szCs w:val="20"/>
          <w:lang w:val="fr-CA" w:eastAsia="en-CA"/>
        </w:rPr>
        <w:t>Jennifer Stone</w:t>
      </w:r>
      <w:r w:rsidRPr="007A5455">
        <w:rPr>
          <w:rFonts w:eastAsia="Times New Roman" w:cs="Times New Roman"/>
          <w:sz w:val="20"/>
          <w:szCs w:val="20"/>
          <w:lang w:val="fr-CA" w:eastAsia="en-CA"/>
        </w:rPr>
        <w:t xml:space="preserve"> et</w:t>
      </w:r>
      <w:r w:rsidRPr="007A5455">
        <w:rPr>
          <w:rFonts w:eastAsia="Times New Roman" w:cs="Times New Roman"/>
          <w:i/>
          <w:sz w:val="20"/>
          <w:szCs w:val="20"/>
          <w:lang w:val="fr-CA" w:eastAsia="en-CA"/>
        </w:rPr>
        <w:t xml:space="preserve"> Michael </w:t>
      </w:r>
      <w:proofErr w:type="spellStart"/>
      <w:r w:rsidRPr="007A5455">
        <w:rPr>
          <w:rFonts w:eastAsia="Times New Roman" w:cs="Times New Roman"/>
          <w:i/>
          <w:sz w:val="20"/>
          <w:szCs w:val="20"/>
          <w:lang w:val="fr-CA" w:eastAsia="en-CA"/>
        </w:rPr>
        <w:t>Bossin</w:t>
      </w:r>
      <w:proofErr w:type="spellEnd"/>
      <w:r w:rsidRPr="007A5455">
        <w:rPr>
          <w:rFonts w:eastAsia="Times New Roman" w:cs="Times New Roman"/>
          <w:sz w:val="20"/>
          <w:szCs w:val="20"/>
          <w:lang w:val="fr-CA" w:eastAsia="en-CA"/>
        </w:rPr>
        <w:t xml:space="preserve">, pour l’intervenant le </w:t>
      </w:r>
      <w:r w:rsidRPr="00A4198B">
        <w:rPr>
          <w:rFonts w:eastAsia="Times New Roman" w:cs="Times New Roman"/>
          <w:sz w:val="20"/>
          <w:szCs w:val="20"/>
          <w:lang w:val="fr-CA" w:eastAsia="en-CA"/>
        </w:rPr>
        <w:t>Conseil canadien pour les réfugiés</w:t>
      </w:r>
      <w:r w:rsidRPr="007A5455">
        <w:rPr>
          <w:rFonts w:eastAsia="Times New Roman" w:cs="Times New Roman"/>
          <w:sz w:val="20"/>
          <w:szCs w:val="20"/>
          <w:lang w:val="fr-CA" w:eastAsia="en-CA"/>
        </w:rPr>
        <w:t>.</w:t>
      </w:r>
    </w:p>
    <w:p w:rsidR="00A4198B" w:rsidRPr="007A5455" w:rsidRDefault="00A4198B" w:rsidP="00A4198B">
      <w:pPr>
        <w:tabs>
          <w:tab w:val="left" w:pos="1168"/>
        </w:tabs>
        <w:jc w:val="both"/>
        <w:rPr>
          <w:rFonts w:eastAsia="Times New Roman" w:cs="Times New Roman"/>
          <w:sz w:val="20"/>
          <w:szCs w:val="20"/>
          <w:lang w:val="fr-CA" w:eastAsia="en-CA"/>
        </w:rPr>
      </w:pPr>
    </w:p>
    <w:p w:rsidR="00A4198B" w:rsidRPr="00A4198B" w:rsidRDefault="00A4198B" w:rsidP="00A4198B">
      <w:pPr>
        <w:tabs>
          <w:tab w:val="left" w:pos="1168"/>
        </w:tabs>
        <w:jc w:val="both"/>
        <w:rPr>
          <w:rFonts w:eastAsia="Times New Roman" w:cs="Times New Roman"/>
          <w:sz w:val="20"/>
          <w:szCs w:val="20"/>
          <w:lang w:eastAsia="en-CA"/>
        </w:rPr>
      </w:pPr>
      <w:r w:rsidRPr="007A5455">
        <w:rPr>
          <w:rFonts w:eastAsia="Times New Roman" w:cs="Times New Roman"/>
          <w:sz w:val="20"/>
          <w:szCs w:val="20"/>
          <w:lang w:val="fr-CA" w:eastAsia="en-CA"/>
        </w:rPr>
        <w:tab/>
      </w:r>
      <w:r w:rsidRPr="007A5455">
        <w:rPr>
          <w:rFonts w:eastAsia="Times New Roman" w:cs="Times New Roman"/>
          <w:i/>
          <w:sz w:val="20"/>
          <w:szCs w:val="20"/>
          <w:lang w:eastAsia="en-CA"/>
        </w:rPr>
        <w:t>Emily Chan</w:t>
      </w:r>
      <w:r w:rsidRPr="007A5455">
        <w:rPr>
          <w:rFonts w:eastAsia="Times New Roman" w:cs="Times New Roman"/>
          <w:sz w:val="20"/>
          <w:szCs w:val="20"/>
          <w:lang w:eastAsia="en-CA"/>
        </w:rPr>
        <w:t xml:space="preserve"> </w:t>
      </w:r>
      <w:proofErr w:type="gramStart"/>
      <w:r w:rsidRPr="007A5455">
        <w:rPr>
          <w:rFonts w:eastAsia="Times New Roman" w:cs="Times New Roman"/>
          <w:sz w:val="20"/>
          <w:szCs w:val="20"/>
          <w:lang w:eastAsia="en-CA"/>
        </w:rPr>
        <w:t>et</w:t>
      </w:r>
      <w:proofErr w:type="gramEnd"/>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Samira Ahmed</w:t>
      </w:r>
      <w:r w:rsidRPr="007A5455">
        <w:rPr>
          <w:rFonts w:eastAsia="Times New Roman" w:cs="Times New Roman"/>
          <w:sz w:val="20"/>
          <w:szCs w:val="20"/>
          <w:lang w:eastAsia="en-CA"/>
        </w:rPr>
        <w:t xml:space="preserve">, pour </w:t>
      </w:r>
      <w:proofErr w:type="spellStart"/>
      <w:r w:rsidRPr="007A5455">
        <w:rPr>
          <w:rFonts w:eastAsia="Times New Roman" w:cs="Times New Roman"/>
          <w:sz w:val="20"/>
          <w:szCs w:val="20"/>
          <w:lang w:eastAsia="en-CA"/>
        </w:rPr>
        <w:t>l’intervenante</w:t>
      </w:r>
      <w:proofErr w:type="spellEnd"/>
      <w:r w:rsidRPr="007A5455">
        <w:rPr>
          <w:rFonts w:eastAsia="Times New Roman" w:cs="Times New Roman"/>
          <w:sz w:val="20"/>
          <w:szCs w:val="20"/>
          <w:lang w:eastAsia="en-CA"/>
        </w:rPr>
        <w:t xml:space="preserve"> Justice for Children and Youth.</w:t>
      </w:r>
    </w:p>
    <w:p w:rsidR="00A4198B" w:rsidRPr="007A5455" w:rsidRDefault="00A4198B" w:rsidP="00A4198B">
      <w:pPr>
        <w:tabs>
          <w:tab w:val="left" w:pos="1168"/>
        </w:tabs>
        <w:jc w:val="both"/>
        <w:rPr>
          <w:rFonts w:eastAsia="Times New Roman" w:cs="Times New Roman"/>
          <w:sz w:val="20"/>
          <w:szCs w:val="20"/>
          <w:lang w:eastAsia="en-CA"/>
        </w:rPr>
      </w:pPr>
    </w:p>
    <w:p w:rsidR="00A4198B" w:rsidRPr="00A4198B" w:rsidRDefault="00A4198B" w:rsidP="00A4198B">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Alyssa Manning</w:t>
      </w:r>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 xml:space="preserve">Laila </w:t>
      </w:r>
      <w:proofErr w:type="spellStart"/>
      <w:r w:rsidRPr="007A5455">
        <w:rPr>
          <w:rFonts w:eastAsia="Times New Roman" w:cs="Times New Roman"/>
          <w:i/>
          <w:sz w:val="20"/>
          <w:szCs w:val="20"/>
          <w:lang w:eastAsia="en-CA"/>
        </w:rPr>
        <w:t>Demirdache</w:t>
      </w:r>
      <w:proofErr w:type="spellEnd"/>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 xml:space="preserve">Aviva </w:t>
      </w:r>
      <w:proofErr w:type="spellStart"/>
      <w:r w:rsidRPr="007A5455">
        <w:rPr>
          <w:rFonts w:eastAsia="Times New Roman" w:cs="Times New Roman"/>
          <w:i/>
          <w:sz w:val="20"/>
          <w:szCs w:val="20"/>
          <w:lang w:eastAsia="en-CA"/>
        </w:rPr>
        <w:t>Basman</w:t>
      </w:r>
      <w:proofErr w:type="spellEnd"/>
      <w:r w:rsidRPr="007A5455">
        <w:rPr>
          <w:rFonts w:eastAsia="Times New Roman" w:cs="Times New Roman"/>
          <w:sz w:val="20"/>
          <w:szCs w:val="20"/>
          <w:lang w:eastAsia="en-CA"/>
        </w:rPr>
        <w:t xml:space="preserve"> </w:t>
      </w:r>
      <w:proofErr w:type="gramStart"/>
      <w:r w:rsidRPr="007A5455">
        <w:rPr>
          <w:rFonts w:eastAsia="Times New Roman" w:cs="Times New Roman"/>
          <w:sz w:val="20"/>
          <w:szCs w:val="20"/>
          <w:lang w:eastAsia="en-CA"/>
        </w:rPr>
        <w:t>et</w:t>
      </w:r>
      <w:proofErr w:type="gramEnd"/>
      <w:r w:rsidRPr="007A5455">
        <w:rPr>
          <w:rFonts w:eastAsia="Times New Roman" w:cs="Times New Roman"/>
          <w:sz w:val="20"/>
          <w:szCs w:val="20"/>
          <w:lang w:eastAsia="en-CA"/>
        </w:rPr>
        <w:t xml:space="preserve"> </w:t>
      </w:r>
      <w:proofErr w:type="spellStart"/>
      <w:r w:rsidRPr="007A5455">
        <w:rPr>
          <w:rFonts w:eastAsia="Times New Roman" w:cs="Times New Roman"/>
          <w:i/>
          <w:sz w:val="20"/>
          <w:szCs w:val="20"/>
          <w:lang w:eastAsia="en-CA"/>
        </w:rPr>
        <w:t>Rathika</w:t>
      </w:r>
      <w:proofErr w:type="spellEnd"/>
      <w:r w:rsidRPr="007A5455">
        <w:rPr>
          <w:rFonts w:eastAsia="Times New Roman" w:cs="Times New Roman"/>
          <w:i/>
          <w:sz w:val="20"/>
          <w:szCs w:val="20"/>
          <w:lang w:eastAsia="en-CA"/>
        </w:rPr>
        <w:t xml:space="preserve"> </w:t>
      </w:r>
      <w:proofErr w:type="spellStart"/>
      <w:r w:rsidRPr="007A5455">
        <w:rPr>
          <w:rFonts w:eastAsia="Times New Roman" w:cs="Times New Roman"/>
          <w:i/>
          <w:sz w:val="20"/>
          <w:szCs w:val="20"/>
          <w:lang w:eastAsia="en-CA"/>
        </w:rPr>
        <w:t>Vasavithasan</w:t>
      </w:r>
      <w:proofErr w:type="spellEnd"/>
      <w:r w:rsidRPr="007A5455">
        <w:rPr>
          <w:rFonts w:eastAsia="Times New Roman" w:cs="Times New Roman"/>
          <w:sz w:val="20"/>
          <w:szCs w:val="20"/>
          <w:lang w:eastAsia="en-CA"/>
        </w:rPr>
        <w:t xml:space="preserve">, pour les </w:t>
      </w:r>
      <w:proofErr w:type="spellStart"/>
      <w:r w:rsidRPr="007A5455">
        <w:rPr>
          <w:rFonts w:eastAsia="Times New Roman" w:cs="Times New Roman"/>
          <w:sz w:val="20"/>
          <w:szCs w:val="20"/>
          <w:lang w:eastAsia="en-CA"/>
        </w:rPr>
        <w:t>intervenants</w:t>
      </w:r>
      <w:proofErr w:type="spellEnd"/>
      <w:r w:rsidRPr="007A5455">
        <w:rPr>
          <w:rFonts w:eastAsia="Times New Roman" w:cs="Times New Roman"/>
          <w:sz w:val="20"/>
          <w:szCs w:val="20"/>
          <w:lang w:eastAsia="en-CA"/>
        </w:rPr>
        <w:t xml:space="preserve"> Barbra </w:t>
      </w:r>
      <w:proofErr w:type="spellStart"/>
      <w:r w:rsidRPr="007A5455">
        <w:rPr>
          <w:rFonts w:eastAsia="Times New Roman" w:cs="Times New Roman"/>
          <w:sz w:val="20"/>
          <w:szCs w:val="20"/>
          <w:lang w:eastAsia="en-CA"/>
        </w:rPr>
        <w:t>Schlifer</w:t>
      </w:r>
      <w:proofErr w:type="spellEnd"/>
      <w:r w:rsidRPr="007A5455">
        <w:rPr>
          <w:rFonts w:eastAsia="Times New Roman" w:cs="Times New Roman"/>
          <w:sz w:val="20"/>
          <w:szCs w:val="20"/>
          <w:lang w:eastAsia="en-CA"/>
        </w:rPr>
        <w:t xml:space="preserve"> Commemorative Clinic et Canadian Centre for Victims of Torture.</w:t>
      </w:r>
    </w:p>
    <w:p w:rsidR="00A4198B" w:rsidRPr="007A5455" w:rsidRDefault="00A4198B" w:rsidP="00A4198B">
      <w:pPr>
        <w:tabs>
          <w:tab w:val="left" w:pos="1168"/>
        </w:tabs>
        <w:jc w:val="both"/>
        <w:rPr>
          <w:rFonts w:eastAsia="Times New Roman" w:cs="Times New Roman"/>
          <w:sz w:val="20"/>
          <w:szCs w:val="20"/>
          <w:lang w:eastAsia="en-CA"/>
        </w:rPr>
      </w:pPr>
    </w:p>
    <w:p w:rsidR="00A4198B" w:rsidRPr="00A4198B" w:rsidRDefault="00A4198B" w:rsidP="00A4198B">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eastAsia="en-CA"/>
        </w:rPr>
        <w:tab/>
      </w:r>
      <w:r w:rsidRPr="007A5455">
        <w:rPr>
          <w:rFonts w:eastAsia="Times New Roman" w:cs="Times New Roman"/>
          <w:i/>
          <w:sz w:val="20"/>
          <w:szCs w:val="20"/>
          <w:lang w:val="fr-CA" w:eastAsia="en-CA"/>
        </w:rPr>
        <w:t xml:space="preserve">Audrey </w:t>
      </w:r>
      <w:proofErr w:type="spellStart"/>
      <w:r w:rsidRPr="007A5455">
        <w:rPr>
          <w:rFonts w:eastAsia="Times New Roman" w:cs="Times New Roman"/>
          <w:i/>
          <w:sz w:val="20"/>
          <w:szCs w:val="20"/>
          <w:lang w:val="fr-CA" w:eastAsia="en-CA"/>
        </w:rPr>
        <w:t>Macklin</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i/>
          <w:sz w:val="20"/>
          <w:szCs w:val="20"/>
          <w:lang w:val="fr-CA" w:eastAsia="en-CA"/>
        </w:rPr>
        <w:t>Joo</w:t>
      </w:r>
      <w:proofErr w:type="spellEnd"/>
      <w:r w:rsidRPr="007A5455">
        <w:rPr>
          <w:rFonts w:eastAsia="Times New Roman" w:cs="Times New Roman"/>
          <w:i/>
          <w:sz w:val="20"/>
          <w:szCs w:val="20"/>
          <w:lang w:val="fr-CA" w:eastAsia="en-CA"/>
        </w:rPr>
        <w:t xml:space="preserve"> </w:t>
      </w:r>
      <w:proofErr w:type="spellStart"/>
      <w:r w:rsidRPr="007A5455">
        <w:rPr>
          <w:rFonts w:eastAsia="Times New Roman" w:cs="Times New Roman"/>
          <w:i/>
          <w:sz w:val="20"/>
          <w:szCs w:val="20"/>
          <w:lang w:val="fr-CA" w:eastAsia="en-CA"/>
        </w:rPr>
        <w:t>Eun</w:t>
      </w:r>
      <w:proofErr w:type="spellEnd"/>
      <w:r w:rsidRPr="007A5455">
        <w:rPr>
          <w:rFonts w:eastAsia="Times New Roman" w:cs="Times New Roman"/>
          <w:i/>
          <w:sz w:val="20"/>
          <w:szCs w:val="20"/>
          <w:lang w:val="fr-CA" w:eastAsia="en-CA"/>
        </w:rPr>
        <w:t xml:space="preserve"> Kim</w:t>
      </w:r>
      <w:r w:rsidRPr="007A5455">
        <w:rPr>
          <w:rFonts w:eastAsia="Times New Roman" w:cs="Times New Roman"/>
          <w:sz w:val="20"/>
          <w:szCs w:val="20"/>
          <w:lang w:val="fr-CA" w:eastAsia="en-CA"/>
        </w:rPr>
        <w:t xml:space="preserve"> et </w:t>
      </w:r>
      <w:r w:rsidRPr="007A5455">
        <w:rPr>
          <w:rFonts w:eastAsia="Times New Roman" w:cs="Times New Roman"/>
          <w:i/>
          <w:sz w:val="20"/>
          <w:szCs w:val="20"/>
          <w:lang w:val="fr-CA" w:eastAsia="en-CA"/>
        </w:rPr>
        <w:t xml:space="preserve">Laura </w:t>
      </w:r>
      <w:proofErr w:type="spellStart"/>
      <w:r w:rsidRPr="007A5455">
        <w:rPr>
          <w:rFonts w:eastAsia="Times New Roman" w:cs="Times New Roman"/>
          <w:i/>
          <w:sz w:val="20"/>
          <w:szCs w:val="20"/>
          <w:lang w:val="fr-CA" w:eastAsia="en-CA"/>
        </w:rPr>
        <w:t>Brittain</w:t>
      </w:r>
      <w:proofErr w:type="spellEnd"/>
      <w:r w:rsidRPr="007A5455">
        <w:rPr>
          <w:rFonts w:eastAsia="Times New Roman" w:cs="Times New Roman"/>
          <w:sz w:val="20"/>
          <w:szCs w:val="20"/>
          <w:lang w:val="fr-CA" w:eastAsia="en-CA"/>
        </w:rPr>
        <w:t>, pour l’intervenante l’</w:t>
      </w:r>
      <w:r w:rsidRPr="00A4198B">
        <w:rPr>
          <w:rFonts w:eastAsia="Times New Roman" w:cs="Times New Roman"/>
          <w:sz w:val="20"/>
          <w:szCs w:val="20"/>
          <w:lang w:val="fr-CA" w:eastAsia="en-CA"/>
        </w:rPr>
        <w:t>Association canadienne des avocats et avocates en droit des réfugiés</w:t>
      </w:r>
      <w:r w:rsidRPr="007A5455">
        <w:rPr>
          <w:rFonts w:eastAsia="Times New Roman" w:cs="Times New Roman"/>
          <w:sz w:val="20"/>
          <w:szCs w:val="20"/>
          <w:lang w:val="fr-CA" w:eastAsia="en-CA"/>
        </w:rPr>
        <w:t>.</w:t>
      </w:r>
    </w:p>
    <w:p w:rsidR="00A4198B" w:rsidRPr="007A5455" w:rsidRDefault="00A4198B" w:rsidP="00A4198B">
      <w:pPr>
        <w:tabs>
          <w:tab w:val="left" w:pos="1168"/>
        </w:tabs>
        <w:jc w:val="both"/>
        <w:rPr>
          <w:rFonts w:eastAsia="Times New Roman" w:cs="Times New Roman"/>
          <w:sz w:val="20"/>
          <w:szCs w:val="20"/>
          <w:lang w:val="fr-CA" w:eastAsia="en-CA"/>
        </w:rPr>
      </w:pPr>
    </w:p>
    <w:p w:rsidR="00A4198B" w:rsidRPr="00A4198B" w:rsidRDefault="00A4198B" w:rsidP="00A4198B">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val="fr-CA" w:eastAsia="en-CA"/>
        </w:rPr>
        <w:tab/>
      </w:r>
      <w:r w:rsidRPr="007A5455">
        <w:rPr>
          <w:rFonts w:eastAsia="Times New Roman" w:cs="Times New Roman"/>
          <w:i/>
          <w:sz w:val="20"/>
          <w:szCs w:val="20"/>
          <w:lang w:val="fr-CA" w:eastAsia="en-CA"/>
        </w:rPr>
        <w:t xml:space="preserve">Ronald </w:t>
      </w:r>
      <w:proofErr w:type="spellStart"/>
      <w:r w:rsidRPr="007A5455">
        <w:rPr>
          <w:rFonts w:eastAsia="Times New Roman" w:cs="Times New Roman"/>
          <w:i/>
          <w:sz w:val="20"/>
          <w:szCs w:val="20"/>
          <w:lang w:val="fr-CA" w:eastAsia="en-CA"/>
        </w:rPr>
        <w:t>Poulton</w:t>
      </w:r>
      <w:proofErr w:type="spellEnd"/>
      <w:r w:rsidRPr="007A5455">
        <w:rPr>
          <w:rFonts w:eastAsia="Times New Roman" w:cs="Times New Roman"/>
          <w:sz w:val="20"/>
          <w:szCs w:val="20"/>
          <w:lang w:val="fr-CA" w:eastAsia="en-CA"/>
        </w:rPr>
        <w:t xml:space="preserve"> et </w:t>
      </w:r>
      <w:r w:rsidRPr="007A5455">
        <w:rPr>
          <w:rFonts w:eastAsia="Times New Roman" w:cs="Times New Roman"/>
          <w:i/>
          <w:sz w:val="20"/>
          <w:szCs w:val="20"/>
          <w:lang w:val="fr-CA" w:eastAsia="en-CA"/>
        </w:rPr>
        <w:t>Toni Schweitzer</w:t>
      </w:r>
      <w:r w:rsidRPr="007A5455">
        <w:rPr>
          <w:rFonts w:eastAsia="Times New Roman" w:cs="Times New Roman"/>
          <w:sz w:val="20"/>
          <w:szCs w:val="20"/>
          <w:lang w:val="fr-CA" w:eastAsia="en-CA"/>
        </w:rPr>
        <w:t xml:space="preserve">, pour l’intervenante </w:t>
      </w:r>
      <w:proofErr w:type="spellStart"/>
      <w:r w:rsidRPr="007A5455">
        <w:rPr>
          <w:rFonts w:eastAsia="Times New Roman" w:cs="Times New Roman"/>
          <w:sz w:val="20"/>
          <w:szCs w:val="20"/>
          <w:lang w:val="fr-CA" w:eastAsia="en-CA"/>
        </w:rPr>
        <w:t>Parkdale</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sz w:val="20"/>
          <w:szCs w:val="20"/>
          <w:lang w:val="fr-CA" w:eastAsia="en-CA"/>
        </w:rPr>
        <w:t>Community</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sz w:val="20"/>
          <w:szCs w:val="20"/>
          <w:lang w:val="fr-CA" w:eastAsia="en-CA"/>
        </w:rPr>
        <w:t>Legal</w:t>
      </w:r>
      <w:proofErr w:type="spellEnd"/>
      <w:r w:rsidRPr="007A5455">
        <w:rPr>
          <w:rFonts w:eastAsia="Times New Roman" w:cs="Times New Roman"/>
          <w:sz w:val="20"/>
          <w:szCs w:val="20"/>
          <w:lang w:val="fr-CA" w:eastAsia="en-CA"/>
        </w:rPr>
        <w:t xml:space="preserve"> Services.</w:t>
      </w:r>
    </w:p>
    <w:p w:rsidR="00A4198B" w:rsidRPr="007A5455" w:rsidRDefault="00A4198B" w:rsidP="00A4198B">
      <w:pPr>
        <w:tabs>
          <w:tab w:val="left" w:pos="1168"/>
        </w:tabs>
        <w:jc w:val="both"/>
        <w:rPr>
          <w:rFonts w:eastAsia="Times New Roman" w:cs="Times New Roman"/>
          <w:i/>
          <w:sz w:val="20"/>
          <w:szCs w:val="20"/>
          <w:lang w:val="fr-CA" w:eastAsia="en-CA"/>
        </w:rPr>
      </w:pPr>
    </w:p>
    <w:p w:rsidR="00A4198B" w:rsidRPr="00A4198B" w:rsidRDefault="00A4198B" w:rsidP="00A4198B">
      <w:pPr>
        <w:tabs>
          <w:tab w:val="left" w:pos="1168"/>
        </w:tabs>
        <w:jc w:val="both"/>
        <w:rPr>
          <w:rFonts w:eastAsia="Times New Roman" w:cs="Times New Roman"/>
          <w:i/>
          <w:sz w:val="20"/>
          <w:szCs w:val="20"/>
          <w:lang w:val="fr-CA" w:eastAsia="en-CA"/>
        </w:rPr>
      </w:pPr>
      <w:r w:rsidRPr="00A4198B">
        <w:rPr>
          <w:rFonts w:eastAsia="Times New Roman" w:cs="Times New Roman"/>
          <w:i/>
          <w:sz w:val="20"/>
          <w:szCs w:val="20"/>
          <w:lang w:val="fr-CA" w:eastAsia="en-CA"/>
        </w:rPr>
        <w:tab/>
        <w:t>Procureurs de l’appelant : </w:t>
      </w:r>
      <w:proofErr w:type="spellStart"/>
      <w:r w:rsidRPr="00A4198B">
        <w:rPr>
          <w:rFonts w:eastAsia="Times New Roman" w:cs="Times New Roman"/>
          <w:i/>
          <w:sz w:val="20"/>
          <w:szCs w:val="20"/>
          <w:lang w:val="fr-CA" w:eastAsia="en-CA"/>
        </w:rPr>
        <w:t>Jackman</w:t>
      </w:r>
      <w:proofErr w:type="spellEnd"/>
      <w:r w:rsidRPr="00A4198B">
        <w:rPr>
          <w:rFonts w:eastAsia="Times New Roman" w:cs="Times New Roman"/>
          <w:i/>
          <w:sz w:val="20"/>
          <w:szCs w:val="20"/>
          <w:lang w:val="fr-CA" w:eastAsia="en-CA"/>
        </w:rPr>
        <w:t xml:space="preserve">, </w:t>
      </w:r>
      <w:proofErr w:type="spellStart"/>
      <w:r w:rsidRPr="00A4198B">
        <w:rPr>
          <w:rFonts w:eastAsia="Times New Roman" w:cs="Times New Roman"/>
          <w:i/>
          <w:sz w:val="20"/>
          <w:szCs w:val="20"/>
          <w:lang w:val="fr-CA" w:eastAsia="en-CA"/>
        </w:rPr>
        <w:t>Nazami</w:t>
      </w:r>
      <w:proofErr w:type="spellEnd"/>
      <w:r w:rsidRPr="00A4198B">
        <w:rPr>
          <w:rFonts w:eastAsia="Times New Roman" w:cs="Times New Roman"/>
          <w:i/>
          <w:sz w:val="20"/>
          <w:szCs w:val="20"/>
          <w:lang w:val="fr-CA" w:eastAsia="en-CA"/>
        </w:rPr>
        <w:t xml:space="preserve"> &amp; Associates, Toronto.</w:t>
      </w:r>
    </w:p>
    <w:p w:rsidR="00A4198B" w:rsidRPr="007A5455" w:rsidRDefault="00A4198B" w:rsidP="00A4198B">
      <w:pPr>
        <w:tabs>
          <w:tab w:val="left" w:pos="1168"/>
        </w:tabs>
        <w:jc w:val="both"/>
        <w:rPr>
          <w:rFonts w:eastAsia="Times New Roman" w:cs="Times New Roman"/>
          <w:i/>
          <w:sz w:val="20"/>
          <w:szCs w:val="20"/>
          <w:lang w:val="fr-CA" w:eastAsia="en-CA"/>
        </w:rPr>
      </w:pPr>
    </w:p>
    <w:p w:rsidR="00A4198B" w:rsidRPr="00A4198B" w:rsidRDefault="00A4198B" w:rsidP="00A4198B">
      <w:pPr>
        <w:tabs>
          <w:tab w:val="left" w:pos="1168"/>
        </w:tabs>
        <w:jc w:val="both"/>
        <w:rPr>
          <w:rFonts w:eastAsia="Times New Roman" w:cs="Times New Roman"/>
          <w:i/>
          <w:sz w:val="20"/>
          <w:szCs w:val="20"/>
          <w:lang w:val="fr-CA" w:eastAsia="en-CA"/>
        </w:rPr>
      </w:pPr>
      <w:r w:rsidRPr="00A4198B">
        <w:rPr>
          <w:rFonts w:eastAsia="Times New Roman" w:cs="Times New Roman"/>
          <w:i/>
          <w:sz w:val="20"/>
          <w:szCs w:val="20"/>
          <w:lang w:val="fr-CA" w:eastAsia="en-CA"/>
        </w:rPr>
        <w:tab/>
        <w:t>Procureur de l’intimé : Procureur général du Canada, Toronto.</w:t>
      </w:r>
    </w:p>
    <w:p w:rsidR="00A4198B" w:rsidRPr="007A5455" w:rsidRDefault="00A4198B" w:rsidP="00A4198B">
      <w:pPr>
        <w:tabs>
          <w:tab w:val="left" w:pos="1168"/>
        </w:tabs>
        <w:jc w:val="both"/>
        <w:rPr>
          <w:rFonts w:eastAsia="Times New Roman" w:cs="Times New Roman"/>
          <w:i/>
          <w:sz w:val="20"/>
          <w:szCs w:val="20"/>
          <w:lang w:val="fr-CA" w:eastAsia="en-CA"/>
        </w:rPr>
      </w:pPr>
    </w:p>
    <w:p w:rsidR="00A4198B" w:rsidRPr="00A4198B" w:rsidRDefault="00A4198B" w:rsidP="00A4198B">
      <w:pPr>
        <w:tabs>
          <w:tab w:val="left" w:pos="1168"/>
        </w:tabs>
        <w:jc w:val="both"/>
        <w:rPr>
          <w:rFonts w:eastAsia="Times New Roman" w:cs="Times New Roman"/>
          <w:i/>
          <w:sz w:val="20"/>
          <w:szCs w:val="20"/>
          <w:lang w:val="fr-CA" w:eastAsia="en-CA"/>
        </w:rPr>
      </w:pPr>
      <w:r w:rsidRPr="00A4198B">
        <w:rPr>
          <w:rFonts w:eastAsia="Times New Roman" w:cs="Times New Roman"/>
          <w:i/>
          <w:sz w:val="20"/>
          <w:szCs w:val="20"/>
          <w:lang w:val="fr-CA" w:eastAsia="en-CA"/>
        </w:rPr>
        <w:tab/>
        <w:t>Procureurs de l’intervenant le Conseil canadien pour les réfugiés : </w:t>
      </w:r>
      <w:proofErr w:type="spellStart"/>
      <w:r w:rsidRPr="00A4198B">
        <w:rPr>
          <w:rFonts w:eastAsia="Times New Roman" w:cs="Times New Roman"/>
          <w:i/>
          <w:sz w:val="20"/>
          <w:szCs w:val="20"/>
          <w:lang w:val="fr-CA" w:eastAsia="en-CA"/>
        </w:rPr>
        <w:t>Neighbourhood</w:t>
      </w:r>
      <w:proofErr w:type="spellEnd"/>
      <w:r w:rsidRPr="00A4198B">
        <w:rPr>
          <w:rFonts w:eastAsia="Times New Roman" w:cs="Times New Roman"/>
          <w:i/>
          <w:sz w:val="20"/>
          <w:szCs w:val="20"/>
          <w:lang w:val="fr-CA" w:eastAsia="en-CA"/>
        </w:rPr>
        <w:t xml:space="preserve"> </w:t>
      </w:r>
      <w:proofErr w:type="spellStart"/>
      <w:r w:rsidRPr="00A4198B">
        <w:rPr>
          <w:rFonts w:eastAsia="Times New Roman" w:cs="Times New Roman"/>
          <w:i/>
          <w:sz w:val="20"/>
          <w:szCs w:val="20"/>
          <w:lang w:val="fr-CA" w:eastAsia="en-CA"/>
        </w:rPr>
        <w:t>Legal</w:t>
      </w:r>
      <w:proofErr w:type="spellEnd"/>
      <w:r w:rsidRPr="00A4198B">
        <w:rPr>
          <w:rFonts w:eastAsia="Times New Roman" w:cs="Times New Roman"/>
          <w:i/>
          <w:sz w:val="20"/>
          <w:szCs w:val="20"/>
          <w:lang w:val="fr-CA" w:eastAsia="en-CA"/>
        </w:rPr>
        <w:t xml:space="preserve"> Services, Toronto; Services juridiques communautaires d’Ottawa, Ottawa.</w:t>
      </w:r>
    </w:p>
    <w:p w:rsidR="00A4198B" w:rsidRPr="007A5455" w:rsidRDefault="00A4198B" w:rsidP="00A4198B">
      <w:pPr>
        <w:tabs>
          <w:tab w:val="left" w:pos="1168"/>
        </w:tabs>
        <w:jc w:val="both"/>
        <w:rPr>
          <w:rFonts w:eastAsia="Times New Roman" w:cs="Times New Roman"/>
          <w:i/>
          <w:sz w:val="20"/>
          <w:szCs w:val="20"/>
          <w:lang w:val="fr-CA" w:eastAsia="en-CA"/>
        </w:rPr>
      </w:pPr>
    </w:p>
    <w:p w:rsidR="00A4198B" w:rsidRPr="00A4198B" w:rsidRDefault="00A4198B" w:rsidP="00A4198B">
      <w:pPr>
        <w:tabs>
          <w:tab w:val="left" w:pos="1168"/>
        </w:tabs>
        <w:jc w:val="both"/>
        <w:rPr>
          <w:rFonts w:eastAsia="Times New Roman" w:cs="Times New Roman"/>
          <w:i/>
          <w:sz w:val="20"/>
          <w:szCs w:val="20"/>
          <w:lang w:eastAsia="en-CA"/>
        </w:rPr>
      </w:pPr>
      <w:r w:rsidRPr="00A4198B">
        <w:rPr>
          <w:rFonts w:eastAsia="Times New Roman" w:cs="Times New Roman"/>
          <w:i/>
          <w:sz w:val="20"/>
          <w:szCs w:val="20"/>
          <w:lang w:val="fr-CA" w:eastAsia="en-CA"/>
        </w:rPr>
        <w:tab/>
      </w:r>
      <w:proofErr w:type="spellStart"/>
      <w:r w:rsidRPr="00A4198B">
        <w:rPr>
          <w:rFonts w:eastAsia="Times New Roman" w:cs="Times New Roman"/>
          <w:i/>
          <w:sz w:val="20"/>
          <w:szCs w:val="20"/>
          <w:lang w:eastAsia="en-CA"/>
        </w:rPr>
        <w:t>Procureur</w:t>
      </w:r>
      <w:proofErr w:type="spellEnd"/>
      <w:r w:rsidRPr="00A4198B">
        <w:rPr>
          <w:rFonts w:eastAsia="Times New Roman" w:cs="Times New Roman"/>
          <w:i/>
          <w:sz w:val="20"/>
          <w:szCs w:val="20"/>
          <w:lang w:eastAsia="en-CA"/>
        </w:rPr>
        <w:t xml:space="preserve"> de </w:t>
      </w:r>
      <w:proofErr w:type="spellStart"/>
      <w:r w:rsidRPr="00A4198B">
        <w:rPr>
          <w:rFonts w:eastAsia="Times New Roman" w:cs="Times New Roman"/>
          <w:i/>
          <w:sz w:val="20"/>
          <w:szCs w:val="20"/>
          <w:lang w:eastAsia="en-CA"/>
        </w:rPr>
        <w:t>l’intervenante</w:t>
      </w:r>
      <w:proofErr w:type="spellEnd"/>
      <w:r w:rsidRPr="00A4198B">
        <w:rPr>
          <w:rFonts w:eastAsia="Times New Roman" w:cs="Times New Roman"/>
          <w:i/>
          <w:sz w:val="20"/>
          <w:szCs w:val="20"/>
          <w:lang w:eastAsia="en-CA"/>
        </w:rPr>
        <w:t xml:space="preserve"> Justice for Children and </w:t>
      </w:r>
      <w:proofErr w:type="gramStart"/>
      <w:r w:rsidRPr="00A4198B">
        <w:rPr>
          <w:rFonts w:eastAsia="Times New Roman" w:cs="Times New Roman"/>
          <w:i/>
          <w:sz w:val="20"/>
          <w:szCs w:val="20"/>
          <w:lang w:eastAsia="en-CA"/>
        </w:rPr>
        <w:t>Youth :</w:t>
      </w:r>
      <w:proofErr w:type="gramEnd"/>
      <w:r w:rsidRPr="00A4198B">
        <w:rPr>
          <w:rFonts w:eastAsia="Times New Roman" w:cs="Times New Roman"/>
          <w:i/>
          <w:sz w:val="20"/>
          <w:szCs w:val="20"/>
          <w:lang w:eastAsia="en-CA"/>
        </w:rPr>
        <w:t> Justice for Children and Youth, Toronto.</w:t>
      </w:r>
    </w:p>
    <w:p w:rsidR="00A4198B" w:rsidRPr="007A5455" w:rsidRDefault="00A4198B" w:rsidP="00A4198B">
      <w:pPr>
        <w:tabs>
          <w:tab w:val="left" w:pos="1168"/>
        </w:tabs>
        <w:jc w:val="both"/>
        <w:rPr>
          <w:rFonts w:eastAsia="Times New Roman" w:cs="Times New Roman"/>
          <w:i/>
          <w:sz w:val="20"/>
          <w:szCs w:val="20"/>
          <w:lang w:eastAsia="en-CA"/>
        </w:rPr>
      </w:pPr>
    </w:p>
    <w:p w:rsidR="00A4198B" w:rsidRPr="00A4198B" w:rsidRDefault="00A4198B" w:rsidP="00A4198B">
      <w:pPr>
        <w:tabs>
          <w:tab w:val="left" w:pos="1168"/>
        </w:tabs>
        <w:jc w:val="both"/>
        <w:rPr>
          <w:rFonts w:eastAsia="Times New Roman" w:cs="Times New Roman"/>
          <w:i/>
          <w:sz w:val="20"/>
          <w:szCs w:val="20"/>
          <w:lang w:eastAsia="en-CA"/>
        </w:rPr>
      </w:pPr>
      <w:r w:rsidRPr="00A4198B">
        <w:rPr>
          <w:rFonts w:eastAsia="Times New Roman" w:cs="Times New Roman"/>
          <w:i/>
          <w:sz w:val="20"/>
          <w:szCs w:val="20"/>
          <w:lang w:eastAsia="en-CA"/>
        </w:rPr>
        <w:tab/>
      </w:r>
      <w:proofErr w:type="spellStart"/>
      <w:r w:rsidRPr="00A4198B">
        <w:rPr>
          <w:rFonts w:eastAsia="Times New Roman" w:cs="Times New Roman"/>
          <w:i/>
          <w:sz w:val="20"/>
          <w:szCs w:val="20"/>
          <w:lang w:eastAsia="en-CA"/>
        </w:rPr>
        <w:t>Procureurs</w:t>
      </w:r>
      <w:proofErr w:type="spellEnd"/>
      <w:r w:rsidRPr="00A4198B">
        <w:rPr>
          <w:rFonts w:eastAsia="Times New Roman" w:cs="Times New Roman"/>
          <w:i/>
          <w:sz w:val="20"/>
          <w:szCs w:val="20"/>
          <w:lang w:eastAsia="en-CA"/>
        </w:rPr>
        <w:t xml:space="preserve"> des </w:t>
      </w:r>
      <w:proofErr w:type="spellStart"/>
      <w:r w:rsidRPr="00A4198B">
        <w:rPr>
          <w:rFonts w:eastAsia="Times New Roman" w:cs="Times New Roman"/>
          <w:i/>
          <w:sz w:val="20"/>
          <w:szCs w:val="20"/>
          <w:lang w:eastAsia="en-CA"/>
        </w:rPr>
        <w:t>intervenants</w:t>
      </w:r>
      <w:proofErr w:type="spellEnd"/>
      <w:r w:rsidRPr="00A4198B">
        <w:rPr>
          <w:rFonts w:eastAsia="Times New Roman" w:cs="Times New Roman"/>
          <w:i/>
          <w:sz w:val="20"/>
          <w:szCs w:val="20"/>
          <w:lang w:eastAsia="en-CA"/>
        </w:rPr>
        <w:t xml:space="preserve"> Barbra </w:t>
      </w:r>
      <w:proofErr w:type="spellStart"/>
      <w:r w:rsidRPr="00A4198B">
        <w:rPr>
          <w:rFonts w:eastAsia="Times New Roman" w:cs="Times New Roman"/>
          <w:i/>
          <w:sz w:val="20"/>
          <w:szCs w:val="20"/>
          <w:lang w:eastAsia="en-CA"/>
        </w:rPr>
        <w:t>Schlifer</w:t>
      </w:r>
      <w:proofErr w:type="spellEnd"/>
      <w:r w:rsidRPr="00A4198B">
        <w:rPr>
          <w:rFonts w:eastAsia="Times New Roman" w:cs="Times New Roman"/>
          <w:i/>
          <w:sz w:val="20"/>
          <w:szCs w:val="20"/>
          <w:lang w:eastAsia="en-CA"/>
        </w:rPr>
        <w:t xml:space="preserve"> Commemorative Clinic et Canadian Centre for Victims of </w:t>
      </w:r>
      <w:proofErr w:type="gramStart"/>
      <w:r w:rsidRPr="00A4198B">
        <w:rPr>
          <w:rFonts w:eastAsia="Times New Roman" w:cs="Times New Roman"/>
          <w:i/>
          <w:sz w:val="20"/>
          <w:szCs w:val="20"/>
          <w:lang w:eastAsia="en-CA"/>
        </w:rPr>
        <w:t>Torture :</w:t>
      </w:r>
      <w:proofErr w:type="gramEnd"/>
      <w:r w:rsidRPr="00A4198B">
        <w:rPr>
          <w:rFonts w:eastAsia="Times New Roman" w:cs="Times New Roman"/>
          <w:i/>
          <w:sz w:val="20"/>
          <w:szCs w:val="20"/>
          <w:lang w:eastAsia="en-CA"/>
        </w:rPr>
        <w:t xml:space="preserve"> Refugee Law Office, Toronto; Services </w:t>
      </w:r>
      <w:proofErr w:type="spellStart"/>
      <w:r w:rsidRPr="00A4198B">
        <w:rPr>
          <w:rFonts w:eastAsia="Times New Roman" w:cs="Times New Roman"/>
          <w:i/>
          <w:sz w:val="20"/>
          <w:szCs w:val="20"/>
          <w:lang w:eastAsia="en-CA"/>
        </w:rPr>
        <w:t>juridiques</w:t>
      </w:r>
      <w:proofErr w:type="spellEnd"/>
      <w:r w:rsidRPr="00A4198B">
        <w:rPr>
          <w:rFonts w:eastAsia="Times New Roman" w:cs="Times New Roman"/>
          <w:i/>
          <w:sz w:val="20"/>
          <w:szCs w:val="20"/>
          <w:lang w:eastAsia="en-CA"/>
        </w:rPr>
        <w:t xml:space="preserve"> </w:t>
      </w:r>
      <w:proofErr w:type="spellStart"/>
      <w:r w:rsidRPr="00A4198B">
        <w:rPr>
          <w:rFonts w:eastAsia="Times New Roman" w:cs="Times New Roman"/>
          <w:i/>
          <w:sz w:val="20"/>
          <w:szCs w:val="20"/>
          <w:lang w:eastAsia="en-CA"/>
        </w:rPr>
        <w:t>communautaires</w:t>
      </w:r>
      <w:proofErr w:type="spellEnd"/>
      <w:r w:rsidRPr="00A4198B">
        <w:rPr>
          <w:rFonts w:eastAsia="Times New Roman" w:cs="Times New Roman"/>
          <w:i/>
          <w:sz w:val="20"/>
          <w:szCs w:val="20"/>
          <w:lang w:eastAsia="en-CA"/>
        </w:rPr>
        <w:t xml:space="preserve"> </w:t>
      </w:r>
      <w:proofErr w:type="spellStart"/>
      <w:r w:rsidRPr="00A4198B">
        <w:rPr>
          <w:rFonts w:eastAsia="Times New Roman" w:cs="Times New Roman"/>
          <w:i/>
          <w:sz w:val="20"/>
          <w:szCs w:val="20"/>
          <w:lang w:eastAsia="en-CA"/>
        </w:rPr>
        <w:t>d’Ottawa</w:t>
      </w:r>
      <w:proofErr w:type="spellEnd"/>
      <w:r w:rsidRPr="00A4198B">
        <w:rPr>
          <w:rFonts w:eastAsia="Times New Roman" w:cs="Times New Roman"/>
          <w:i/>
          <w:sz w:val="20"/>
          <w:szCs w:val="20"/>
          <w:lang w:eastAsia="en-CA"/>
        </w:rPr>
        <w:t xml:space="preserve">, Ottawa; Barbra </w:t>
      </w:r>
      <w:proofErr w:type="spellStart"/>
      <w:r w:rsidRPr="00A4198B">
        <w:rPr>
          <w:rFonts w:eastAsia="Times New Roman" w:cs="Times New Roman"/>
          <w:i/>
          <w:sz w:val="20"/>
          <w:szCs w:val="20"/>
          <w:lang w:eastAsia="en-CA"/>
        </w:rPr>
        <w:t>Schlifer</w:t>
      </w:r>
      <w:proofErr w:type="spellEnd"/>
      <w:r w:rsidRPr="00A4198B">
        <w:rPr>
          <w:rFonts w:eastAsia="Times New Roman" w:cs="Times New Roman"/>
          <w:i/>
          <w:sz w:val="20"/>
          <w:szCs w:val="20"/>
          <w:lang w:eastAsia="en-CA"/>
        </w:rPr>
        <w:t xml:space="preserve"> Commemorative Clinic, Toronto.</w:t>
      </w:r>
    </w:p>
    <w:p w:rsidR="00A4198B" w:rsidRPr="007A5455" w:rsidRDefault="00A4198B" w:rsidP="00A4198B">
      <w:pPr>
        <w:tabs>
          <w:tab w:val="left" w:pos="1168"/>
        </w:tabs>
        <w:jc w:val="both"/>
        <w:rPr>
          <w:rFonts w:eastAsia="Times New Roman" w:cs="Times New Roman"/>
          <w:i/>
          <w:sz w:val="20"/>
          <w:szCs w:val="20"/>
          <w:lang w:eastAsia="en-CA"/>
        </w:rPr>
      </w:pPr>
    </w:p>
    <w:p w:rsidR="00A4198B" w:rsidRPr="00A4198B" w:rsidRDefault="00A4198B" w:rsidP="00A4198B">
      <w:pPr>
        <w:tabs>
          <w:tab w:val="left" w:pos="1168"/>
        </w:tabs>
        <w:jc w:val="both"/>
        <w:rPr>
          <w:rFonts w:eastAsia="Times New Roman" w:cs="Times New Roman"/>
          <w:i/>
          <w:sz w:val="20"/>
          <w:szCs w:val="20"/>
          <w:lang w:val="fr-CA" w:eastAsia="en-CA"/>
        </w:rPr>
      </w:pPr>
      <w:r w:rsidRPr="00A4198B">
        <w:rPr>
          <w:rFonts w:eastAsia="Times New Roman" w:cs="Times New Roman"/>
          <w:i/>
          <w:sz w:val="20"/>
          <w:szCs w:val="20"/>
          <w:lang w:eastAsia="en-CA"/>
        </w:rPr>
        <w:tab/>
      </w:r>
      <w:r w:rsidRPr="00A4198B">
        <w:rPr>
          <w:rFonts w:eastAsia="Times New Roman" w:cs="Times New Roman"/>
          <w:i/>
          <w:sz w:val="20"/>
          <w:szCs w:val="20"/>
          <w:lang w:val="fr-CA" w:eastAsia="en-CA"/>
        </w:rPr>
        <w:t xml:space="preserve">Procureur de l’intervenante </w:t>
      </w:r>
      <w:r w:rsidRPr="007A5455">
        <w:rPr>
          <w:rFonts w:eastAsia="Times New Roman" w:cs="Times New Roman"/>
          <w:i/>
          <w:sz w:val="20"/>
          <w:szCs w:val="20"/>
          <w:lang w:val="fr-CA" w:eastAsia="en-CA"/>
        </w:rPr>
        <w:t>l’</w:t>
      </w:r>
      <w:r w:rsidRPr="00A4198B">
        <w:rPr>
          <w:rFonts w:eastAsia="Times New Roman" w:cs="Times New Roman"/>
          <w:i/>
          <w:sz w:val="20"/>
          <w:szCs w:val="20"/>
          <w:lang w:val="fr-CA" w:eastAsia="en-CA"/>
        </w:rPr>
        <w:t>Association canadienne des avocats et avocates en droit des réfugiés : Université de Toronto, Toronto.</w:t>
      </w:r>
    </w:p>
    <w:p w:rsidR="00A4198B" w:rsidRPr="007A5455" w:rsidRDefault="00A4198B" w:rsidP="00A4198B">
      <w:pPr>
        <w:rPr>
          <w:rFonts w:eastAsia="Times New Roman" w:cs="Times New Roman"/>
          <w:sz w:val="20"/>
          <w:szCs w:val="20"/>
          <w:lang w:val="fr-CA" w:eastAsia="en-CA"/>
        </w:rPr>
      </w:pPr>
    </w:p>
    <w:p w:rsidR="006874C7" w:rsidRPr="007A5455" w:rsidRDefault="00A4198B" w:rsidP="00A4198B">
      <w:pPr>
        <w:tabs>
          <w:tab w:val="left" w:pos="1170"/>
        </w:tabs>
        <w:rPr>
          <w:rFonts w:eastAsia="Times New Roman" w:cs="Times New Roman"/>
          <w:sz w:val="20"/>
          <w:szCs w:val="20"/>
          <w:lang w:val="fr-CA" w:eastAsia="en-CA"/>
        </w:rPr>
      </w:pPr>
      <w:r w:rsidRPr="007A5455">
        <w:rPr>
          <w:rFonts w:eastAsia="Times New Roman" w:cs="Times New Roman"/>
          <w:sz w:val="20"/>
          <w:szCs w:val="20"/>
          <w:lang w:val="fr-CA" w:eastAsia="en-CA"/>
        </w:rPr>
        <w:tab/>
        <w:t xml:space="preserve">Procureurs de l’intervenante </w:t>
      </w:r>
      <w:proofErr w:type="spellStart"/>
      <w:r w:rsidRPr="007A5455">
        <w:rPr>
          <w:rFonts w:eastAsia="Times New Roman" w:cs="Times New Roman"/>
          <w:sz w:val="20"/>
          <w:szCs w:val="20"/>
          <w:lang w:val="fr-CA" w:eastAsia="en-CA"/>
        </w:rPr>
        <w:t>Parkdale</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sz w:val="20"/>
          <w:szCs w:val="20"/>
          <w:lang w:val="fr-CA" w:eastAsia="en-CA"/>
        </w:rPr>
        <w:t>Community</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sz w:val="20"/>
          <w:szCs w:val="20"/>
          <w:lang w:val="fr-CA" w:eastAsia="en-CA"/>
        </w:rPr>
        <w:t>Legal</w:t>
      </w:r>
      <w:proofErr w:type="spellEnd"/>
      <w:r w:rsidRPr="007A5455">
        <w:rPr>
          <w:rFonts w:eastAsia="Times New Roman" w:cs="Times New Roman"/>
          <w:sz w:val="20"/>
          <w:szCs w:val="20"/>
          <w:lang w:val="fr-CA" w:eastAsia="en-CA"/>
        </w:rPr>
        <w:t xml:space="preserve"> Services : </w:t>
      </w:r>
      <w:proofErr w:type="spellStart"/>
      <w:r w:rsidRPr="007A5455">
        <w:rPr>
          <w:rFonts w:eastAsia="Times New Roman" w:cs="Times New Roman"/>
          <w:sz w:val="20"/>
          <w:szCs w:val="20"/>
          <w:lang w:val="fr-CA" w:eastAsia="en-CA"/>
        </w:rPr>
        <w:t>Poulton</w:t>
      </w:r>
      <w:proofErr w:type="spellEnd"/>
      <w:r w:rsidRPr="007A5455">
        <w:rPr>
          <w:rFonts w:eastAsia="Times New Roman" w:cs="Times New Roman"/>
          <w:sz w:val="20"/>
          <w:szCs w:val="20"/>
          <w:lang w:val="fr-CA" w:eastAsia="en-CA"/>
        </w:rPr>
        <w:t xml:space="preserve"> Law Office, Toronto; </w:t>
      </w:r>
      <w:proofErr w:type="spellStart"/>
      <w:r w:rsidRPr="007A5455">
        <w:rPr>
          <w:rFonts w:eastAsia="Times New Roman" w:cs="Times New Roman"/>
          <w:sz w:val="20"/>
          <w:szCs w:val="20"/>
          <w:lang w:val="fr-CA" w:eastAsia="en-CA"/>
        </w:rPr>
        <w:t>Parkdale</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sz w:val="20"/>
          <w:szCs w:val="20"/>
          <w:lang w:val="fr-CA" w:eastAsia="en-CA"/>
        </w:rPr>
        <w:t>Community</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sz w:val="20"/>
          <w:szCs w:val="20"/>
          <w:lang w:val="fr-CA" w:eastAsia="en-CA"/>
        </w:rPr>
        <w:t>Legal</w:t>
      </w:r>
      <w:proofErr w:type="spellEnd"/>
      <w:r w:rsidRPr="007A5455">
        <w:rPr>
          <w:rFonts w:eastAsia="Times New Roman" w:cs="Times New Roman"/>
          <w:sz w:val="20"/>
          <w:szCs w:val="20"/>
          <w:lang w:val="fr-CA" w:eastAsia="en-CA"/>
        </w:rPr>
        <w:t xml:space="preserve"> Services, Toronto.</w:t>
      </w:r>
    </w:p>
    <w:p w:rsidR="00840F54" w:rsidRPr="007A5455" w:rsidRDefault="00840F54" w:rsidP="00A4198B">
      <w:pPr>
        <w:tabs>
          <w:tab w:val="left" w:pos="1170"/>
        </w:tabs>
        <w:rPr>
          <w:rFonts w:cs="Times New Roman"/>
          <w:sz w:val="20"/>
          <w:szCs w:val="20"/>
        </w:rPr>
      </w:pPr>
    </w:p>
    <w:p w:rsidR="006874C7" w:rsidRPr="007A5455" w:rsidRDefault="001F68BE" w:rsidP="0052229C">
      <w:pPr>
        <w:rPr>
          <w:rFonts w:cs="Times New Roman"/>
          <w:sz w:val="20"/>
          <w:szCs w:val="20"/>
        </w:rPr>
      </w:pPr>
      <w:r>
        <w:rPr>
          <w:rFonts w:cs="Times New Roman"/>
          <w:sz w:val="20"/>
          <w:szCs w:val="20"/>
          <w:lang w:val="fr-CA"/>
        </w:rPr>
        <w:pict>
          <v:rect id="_x0000_i1088" style="width:144.3pt;height:1pt" o:hrpct="300" o:hralign="center" o:hrstd="t" o:hrnoshade="t" o:hr="t" fillcolor="black [3213]" stroked="f"/>
        </w:pict>
      </w:r>
    </w:p>
    <w:p w:rsidR="006248DF" w:rsidRPr="007A5455" w:rsidRDefault="006248DF" w:rsidP="005C6840">
      <w:pPr>
        <w:rPr>
          <w:lang w:val="fr-CA"/>
        </w:rPr>
      </w:pPr>
    </w:p>
    <w:p w:rsidR="005C6840" w:rsidRPr="007A5455" w:rsidRDefault="005C6840" w:rsidP="005C6840">
      <w:pPr>
        <w:rPr>
          <w:lang w:val="fr-CA"/>
        </w:rPr>
      </w:pPr>
      <w:r w:rsidRPr="007A5455">
        <w:rPr>
          <w:lang w:val="fr-CA"/>
        </w:rPr>
        <w:br w:type="page"/>
      </w:r>
    </w:p>
    <w:p w:rsidR="0052229C" w:rsidRPr="007A5455" w:rsidRDefault="007A5551" w:rsidP="0052229C">
      <w:pPr>
        <w:ind w:left="720" w:hanging="720"/>
        <w:rPr>
          <w:rFonts w:eastAsia="Calibri"/>
          <w:b/>
          <w:sz w:val="20"/>
          <w:szCs w:val="20"/>
        </w:rPr>
      </w:pPr>
      <w:proofErr w:type="gramStart"/>
      <w:r w:rsidRPr="007A5455">
        <w:rPr>
          <w:i/>
          <w:sz w:val="20"/>
          <w:szCs w:val="20"/>
        </w:rPr>
        <w:lastRenderedPageBreak/>
        <w:t>M.M.</w:t>
      </w:r>
      <w:r w:rsidR="0052229C" w:rsidRPr="007A5455">
        <w:rPr>
          <w:i/>
          <w:sz w:val="20"/>
          <w:szCs w:val="20"/>
        </w:rPr>
        <w:t>.</w:t>
      </w:r>
      <w:proofErr w:type="gramEnd"/>
      <w:r w:rsidR="0052229C" w:rsidRPr="007A5455">
        <w:rPr>
          <w:i/>
          <w:sz w:val="20"/>
          <w:szCs w:val="20"/>
        </w:rPr>
        <w:t xml:space="preserve"> v. </w:t>
      </w:r>
      <w:r w:rsidRPr="007A5455">
        <w:rPr>
          <w:i/>
          <w:sz w:val="20"/>
          <w:szCs w:val="20"/>
        </w:rPr>
        <w:t>Minister of Justice Canada on behalf of the United States of America</w:t>
      </w:r>
      <w:r w:rsidR="0052229C" w:rsidRPr="007A5455">
        <w:rPr>
          <w:sz w:val="20"/>
          <w:szCs w:val="20"/>
        </w:rPr>
        <w:t xml:space="preserve"> (</w:t>
      </w:r>
      <w:r w:rsidR="00930F68" w:rsidRPr="007A5455">
        <w:rPr>
          <w:sz w:val="20"/>
          <w:szCs w:val="20"/>
        </w:rPr>
        <w:t>Que</w:t>
      </w:r>
      <w:r w:rsidR="0052229C" w:rsidRPr="007A5455">
        <w:rPr>
          <w:sz w:val="20"/>
          <w:szCs w:val="20"/>
        </w:rPr>
        <w:t>.) (</w:t>
      </w:r>
      <w:hyperlink r:id="rId109" w:history="1">
        <w:r w:rsidR="0052229C" w:rsidRPr="007A5455">
          <w:rPr>
            <w:rStyle w:val="Hyperlink"/>
            <w:sz w:val="20"/>
            <w:szCs w:val="20"/>
          </w:rPr>
          <w:t>3</w:t>
        </w:r>
        <w:r w:rsidR="00770337" w:rsidRPr="007A5455">
          <w:rPr>
            <w:rStyle w:val="Hyperlink"/>
            <w:sz w:val="20"/>
            <w:szCs w:val="20"/>
          </w:rPr>
          <w:t>5838</w:t>
        </w:r>
      </w:hyperlink>
      <w:r w:rsidR="0052229C" w:rsidRPr="007A5455">
        <w:rPr>
          <w:sz w:val="20"/>
          <w:szCs w:val="20"/>
        </w:rPr>
        <w:t>)</w:t>
      </w:r>
    </w:p>
    <w:p w:rsidR="0052229C" w:rsidRPr="007A5455" w:rsidRDefault="007A5551" w:rsidP="0052229C">
      <w:pPr>
        <w:jc w:val="both"/>
        <w:rPr>
          <w:b/>
          <w:sz w:val="20"/>
          <w:szCs w:val="20"/>
        </w:rPr>
      </w:pPr>
      <w:r w:rsidRPr="007A5455">
        <w:rPr>
          <w:b/>
          <w:sz w:val="20"/>
          <w:szCs w:val="20"/>
        </w:rPr>
        <w:t xml:space="preserve">Indexed as:  </w:t>
      </w:r>
      <w:proofErr w:type="gramStart"/>
      <w:r w:rsidRPr="007A5455">
        <w:rPr>
          <w:b/>
          <w:sz w:val="20"/>
          <w:szCs w:val="20"/>
        </w:rPr>
        <w:t>M.M.</w:t>
      </w:r>
      <w:r w:rsidR="0052229C" w:rsidRPr="007A5455">
        <w:rPr>
          <w:b/>
          <w:sz w:val="20"/>
          <w:szCs w:val="20"/>
        </w:rPr>
        <w:t>.</w:t>
      </w:r>
      <w:proofErr w:type="gramEnd"/>
      <w:r w:rsidR="0052229C" w:rsidRPr="007A5455">
        <w:rPr>
          <w:b/>
          <w:sz w:val="20"/>
          <w:szCs w:val="20"/>
        </w:rPr>
        <w:t xml:space="preserve"> </w:t>
      </w:r>
      <w:r w:rsidR="0052229C" w:rsidRPr="007A5455">
        <w:rPr>
          <w:b/>
          <w:i/>
          <w:sz w:val="20"/>
          <w:szCs w:val="20"/>
        </w:rPr>
        <w:t xml:space="preserve">v. </w:t>
      </w:r>
      <w:r w:rsidRPr="007A5455">
        <w:rPr>
          <w:rStyle w:val="SCCAppellantForIndexChar"/>
          <w:rFonts w:eastAsiaTheme="minorHAnsi"/>
          <w:sz w:val="20"/>
          <w:lang w:val="en-CA"/>
        </w:rPr>
        <w:t>United States of America</w:t>
      </w:r>
      <w:r w:rsidR="0052229C" w:rsidRPr="007A5455">
        <w:rPr>
          <w:rStyle w:val="SCCAppellantForIndexChar"/>
          <w:rFonts w:eastAsiaTheme="minorHAnsi"/>
          <w:sz w:val="20"/>
          <w:lang w:val="en-CA"/>
        </w:rPr>
        <w:t xml:space="preserve"> / </w:t>
      </w:r>
      <w:proofErr w:type="spellStart"/>
      <w:proofErr w:type="gramStart"/>
      <w:r w:rsidR="0052229C" w:rsidRPr="007A5455">
        <w:rPr>
          <w:b/>
          <w:sz w:val="20"/>
          <w:szCs w:val="20"/>
        </w:rPr>
        <w:t>Répertorié</w:t>
      </w:r>
      <w:proofErr w:type="spellEnd"/>
      <w:r w:rsidR="0052229C" w:rsidRPr="007A5455">
        <w:rPr>
          <w:b/>
          <w:sz w:val="20"/>
          <w:szCs w:val="20"/>
        </w:rPr>
        <w:t> :</w:t>
      </w:r>
      <w:proofErr w:type="gramEnd"/>
      <w:r w:rsidR="0052229C" w:rsidRPr="007A5455">
        <w:rPr>
          <w:b/>
          <w:sz w:val="20"/>
          <w:szCs w:val="20"/>
        </w:rPr>
        <w:t> </w:t>
      </w:r>
      <w:r w:rsidRPr="007A5455">
        <w:rPr>
          <w:b/>
          <w:sz w:val="20"/>
          <w:szCs w:val="20"/>
        </w:rPr>
        <w:t> M.M.</w:t>
      </w:r>
      <w:r w:rsidR="0052229C" w:rsidRPr="007A5455">
        <w:rPr>
          <w:b/>
          <w:sz w:val="20"/>
          <w:szCs w:val="20"/>
        </w:rPr>
        <w:t xml:space="preserve"> </w:t>
      </w:r>
      <w:r w:rsidR="0052229C" w:rsidRPr="007A5455">
        <w:rPr>
          <w:b/>
          <w:i/>
          <w:sz w:val="20"/>
          <w:szCs w:val="20"/>
        </w:rPr>
        <w:t xml:space="preserve">c. </w:t>
      </w:r>
      <w:r w:rsidRPr="007A5455">
        <w:rPr>
          <w:b/>
          <w:sz w:val="20"/>
          <w:szCs w:val="20"/>
          <w:lang w:val="fr-CA"/>
        </w:rPr>
        <w:t>États</w:t>
      </w:r>
      <w:r w:rsidRPr="007A5455">
        <w:rPr>
          <w:b/>
          <w:sz w:val="20"/>
          <w:szCs w:val="20"/>
          <w:lang w:val="fr-CA"/>
        </w:rPr>
        <w:noBreakHyphen/>
        <w:t>Unis d’Amérique</w:t>
      </w:r>
    </w:p>
    <w:p w:rsidR="0052229C" w:rsidRPr="007A5455" w:rsidRDefault="0052229C" w:rsidP="0052229C">
      <w:pPr>
        <w:pStyle w:val="SCCSystemYear"/>
        <w:jc w:val="both"/>
        <w:rPr>
          <w:sz w:val="20"/>
        </w:rPr>
      </w:pPr>
      <w:proofErr w:type="spellStart"/>
      <w:r w:rsidRPr="007A5455">
        <w:rPr>
          <w:sz w:val="20"/>
        </w:rPr>
        <w:t>Neutral</w:t>
      </w:r>
      <w:proofErr w:type="spellEnd"/>
      <w:r w:rsidRPr="007A5455">
        <w:rPr>
          <w:sz w:val="20"/>
        </w:rPr>
        <w:t xml:space="preserve"> citation</w:t>
      </w:r>
      <w:proofErr w:type="gramStart"/>
      <w:r w:rsidRPr="007A5455">
        <w:rPr>
          <w:sz w:val="20"/>
        </w:rPr>
        <w:t>:  201</w:t>
      </w:r>
      <w:r w:rsidR="00020DC3" w:rsidRPr="007A5455">
        <w:rPr>
          <w:sz w:val="20"/>
        </w:rPr>
        <w:t>5</w:t>
      </w:r>
      <w:proofErr w:type="gramEnd"/>
      <w:r w:rsidRPr="007A5455">
        <w:rPr>
          <w:sz w:val="20"/>
        </w:rPr>
        <w:t xml:space="preserve"> SCC </w:t>
      </w:r>
      <w:r w:rsidR="003F5463" w:rsidRPr="007A5455">
        <w:rPr>
          <w:sz w:val="20"/>
        </w:rPr>
        <w:t>6</w:t>
      </w:r>
      <w:r w:rsidR="00770337" w:rsidRPr="007A5455">
        <w:rPr>
          <w:sz w:val="20"/>
        </w:rPr>
        <w:t>2</w:t>
      </w:r>
      <w:r w:rsidRPr="007A5455">
        <w:rPr>
          <w:sz w:val="20"/>
        </w:rPr>
        <w:t xml:space="preserve"> / Référence neutre : 201</w:t>
      </w:r>
      <w:r w:rsidR="00020DC3" w:rsidRPr="007A5455">
        <w:rPr>
          <w:sz w:val="20"/>
        </w:rPr>
        <w:t>5</w:t>
      </w:r>
      <w:r w:rsidRPr="007A5455">
        <w:rPr>
          <w:sz w:val="20"/>
        </w:rPr>
        <w:t xml:space="preserve"> CSC </w:t>
      </w:r>
      <w:r w:rsidR="003F5463" w:rsidRPr="007A5455">
        <w:rPr>
          <w:sz w:val="20"/>
        </w:rPr>
        <w:t>6</w:t>
      </w:r>
      <w:r w:rsidR="00770337" w:rsidRPr="007A5455">
        <w:rPr>
          <w:sz w:val="20"/>
        </w:rPr>
        <w:t>2</w:t>
      </w:r>
    </w:p>
    <w:p w:rsidR="0052229C" w:rsidRPr="007A5455" w:rsidRDefault="0052229C" w:rsidP="0052229C">
      <w:pPr>
        <w:rPr>
          <w:sz w:val="20"/>
          <w:szCs w:val="20"/>
          <w:lang w:val="fr-CA"/>
        </w:rPr>
      </w:pPr>
      <w:proofErr w:type="spellStart"/>
      <w:r w:rsidRPr="007A5455">
        <w:rPr>
          <w:sz w:val="20"/>
          <w:szCs w:val="20"/>
          <w:lang w:val="fr-CA"/>
        </w:rPr>
        <w:t>Hearing</w:t>
      </w:r>
      <w:proofErr w:type="spellEnd"/>
      <w:proofErr w:type="gramStart"/>
      <w:r w:rsidRPr="007A5455">
        <w:rPr>
          <w:sz w:val="20"/>
          <w:szCs w:val="20"/>
          <w:lang w:val="fr-CA"/>
        </w:rPr>
        <w:t>:  Ma</w:t>
      </w:r>
      <w:r w:rsidR="00770337" w:rsidRPr="007A5455">
        <w:rPr>
          <w:sz w:val="20"/>
          <w:szCs w:val="20"/>
          <w:lang w:val="fr-CA"/>
        </w:rPr>
        <w:t>rch</w:t>
      </w:r>
      <w:proofErr w:type="gramEnd"/>
      <w:r w:rsidRPr="007A5455">
        <w:rPr>
          <w:sz w:val="20"/>
          <w:szCs w:val="20"/>
          <w:lang w:val="fr-CA"/>
        </w:rPr>
        <w:t xml:space="preserve"> </w:t>
      </w:r>
      <w:r w:rsidR="00770337" w:rsidRPr="007A5455">
        <w:rPr>
          <w:sz w:val="20"/>
          <w:szCs w:val="20"/>
          <w:lang w:val="fr-CA"/>
        </w:rPr>
        <w:t>17</w:t>
      </w:r>
      <w:r w:rsidRPr="007A5455">
        <w:rPr>
          <w:sz w:val="20"/>
          <w:szCs w:val="20"/>
          <w:lang w:val="fr-CA"/>
        </w:rPr>
        <w:t>, 201</w:t>
      </w:r>
      <w:r w:rsidR="00770337" w:rsidRPr="007A5455">
        <w:rPr>
          <w:sz w:val="20"/>
          <w:szCs w:val="20"/>
          <w:lang w:val="fr-CA"/>
        </w:rPr>
        <w:t>5</w:t>
      </w:r>
      <w:r w:rsidRPr="007A5455">
        <w:rPr>
          <w:sz w:val="20"/>
          <w:szCs w:val="20"/>
          <w:lang w:val="fr-CA"/>
        </w:rPr>
        <w:t xml:space="preserve"> / </w:t>
      </w:r>
      <w:proofErr w:type="spellStart"/>
      <w:r w:rsidRPr="007A5455">
        <w:rPr>
          <w:sz w:val="20"/>
          <w:szCs w:val="20"/>
          <w:lang w:val="fr-CA"/>
        </w:rPr>
        <w:t>Judgment</w:t>
      </w:r>
      <w:proofErr w:type="spellEnd"/>
      <w:r w:rsidRPr="007A5455">
        <w:rPr>
          <w:sz w:val="20"/>
          <w:szCs w:val="20"/>
          <w:lang w:val="fr-CA"/>
        </w:rPr>
        <w:t xml:space="preserve">:  </w:t>
      </w:r>
      <w:proofErr w:type="spellStart"/>
      <w:r w:rsidR="00770337" w:rsidRPr="007A5455">
        <w:rPr>
          <w:sz w:val="20"/>
          <w:szCs w:val="20"/>
          <w:lang w:val="fr-CA"/>
        </w:rPr>
        <w:t>December</w:t>
      </w:r>
      <w:proofErr w:type="spellEnd"/>
      <w:r w:rsidRPr="007A5455">
        <w:rPr>
          <w:sz w:val="20"/>
          <w:szCs w:val="20"/>
          <w:lang w:val="fr-CA"/>
        </w:rPr>
        <w:t xml:space="preserve"> 1</w:t>
      </w:r>
      <w:r w:rsidR="00770337" w:rsidRPr="007A5455">
        <w:rPr>
          <w:sz w:val="20"/>
          <w:szCs w:val="20"/>
          <w:lang w:val="fr-CA"/>
        </w:rPr>
        <w:t>1</w:t>
      </w:r>
      <w:r w:rsidRPr="007A5455">
        <w:rPr>
          <w:sz w:val="20"/>
          <w:szCs w:val="20"/>
          <w:lang w:val="fr-CA"/>
        </w:rPr>
        <w:t>, 201</w:t>
      </w:r>
      <w:r w:rsidR="00020DC3" w:rsidRPr="007A5455">
        <w:rPr>
          <w:sz w:val="20"/>
          <w:szCs w:val="20"/>
          <w:lang w:val="fr-CA"/>
        </w:rPr>
        <w:t>5</w:t>
      </w:r>
    </w:p>
    <w:p w:rsidR="0052229C" w:rsidRPr="007A5455" w:rsidRDefault="0052229C" w:rsidP="0052229C">
      <w:pPr>
        <w:rPr>
          <w:sz w:val="20"/>
          <w:szCs w:val="20"/>
          <w:lang w:val="fr-CA"/>
        </w:rPr>
      </w:pPr>
      <w:r w:rsidRPr="007A5455">
        <w:rPr>
          <w:sz w:val="20"/>
          <w:szCs w:val="20"/>
          <w:lang w:val="fr-CA"/>
        </w:rPr>
        <w:t xml:space="preserve">Audition : Le </w:t>
      </w:r>
      <w:r w:rsidR="00770337" w:rsidRPr="007A5455">
        <w:rPr>
          <w:sz w:val="20"/>
          <w:szCs w:val="20"/>
          <w:lang w:val="fr-CA"/>
        </w:rPr>
        <w:t>17</w:t>
      </w:r>
      <w:r w:rsidRPr="007A5455">
        <w:rPr>
          <w:sz w:val="20"/>
          <w:szCs w:val="20"/>
          <w:lang w:val="fr-CA"/>
        </w:rPr>
        <w:t xml:space="preserve"> ma</w:t>
      </w:r>
      <w:r w:rsidR="00770337" w:rsidRPr="007A5455">
        <w:rPr>
          <w:sz w:val="20"/>
          <w:szCs w:val="20"/>
          <w:lang w:val="fr-CA"/>
        </w:rPr>
        <w:t>rs</w:t>
      </w:r>
      <w:r w:rsidRPr="007A5455">
        <w:rPr>
          <w:sz w:val="20"/>
          <w:szCs w:val="20"/>
          <w:lang w:val="fr-CA"/>
        </w:rPr>
        <w:t xml:space="preserve"> 201</w:t>
      </w:r>
      <w:r w:rsidR="00770337" w:rsidRPr="007A5455">
        <w:rPr>
          <w:sz w:val="20"/>
          <w:szCs w:val="20"/>
          <w:lang w:val="fr-CA"/>
        </w:rPr>
        <w:t>5</w:t>
      </w:r>
      <w:r w:rsidRPr="007A5455">
        <w:rPr>
          <w:sz w:val="20"/>
          <w:szCs w:val="20"/>
          <w:lang w:val="fr-CA"/>
        </w:rPr>
        <w:t xml:space="preserve"> / Jugement : Le 1</w:t>
      </w:r>
      <w:r w:rsidR="00770337" w:rsidRPr="007A5455">
        <w:rPr>
          <w:sz w:val="20"/>
          <w:szCs w:val="20"/>
          <w:lang w:val="fr-CA"/>
        </w:rPr>
        <w:t>1</w:t>
      </w:r>
      <w:r w:rsidRPr="007A5455">
        <w:rPr>
          <w:sz w:val="20"/>
          <w:szCs w:val="20"/>
          <w:lang w:val="fr-CA"/>
        </w:rPr>
        <w:t xml:space="preserve"> </w:t>
      </w:r>
      <w:r w:rsidR="00770337" w:rsidRPr="007A5455">
        <w:rPr>
          <w:sz w:val="20"/>
          <w:szCs w:val="20"/>
          <w:lang w:val="fr-CA"/>
        </w:rPr>
        <w:t>décembre</w:t>
      </w:r>
      <w:r w:rsidRPr="007A5455">
        <w:rPr>
          <w:sz w:val="20"/>
          <w:szCs w:val="20"/>
          <w:lang w:val="fr-CA"/>
        </w:rPr>
        <w:t xml:space="preserve"> 201</w:t>
      </w:r>
      <w:r w:rsidR="00020DC3" w:rsidRPr="007A5455">
        <w:rPr>
          <w:sz w:val="20"/>
          <w:szCs w:val="20"/>
          <w:lang w:val="fr-CA"/>
        </w:rPr>
        <w:t>5</w:t>
      </w:r>
    </w:p>
    <w:p w:rsidR="005C6840" w:rsidRPr="007A5455" w:rsidRDefault="001F68BE" w:rsidP="005C6840">
      <w:pPr>
        <w:rPr>
          <w:sz w:val="20"/>
          <w:szCs w:val="20"/>
          <w:lang w:val="fr-CA"/>
        </w:rPr>
      </w:pPr>
      <w:r>
        <w:rPr>
          <w:i/>
          <w:sz w:val="20"/>
          <w:szCs w:val="20"/>
        </w:rPr>
        <w:pict>
          <v:rect id="_x0000_i1089" style="width:480.95pt;height:1pt" o:hralign="center" o:hrstd="t" o:hrnoshade="t" o:hr="t" fillcolor="black [3213]" stroked="f"/>
        </w:pict>
      </w:r>
    </w:p>
    <w:p w:rsidR="005C6840" w:rsidRPr="007A5455" w:rsidRDefault="005C6840" w:rsidP="005C6840">
      <w:pPr>
        <w:spacing w:line="0" w:lineRule="atLeast"/>
        <w:rPr>
          <w:sz w:val="20"/>
          <w:szCs w:val="20"/>
          <w:lang w:val="fr-CA"/>
        </w:rPr>
      </w:pPr>
    </w:p>
    <w:p w:rsidR="0052229C" w:rsidRPr="007A5455" w:rsidRDefault="0052229C" w:rsidP="0052229C">
      <w:pPr>
        <w:jc w:val="both"/>
        <w:rPr>
          <w:sz w:val="20"/>
          <w:szCs w:val="20"/>
        </w:rPr>
      </w:pPr>
      <w:r w:rsidRPr="007A5455">
        <w:rPr>
          <w:sz w:val="20"/>
          <w:szCs w:val="20"/>
        </w:rPr>
        <w:t xml:space="preserve">Present:  </w:t>
      </w:r>
      <w:proofErr w:type="spellStart"/>
      <w:r w:rsidRPr="007A5455">
        <w:rPr>
          <w:sz w:val="20"/>
          <w:szCs w:val="20"/>
        </w:rPr>
        <w:t>McLachlin</w:t>
      </w:r>
      <w:proofErr w:type="spellEnd"/>
      <w:r w:rsidRPr="007A5455">
        <w:rPr>
          <w:sz w:val="20"/>
          <w:szCs w:val="20"/>
        </w:rPr>
        <w:t xml:space="preserve"> C.J. and </w:t>
      </w:r>
      <w:proofErr w:type="spellStart"/>
      <w:r w:rsidR="00CE1E76" w:rsidRPr="007A5455">
        <w:rPr>
          <w:sz w:val="20"/>
          <w:szCs w:val="20"/>
        </w:rPr>
        <w:t>Abella</w:t>
      </w:r>
      <w:proofErr w:type="spellEnd"/>
      <w:r w:rsidRPr="007A5455">
        <w:rPr>
          <w:sz w:val="20"/>
          <w:szCs w:val="20"/>
        </w:rPr>
        <w:t xml:space="preserve">, </w:t>
      </w:r>
      <w:r w:rsidR="00CE1E76" w:rsidRPr="007A5455">
        <w:rPr>
          <w:sz w:val="20"/>
          <w:szCs w:val="20"/>
        </w:rPr>
        <w:t xml:space="preserve">Cromwell, </w:t>
      </w:r>
      <w:proofErr w:type="spellStart"/>
      <w:r w:rsidR="00CE1E76" w:rsidRPr="007A5455">
        <w:rPr>
          <w:sz w:val="20"/>
          <w:szCs w:val="20"/>
        </w:rPr>
        <w:t>Moldaver</w:t>
      </w:r>
      <w:proofErr w:type="spellEnd"/>
      <w:r w:rsidR="00CE1E76" w:rsidRPr="007A5455">
        <w:rPr>
          <w:sz w:val="20"/>
          <w:szCs w:val="20"/>
        </w:rPr>
        <w:t xml:space="preserve">, </w:t>
      </w:r>
      <w:proofErr w:type="spellStart"/>
      <w:r w:rsidR="00CE1E76" w:rsidRPr="007A5455">
        <w:rPr>
          <w:sz w:val="20"/>
          <w:szCs w:val="20"/>
        </w:rPr>
        <w:t>Karakatsanis</w:t>
      </w:r>
      <w:proofErr w:type="spellEnd"/>
      <w:r w:rsidR="00CE1E76" w:rsidRPr="007A5455">
        <w:rPr>
          <w:sz w:val="20"/>
          <w:szCs w:val="20"/>
        </w:rPr>
        <w:t xml:space="preserve">, Wagner </w:t>
      </w:r>
      <w:r w:rsidRPr="007A5455">
        <w:rPr>
          <w:sz w:val="20"/>
          <w:szCs w:val="20"/>
        </w:rPr>
        <w:t xml:space="preserve">and </w:t>
      </w:r>
      <w:proofErr w:type="spellStart"/>
      <w:r w:rsidR="00CE1E76" w:rsidRPr="007A5455">
        <w:rPr>
          <w:sz w:val="20"/>
          <w:szCs w:val="20"/>
        </w:rPr>
        <w:t>Côté</w:t>
      </w:r>
      <w:proofErr w:type="spellEnd"/>
      <w:r w:rsidRPr="007A5455">
        <w:rPr>
          <w:sz w:val="20"/>
          <w:szCs w:val="20"/>
        </w:rPr>
        <w:t> JJ.</w:t>
      </w:r>
    </w:p>
    <w:p w:rsidR="0052229C" w:rsidRPr="007A5455" w:rsidRDefault="0052229C" w:rsidP="002125F7">
      <w:pPr>
        <w:pStyle w:val="SCCNormalDoubleSpacing"/>
        <w:spacing w:line="240" w:lineRule="auto"/>
        <w:rPr>
          <w:sz w:val="20"/>
        </w:rPr>
      </w:pPr>
    </w:p>
    <w:p w:rsidR="002125F7" w:rsidRPr="002125F7" w:rsidRDefault="002125F7" w:rsidP="002125F7">
      <w:pPr>
        <w:tabs>
          <w:tab w:val="left" w:pos="1168"/>
        </w:tabs>
        <w:jc w:val="both"/>
        <w:rPr>
          <w:rFonts w:eastAsia="Times New Roman" w:cs="Times New Roman"/>
          <w:i/>
          <w:sz w:val="20"/>
          <w:szCs w:val="20"/>
          <w:lang w:eastAsia="en-CA"/>
        </w:rPr>
      </w:pPr>
      <w:r w:rsidRPr="002125F7">
        <w:rPr>
          <w:rFonts w:eastAsia="Times New Roman" w:cs="Times New Roman"/>
          <w:sz w:val="20"/>
          <w:szCs w:val="20"/>
          <w:lang w:eastAsia="en-CA"/>
        </w:rPr>
        <w:tab/>
      </w:r>
      <w:r w:rsidRPr="002125F7">
        <w:rPr>
          <w:rFonts w:eastAsia="Times New Roman" w:cs="Times New Roman"/>
          <w:i/>
          <w:sz w:val="20"/>
          <w:szCs w:val="20"/>
          <w:lang w:eastAsia="en-CA"/>
        </w:rPr>
        <w:t>Extradition — Committal hearings — Evidence — Role of extradition judge — Test for committal — Principle of double criminality — Mother of three children facing child abduction charges in U.S. — Whether extradition judge applied correct principles in relation to double criminality and to own role in assessing reliability and sufficiency of evidence — Whether extradition judge should consider evidence about possible defences and other exculpating circumstances in deciding whether to commit for extradition — Whether evidence justified mother’s committal — Extradition Act, S.C. 1999, c. 18, ss. 3(1), 29(1)(a).</w:t>
      </w:r>
    </w:p>
    <w:p w:rsidR="002125F7" w:rsidRPr="007A5455" w:rsidRDefault="002125F7" w:rsidP="002125F7">
      <w:pPr>
        <w:tabs>
          <w:tab w:val="left" w:pos="1168"/>
        </w:tabs>
        <w:jc w:val="both"/>
        <w:rPr>
          <w:rFonts w:eastAsia="Times New Roman" w:cs="Times New Roman"/>
          <w:sz w:val="20"/>
          <w:szCs w:val="20"/>
          <w:lang w:eastAsia="en-CA"/>
        </w:rPr>
      </w:pPr>
    </w:p>
    <w:p w:rsidR="002125F7" w:rsidRPr="002125F7" w:rsidRDefault="002125F7" w:rsidP="002125F7">
      <w:pPr>
        <w:tabs>
          <w:tab w:val="left" w:pos="1168"/>
        </w:tabs>
        <w:jc w:val="both"/>
        <w:rPr>
          <w:rFonts w:eastAsia="Times New Roman" w:cs="Times New Roman"/>
          <w:sz w:val="20"/>
          <w:szCs w:val="20"/>
          <w:lang w:eastAsia="en-CA"/>
        </w:rPr>
      </w:pPr>
      <w:r w:rsidRPr="002125F7">
        <w:rPr>
          <w:rFonts w:eastAsia="Times New Roman" w:cs="Times New Roman"/>
          <w:sz w:val="20"/>
          <w:szCs w:val="20"/>
          <w:lang w:eastAsia="en-CA"/>
        </w:rPr>
        <w:tab/>
      </w:r>
      <w:r w:rsidRPr="002125F7">
        <w:rPr>
          <w:rFonts w:eastAsia="Times New Roman" w:cs="Times New Roman"/>
          <w:i/>
          <w:sz w:val="20"/>
          <w:szCs w:val="20"/>
          <w:lang w:eastAsia="en-CA"/>
        </w:rPr>
        <w:t>Extradition — Surrender order — Judicial review — Extradition Act providing that Minister of Justice shall refuse to order surrender if unjust or oppressive having regard to all relevant circumstances — Minister ordering mother’s surrender for extradition to U.S. to face child abduction charges — Whether Minister gave appropriate consideration to defence of necessity available under Canadian law but not available under law of requesting state — Whether Minister gave appropriate consideration to effect of extradition on best interests of children — Whether Minister’s decision to surrender was reasonable — Extradition Act, S.C. 1999, c. 18, s. 44(1)(a).</w:t>
      </w:r>
    </w:p>
    <w:p w:rsidR="0052229C" w:rsidRPr="007A5455" w:rsidRDefault="0052229C" w:rsidP="0052229C">
      <w:pPr>
        <w:pStyle w:val="SCCNormalDoubleSpacing"/>
        <w:spacing w:line="240" w:lineRule="auto"/>
        <w:rPr>
          <w:sz w:val="20"/>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 xml:space="preserve">M is the mother of three children. The family was living in Georgia when the parents divorced. The Georgia courts awarded the father sole custody of the children. M was given no visitation rights and was permitted no further contact with the children. However, when the father reported the children missing in 2010, Georgia police located M with her children in a battered women’s shelter in Quebec and arrested her. After being placed in foster care, the children were returned to M’s care following her release on bail. The U.S. sought M’s extradition to face prosecution in Georgia for the offence of interstate interference with custody. The Minister of Justice issued an Authority to Proceed (“ATP”) with extradition, listing the corresponding Canadian offences of abduction in the </w:t>
      </w:r>
      <w:r w:rsidRPr="00FF03F1">
        <w:rPr>
          <w:rFonts w:eastAsia="Times New Roman" w:cs="Times New Roman"/>
          <w:i/>
          <w:sz w:val="20"/>
          <w:szCs w:val="20"/>
          <w:lang w:eastAsia="en-CA"/>
        </w:rPr>
        <w:t>Criminal Code</w:t>
      </w:r>
      <w:r w:rsidRPr="00FF03F1">
        <w:rPr>
          <w:rFonts w:eastAsia="Times New Roman" w:cs="Times New Roman"/>
          <w:sz w:val="20"/>
          <w:szCs w:val="20"/>
          <w:lang w:eastAsia="en-CA"/>
        </w:rPr>
        <w:t>. The Quebec Superior Court dismissed the U.S.’s application for M’s committal for extradition. The Court of Appeal for Quebec, however, set aside M’s discharge and ordered her committal for extradition (the “committal order”). The Minister of Justice ordered M’s surrender for extradition, and the Court of Appeal dismissed her application for judicial review of the Minister’s decision (the “surrender order”). M appeals both the committal and the surrender orders.</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r>
      <w:r w:rsidRPr="007A5455">
        <w:rPr>
          <w:rFonts w:eastAsia="Times New Roman" w:cs="Times New Roman"/>
          <w:i/>
          <w:iCs/>
          <w:sz w:val="20"/>
          <w:szCs w:val="20"/>
          <w:lang w:eastAsia="en-CA"/>
        </w:rPr>
        <w:t>Held</w:t>
      </w:r>
      <w:r w:rsidRPr="007A5455">
        <w:rPr>
          <w:rFonts w:eastAsia="Times New Roman" w:cs="Times New Roman"/>
          <w:iCs/>
          <w:sz w:val="20"/>
          <w:szCs w:val="20"/>
          <w:lang w:eastAsia="en-CA"/>
        </w:rPr>
        <w:t xml:space="preserve"> (</w:t>
      </w:r>
      <w:proofErr w:type="spellStart"/>
      <w:r w:rsidRPr="007A5455">
        <w:rPr>
          <w:rFonts w:eastAsia="Times New Roman" w:cs="Times New Roman"/>
          <w:iCs/>
          <w:sz w:val="20"/>
          <w:szCs w:val="20"/>
          <w:lang w:eastAsia="en-CA"/>
        </w:rPr>
        <w:t>Abella</w:t>
      </w:r>
      <w:proofErr w:type="spellEnd"/>
      <w:r w:rsidRPr="007A5455">
        <w:rPr>
          <w:rFonts w:eastAsia="Times New Roman" w:cs="Times New Roman"/>
          <w:iCs/>
          <w:sz w:val="20"/>
          <w:szCs w:val="20"/>
          <w:lang w:eastAsia="en-CA"/>
        </w:rPr>
        <w:t xml:space="preserve">, </w:t>
      </w:r>
      <w:proofErr w:type="spellStart"/>
      <w:r w:rsidRPr="007A5455">
        <w:rPr>
          <w:rFonts w:eastAsia="Times New Roman" w:cs="Times New Roman"/>
          <w:iCs/>
          <w:sz w:val="20"/>
          <w:szCs w:val="20"/>
          <w:lang w:eastAsia="en-CA"/>
        </w:rPr>
        <w:t>Karakatsanis</w:t>
      </w:r>
      <w:proofErr w:type="spellEnd"/>
      <w:r w:rsidRPr="007A5455">
        <w:rPr>
          <w:rFonts w:eastAsia="Times New Roman" w:cs="Times New Roman"/>
          <w:iCs/>
          <w:sz w:val="20"/>
          <w:szCs w:val="20"/>
          <w:lang w:eastAsia="en-CA"/>
        </w:rPr>
        <w:t xml:space="preserve"> and </w:t>
      </w:r>
      <w:proofErr w:type="spellStart"/>
      <w:r w:rsidRPr="007A5455">
        <w:rPr>
          <w:rFonts w:eastAsia="Times New Roman" w:cs="Times New Roman"/>
          <w:iCs/>
          <w:sz w:val="20"/>
          <w:szCs w:val="20"/>
          <w:lang w:eastAsia="en-CA"/>
        </w:rPr>
        <w:t>Côté</w:t>
      </w:r>
      <w:proofErr w:type="spellEnd"/>
      <w:r w:rsidRPr="007A5455">
        <w:rPr>
          <w:rFonts w:eastAsia="Times New Roman" w:cs="Times New Roman"/>
          <w:iCs/>
          <w:sz w:val="20"/>
          <w:szCs w:val="20"/>
          <w:lang w:eastAsia="en-CA"/>
        </w:rPr>
        <w:t xml:space="preserve"> JJ. dissenting): </w:t>
      </w:r>
      <w:r w:rsidRPr="00FF03F1">
        <w:rPr>
          <w:rFonts w:eastAsia="Times New Roman" w:cs="Times New Roman"/>
          <w:sz w:val="20"/>
          <w:szCs w:val="20"/>
          <w:lang w:eastAsia="en-CA"/>
        </w:rPr>
        <w:t>The appeal should be dismissed in relation to both the committal order and the surrender order.</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r>
      <w:r w:rsidRPr="00FF03F1">
        <w:rPr>
          <w:rFonts w:eastAsia="Times New Roman" w:cs="Times New Roman"/>
          <w:i/>
          <w:sz w:val="20"/>
          <w:szCs w:val="20"/>
          <w:lang w:eastAsia="en-CA"/>
        </w:rPr>
        <w:t xml:space="preserve">Per </w:t>
      </w:r>
      <w:proofErr w:type="spellStart"/>
      <w:r w:rsidRPr="00FF03F1">
        <w:rPr>
          <w:rFonts w:eastAsia="Times New Roman" w:cs="Times New Roman"/>
          <w:sz w:val="20"/>
          <w:szCs w:val="20"/>
          <w:lang w:eastAsia="en-CA"/>
        </w:rPr>
        <w:t>McLachlin</w:t>
      </w:r>
      <w:proofErr w:type="spellEnd"/>
      <w:r w:rsidRPr="00FF03F1">
        <w:rPr>
          <w:rFonts w:eastAsia="Times New Roman" w:cs="Times New Roman"/>
          <w:sz w:val="20"/>
          <w:szCs w:val="20"/>
          <w:lang w:eastAsia="en-CA"/>
        </w:rPr>
        <w:t xml:space="preserve"> C.J. and </w:t>
      </w:r>
      <w:r w:rsidRPr="00FF03F1">
        <w:rPr>
          <w:rFonts w:eastAsia="Times New Roman" w:cs="Times New Roman"/>
          <w:b/>
          <w:sz w:val="20"/>
          <w:szCs w:val="20"/>
          <w:lang w:eastAsia="en-CA"/>
        </w:rPr>
        <w:t>Cromwell</w:t>
      </w:r>
      <w:r w:rsidRPr="00FF03F1">
        <w:rPr>
          <w:rFonts w:eastAsia="Times New Roman" w:cs="Times New Roman"/>
          <w:sz w:val="20"/>
          <w:szCs w:val="20"/>
          <w:lang w:eastAsia="en-CA"/>
        </w:rPr>
        <w:t xml:space="preserve">, </w:t>
      </w:r>
      <w:proofErr w:type="spellStart"/>
      <w:r w:rsidRPr="00FF03F1">
        <w:rPr>
          <w:rFonts w:eastAsia="Times New Roman" w:cs="Times New Roman"/>
          <w:sz w:val="20"/>
          <w:szCs w:val="20"/>
          <w:lang w:eastAsia="en-CA"/>
        </w:rPr>
        <w:t>Moldaver</w:t>
      </w:r>
      <w:proofErr w:type="spellEnd"/>
      <w:r w:rsidRPr="00FF03F1">
        <w:rPr>
          <w:rFonts w:eastAsia="Times New Roman" w:cs="Times New Roman"/>
          <w:sz w:val="20"/>
          <w:szCs w:val="20"/>
          <w:lang w:eastAsia="en-CA"/>
        </w:rPr>
        <w:t xml:space="preserve">, and Wagner JJ.: With respect to the committal order, the extradition judge applied incorrect principles in relation to the double criminality requirement and her role in assessing the reliability of the evidence before her. The extradition judge erred in law in weighing and relying on evidence of defences and other exculpatory circumstances, in finding that the requesting state’s evidence did not justify committal, and in relation to her analysis of the Canadian offences. With respect to the surrender order, potential defences and the best interests of children are relevant to the Minister of Justice’s decision making. In this case, the Minister appropriately considered the children’s best interests and raised </w:t>
      </w:r>
      <w:r w:rsidRPr="00FF03F1">
        <w:rPr>
          <w:rFonts w:eastAsia="MS Mincho" w:cs="Times New Roman"/>
          <w:sz w:val="20"/>
          <w:szCs w:val="20"/>
          <w:lang w:eastAsia="en-CA"/>
        </w:rPr>
        <w:t>on his own motion the question of Georgia law in relation to M’s possible defence of qualified necessity.</w:t>
      </w:r>
      <w:r w:rsidRPr="00FF03F1">
        <w:rPr>
          <w:rFonts w:eastAsia="Times New Roman" w:cs="Times New Roman"/>
          <w:sz w:val="20"/>
          <w:szCs w:val="20"/>
          <w:lang w:eastAsia="en-CA"/>
        </w:rPr>
        <w:t xml:space="preserve"> As such, the Minister’s decision to send M to Georgia for trial was reasonable.</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The extradition process serves two important objectives: the prompt compliance with Canada’s international obligations to its extradition partners, and the protection of the rights of the person sought. This requires a careful balancing of the broader purposes of extradition with those individual rights and interests. Extradition is a three-phase process (ATP, committal, and surrender) and, at each stage, concern to balance these interests is apparent. Also underlying all three phases is the broad principle of double criminality expressed in s. 3(1</w:t>
      </w:r>
      <w:proofErr w:type="gramStart"/>
      <w:r w:rsidRPr="00FF03F1">
        <w:rPr>
          <w:rFonts w:eastAsia="Times New Roman" w:cs="Times New Roman"/>
          <w:sz w:val="20"/>
          <w:szCs w:val="20"/>
          <w:lang w:eastAsia="en-CA"/>
        </w:rPr>
        <w:t>)(</w:t>
      </w:r>
      <w:proofErr w:type="gramEnd"/>
      <w:r w:rsidRPr="00FF03F1">
        <w:rPr>
          <w:rFonts w:eastAsia="Times New Roman" w:cs="Times New Roman"/>
          <w:i/>
          <w:sz w:val="20"/>
          <w:szCs w:val="20"/>
          <w:lang w:eastAsia="en-CA"/>
        </w:rPr>
        <w:t>b</w:t>
      </w:r>
      <w:r w:rsidRPr="00FF03F1">
        <w:rPr>
          <w:rFonts w:eastAsia="Times New Roman" w:cs="Times New Roman"/>
          <w:sz w:val="20"/>
          <w:szCs w:val="20"/>
          <w:lang w:eastAsia="en-CA"/>
        </w:rPr>
        <w:t xml:space="preserve">) of the </w:t>
      </w:r>
      <w:r w:rsidRPr="00FF03F1">
        <w:rPr>
          <w:rFonts w:eastAsia="Times New Roman" w:cs="Times New Roman"/>
          <w:i/>
          <w:sz w:val="20"/>
          <w:szCs w:val="20"/>
          <w:lang w:eastAsia="en-CA"/>
        </w:rPr>
        <w:t>Extradition Act</w:t>
      </w:r>
      <w:r w:rsidRPr="00FF03F1">
        <w:rPr>
          <w:rFonts w:eastAsia="Times New Roman" w:cs="Times New Roman"/>
          <w:sz w:val="20"/>
          <w:szCs w:val="20"/>
          <w:lang w:eastAsia="en-CA"/>
        </w:rPr>
        <w:t>, that is, the principle that Canada should not extradite a person to face punishment in another country for conduct that would not be criminal in Canada.</w:t>
      </w: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lastRenderedPageBreak/>
        <w:tab/>
        <w:t>The committal phase of the extradition process serves an important, but circumscribed and limited screening function. The extradition judge is to determine whether there is evidence of conduct that, had it occurred in Canada, would justify committal for trial in Canada on the offence set out in the ATP; if not, the person must be discharged: s. 29(1)(</w:t>
      </w:r>
      <w:r w:rsidRPr="00FF03F1">
        <w:rPr>
          <w:rFonts w:eastAsia="Times New Roman" w:cs="Times New Roman"/>
          <w:i/>
          <w:sz w:val="20"/>
          <w:szCs w:val="20"/>
          <w:lang w:eastAsia="en-CA"/>
        </w:rPr>
        <w:t>a</w:t>
      </w:r>
      <w:r w:rsidRPr="00FF03F1">
        <w:rPr>
          <w:rFonts w:eastAsia="Times New Roman" w:cs="Times New Roman"/>
          <w:sz w:val="20"/>
          <w:szCs w:val="20"/>
          <w:lang w:eastAsia="en-CA"/>
        </w:rPr>
        <w:t xml:space="preserve">) and (3) of the </w:t>
      </w:r>
      <w:r w:rsidRPr="00FF03F1">
        <w:rPr>
          <w:rFonts w:eastAsia="Times New Roman" w:cs="Times New Roman"/>
          <w:i/>
          <w:sz w:val="20"/>
          <w:szCs w:val="20"/>
          <w:lang w:eastAsia="en-CA"/>
        </w:rPr>
        <w:t>Extradition Act</w:t>
      </w:r>
      <w:r w:rsidRPr="00FF03F1">
        <w:rPr>
          <w:rFonts w:eastAsia="Times New Roman" w:cs="Times New Roman"/>
          <w:sz w:val="20"/>
          <w:szCs w:val="20"/>
          <w:lang w:eastAsia="en-CA"/>
        </w:rPr>
        <w:t xml:space="preserve">. This incorporates the test that a justice conducting a preliminary inquiry must apply under Canadian law when deciding whether to commit an accused for trial. The extradition judge’s role is to determine whether there is a </w:t>
      </w:r>
      <w:r w:rsidRPr="00FF03F1">
        <w:rPr>
          <w:rFonts w:eastAsia="Times New Roman" w:cs="Times New Roman"/>
          <w:i/>
          <w:sz w:val="20"/>
          <w:szCs w:val="20"/>
          <w:lang w:eastAsia="en-CA"/>
        </w:rPr>
        <w:t>prima facie</w:t>
      </w:r>
      <w:r w:rsidRPr="00FF03F1">
        <w:rPr>
          <w:rFonts w:eastAsia="Times New Roman" w:cs="Times New Roman"/>
          <w:sz w:val="20"/>
          <w:szCs w:val="20"/>
          <w:lang w:eastAsia="en-CA"/>
        </w:rPr>
        <w:t xml:space="preserve"> case of a Canadian crime, not to become embroiled in questions about possible defences or the likelihood of conviction. Committal hearings are not trials; they are intended to be expeditious procedures to determine whether a trial should be held.</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 xml:space="preserve">The extradition judge’s role, like that of the preliminary inquiry justice, is not concerned with defences or other matters on which the accused bears an evidential or persuasive burden. While the role of the extradition judge at the committal phase has evolved as a result of legislative amendments and the requirements of the </w:t>
      </w:r>
      <w:r w:rsidRPr="00FF03F1">
        <w:rPr>
          <w:rFonts w:eastAsia="Times New Roman" w:cs="Times New Roman"/>
          <w:i/>
          <w:sz w:val="20"/>
          <w:szCs w:val="20"/>
          <w:lang w:eastAsia="en-CA"/>
        </w:rPr>
        <w:t>Charter</w:t>
      </w:r>
      <w:r w:rsidRPr="00FF03F1">
        <w:rPr>
          <w:rFonts w:eastAsia="Times New Roman" w:cs="Times New Roman"/>
          <w:sz w:val="20"/>
          <w:szCs w:val="20"/>
          <w:lang w:eastAsia="en-CA"/>
        </w:rPr>
        <w:t xml:space="preserve">, the basic principles governing extradition have remained the same. There is nothing in the jurisprudence suggesting any change in the extradition judge’s statutorily defined role. Moreover, the jurisprudence did not and could not change by judicial decree the statutory requirement that the requesting state has only to show that the record would justify committal for trial in Canada. </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 xml:space="preserve">Overall, the correct approach is a restrained view of the role of the extradition judge in assessing the reliability of evidence. The extradition judge’s starting point is that the requesting state’s certified evidence is presumptively reliable. This presumption may only be rebutted by showing fundamental inadequacies or frailties in the material relied on by the requesting state. It is only where the evidence supporting committal is so defective or appears so unreliable that it would be dangerous or unsafe to act on it that the extradition judge is justified in refusing committal on this basis. In order to admit evidence from the person sought for this purpose, the judge must be persuaded that the proposed evidence, considered in light of the entire record, could support such a conclusion. </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In this case, the extradition judge erred in concluding that the requesting state’s evidence in the certified record of the case (“ROC”) was insufficient to require committal. She gave no weight to the presumption of reliability of the ROC. The ROC supported committal here. The circumstantial evidence and the reasonable inferences that could be drawn from it were sufficient to conclude that a reasonable jury properly instructed could return a verdict of guilt. The ROC permitted reasonable inferences that M had taken the children from the parent who had lawful care of them, and was sufficient to support a reasonable inference that M had abducted the children in violation of a custody order with the intent to deprive the father of their possession.</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 xml:space="preserve">The extradition judge also erred in law in relation to the requirements for a </w:t>
      </w:r>
      <w:r w:rsidRPr="00FF03F1">
        <w:rPr>
          <w:rFonts w:eastAsia="Times New Roman" w:cs="Times New Roman"/>
          <w:i/>
          <w:sz w:val="20"/>
          <w:szCs w:val="20"/>
          <w:lang w:eastAsia="en-CA"/>
        </w:rPr>
        <w:t>prima facie</w:t>
      </w:r>
      <w:r w:rsidRPr="00FF03F1">
        <w:rPr>
          <w:rFonts w:eastAsia="Times New Roman" w:cs="Times New Roman"/>
          <w:sz w:val="20"/>
          <w:szCs w:val="20"/>
          <w:lang w:eastAsia="en-CA"/>
        </w:rPr>
        <w:t xml:space="preserve"> case and in relation to her analysis of the Canadian offences. With respect to s. 280(1) of the </w:t>
      </w:r>
      <w:r w:rsidRPr="00FF03F1">
        <w:rPr>
          <w:rFonts w:eastAsia="Times New Roman" w:cs="Times New Roman"/>
          <w:i/>
          <w:sz w:val="20"/>
          <w:szCs w:val="20"/>
          <w:lang w:eastAsia="en-CA"/>
        </w:rPr>
        <w:t>Criminal Code</w:t>
      </w:r>
      <w:r w:rsidRPr="00FF03F1">
        <w:rPr>
          <w:rFonts w:eastAsia="Times New Roman" w:cs="Times New Roman"/>
          <w:sz w:val="20"/>
          <w:szCs w:val="20"/>
          <w:lang w:eastAsia="en-CA"/>
        </w:rPr>
        <w:t xml:space="preserve"> (abduction of a person under 16), her conclusions that the children left of their own volition, that they were not taken out of the father’s possession by M, that “all of the evidence” indicates that the three children ran away from their father’s residence and that their elder sister drove them to Canada are wrong in law and in fact. With respect to the law, depriving parents of the “possession” of their children is not limited to circumstances in which the parents were in physical control of the children. The essence of the offence is interference with the parent’s exercise of his or right of control over the child. The prosecution would not have to establish that M physically took the children. As well, the extradition judge failed to recognize that there was conflicting evidence concerning how the children came to be with M in Canada. The record before the extradition judge could not reasonably be thought to meet the threshold of showing either that the evidence in the ROC was so unreliable that it should be discarded or that the inferences relied upon by the requesting state were unreasonable.</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 xml:space="preserve">With respect to the qualified defence of necessity under s. 285 of the </w:t>
      </w:r>
      <w:r w:rsidRPr="00FF03F1">
        <w:rPr>
          <w:rFonts w:eastAsia="Times New Roman" w:cs="Times New Roman"/>
          <w:i/>
          <w:sz w:val="20"/>
          <w:szCs w:val="20"/>
          <w:lang w:eastAsia="en-CA"/>
        </w:rPr>
        <w:t>Criminal Code</w:t>
      </w:r>
      <w:r w:rsidRPr="00FF03F1">
        <w:rPr>
          <w:rFonts w:eastAsia="Times New Roman" w:cs="Times New Roman"/>
          <w:sz w:val="20"/>
          <w:szCs w:val="20"/>
          <w:lang w:eastAsia="en-CA"/>
        </w:rPr>
        <w:t>, again the extradition judge erred both in law and in fact. With respect to the law, it was not part of the extradition judge’s role to consider whether there might be valid defences to the Canadian offences. As for the facts, the extradition judge did not consider that s. 285 requires that there be danger of imminent harm either to the children or to M herself. There was evidence of neither.</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At the surrender stage of the proceedings, the Minister of Justice must not surrender a person for extradition if this would be “unjust or oppressive”, pursuant to s. 44(1)(</w:t>
      </w:r>
      <w:r w:rsidRPr="00FF03F1">
        <w:rPr>
          <w:rFonts w:eastAsia="Times New Roman" w:cs="Times New Roman"/>
          <w:i/>
          <w:sz w:val="20"/>
          <w:szCs w:val="20"/>
          <w:lang w:eastAsia="en-CA"/>
        </w:rPr>
        <w:t>a</w:t>
      </w:r>
      <w:r w:rsidRPr="00FF03F1">
        <w:rPr>
          <w:rFonts w:eastAsia="Times New Roman" w:cs="Times New Roman"/>
          <w:sz w:val="20"/>
          <w:szCs w:val="20"/>
          <w:lang w:eastAsia="en-CA"/>
        </w:rPr>
        <w:t xml:space="preserve">) of the </w:t>
      </w:r>
      <w:r w:rsidRPr="00FF03F1">
        <w:rPr>
          <w:rFonts w:eastAsia="Times New Roman" w:cs="Times New Roman"/>
          <w:i/>
          <w:sz w:val="20"/>
          <w:szCs w:val="20"/>
          <w:lang w:eastAsia="en-CA"/>
        </w:rPr>
        <w:t>Extradition Act</w:t>
      </w:r>
      <w:r w:rsidRPr="00FF03F1">
        <w:rPr>
          <w:rFonts w:eastAsia="Times New Roman" w:cs="Times New Roman"/>
          <w:sz w:val="20"/>
          <w:szCs w:val="20"/>
          <w:lang w:eastAsia="en-CA"/>
        </w:rPr>
        <w:t xml:space="preserve">. The basic concern which underlies the broader principle of double criminality, which operates at the ATP and committal phases of the extradition process, may also inform the Minister’s surrender decision. The Minister engages in a weighing exercise of all the relevant </w:t>
      </w:r>
      <w:r w:rsidRPr="00FF03F1">
        <w:rPr>
          <w:rFonts w:eastAsia="Times New Roman" w:cs="Times New Roman"/>
          <w:sz w:val="20"/>
          <w:szCs w:val="20"/>
          <w:lang w:eastAsia="en-CA"/>
        </w:rPr>
        <w:lastRenderedPageBreak/>
        <w:t xml:space="preserve">circumstances. This is a vitally important role because it provides an additional safeguard of the rights of the person sought and addresses matters that may not be properly considered at the two earlier stages of the extradition process. The Minister has a role to play at the surrender stage in assessing the potential consequences for the person sought of being subjected to the law of the requesting state. Where surrender would be contrary to the principles of fundamental justice, it will also be unjust and oppressive. </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In exercising this power to surrender, the Minister must consider, when relevant, the best interests of children who are or may be affected by the extradition and whether there is a significant difference in jeopardy between domestic and foreign law. With respect to this latter consideration, the rationale of the broad principle of double criminality may inform the Minister’s exercise of this authority to refuse surrender if there are defences available in Canada that are not available in the requesting state.</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 xml:space="preserve">Thus, the availability of possible defences that fall outside of the scope of the double criminality inquiry required at the first two phases of the extradition process can nonetheless be relevant at the third. It follows from this that the Minister should consider, when relevant, how the person sought would be affected by the unavailability of a comparable defence in the requesting state. </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However, it does not follow that every difference in the availability of defences or in jeopardy makes extradition unjust or oppressive or contrary to the principles of fundamental justice. There is generally speaking nothing unjust in surrendering a person to face the legal consequences of their acts in the place where they were committed. Differences in legal systems — even substantial differences — should not, generally speaking, constitute grounds for refusing surrender. Before the unavailability of a defence could engage the threshold for refusal, the person sought must show: (1) that there is, in fact, a difference of substance in the respective laws of the requested and requesting state so that the defence is available in Canada but no comparable defence is available in the requesting state; (2) that there is a reasonable prospect of success were the defence to be raised if he or she were tried for the same conduct in Canada; and (3) that the difference between the laws of the two countries must lead to a significantly greater jeopardy for the person sought in the requesting state. If these three elements are present, then the Minister is required to weigh the potential difference in defences along with all the other relevant considerations in making his or her surrender decision. The onus of persuasion remains on the person sought. The Minister’s ultimate conclusion will be treated with deference on judicial review.</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In this case, the Minister</w:t>
      </w:r>
      <w:r w:rsidRPr="00FF03F1">
        <w:rPr>
          <w:rFonts w:eastAsia="MS Mincho" w:cs="Times New Roman"/>
          <w:sz w:val="20"/>
          <w:szCs w:val="20"/>
          <w:lang w:eastAsia="en-CA"/>
        </w:rPr>
        <w:t xml:space="preserve">’s decision was not unreasonable because M did not meet any of the three threshold requirements. </w:t>
      </w:r>
      <w:r w:rsidRPr="00FF03F1">
        <w:rPr>
          <w:rFonts w:eastAsia="Times New Roman" w:cs="Times New Roman"/>
          <w:sz w:val="20"/>
          <w:szCs w:val="20"/>
          <w:lang w:eastAsia="en-CA"/>
        </w:rPr>
        <w:t xml:space="preserve">First, M did not show that there is any difference in substance between the law in Canada and in Georgia. Given the fact that the U.S. authorities advised the Minister that M could rely on a defence of coercion at her trial in Georgia, there is no reason to assume that there is a significant substantive difference between coercion and necessity. The record contains nothing to support the assertion that there is no defence in Georgia comparable to the statutory necessity defence. Second, the material in the record does not show a reasonable prospect of success on the Canadian qualified defence of necessity if M were tried for the alleged conduct in Canada. This defence is available only if there was “imminent harm”. The material before the Minister did not provide any basis to think that the imminent harm requirement was present here. Furthermore, M’s position on the facts changed dramatically in her submissions to the Minister, such that these contentions could not reasonably be thought to be entitled </w:t>
      </w:r>
      <w:proofErr w:type="gramStart"/>
      <w:r w:rsidRPr="00FF03F1">
        <w:rPr>
          <w:rFonts w:eastAsia="Times New Roman" w:cs="Times New Roman"/>
          <w:sz w:val="20"/>
          <w:szCs w:val="20"/>
          <w:lang w:eastAsia="en-CA"/>
        </w:rPr>
        <w:t>to</w:t>
      </w:r>
      <w:proofErr w:type="gramEnd"/>
      <w:r w:rsidRPr="00FF03F1">
        <w:rPr>
          <w:rFonts w:eastAsia="Times New Roman" w:cs="Times New Roman"/>
          <w:sz w:val="20"/>
          <w:szCs w:val="20"/>
          <w:lang w:eastAsia="en-CA"/>
        </w:rPr>
        <w:t xml:space="preserve"> much weight. Third, M failed to show that she faced significantly greater jeopardy in Georgia than in Canada.</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On the issue of the best interests of the children, the Minister, in making a surrender decision, can consider personal circumstances, including the hardship extradition will create for families and it is necessary to do so where the material puts these considerations in play. This obligation extends to considering the best interests of children who will or may be affected by extradition when the material on record shows that this is a relevant concern. However, the best interests of children on surrender for extradition must be considered in light of other important legal principles and the facts of the individual case. The legal principle of the best interests of the child may be subordinated to other concerns in appropriate contexts; its application is inevitably highly contextual; and society does not always deem it essential that the best interests of the child trump all other concerns. For example, the consequences of a parent having to face criminal charges elsewhere cannot in themselves be unjust or oppressive.</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 xml:space="preserve">In this case, the Minister was required to consider the best interests of the children in making his surrender decision. The Minister’s key conclusions were that the best interests of the children were unclear, that the impact of </w:t>
      </w:r>
      <w:r w:rsidRPr="00FF03F1">
        <w:rPr>
          <w:rFonts w:eastAsia="Times New Roman" w:cs="Times New Roman"/>
          <w:sz w:val="20"/>
          <w:szCs w:val="20"/>
          <w:lang w:eastAsia="en-CA"/>
        </w:rPr>
        <w:lastRenderedPageBreak/>
        <w:t>extradition on the children was also unclear and that there were important considerations favouring surrender for extradition. These key conclusions were reasonable and they led to a reasonable decision to surrender M. On any reasonable view of the record, what would be best for these children was anything but clear given their unhappy, unstable and complicated family history and the apparent problems of both parents. With respect to the impact of M’s extradition on the children, there was nothing before the Minister and nothing in the record before this Court providing any further information about the children’s welfare or M’s parenting abilities after the children were returned to her care, nothing that suggested to the Minister that the children would be returned to their father’s care if their mother were surrendered, nothing in the material about whether M would be incarcerated pending her trial in Georgia or what impact her pending criminal charges could have on her relationship with the children, and no evidence about other possible family placements either in Canada or in the United States.</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r>
      <w:r w:rsidRPr="00FF03F1">
        <w:rPr>
          <w:rFonts w:eastAsia="Times New Roman" w:cs="Times New Roman"/>
          <w:i/>
          <w:sz w:val="20"/>
          <w:szCs w:val="20"/>
          <w:lang w:eastAsia="en-CA"/>
        </w:rPr>
        <w:t>Per</w:t>
      </w:r>
      <w:r w:rsidRPr="00FF03F1">
        <w:rPr>
          <w:rFonts w:eastAsia="Times New Roman" w:cs="Times New Roman"/>
          <w:sz w:val="20"/>
          <w:szCs w:val="20"/>
          <w:lang w:eastAsia="en-CA"/>
        </w:rPr>
        <w:t xml:space="preserve"> </w:t>
      </w:r>
      <w:proofErr w:type="spellStart"/>
      <w:r w:rsidRPr="007A5455">
        <w:rPr>
          <w:rFonts w:eastAsia="Times New Roman" w:cs="Times New Roman"/>
          <w:b/>
          <w:iCs/>
          <w:sz w:val="20"/>
          <w:szCs w:val="20"/>
          <w:lang w:eastAsia="en-CA"/>
        </w:rPr>
        <w:t>Abella</w:t>
      </w:r>
      <w:proofErr w:type="spellEnd"/>
      <w:r w:rsidRPr="007A5455">
        <w:rPr>
          <w:rFonts w:eastAsia="Times New Roman" w:cs="Times New Roman"/>
          <w:iCs/>
          <w:sz w:val="20"/>
          <w:szCs w:val="20"/>
          <w:lang w:eastAsia="en-CA"/>
        </w:rPr>
        <w:t xml:space="preserve">, </w:t>
      </w:r>
      <w:proofErr w:type="spellStart"/>
      <w:r w:rsidRPr="007A5455">
        <w:rPr>
          <w:rFonts w:eastAsia="Times New Roman" w:cs="Times New Roman"/>
          <w:iCs/>
          <w:sz w:val="20"/>
          <w:szCs w:val="20"/>
          <w:lang w:eastAsia="en-CA"/>
        </w:rPr>
        <w:t>Karakatsanis</w:t>
      </w:r>
      <w:proofErr w:type="spellEnd"/>
      <w:r w:rsidRPr="007A5455">
        <w:rPr>
          <w:rFonts w:eastAsia="Times New Roman" w:cs="Times New Roman"/>
          <w:iCs/>
          <w:sz w:val="20"/>
          <w:szCs w:val="20"/>
          <w:lang w:eastAsia="en-CA"/>
        </w:rPr>
        <w:t xml:space="preserve"> and </w:t>
      </w:r>
      <w:proofErr w:type="spellStart"/>
      <w:r w:rsidRPr="007A5455">
        <w:rPr>
          <w:rFonts w:eastAsia="Times New Roman" w:cs="Times New Roman"/>
          <w:iCs/>
          <w:sz w:val="20"/>
          <w:szCs w:val="20"/>
          <w:lang w:eastAsia="en-CA"/>
        </w:rPr>
        <w:t>Côté</w:t>
      </w:r>
      <w:proofErr w:type="spellEnd"/>
      <w:r w:rsidRPr="007A5455">
        <w:rPr>
          <w:rFonts w:eastAsia="Times New Roman" w:cs="Times New Roman"/>
          <w:iCs/>
          <w:sz w:val="20"/>
          <w:szCs w:val="20"/>
          <w:lang w:eastAsia="en-CA"/>
        </w:rPr>
        <w:t xml:space="preserve"> JJ. (</w:t>
      </w:r>
      <w:proofErr w:type="gramStart"/>
      <w:r w:rsidRPr="007A5455">
        <w:rPr>
          <w:rFonts w:eastAsia="Times New Roman" w:cs="Times New Roman"/>
          <w:iCs/>
          <w:sz w:val="20"/>
          <w:szCs w:val="20"/>
          <w:lang w:eastAsia="en-CA"/>
        </w:rPr>
        <w:t>dissenting</w:t>
      </w:r>
      <w:proofErr w:type="gramEnd"/>
      <w:r w:rsidRPr="007A5455">
        <w:rPr>
          <w:rFonts w:eastAsia="Times New Roman" w:cs="Times New Roman"/>
          <w:iCs/>
          <w:sz w:val="20"/>
          <w:szCs w:val="20"/>
          <w:lang w:eastAsia="en-CA"/>
        </w:rPr>
        <w:t xml:space="preserve">): </w:t>
      </w:r>
      <w:r w:rsidRPr="00FF03F1">
        <w:rPr>
          <w:rFonts w:eastAsia="Times New Roman" w:cs="Times New Roman"/>
          <w:sz w:val="20"/>
          <w:szCs w:val="20"/>
          <w:lang w:eastAsia="en-CA"/>
        </w:rPr>
        <w:t>No one can be extradited unless his or her conduct would have constituted an offence that is punishable in Canada. This is known as the principle of double criminality, a cornerstone of the extradition process in Canada.</w:t>
      </w:r>
      <w:r w:rsidRPr="00FF03F1">
        <w:rPr>
          <w:rFonts w:eastAsia="Times New Roman" w:cs="Times New Roman"/>
          <w:b/>
          <w:sz w:val="20"/>
          <w:szCs w:val="20"/>
          <w:lang w:eastAsia="en-CA"/>
        </w:rPr>
        <w:t xml:space="preserve"> </w:t>
      </w:r>
      <w:r w:rsidRPr="00FF03F1">
        <w:rPr>
          <w:rFonts w:eastAsia="Times New Roman" w:cs="Times New Roman"/>
          <w:sz w:val="20"/>
          <w:szCs w:val="20"/>
          <w:lang w:eastAsia="en-CA"/>
        </w:rPr>
        <w:t xml:space="preserve">Its purpose is to ensure that no one is surrendered from Canada to face prosecution in another country for conduct that does not amount to a criminal offence in this country. Double criminality is based on ensuring that a person’s liberty is not restricted as a consequence of offences not recognized as criminal by the requested state. In other words, where a person is extradited for conduct not amounting to a criminal offence in Canada, the principle of double criminality is offended. Given the context of extradition proceedings and the liberty interests involved, the threshold for committal for extradition is higher than the threshold that applies to preliminary inquiries in criminal proceedings. </w:t>
      </w:r>
      <w:r w:rsidRPr="00FF03F1">
        <w:rPr>
          <w:rFonts w:cs="Times New Roman"/>
          <w:sz w:val="20"/>
          <w:szCs w:val="20"/>
          <w:lang w:eastAsia="en-CA"/>
        </w:rPr>
        <w:t>To justify committal in extradition proceedings,</w:t>
      </w:r>
      <w:r w:rsidRPr="00FF03F1">
        <w:rPr>
          <w:rFonts w:eastAsia="Times New Roman" w:cs="Times New Roman"/>
          <w:sz w:val="20"/>
          <w:szCs w:val="20"/>
          <w:lang w:eastAsia="en-CA"/>
        </w:rPr>
        <w:t xml:space="preserve"> the evidence must be such that a reasonable, properly instructed jury could return a guilty verdict. </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 xml:space="preserve">Section 285 of the </w:t>
      </w:r>
      <w:r w:rsidRPr="00FF03F1">
        <w:rPr>
          <w:rFonts w:eastAsia="Times New Roman" w:cs="Times New Roman"/>
          <w:i/>
          <w:sz w:val="20"/>
          <w:szCs w:val="20"/>
          <w:lang w:eastAsia="en-CA"/>
        </w:rPr>
        <w:t>Criminal Code</w:t>
      </w:r>
      <w:r w:rsidRPr="00FF03F1">
        <w:rPr>
          <w:rFonts w:eastAsia="Times New Roman" w:cs="Times New Roman"/>
          <w:sz w:val="20"/>
          <w:szCs w:val="20"/>
          <w:lang w:eastAsia="en-CA"/>
        </w:rPr>
        <w:t xml:space="preserve"> states that no one will be found guilty of an offence under ss. 280 to 283 of the </w:t>
      </w:r>
      <w:r w:rsidRPr="00FF03F1">
        <w:rPr>
          <w:rFonts w:eastAsia="Times New Roman" w:cs="Times New Roman"/>
          <w:i/>
          <w:sz w:val="20"/>
          <w:szCs w:val="20"/>
          <w:lang w:eastAsia="en-CA"/>
        </w:rPr>
        <w:t>Criminal Code</w:t>
      </w:r>
      <w:r w:rsidRPr="00FF03F1">
        <w:rPr>
          <w:rFonts w:eastAsia="Times New Roman" w:cs="Times New Roman"/>
          <w:sz w:val="20"/>
          <w:szCs w:val="20"/>
          <w:lang w:eastAsia="en-CA"/>
        </w:rPr>
        <w:t xml:space="preserve"> if the taking or harbouring of any young person was necessary to protect him or her from danger of imminent harm. The result of s. 285 is that an accused who would otherwise be guilty of an offence under ss. 280 to 283, but whose conduct falls under the conditions specified in s. 285, is not criminally liable for his or her actions. In the words of s. 3(1</w:t>
      </w:r>
      <w:proofErr w:type="gramStart"/>
      <w:r w:rsidRPr="00FF03F1">
        <w:rPr>
          <w:rFonts w:eastAsia="Times New Roman" w:cs="Times New Roman"/>
          <w:sz w:val="20"/>
          <w:szCs w:val="20"/>
          <w:lang w:eastAsia="en-CA"/>
        </w:rPr>
        <w:t>)(</w:t>
      </w:r>
      <w:proofErr w:type="gramEnd"/>
      <w:r w:rsidRPr="00FF03F1">
        <w:rPr>
          <w:rFonts w:eastAsia="Times New Roman" w:cs="Times New Roman"/>
          <w:i/>
          <w:sz w:val="20"/>
          <w:szCs w:val="20"/>
          <w:lang w:eastAsia="en-CA"/>
        </w:rPr>
        <w:t>b</w:t>
      </w:r>
      <w:r w:rsidRPr="00FF03F1">
        <w:rPr>
          <w:rFonts w:eastAsia="Times New Roman" w:cs="Times New Roman"/>
          <w:sz w:val="20"/>
          <w:szCs w:val="20"/>
          <w:lang w:eastAsia="en-CA"/>
        </w:rPr>
        <w:t xml:space="preserve">) of the </w:t>
      </w:r>
      <w:r w:rsidRPr="00FF03F1">
        <w:rPr>
          <w:rFonts w:eastAsia="Times New Roman" w:cs="Times New Roman"/>
          <w:i/>
          <w:sz w:val="20"/>
          <w:szCs w:val="20"/>
          <w:lang w:eastAsia="en-CA"/>
        </w:rPr>
        <w:t>Extradition Act</w:t>
      </w:r>
      <w:r w:rsidRPr="00FF03F1">
        <w:rPr>
          <w:rFonts w:eastAsia="Times New Roman" w:cs="Times New Roman"/>
          <w:sz w:val="20"/>
          <w:szCs w:val="20"/>
          <w:lang w:eastAsia="en-CA"/>
        </w:rPr>
        <w:t>, the conduct would not have constituted a punishable offence. Consideration of the s. 285 defence where a person is sought for extradition under ss. 280 to 283 is a necessary component of determining whether a punishable offence has occurred in Canada.</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Removing consideration of s. 285 from the scope of the extradition judge’s review would fail to give proper effect to the principle of double criminality. If the double criminality requirement is to achieve its purpose of ensuring that a person is not surrendered to face prosecution for conduct that would not amount to a criminal offence in Canada, s. 285 must be taken into account when deciding whether a person’s conduct would constitute a crime if committed in this country and so justify committal. To preclude its consideration is to unduly narrow the role of the extradition judge in ensuring that double criminality is met, and in providing a meaningful process safeguarding the liberty interests of the person sought for extradition.</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The defence that it was necessary to rescue the children to protect them from imminent harm is not available in the state of Georgia. The children were 9, 10 and 14 years old. The extradition judge found that the children were afraid of their father and that he had physically and mentally mistreated them. She also found that the children had run away from their father without any assistance or even the knowledge of their mother, that it was more than a week before they contacted her for help and that the mother’s actions in taking the children after they ran away were to protect them from further harm.</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Based on a meaningful judicial assessment of the whole of the evidence, the extradition judge correctly determined that the evidence did not reveal conduct that would justify committal. Given the clear wording of s. 285, the mother could not be found guilty on the charge of abduction since her intent was to protect the children from danger of imminent harm at the hands of their father. No reasonable jury in Canada, properly instructed, could therefore return a verdict of guilty on the charge of abduction of the children against the mother in the circumstances. Committal,</w:t>
      </w:r>
      <w:r w:rsidRPr="00FF03F1">
        <w:rPr>
          <w:rFonts w:eastAsia="Times New Roman" w:cs="Times New Roman"/>
          <w:b/>
          <w:sz w:val="20"/>
          <w:szCs w:val="20"/>
          <w:lang w:eastAsia="en-CA"/>
        </w:rPr>
        <w:t xml:space="preserve"> </w:t>
      </w:r>
      <w:r w:rsidRPr="00FF03F1">
        <w:rPr>
          <w:rFonts w:eastAsia="Times New Roman" w:cs="Times New Roman"/>
          <w:sz w:val="20"/>
          <w:szCs w:val="20"/>
          <w:lang w:eastAsia="en-CA"/>
        </w:rPr>
        <w:t>as the extradition judge concluded, is therefore not justified.</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Section 44(1)(</w:t>
      </w:r>
      <w:r w:rsidRPr="00FF03F1">
        <w:rPr>
          <w:rFonts w:eastAsia="Times New Roman" w:cs="Times New Roman"/>
          <w:i/>
          <w:sz w:val="20"/>
          <w:szCs w:val="20"/>
          <w:lang w:eastAsia="en-CA"/>
        </w:rPr>
        <w:t>a</w:t>
      </w:r>
      <w:r w:rsidRPr="00FF03F1">
        <w:rPr>
          <w:rFonts w:eastAsia="Times New Roman" w:cs="Times New Roman"/>
          <w:sz w:val="20"/>
          <w:szCs w:val="20"/>
          <w:lang w:eastAsia="en-CA"/>
        </w:rPr>
        <w:t xml:space="preserve">) of the </w:t>
      </w:r>
      <w:r w:rsidRPr="00FF03F1">
        <w:rPr>
          <w:rFonts w:eastAsia="Times New Roman" w:cs="Times New Roman"/>
          <w:i/>
          <w:sz w:val="20"/>
          <w:szCs w:val="20"/>
          <w:lang w:eastAsia="en-CA"/>
        </w:rPr>
        <w:t>Extradition Act</w:t>
      </w:r>
      <w:r w:rsidRPr="00FF03F1">
        <w:rPr>
          <w:rFonts w:eastAsia="Times New Roman" w:cs="Times New Roman"/>
          <w:sz w:val="20"/>
          <w:szCs w:val="20"/>
          <w:lang w:eastAsia="en-CA"/>
        </w:rPr>
        <w:t xml:space="preserve"> requires the Minister of Justice to consider </w:t>
      </w:r>
      <w:r w:rsidRPr="00FF03F1">
        <w:rPr>
          <w:rFonts w:eastAsia="Times New Roman" w:cs="Times New Roman"/>
          <w:i/>
          <w:sz w:val="20"/>
          <w:szCs w:val="20"/>
          <w:lang w:eastAsia="en-CA"/>
        </w:rPr>
        <w:t>all</w:t>
      </w:r>
      <w:r w:rsidRPr="00FF03F1">
        <w:rPr>
          <w:rFonts w:eastAsia="Times New Roman" w:cs="Times New Roman"/>
          <w:sz w:val="20"/>
          <w:szCs w:val="20"/>
          <w:lang w:eastAsia="en-CA"/>
        </w:rPr>
        <w:t xml:space="preserve"> the relevant circumstances in deciding whether surrender would be unjust or oppressive. Even if one were to accept that the requirements for double criminality have been met, this does not relieve the Minister of his responsibility to consider that </w:t>
      </w:r>
      <w:r w:rsidRPr="00FF03F1">
        <w:rPr>
          <w:rFonts w:eastAsia="Times New Roman" w:cs="Times New Roman"/>
          <w:sz w:val="20"/>
          <w:szCs w:val="20"/>
          <w:lang w:eastAsia="en-CA"/>
        </w:rPr>
        <w:lastRenderedPageBreak/>
        <w:t>a statutory defence that goes to the very heart of the offence is available in Canada and not in Georgia. Such a consideration falls squarely within the Minister’s statutory safety valve function at the surrender stage and is therefore a necessary consideration when discretion is exercised under s. 44(1)(</w:t>
      </w:r>
      <w:r w:rsidRPr="00FF03F1">
        <w:rPr>
          <w:rFonts w:eastAsia="Times New Roman" w:cs="Times New Roman"/>
          <w:i/>
          <w:sz w:val="20"/>
          <w:szCs w:val="20"/>
          <w:lang w:eastAsia="en-CA"/>
        </w:rPr>
        <w:t>a</w:t>
      </w:r>
      <w:r w:rsidRPr="00FF03F1">
        <w:rPr>
          <w:rFonts w:eastAsia="Times New Roman" w:cs="Times New Roman"/>
          <w:sz w:val="20"/>
          <w:szCs w:val="20"/>
          <w:lang w:eastAsia="en-CA"/>
        </w:rPr>
        <w:t>).</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So too are the best interests of the children. In her submissions to the Minister, the mother noted that the children fled from their abusive father and would face serious risks of harm if they were returned to him. The father left the children to take care of themselves most of the time and was physically and mentally abusive. This abuse was the reason the children ran away from the home, leading them to live in an abandoned house for over a week before contacting the mother. If the children were forced back to the United States or separated from her, they would either suffer additional abuse or face the absence of any parental figure.</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It is contrary to the best interests of the children to extradite the mother. There is no dispute that the children should not be returned to their abusive father. To surrender the mother for her conduct in protecting the children is to penalize them for reaching out to her by depriving them of the only parent who can look after them. Moreover, because the defence of rescuing children to protect them from imminent harm does not exist in Georgia, the mother will not be able to raise the defence she would have been able to raise had she been prosecuted in Canada.</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If extradited, the mother could face up to 15-years imprisonment if convicted of the interference with custody charges. Yet the</w:t>
      </w:r>
      <w:r w:rsidRPr="00FF03F1">
        <w:rPr>
          <w:rFonts w:eastAsia="Times New Roman" w:cs="Times New Roman"/>
          <w:b/>
          <w:sz w:val="20"/>
          <w:szCs w:val="20"/>
          <w:lang w:eastAsia="en-CA"/>
        </w:rPr>
        <w:t xml:space="preserve"> </w:t>
      </w:r>
      <w:r w:rsidRPr="00FF03F1">
        <w:rPr>
          <w:rFonts w:eastAsia="Times New Roman" w:cs="Times New Roman"/>
          <w:sz w:val="20"/>
          <w:szCs w:val="20"/>
          <w:lang w:eastAsia="en-CA"/>
        </w:rPr>
        <w:t>Minister makes no reference to the impact of the mother’s surrender on the family. Instead, he observed that the availability of foster care adequately compensates for the mother’s potential imprisonment in Georgia. This represents an inexplicable rejection of the cornerstone of this country’s child welfare philosophy, namely, to attempt whenever reasonably possible to keep children and parents together. The Minister expressed uncertainty as to the children’s best interests. This ought to have led him to err on the side of the children’s right to be with a loving parent, not on the side of surrendering the mother to face a criminal process where a key defence would be unavailable.</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r>
      <w:r w:rsidRPr="00FF03F1">
        <w:rPr>
          <w:rFonts w:eastAsia="Times New Roman" w:cs="Times New Roman"/>
          <w:sz w:val="20"/>
          <w:szCs w:val="20"/>
          <w:lang w:val="en-US" w:eastAsia="en-CA"/>
        </w:rPr>
        <w:t xml:space="preserve">In light of all the instability and trauma the children have experienced, it is obvious that what would be least harmful for them would be to remain in Canada with the mother who put herself in legal jeopardy to protect them, instead of being relegated to foster care. </w:t>
      </w:r>
      <w:r w:rsidRPr="00FF03F1">
        <w:rPr>
          <w:rFonts w:eastAsia="Times New Roman" w:cs="Times New Roman"/>
          <w:sz w:val="20"/>
          <w:szCs w:val="20"/>
          <w:lang w:eastAsia="en-CA"/>
        </w:rPr>
        <w:t>What the Minister considered instead was the mother’s conduct three years prior to the incident in question, which led to her losing custody and access. This history should not be denied, but neither is it of any particular relevance in considering what she did in responding to the children’s desperate request, or to what her current relationship was to the children.</w:t>
      </w:r>
      <w:r w:rsidRPr="00FF03F1">
        <w:rPr>
          <w:rFonts w:eastAsia="Times New Roman" w:cs="Times New Roman"/>
          <w:b/>
          <w:sz w:val="20"/>
          <w:szCs w:val="20"/>
          <w:lang w:eastAsia="en-CA"/>
        </w:rPr>
        <w:t xml:space="preserve"> </w:t>
      </w:r>
      <w:r w:rsidRPr="00FF03F1">
        <w:rPr>
          <w:rFonts w:eastAsia="Times New Roman" w:cs="Times New Roman"/>
          <w:sz w:val="20"/>
          <w:szCs w:val="20"/>
          <w:lang w:eastAsia="en-CA"/>
        </w:rPr>
        <w:t>The question is not whether she was an ideal parent, but whether her conduct in coming to her children’s rescue should deprive them of her care and deprive her of her liberty for up to 15 years.</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The very charges the mother faces arose because she acted in what she saw as her children’s best interests. The evidence before the Minister unequivocally showed that the children fled from their father’s home because he was abusive and that they eventually contacted their mother for assistance. She did not remove them from his home. In fact, the evidence accepted throughout these proceedings is that the children ran away on their own without either the assistance or knowledge of the mother. Between returning to the abusive household, remaining in an abandoned home or reuniting with their mother, the children felt they had no alternative. Rightly or wrongly, the children believed that taking such measures would be less harmful to their well-being than remaining in their father’s abusive household. They cannot be judged for taking desperate measures to escape intolerable conditions which placed them in harm’s way. The Minister was obliged to take into serious consideration why the children contacted their mother for assistance. They had suffered harm. They had no place to go. Reaching out to their mother was the only realistic alternative for them. And responding to their pleas for safety was the only realistic alternative for the mother. In penalizing the mother for coming to the assistance of her children instead of ignoring their entreaties, the Minister was penalizing her for accepting her responsibility to protect the children from harm.</w:t>
      </w:r>
    </w:p>
    <w:p w:rsidR="00FF03F1" w:rsidRPr="007A5455" w:rsidRDefault="00FF03F1" w:rsidP="00FF03F1">
      <w:pPr>
        <w:tabs>
          <w:tab w:val="left" w:pos="1168"/>
        </w:tabs>
        <w:jc w:val="both"/>
        <w:rPr>
          <w:rFonts w:eastAsia="Times New Roman" w:cs="Times New Roman"/>
          <w:sz w:val="20"/>
          <w:szCs w:val="20"/>
          <w:lang w:eastAsia="en-CA"/>
        </w:rPr>
      </w:pPr>
    </w:p>
    <w:p w:rsidR="00FF03F1" w:rsidRPr="00FF03F1" w:rsidRDefault="00FF03F1" w:rsidP="00FF03F1">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tab/>
        <w:t>The Minister inadequately considered the children’s best interests, and his conclusions with respect to the availability of the s. 285 defence rendered his decision to order the mother’s surrender unreasonable. Limiting his assessment of the mother’s trial in Georgia to whether it would be procedurally fair instead of whether it would be unjust or oppressive to extradite her, sidesteps the proper analysis. Given the liberty interests at stake and the potential for criminal liability in circumstances that may not attract punishment in Canada, it is not enough to determine whether the trial in the requesting state will be procedurally fair. The presence of a statutory defence in Canada going directly to criminality where no analogous defence is recognized in the requesting state is, on its face, the very sort of factor that makes surrender unjust or oppressive.</w:t>
      </w:r>
    </w:p>
    <w:p w:rsidR="00FF03F1" w:rsidRPr="00FF03F1" w:rsidRDefault="00FF03F1" w:rsidP="00010024">
      <w:pPr>
        <w:tabs>
          <w:tab w:val="left" w:pos="1168"/>
        </w:tabs>
        <w:jc w:val="both"/>
        <w:rPr>
          <w:rFonts w:eastAsia="Times New Roman" w:cs="Times New Roman"/>
          <w:sz w:val="20"/>
          <w:szCs w:val="20"/>
          <w:lang w:eastAsia="en-CA"/>
        </w:rPr>
      </w:pPr>
      <w:r w:rsidRPr="00FF03F1">
        <w:rPr>
          <w:rFonts w:eastAsia="Times New Roman" w:cs="Times New Roman"/>
          <w:sz w:val="20"/>
          <w:szCs w:val="20"/>
          <w:lang w:eastAsia="en-CA"/>
        </w:rPr>
        <w:lastRenderedPageBreak/>
        <w:tab/>
      </w:r>
      <w:r w:rsidRPr="00FF03F1">
        <w:rPr>
          <w:rFonts w:eastAsia="Times New Roman" w:cs="Times New Roman"/>
          <w:sz w:val="20"/>
          <w:szCs w:val="20"/>
          <w:lang w:val="en-US" w:eastAsia="en-CA"/>
        </w:rPr>
        <w:t>T</w:t>
      </w:r>
      <w:r w:rsidRPr="00FF03F1">
        <w:rPr>
          <w:rFonts w:eastAsia="Times New Roman" w:cs="Times New Roman"/>
          <w:sz w:val="20"/>
          <w:szCs w:val="20"/>
          <w:lang w:eastAsia="en-CA"/>
        </w:rPr>
        <w:t>here is little demonstrable harm to the integrity of Canada’s extradition process in finding it to be unjust or oppressive to extradite the mother of young children she rescued, at their request, from their abusive father. The harm, on the other hand, of depriving the children of their mother in these circumstances is profound and demonstrably unfair.</w:t>
      </w:r>
    </w:p>
    <w:p w:rsidR="0052229C" w:rsidRPr="007A5455" w:rsidRDefault="0052229C" w:rsidP="00010024">
      <w:pPr>
        <w:pStyle w:val="SCCNormalDoubleSpacing"/>
        <w:spacing w:line="240" w:lineRule="auto"/>
        <w:rPr>
          <w:sz w:val="20"/>
        </w:rPr>
      </w:pPr>
    </w:p>
    <w:p w:rsidR="00010024" w:rsidRPr="00010024" w:rsidRDefault="00010024" w:rsidP="00010024">
      <w:pPr>
        <w:tabs>
          <w:tab w:val="left" w:pos="1168"/>
        </w:tabs>
        <w:jc w:val="both"/>
        <w:rPr>
          <w:rFonts w:eastAsia="Times New Roman" w:cs="Times New Roman"/>
          <w:sz w:val="20"/>
          <w:szCs w:val="20"/>
          <w:lang w:eastAsia="en-CA"/>
        </w:rPr>
      </w:pPr>
      <w:r w:rsidRPr="00010024">
        <w:rPr>
          <w:rFonts w:eastAsia="Times New Roman" w:cs="Times New Roman"/>
          <w:sz w:val="20"/>
          <w:szCs w:val="20"/>
          <w:lang w:eastAsia="en-CA"/>
        </w:rPr>
        <w:tab/>
        <w:t xml:space="preserve">APPEAL from two judgments of the Quebec Court of Appeal (Thibault, Doyon and </w:t>
      </w:r>
      <w:proofErr w:type="spellStart"/>
      <w:r w:rsidRPr="00010024">
        <w:rPr>
          <w:rFonts w:eastAsia="Times New Roman" w:cs="Times New Roman"/>
          <w:sz w:val="20"/>
          <w:szCs w:val="20"/>
          <w:lang w:eastAsia="en-CA"/>
        </w:rPr>
        <w:t>Dutil</w:t>
      </w:r>
      <w:proofErr w:type="spellEnd"/>
      <w:r w:rsidRPr="00010024">
        <w:rPr>
          <w:rFonts w:eastAsia="Times New Roman" w:cs="Times New Roman"/>
          <w:sz w:val="20"/>
          <w:szCs w:val="20"/>
          <w:lang w:eastAsia="en-CA"/>
        </w:rPr>
        <w:t xml:space="preserve"> JJ.A.), 2014 QCCA 681, [2014] AZ</w:t>
      </w:r>
      <w:r w:rsidRPr="00010024">
        <w:rPr>
          <w:rFonts w:eastAsia="Times New Roman" w:cs="Times New Roman"/>
          <w:sz w:val="20"/>
          <w:szCs w:val="20"/>
          <w:lang w:eastAsia="en-CA"/>
        </w:rPr>
        <w:noBreakHyphen/>
        <w:t xml:space="preserve">51061285, [2014] Q.J. No. 2910 (QL), 2014 </w:t>
      </w:r>
      <w:proofErr w:type="spellStart"/>
      <w:r w:rsidRPr="00010024">
        <w:rPr>
          <w:rFonts w:eastAsia="Times New Roman" w:cs="Times New Roman"/>
          <w:sz w:val="20"/>
          <w:szCs w:val="20"/>
          <w:lang w:eastAsia="en-CA"/>
        </w:rPr>
        <w:t>CarswellQue</w:t>
      </w:r>
      <w:proofErr w:type="spellEnd"/>
      <w:r w:rsidRPr="00010024">
        <w:rPr>
          <w:rFonts w:eastAsia="Times New Roman" w:cs="Times New Roman"/>
          <w:sz w:val="20"/>
          <w:szCs w:val="20"/>
          <w:lang w:eastAsia="en-CA"/>
        </w:rPr>
        <w:t xml:space="preserve"> 3081 (WL Can.), dismissing an application for judicial review of a surrender order made by the Minister of Justice; and (</w:t>
      </w:r>
      <w:proofErr w:type="spellStart"/>
      <w:r w:rsidRPr="00010024">
        <w:rPr>
          <w:rFonts w:eastAsia="Times New Roman" w:cs="Times New Roman"/>
          <w:sz w:val="20"/>
          <w:szCs w:val="20"/>
          <w:lang w:eastAsia="en-CA"/>
        </w:rPr>
        <w:t>Morissette</w:t>
      </w:r>
      <w:proofErr w:type="spellEnd"/>
      <w:r w:rsidRPr="00010024">
        <w:rPr>
          <w:rFonts w:eastAsia="Times New Roman" w:cs="Times New Roman"/>
          <w:sz w:val="20"/>
          <w:szCs w:val="20"/>
          <w:lang w:eastAsia="en-CA"/>
        </w:rPr>
        <w:t xml:space="preserve">, Gagnon and </w:t>
      </w:r>
      <w:proofErr w:type="spellStart"/>
      <w:r w:rsidRPr="00010024">
        <w:rPr>
          <w:rFonts w:eastAsia="Times New Roman" w:cs="Times New Roman"/>
          <w:sz w:val="20"/>
          <w:szCs w:val="20"/>
          <w:lang w:eastAsia="en-CA"/>
        </w:rPr>
        <w:t>Gascon</w:t>
      </w:r>
      <w:proofErr w:type="spellEnd"/>
      <w:r w:rsidRPr="00010024">
        <w:rPr>
          <w:rFonts w:eastAsia="Times New Roman" w:cs="Times New Roman"/>
          <w:sz w:val="20"/>
          <w:szCs w:val="20"/>
          <w:lang w:eastAsia="en-CA"/>
        </w:rPr>
        <w:t xml:space="preserve"> JJ.A.), 2012 QCCA 1142, [2012] AZ</w:t>
      </w:r>
      <w:r w:rsidRPr="00010024">
        <w:rPr>
          <w:rFonts w:eastAsia="Times New Roman" w:cs="Times New Roman"/>
          <w:sz w:val="20"/>
          <w:szCs w:val="20"/>
          <w:lang w:eastAsia="en-CA"/>
        </w:rPr>
        <w:noBreakHyphen/>
        <w:t xml:space="preserve">50866680, [2012] Q.J. No. 5896 (QL), 2012 </w:t>
      </w:r>
      <w:proofErr w:type="spellStart"/>
      <w:r w:rsidRPr="00010024">
        <w:rPr>
          <w:rFonts w:eastAsia="Times New Roman" w:cs="Times New Roman"/>
          <w:sz w:val="20"/>
          <w:szCs w:val="20"/>
          <w:lang w:eastAsia="en-CA"/>
        </w:rPr>
        <w:t>CarswellQue</w:t>
      </w:r>
      <w:proofErr w:type="spellEnd"/>
      <w:r w:rsidRPr="00010024">
        <w:rPr>
          <w:rFonts w:eastAsia="Times New Roman" w:cs="Times New Roman"/>
          <w:sz w:val="20"/>
          <w:szCs w:val="20"/>
          <w:lang w:eastAsia="en-CA"/>
        </w:rPr>
        <w:t xml:space="preserve"> 6422 (WL Can.), setting aside a decision of Cohen J., 2011 QCCS 4800, [2011] AZ</w:t>
      </w:r>
      <w:r w:rsidRPr="00010024">
        <w:rPr>
          <w:rFonts w:eastAsia="Times New Roman" w:cs="Times New Roman"/>
          <w:sz w:val="20"/>
          <w:szCs w:val="20"/>
          <w:lang w:eastAsia="en-CA"/>
        </w:rPr>
        <w:noBreakHyphen/>
        <w:t xml:space="preserve">50778075, [2011] Q.J. No. 12453 (QL), 2011 </w:t>
      </w:r>
      <w:proofErr w:type="spellStart"/>
      <w:r w:rsidRPr="00010024">
        <w:rPr>
          <w:rFonts w:eastAsia="Times New Roman" w:cs="Times New Roman"/>
          <w:sz w:val="20"/>
          <w:szCs w:val="20"/>
          <w:lang w:eastAsia="en-CA"/>
        </w:rPr>
        <w:t>CarswellQue</w:t>
      </w:r>
      <w:proofErr w:type="spellEnd"/>
      <w:r w:rsidRPr="00010024">
        <w:rPr>
          <w:rFonts w:eastAsia="Times New Roman" w:cs="Times New Roman"/>
          <w:sz w:val="20"/>
          <w:szCs w:val="20"/>
          <w:lang w:eastAsia="en-CA"/>
        </w:rPr>
        <w:t xml:space="preserve"> 9861 (WL Can.). Appeal dismissed, </w:t>
      </w:r>
      <w:proofErr w:type="spellStart"/>
      <w:r w:rsidRPr="00010024">
        <w:rPr>
          <w:rFonts w:eastAsia="Times New Roman" w:cs="Times New Roman"/>
          <w:sz w:val="20"/>
          <w:szCs w:val="20"/>
          <w:lang w:eastAsia="en-CA"/>
        </w:rPr>
        <w:t>Abella</w:t>
      </w:r>
      <w:proofErr w:type="spellEnd"/>
      <w:r w:rsidRPr="00010024">
        <w:rPr>
          <w:rFonts w:eastAsia="Times New Roman" w:cs="Times New Roman"/>
          <w:sz w:val="20"/>
          <w:szCs w:val="20"/>
          <w:lang w:eastAsia="en-CA"/>
        </w:rPr>
        <w:t xml:space="preserve">, </w:t>
      </w:r>
      <w:proofErr w:type="spellStart"/>
      <w:r w:rsidRPr="00010024">
        <w:rPr>
          <w:rFonts w:eastAsia="Times New Roman" w:cs="Times New Roman"/>
          <w:sz w:val="20"/>
          <w:szCs w:val="20"/>
          <w:lang w:eastAsia="en-CA"/>
        </w:rPr>
        <w:t>Karakatsanis</w:t>
      </w:r>
      <w:proofErr w:type="spellEnd"/>
      <w:r w:rsidRPr="00010024">
        <w:rPr>
          <w:rFonts w:eastAsia="Times New Roman" w:cs="Times New Roman"/>
          <w:sz w:val="20"/>
          <w:szCs w:val="20"/>
          <w:lang w:eastAsia="en-CA"/>
        </w:rPr>
        <w:t xml:space="preserve"> and </w:t>
      </w:r>
      <w:proofErr w:type="spellStart"/>
      <w:r w:rsidRPr="00010024">
        <w:rPr>
          <w:rFonts w:eastAsia="Times New Roman" w:cs="Times New Roman"/>
          <w:sz w:val="20"/>
          <w:szCs w:val="20"/>
          <w:lang w:eastAsia="en-CA"/>
        </w:rPr>
        <w:t>Côté</w:t>
      </w:r>
      <w:proofErr w:type="spellEnd"/>
      <w:r w:rsidRPr="00010024">
        <w:rPr>
          <w:rFonts w:eastAsia="Times New Roman" w:cs="Times New Roman"/>
          <w:sz w:val="20"/>
          <w:szCs w:val="20"/>
          <w:lang w:eastAsia="en-CA"/>
        </w:rPr>
        <w:t xml:space="preserve"> JJ. </w:t>
      </w:r>
      <w:proofErr w:type="gramStart"/>
      <w:r w:rsidRPr="00010024">
        <w:rPr>
          <w:rFonts w:eastAsia="Times New Roman" w:cs="Times New Roman"/>
          <w:sz w:val="20"/>
          <w:szCs w:val="20"/>
          <w:lang w:eastAsia="en-CA"/>
        </w:rPr>
        <w:t>dissenting</w:t>
      </w:r>
      <w:proofErr w:type="gramEnd"/>
      <w:r w:rsidRPr="00010024">
        <w:rPr>
          <w:rFonts w:eastAsia="Times New Roman" w:cs="Times New Roman"/>
          <w:sz w:val="20"/>
          <w:szCs w:val="20"/>
          <w:lang w:eastAsia="en-CA"/>
        </w:rPr>
        <w:t>.</w:t>
      </w:r>
    </w:p>
    <w:p w:rsidR="00010024" w:rsidRPr="007A5455" w:rsidRDefault="00010024" w:rsidP="00010024">
      <w:pPr>
        <w:tabs>
          <w:tab w:val="left" w:pos="1168"/>
        </w:tabs>
        <w:jc w:val="both"/>
        <w:rPr>
          <w:rFonts w:eastAsia="Times New Roman" w:cs="Times New Roman"/>
          <w:sz w:val="20"/>
          <w:szCs w:val="20"/>
          <w:lang w:eastAsia="en-CA"/>
        </w:rPr>
      </w:pPr>
    </w:p>
    <w:p w:rsidR="00010024" w:rsidRPr="00010024" w:rsidRDefault="00010024" w:rsidP="00010024">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Julius H. Grey</w:t>
      </w:r>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 xml:space="preserve">Cornelia </w:t>
      </w:r>
      <w:proofErr w:type="spellStart"/>
      <w:r w:rsidRPr="007A5455">
        <w:rPr>
          <w:rFonts w:eastAsia="Times New Roman" w:cs="Times New Roman"/>
          <w:i/>
          <w:sz w:val="20"/>
          <w:szCs w:val="20"/>
          <w:lang w:eastAsia="en-CA"/>
        </w:rPr>
        <w:t>Herta</w:t>
      </w:r>
      <w:r w:rsidRPr="007A5455">
        <w:rPr>
          <w:rFonts w:eastAsia="Times New Roman" w:cs="Times New Roman"/>
          <w:i/>
          <w:sz w:val="20"/>
          <w:szCs w:val="20"/>
          <w:lang w:eastAsia="en-CA"/>
        </w:rPr>
        <w:noBreakHyphen/>
        <w:t>Zvezdin</w:t>
      </w:r>
      <w:proofErr w:type="spellEnd"/>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 xml:space="preserve">Clemente </w:t>
      </w:r>
      <w:proofErr w:type="spellStart"/>
      <w:r w:rsidRPr="007A5455">
        <w:rPr>
          <w:rFonts w:eastAsia="Times New Roman" w:cs="Times New Roman"/>
          <w:i/>
          <w:sz w:val="20"/>
          <w:szCs w:val="20"/>
          <w:lang w:eastAsia="en-CA"/>
        </w:rPr>
        <w:t>Monterosso</w:t>
      </w:r>
      <w:proofErr w:type="spellEnd"/>
      <w:r w:rsidRPr="007A5455">
        <w:rPr>
          <w:rFonts w:eastAsia="Times New Roman" w:cs="Times New Roman"/>
          <w:sz w:val="20"/>
          <w:szCs w:val="20"/>
          <w:lang w:eastAsia="en-CA"/>
        </w:rPr>
        <w:t xml:space="preserve"> and </w:t>
      </w:r>
      <w:r w:rsidRPr="007A5455">
        <w:rPr>
          <w:rFonts w:eastAsia="Times New Roman" w:cs="Times New Roman"/>
          <w:i/>
          <w:sz w:val="20"/>
          <w:szCs w:val="20"/>
          <w:lang w:eastAsia="en-CA"/>
        </w:rPr>
        <w:t xml:space="preserve">Iris </w:t>
      </w:r>
      <w:proofErr w:type="spellStart"/>
      <w:r w:rsidRPr="007A5455">
        <w:rPr>
          <w:rFonts w:eastAsia="Times New Roman" w:cs="Times New Roman"/>
          <w:i/>
          <w:sz w:val="20"/>
          <w:szCs w:val="20"/>
          <w:lang w:eastAsia="en-CA"/>
        </w:rPr>
        <w:t>Simixhiu</w:t>
      </w:r>
      <w:proofErr w:type="spellEnd"/>
      <w:r w:rsidRPr="007A5455">
        <w:rPr>
          <w:rFonts w:eastAsia="Times New Roman" w:cs="Times New Roman"/>
          <w:sz w:val="20"/>
          <w:szCs w:val="20"/>
          <w:lang w:eastAsia="en-CA"/>
        </w:rPr>
        <w:t>, for the appellant.</w:t>
      </w:r>
    </w:p>
    <w:p w:rsidR="00010024" w:rsidRPr="007A5455" w:rsidRDefault="00010024" w:rsidP="00010024">
      <w:pPr>
        <w:tabs>
          <w:tab w:val="left" w:pos="1168"/>
        </w:tabs>
        <w:jc w:val="both"/>
        <w:rPr>
          <w:rFonts w:eastAsia="Times New Roman" w:cs="Times New Roman"/>
          <w:sz w:val="20"/>
          <w:szCs w:val="20"/>
          <w:lang w:eastAsia="en-CA"/>
        </w:rPr>
      </w:pPr>
    </w:p>
    <w:p w:rsidR="00010024" w:rsidRPr="00010024" w:rsidRDefault="00010024" w:rsidP="00010024">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 xml:space="preserve">Ginette </w:t>
      </w:r>
      <w:proofErr w:type="spellStart"/>
      <w:r w:rsidRPr="007A5455">
        <w:rPr>
          <w:rFonts w:eastAsia="Times New Roman" w:cs="Times New Roman"/>
          <w:i/>
          <w:sz w:val="20"/>
          <w:szCs w:val="20"/>
          <w:lang w:eastAsia="en-CA"/>
        </w:rPr>
        <w:t>Gobeil</w:t>
      </w:r>
      <w:proofErr w:type="spellEnd"/>
      <w:r w:rsidRPr="007A5455">
        <w:rPr>
          <w:rFonts w:eastAsia="Times New Roman" w:cs="Times New Roman"/>
          <w:sz w:val="20"/>
          <w:szCs w:val="20"/>
          <w:lang w:eastAsia="en-CA"/>
        </w:rPr>
        <w:t xml:space="preserve"> and </w:t>
      </w:r>
      <w:proofErr w:type="spellStart"/>
      <w:r w:rsidRPr="007A5455">
        <w:rPr>
          <w:rFonts w:eastAsia="Times New Roman" w:cs="Times New Roman"/>
          <w:i/>
          <w:sz w:val="20"/>
          <w:szCs w:val="20"/>
          <w:lang w:eastAsia="en-CA"/>
        </w:rPr>
        <w:t>Diba</w:t>
      </w:r>
      <w:proofErr w:type="spellEnd"/>
      <w:r w:rsidRPr="007A5455">
        <w:rPr>
          <w:rFonts w:eastAsia="Times New Roman" w:cs="Times New Roman"/>
          <w:i/>
          <w:sz w:val="20"/>
          <w:szCs w:val="20"/>
          <w:lang w:eastAsia="en-CA"/>
        </w:rPr>
        <w:t xml:space="preserve"> </w:t>
      </w:r>
      <w:proofErr w:type="spellStart"/>
      <w:r w:rsidRPr="007A5455">
        <w:rPr>
          <w:rFonts w:eastAsia="Times New Roman" w:cs="Times New Roman"/>
          <w:i/>
          <w:sz w:val="20"/>
          <w:szCs w:val="20"/>
          <w:lang w:eastAsia="en-CA"/>
        </w:rPr>
        <w:t>Majzub</w:t>
      </w:r>
      <w:proofErr w:type="spellEnd"/>
      <w:r w:rsidRPr="007A5455">
        <w:rPr>
          <w:rFonts w:eastAsia="Times New Roman" w:cs="Times New Roman"/>
          <w:sz w:val="20"/>
          <w:szCs w:val="20"/>
          <w:lang w:eastAsia="en-CA"/>
        </w:rPr>
        <w:t>, for the respondent.</w:t>
      </w:r>
    </w:p>
    <w:p w:rsidR="00010024" w:rsidRPr="007A5455" w:rsidRDefault="00010024" w:rsidP="00010024">
      <w:pPr>
        <w:tabs>
          <w:tab w:val="left" w:pos="1168"/>
        </w:tabs>
        <w:jc w:val="both"/>
        <w:rPr>
          <w:rFonts w:eastAsia="Times New Roman" w:cs="Times New Roman"/>
          <w:sz w:val="20"/>
          <w:szCs w:val="20"/>
          <w:lang w:eastAsia="en-CA"/>
        </w:rPr>
      </w:pPr>
    </w:p>
    <w:p w:rsidR="00010024" w:rsidRPr="00010024" w:rsidRDefault="00010024" w:rsidP="00010024">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John Norris</w:t>
      </w:r>
      <w:r w:rsidRPr="007A5455">
        <w:rPr>
          <w:rFonts w:eastAsia="Times New Roman" w:cs="Times New Roman"/>
          <w:sz w:val="20"/>
          <w:szCs w:val="20"/>
          <w:lang w:eastAsia="en-CA"/>
        </w:rPr>
        <w:t xml:space="preserve"> and </w:t>
      </w:r>
      <w:r w:rsidRPr="007A5455">
        <w:rPr>
          <w:rFonts w:eastAsia="Times New Roman" w:cs="Times New Roman"/>
          <w:i/>
          <w:sz w:val="20"/>
          <w:szCs w:val="20"/>
          <w:lang w:eastAsia="en-CA"/>
        </w:rPr>
        <w:t>Meara Conway</w:t>
      </w:r>
      <w:r w:rsidRPr="007A5455">
        <w:rPr>
          <w:rFonts w:eastAsia="Times New Roman" w:cs="Times New Roman"/>
          <w:sz w:val="20"/>
          <w:szCs w:val="20"/>
          <w:lang w:eastAsia="en-CA"/>
        </w:rPr>
        <w:t>, for the intervener the Criminal Lawyers’ Association (Ontario).</w:t>
      </w:r>
    </w:p>
    <w:p w:rsidR="00010024" w:rsidRPr="007A5455" w:rsidRDefault="00010024" w:rsidP="00010024">
      <w:pPr>
        <w:tabs>
          <w:tab w:val="left" w:pos="1168"/>
        </w:tabs>
        <w:jc w:val="both"/>
        <w:rPr>
          <w:rFonts w:eastAsia="Times New Roman" w:cs="Times New Roman"/>
          <w:sz w:val="20"/>
          <w:szCs w:val="20"/>
          <w:lang w:eastAsia="en-CA"/>
        </w:rPr>
      </w:pPr>
    </w:p>
    <w:p w:rsidR="00010024" w:rsidRPr="00010024" w:rsidRDefault="00010024" w:rsidP="00010024">
      <w:pPr>
        <w:tabs>
          <w:tab w:val="left" w:pos="1168"/>
        </w:tabs>
        <w:jc w:val="both"/>
        <w:rPr>
          <w:rFonts w:eastAsia="Times New Roman" w:cs="Times New Roman"/>
          <w:sz w:val="20"/>
          <w:szCs w:val="20"/>
          <w:lang w:eastAsia="en-CA"/>
        </w:rPr>
      </w:pPr>
      <w:r w:rsidRPr="007A5455">
        <w:rPr>
          <w:rFonts w:eastAsia="Times New Roman" w:cs="Times New Roman"/>
          <w:sz w:val="20"/>
          <w:szCs w:val="20"/>
          <w:lang w:eastAsia="en-CA"/>
        </w:rPr>
        <w:tab/>
      </w:r>
      <w:r w:rsidRPr="007A5455">
        <w:rPr>
          <w:rFonts w:eastAsia="Times New Roman" w:cs="Times New Roman"/>
          <w:i/>
          <w:sz w:val="20"/>
          <w:szCs w:val="20"/>
          <w:lang w:eastAsia="en-CA"/>
        </w:rPr>
        <w:t xml:space="preserve">Brent </w:t>
      </w:r>
      <w:proofErr w:type="spellStart"/>
      <w:r w:rsidRPr="007A5455">
        <w:rPr>
          <w:rFonts w:eastAsia="Times New Roman" w:cs="Times New Roman"/>
          <w:i/>
          <w:sz w:val="20"/>
          <w:szCs w:val="20"/>
          <w:lang w:eastAsia="en-CA"/>
        </w:rPr>
        <w:t>Olthuis</w:t>
      </w:r>
      <w:proofErr w:type="spellEnd"/>
      <w:r w:rsidRPr="007A5455">
        <w:rPr>
          <w:rFonts w:eastAsia="Times New Roman" w:cs="Times New Roman"/>
          <w:sz w:val="20"/>
          <w:szCs w:val="20"/>
          <w:lang w:eastAsia="en-CA"/>
        </w:rPr>
        <w:t xml:space="preserve">, </w:t>
      </w:r>
      <w:r w:rsidRPr="007A5455">
        <w:rPr>
          <w:rFonts w:eastAsia="Times New Roman" w:cs="Times New Roman"/>
          <w:i/>
          <w:sz w:val="20"/>
          <w:szCs w:val="20"/>
          <w:lang w:eastAsia="en-CA"/>
        </w:rPr>
        <w:t>Greg J. Allen</w:t>
      </w:r>
      <w:r w:rsidRPr="007A5455">
        <w:rPr>
          <w:rFonts w:eastAsia="Times New Roman" w:cs="Times New Roman"/>
          <w:sz w:val="20"/>
          <w:szCs w:val="20"/>
          <w:lang w:eastAsia="en-CA"/>
        </w:rPr>
        <w:t xml:space="preserve"> and </w:t>
      </w:r>
      <w:r w:rsidRPr="007A5455">
        <w:rPr>
          <w:rFonts w:eastAsia="Times New Roman" w:cs="Times New Roman"/>
          <w:i/>
          <w:sz w:val="20"/>
          <w:szCs w:val="20"/>
          <w:lang w:eastAsia="en-CA"/>
        </w:rPr>
        <w:t xml:space="preserve">Michael </w:t>
      </w:r>
      <w:proofErr w:type="spellStart"/>
      <w:r w:rsidRPr="007A5455">
        <w:rPr>
          <w:rFonts w:eastAsia="Times New Roman" w:cs="Times New Roman"/>
          <w:i/>
          <w:sz w:val="20"/>
          <w:szCs w:val="20"/>
          <w:lang w:eastAsia="en-CA"/>
        </w:rPr>
        <w:t>Sobkin</w:t>
      </w:r>
      <w:proofErr w:type="spellEnd"/>
      <w:r w:rsidRPr="007A5455">
        <w:rPr>
          <w:rFonts w:eastAsia="Times New Roman" w:cs="Times New Roman"/>
          <w:sz w:val="20"/>
          <w:szCs w:val="20"/>
          <w:lang w:eastAsia="en-CA"/>
        </w:rPr>
        <w:t>, for the intervener the British Columbia Civil Liberties Association.</w:t>
      </w:r>
    </w:p>
    <w:p w:rsidR="00010024" w:rsidRPr="007A5455" w:rsidRDefault="00010024" w:rsidP="00010024">
      <w:pPr>
        <w:tabs>
          <w:tab w:val="left" w:pos="1168"/>
        </w:tabs>
        <w:jc w:val="both"/>
        <w:rPr>
          <w:rFonts w:eastAsia="Times New Roman" w:cs="Times New Roman"/>
          <w:i/>
          <w:sz w:val="20"/>
          <w:szCs w:val="20"/>
          <w:lang w:eastAsia="en-CA"/>
        </w:rPr>
      </w:pPr>
    </w:p>
    <w:p w:rsidR="00010024" w:rsidRPr="00010024" w:rsidRDefault="00010024" w:rsidP="00010024">
      <w:pPr>
        <w:tabs>
          <w:tab w:val="left" w:pos="1168"/>
        </w:tabs>
        <w:jc w:val="both"/>
        <w:rPr>
          <w:rFonts w:eastAsia="Times New Roman" w:cs="Times New Roman"/>
          <w:i/>
          <w:sz w:val="20"/>
          <w:szCs w:val="20"/>
          <w:lang w:eastAsia="en-CA"/>
        </w:rPr>
      </w:pPr>
      <w:r w:rsidRPr="00010024">
        <w:rPr>
          <w:rFonts w:eastAsia="Times New Roman" w:cs="Times New Roman"/>
          <w:i/>
          <w:sz w:val="20"/>
          <w:szCs w:val="20"/>
          <w:lang w:eastAsia="en-CA"/>
        </w:rPr>
        <w:tab/>
        <w:t xml:space="preserve">Solicitors for the appellant: Grey </w:t>
      </w:r>
      <w:proofErr w:type="spellStart"/>
      <w:r w:rsidRPr="00010024">
        <w:rPr>
          <w:rFonts w:eastAsia="Times New Roman" w:cs="Times New Roman"/>
          <w:i/>
          <w:sz w:val="20"/>
          <w:szCs w:val="20"/>
          <w:lang w:eastAsia="en-CA"/>
        </w:rPr>
        <w:t>Casgrain</w:t>
      </w:r>
      <w:proofErr w:type="spellEnd"/>
      <w:r w:rsidRPr="00010024">
        <w:rPr>
          <w:rFonts w:eastAsia="Times New Roman" w:cs="Times New Roman"/>
          <w:i/>
          <w:sz w:val="20"/>
          <w:szCs w:val="20"/>
          <w:lang w:eastAsia="en-CA"/>
        </w:rPr>
        <w:t xml:space="preserve">, Montréal; Clemente </w:t>
      </w:r>
      <w:proofErr w:type="spellStart"/>
      <w:r w:rsidRPr="00010024">
        <w:rPr>
          <w:rFonts w:eastAsia="Times New Roman" w:cs="Times New Roman"/>
          <w:i/>
          <w:sz w:val="20"/>
          <w:szCs w:val="20"/>
          <w:lang w:eastAsia="en-CA"/>
        </w:rPr>
        <w:t>Monterosso</w:t>
      </w:r>
      <w:proofErr w:type="spellEnd"/>
      <w:r w:rsidRPr="00010024">
        <w:rPr>
          <w:rFonts w:eastAsia="Times New Roman" w:cs="Times New Roman"/>
          <w:i/>
          <w:sz w:val="20"/>
          <w:szCs w:val="20"/>
          <w:lang w:eastAsia="en-CA"/>
        </w:rPr>
        <w:t>, Montréal.</w:t>
      </w:r>
    </w:p>
    <w:p w:rsidR="00010024" w:rsidRPr="007A5455" w:rsidRDefault="00010024" w:rsidP="00010024">
      <w:pPr>
        <w:tabs>
          <w:tab w:val="left" w:pos="1168"/>
        </w:tabs>
        <w:jc w:val="both"/>
        <w:rPr>
          <w:rFonts w:eastAsia="Times New Roman" w:cs="Times New Roman"/>
          <w:i/>
          <w:sz w:val="20"/>
          <w:szCs w:val="20"/>
          <w:lang w:eastAsia="en-CA"/>
        </w:rPr>
      </w:pPr>
    </w:p>
    <w:p w:rsidR="00010024" w:rsidRPr="00010024" w:rsidRDefault="00010024" w:rsidP="00010024">
      <w:pPr>
        <w:tabs>
          <w:tab w:val="left" w:pos="1168"/>
        </w:tabs>
        <w:jc w:val="both"/>
        <w:rPr>
          <w:rFonts w:eastAsia="Times New Roman" w:cs="Times New Roman"/>
          <w:i/>
          <w:sz w:val="20"/>
          <w:szCs w:val="20"/>
          <w:lang w:eastAsia="en-CA"/>
        </w:rPr>
      </w:pPr>
      <w:r w:rsidRPr="00010024">
        <w:rPr>
          <w:rFonts w:eastAsia="Times New Roman" w:cs="Times New Roman"/>
          <w:i/>
          <w:sz w:val="20"/>
          <w:szCs w:val="20"/>
          <w:lang w:eastAsia="en-CA"/>
        </w:rPr>
        <w:tab/>
        <w:t>Solicitor for the respondent: Attorney General of Canada, Montréal.</w:t>
      </w:r>
    </w:p>
    <w:p w:rsidR="00010024" w:rsidRPr="007A5455" w:rsidRDefault="00010024" w:rsidP="00010024">
      <w:pPr>
        <w:tabs>
          <w:tab w:val="left" w:pos="1168"/>
        </w:tabs>
        <w:jc w:val="both"/>
        <w:rPr>
          <w:rFonts w:eastAsia="Times New Roman" w:cs="Times New Roman"/>
          <w:i/>
          <w:sz w:val="20"/>
          <w:szCs w:val="20"/>
          <w:lang w:eastAsia="en-CA"/>
        </w:rPr>
      </w:pPr>
    </w:p>
    <w:p w:rsidR="00010024" w:rsidRPr="00010024" w:rsidRDefault="00010024" w:rsidP="00010024">
      <w:pPr>
        <w:tabs>
          <w:tab w:val="left" w:pos="1168"/>
        </w:tabs>
        <w:jc w:val="both"/>
        <w:rPr>
          <w:rFonts w:eastAsia="Times New Roman" w:cs="Times New Roman"/>
          <w:i/>
          <w:sz w:val="20"/>
          <w:szCs w:val="20"/>
          <w:lang w:eastAsia="en-CA"/>
        </w:rPr>
      </w:pPr>
      <w:r w:rsidRPr="00010024">
        <w:rPr>
          <w:rFonts w:eastAsia="Times New Roman" w:cs="Times New Roman"/>
          <w:i/>
          <w:sz w:val="20"/>
          <w:szCs w:val="20"/>
          <w:lang w:eastAsia="en-CA"/>
        </w:rPr>
        <w:tab/>
        <w:t>Solicitors for the intervener the Criminal Lawyers’ Association (Ontario): John Norris Barrister, Toronto.</w:t>
      </w:r>
    </w:p>
    <w:p w:rsidR="00010024" w:rsidRPr="007A5455" w:rsidRDefault="00010024" w:rsidP="00010024">
      <w:pPr>
        <w:tabs>
          <w:tab w:val="left" w:pos="1168"/>
        </w:tabs>
        <w:jc w:val="both"/>
        <w:rPr>
          <w:rFonts w:eastAsia="Times New Roman" w:cs="Times New Roman"/>
          <w:i/>
          <w:sz w:val="20"/>
          <w:szCs w:val="20"/>
          <w:lang w:eastAsia="en-CA"/>
        </w:rPr>
      </w:pPr>
    </w:p>
    <w:p w:rsidR="00010024" w:rsidRPr="00010024" w:rsidRDefault="00010024" w:rsidP="00010024">
      <w:pPr>
        <w:tabs>
          <w:tab w:val="left" w:pos="1168"/>
        </w:tabs>
        <w:jc w:val="both"/>
        <w:rPr>
          <w:rFonts w:eastAsia="Times New Roman" w:cs="Times New Roman"/>
          <w:i/>
          <w:sz w:val="20"/>
          <w:szCs w:val="20"/>
          <w:lang w:eastAsia="en-CA"/>
        </w:rPr>
      </w:pPr>
      <w:r w:rsidRPr="00010024">
        <w:rPr>
          <w:rFonts w:eastAsia="Times New Roman" w:cs="Times New Roman"/>
          <w:i/>
          <w:sz w:val="20"/>
          <w:szCs w:val="20"/>
          <w:lang w:eastAsia="en-CA"/>
        </w:rPr>
        <w:tab/>
        <w:t xml:space="preserve">Solicitors for the intervener the British Columbia Civil Liberties Association: Hunter Litigation Chambers, Vancouver; Michael </w:t>
      </w:r>
      <w:proofErr w:type="spellStart"/>
      <w:r w:rsidRPr="00010024">
        <w:rPr>
          <w:rFonts w:eastAsia="Times New Roman" w:cs="Times New Roman"/>
          <w:i/>
          <w:sz w:val="20"/>
          <w:szCs w:val="20"/>
          <w:lang w:eastAsia="en-CA"/>
        </w:rPr>
        <w:t>Sobkin</w:t>
      </w:r>
      <w:proofErr w:type="spellEnd"/>
      <w:r w:rsidRPr="00010024">
        <w:rPr>
          <w:rFonts w:eastAsia="Times New Roman" w:cs="Times New Roman"/>
          <w:i/>
          <w:sz w:val="20"/>
          <w:szCs w:val="20"/>
          <w:lang w:eastAsia="en-CA"/>
        </w:rPr>
        <w:t>, Ottawa.</w:t>
      </w:r>
    </w:p>
    <w:p w:rsidR="0052229C" w:rsidRPr="007A5455" w:rsidRDefault="0052229C" w:rsidP="00010024">
      <w:pPr>
        <w:rPr>
          <w:sz w:val="20"/>
          <w:szCs w:val="20"/>
          <w:lang w:val="fr-CA"/>
        </w:rPr>
      </w:pPr>
      <w:r w:rsidRPr="007A5455">
        <w:rPr>
          <w:sz w:val="20"/>
          <w:szCs w:val="20"/>
          <w:lang w:val="fr-CA"/>
        </w:rPr>
        <w:t>________________________</w:t>
      </w:r>
    </w:p>
    <w:p w:rsidR="0052229C" w:rsidRPr="007A5455" w:rsidRDefault="0052229C" w:rsidP="0052229C">
      <w:pPr>
        <w:rPr>
          <w:sz w:val="20"/>
          <w:szCs w:val="20"/>
          <w:lang w:val="fr-CA"/>
        </w:rPr>
      </w:pPr>
    </w:p>
    <w:p w:rsidR="0052229C" w:rsidRPr="007A5455" w:rsidRDefault="0052229C" w:rsidP="0052229C">
      <w:pPr>
        <w:jc w:val="both"/>
        <w:rPr>
          <w:sz w:val="20"/>
          <w:szCs w:val="20"/>
          <w:lang w:val="fr-CA"/>
        </w:rPr>
      </w:pPr>
      <w:r w:rsidRPr="007A5455">
        <w:rPr>
          <w:sz w:val="20"/>
          <w:szCs w:val="20"/>
          <w:lang w:val="fr-CA"/>
        </w:rPr>
        <w:t xml:space="preserve">Présents : La juge en chef </w:t>
      </w:r>
      <w:proofErr w:type="spellStart"/>
      <w:r w:rsidRPr="007A5455">
        <w:rPr>
          <w:sz w:val="20"/>
          <w:szCs w:val="20"/>
          <w:lang w:val="fr-CA"/>
        </w:rPr>
        <w:t>McLachlin</w:t>
      </w:r>
      <w:proofErr w:type="spellEnd"/>
      <w:r w:rsidRPr="007A5455">
        <w:rPr>
          <w:sz w:val="20"/>
          <w:szCs w:val="20"/>
          <w:lang w:val="fr-CA"/>
        </w:rPr>
        <w:t xml:space="preserve"> et les juges Abella, </w:t>
      </w:r>
      <w:r w:rsidR="00930F68" w:rsidRPr="007A5455">
        <w:rPr>
          <w:sz w:val="20"/>
          <w:szCs w:val="20"/>
          <w:lang w:val="fr-CA"/>
        </w:rPr>
        <w:t>Cromwell</w:t>
      </w:r>
      <w:r w:rsidRPr="007A5455">
        <w:rPr>
          <w:sz w:val="20"/>
          <w:szCs w:val="20"/>
          <w:lang w:val="fr-CA"/>
        </w:rPr>
        <w:t xml:space="preserve">, </w:t>
      </w:r>
      <w:proofErr w:type="spellStart"/>
      <w:r w:rsidRPr="007A5455">
        <w:rPr>
          <w:sz w:val="20"/>
          <w:szCs w:val="20"/>
          <w:lang w:val="fr-CA"/>
        </w:rPr>
        <w:t>M</w:t>
      </w:r>
      <w:r w:rsidR="00930F68" w:rsidRPr="007A5455">
        <w:rPr>
          <w:sz w:val="20"/>
          <w:szCs w:val="20"/>
          <w:lang w:val="fr-CA"/>
        </w:rPr>
        <w:t>oldaver</w:t>
      </w:r>
      <w:proofErr w:type="spellEnd"/>
      <w:r w:rsidR="00930F68" w:rsidRPr="007A5455">
        <w:rPr>
          <w:sz w:val="20"/>
          <w:szCs w:val="20"/>
          <w:lang w:val="fr-CA"/>
        </w:rPr>
        <w:t xml:space="preserve">, </w:t>
      </w:r>
      <w:proofErr w:type="spellStart"/>
      <w:r w:rsidR="00930F68" w:rsidRPr="007A5455">
        <w:rPr>
          <w:sz w:val="20"/>
          <w:szCs w:val="20"/>
          <w:lang w:val="fr-CA"/>
        </w:rPr>
        <w:t>Karakatsanis</w:t>
      </w:r>
      <w:proofErr w:type="spellEnd"/>
      <w:r w:rsidR="00930F68" w:rsidRPr="007A5455">
        <w:rPr>
          <w:sz w:val="20"/>
          <w:szCs w:val="20"/>
          <w:lang w:val="fr-CA"/>
        </w:rPr>
        <w:t xml:space="preserve">, Wagner </w:t>
      </w:r>
      <w:r w:rsidRPr="007A5455">
        <w:rPr>
          <w:sz w:val="20"/>
          <w:szCs w:val="20"/>
          <w:lang w:val="fr-CA"/>
        </w:rPr>
        <w:t xml:space="preserve">et </w:t>
      </w:r>
      <w:r w:rsidR="00930F68" w:rsidRPr="007A5455">
        <w:rPr>
          <w:sz w:val="20"/>
          <w:szCs w:val="20"/>
          <w:lang w:val="fr-CA"/>
        </w:rPr>
        <w:t>Côté</w:t>
      </w:r>
      <w:r w:rsidRPr="007A5455">
        <w:rPr>
          <w:sz w:val="20"/>
          <w:szCs w:val="20"/>
          <w:lang w:val="fr-CA"/>
        </w:rPr>
        <w:t>.</w:t>
      </w:r>
    </w:p>
    <w:p w:rsidR="0052229C" w:rsidRPr="007A5455" w:rsidRDefault="0052229C" w:rsidP="00FB4D6B">
      <w:pPr>
        <w:jc w:val="both"/>
        <w:rPr>
          <w:smallCaps/>
          <w:sz w:val="20"/>
          <w:szCs w:val="20"/>
          <w:lang w:val="fr-CA"/>
        </w:rPr>
      </w:pPr>
    </w:p>
    <w:p w:rsidR="00FB4D6B" w:rsidRPr="00FB4D6B" w:rsidRDefault="00FB4D6B" w:rsidP="00FB4D6B">
      <w:pPr>
        <w:tabs>
          <w:tab w:val="left" w:pos="1168"/>
        </w:tabs>
        <w:jc w:val="both"/>
        <w:rPr>
          <w:rFonts w:eastAsia="Times New Roman" w:cs="Times New Roman"/>
          <w:i/>
          <w:sz w:val="20"/>
          <w:szCs w:val="20"/>
          <w:lang w:val="fr-CA" w:eastAsia="en-CA"/>
        </w:rPr>
      </w:pPr>
      <w:r w:rsidRPr="00FB4D6B">
        <w:rPr>
          <w:rFonts w:eastAsia="Times New Roman" w:cs="Times New Roman"/>
          <w:i/>
          <w:sz w:val="20"/>
          <w:szCs w:val="20"/>
          <w:lang w:val="fr-CA" w:eastAsia="en-CA"/>
        </w:rPr>
        <w:tab/>
        <w:t>Extradition — Audiences relatives à l’incarcération — Preuve — Rôle du juge d’extradition — Critère applicable à l’incarcération — Principe de la double incrimination — Mère de trois enfants s’exposant à des accusations d’enlèvement d’enfant aux É.</w:t>
      </w:r>
      <w:r w:rsidRPr="00FB4D6B">
        <w:rPr>
          <w:rFonts w:eastAsia="Times New Roman" w:cs="Times New Roman"/>
          <w:i/>
          <w:sz w:val="20"/>
          <w:szCs w:val="20"/>
          <w:lang w:val="fr-CA" w:eastAsia="en-CA"/>
        </w:rPr>
        <w:noBreakHyphen/>
        <w:t>U. — La juge d’extradition a</w:t>
      </w:r>
      <w:r w:rsidRPr="00FB4D6B">
        <w:rPr>
          <w:rFonts w:eastAsia="Times New Roman" w:cs="Times New Roman"/>
          <w:i/>
          <w:sz w:val="20"/>
          <w:szCs w:val="20"/>
          <w:lang w:val="fr-CA" w:eastAsia="en-CA"/>
        </w:rPr>
        <w:noBreakHyphen/>
        <w:t>t</w:t>
      </w:r>
      <w:r w:rsidRPr="00FB4D6B">
        <w:rPr>
          <w:rFonts w:eastAsia="Times New Roman" w:cs="Times New Roman"/>
          <w:i/>
          <w:sz w:val="20"/>
          <w:szCs w:val="20"/>
          <w:lang w:val="fr-CA" w:eastAsia="en-CA"/>
        </w:rPr>
        <w:noBreakHyphen/>
        <w:t>elle appliqué les bons principes quant à la double incrimination et à son propre rôle dans l’appréciation de la fiabilité et du caractère suffisant de la preuve? — Un juge d’extradition devrait</w:t>
      </w:r>
      <w:r w:rsidRPr="00FB4D6B">
        <w:rPr>
          <w:rFonts w:eastAsia="Times New Roman" w:cs="Times New Roman"/>
          <w:i/>
          <w:sz w:val="20"/>
          <w:szCs w:val="20"/>
          <w:lang w:val="fr-CA" w:eastAsia="en-CA"/>
        </w:rPr>
        <w:noBreakHyphen/>
        <w:t xml:space="preserve">il considérer la preuve d’éventuels moyens de défense et d’autres éléments </w:t>
      </w:r>
      <w:proofErr w:type="spellStart"/>
      <w:r w:rsidRPr="00FB4D6B">
        <w:rPr>
          <w:rFonts w:eastAsia="Times New Roman" w:cs="Times New Roman"/>
          <w:i/>
          <w:sz w:val="20"/>
          <w:szCs w:val="20"/>
          <w:lang w:val="fr-CA" w:eastAsia="en-CA"/>
        </w:rPr>
        <w:t>disculpatoires</w:t>
      </w:r>
      <w:proofErr w:type="spellEnd"/>
      <w:r w:rsidRPr="00FB4D6B">
        <w:rPr>
          <w:rFonts w:eastAsia="Times New Roman" w:cs="Times New Roman"/>
          <w:i/>
          <w:sz w:val="20"/>
          <w:szCs w:val="20"/>
          <w:lang w:val="fr-CA" w:eastAsia="en-CA"/>
        </w:rPr>
        <w:t xml:space="preserve"> pour décider s’il y a lieu ou non d’ordonner l’incarcération en vue de l’extradition? — La preuve justifiait</w:t>
      </w:r>
      <w:r w:rsidRPr="00FB4D6B">
        <w:rPr>
          <w:rFonts w:eastAsia="Times New Roman" w:cs="Times New Roman"/>
          <w:i/>
          <w:sz w:val="20"/>
          <w:szCs w:val="20"/>
          <w:lang w:val="fr-CA" w:eastAsia="en-CA"/>
        </w:rPr>
        <w:noBreakHyphen/>
        <w:t>elle l’incarcération de la mère? — Loi sur l’extradition, L.C. 1999, c. 18, art. 3(1), 29(1)a).</w:t>
      </w:r>
    </w:p>
    <w:p w:rsidR="00FB4D6B" w:rsidRPr="007A5455" w:rsidRDefault="00FB4D6B" w:rsidP="00FB4D6B">
      <w:pPr>
        <w:tabs>
          <w:tab w:val="left" w:pos="1168"/>
        </w:tabs>
        <w:jc w:val="both"/>
        <w:rPr>
          <w:rFonts w:eastAsia="Times New Roman" w:cs="Times New Roman"/>
          <w:sz w:val="20"/>
          <w:szCs w:val="20"/>
          <w:lang w:val="fr-CA" w:eastAsia="en-CA"/>
        </w:rPr>
      </w:pPr>
    </w:p>
    <w:p w:rsidR="00FB4D6B" w:rsidRPr="00FB4D6B" w:rsidRDefault="00FB4D6B" w:rsidP="00FB4D6B">
      <w:pPr>
        <w:tabs>
          <w:tab w:val="left" w:pos="1168"/>
        </w:tabs>
        <w:jc w:val="both"/>
        <w:rPr>
          <w:rFonts w:eastAsia="Times New Roman" w:cs="Times New Roman"/>
          <w:i/>
          <w:sz w:val="20"/>
          <w:szCs w:val="20"/>
          <w:lang w:val="fr-CA" w:eastAsia="en-CA"/>
        </w:rPr>
      </w:pPr>
      <w:r w:rsidRPr="00FB4D6B">
        <w:rPr>
          <w:rFonts w:eastAsia="Times New Roman" w:cs="Times New Roman"/>
          <w:sz w:val="20"/>
          <w:szCs w:val="20"/>
          <w:lang w:val="fr-CA" w:eastAsia="en-CA"/>
        </w:rPr>
        <w:tab/>
      </w:r>
      <w:r w:rsidRPr="00FB4D6B">
        <w:rPr>
          <w:rFonts w:eastAsia="Times New Roman" w:cs="Times New Roman"/>
          <w:i/>
          <w:sz w:val="20"/>
          <w:szCs w:val="20"/>
          <w:lang w:val="fr-CA" w:eastAsia="en-CA"/>
        </w:rPr>
        <w:t>Extradition — Arrêté d’extradition — Contrôle judiciaire — La Loi sur l’extradition dispose que le ministre de la Justice refuse d’ordonner l’extradition lorsque la mesure serait injuste ou tyrannique compte tenu de toutes les circonstances pertinentes — Ordonnance du ministre à l’effet d’extrader la mère vers les É.</w:t>
      </w:r>
      <w:r w:rsidRPr="00FB4D6B">
        <w:rPr>
          <w:rFonts w:eastAsia="Times New Roman" w:cs="Times New Roman"/>
          <w:i/>
          <w:sz w:val="20"/>
          <w:szCs w:val="20"/>
          <w:lang w:val="fr-CA" w:eastAsia="en-CA"/>
        </w:rPr>
        <w:noBreakHyphen/>
        <w:t xml:space="preserve">U. pour qu’elle y réponde à des accusations d’enlèvement d’enfant — Le ministre </w:t>
      </w:r>
      <w:proofErr w:type="spellStart"/>
      <w:r w:rsidRPr="00FB4D6B">
        <w:rPr>
          <w:rFonts w:eastAsia="Times New Roman" w:cs="Times New Roman"/>
          <w:i/>
          <w:sz w:val="20"/>
          <w:szCs w:val="20"/>
          <w:lang w:val="fr-CA" w:eastAsia="en-CA"/>
        </w:rPr>
        <w:t>a</w:t>
      </w:r>
      <w:r w:rsidRPr="00FB4D6B">
        <w:rPr>
          <w:rFonts w:eastAsia="Times New Roman" w:cs="Times New Roman"/>
          <w:i/>
          <w:sz w:val="20"/>
          <w:szCs w:val="20"/>
          <w:lang w:val="fr-CA" w:eastAsia="en-CA"/>
        </w:rPr>
        <w:noBreakHyphen/>
        <w:t>t</w:t>
      </w:r>
      <w:r w:rsidRPr="00FB4D6B">
        <w:rPr>
          <w:rFonts w:eastAsia="Times New Roman" w:cs="Times New Roman"/>
          <w:i/>
          <w:sz w:val="20"/>
          <w:szCs w:val="20"/>
          <w:lang w:val="fr-CA" w:eastAsia="en-CA"/>
        </w:rPr>
        <w:noBreakHyphen/>
        <w:t>il</w:t>
      </w:r>
      <w:proofErr w:type="spellEnd"/>
      <w:r w:rsidRPr="00FB4D6B">
        <w:rPr>
          <w:rFonts w:eastAsia="Times New Roman" w:cs="Times New Roman"/>
          <w:i/>
          <w:sz w:val="20"/>
          <w:szCs w:val="20"/>
          <w:lang w:val="fr-CA" w:eastAsia="en-CA"/>
        </w:rPr>
        <w:t xml:space="preserve"> pris dûment en compte le fait que la défense de nécessité existait en droit canadien mais non dans l’État requérant? — </w:t>
      </w:r>
      <w:proofErr w:type="spellStart"/>
      <w:r w:rsidRPr="00FB4D6B">
        <w:rPr>
          <w:rFonts w:eastAsia="Times New Roman" w:cs="Times New Roman"/>
          <w:i/>
          <w:sz w:val="20"/>
          <w:szCs w:val="20"/>
          <w:lang w:val="fr-CA" w:eastAsia="en-CA"/>
        </w:rPr>
        <w:t>A</w:t>
      </w:r>
      <w:r w:rsidRPr="00FB4D6B">
        <w:rPr>
          <w:rFonts w:eastAsia="Times New Roman" w:cs="Times New Roman"/>
          <w:i/>
          <w:sz w:val="20"/>
          <w:szCs w:val="20"/>
          <w:lang w:val="fr-CA" w:eastAsia="en-CA"/>
        </w:rPr>
        <w:noBreakHyphen/>
        <w:t>t</w:t>
      </w:r>
      <w:r w:rsidRPr="00FB4D6B">
        <w:rPr>
          <w:rFonts w:eastAsia="Times New Roman" w:cs="Times New Roman"/>
          <w:i/>
          <w:sz w:val="20"/>
          <w:szCs w:val="20"/>
          <w:lang w:val="fr-CA" w:eastAsia="en-CA"/>
        </w:rPr>
        <w:noBreakHyphen/>
        <w:t>il</w:t>
      </w:r>
      <w:proofErr w:type="spellEnd"/>
      <w:r w:rsidRPr="00FB4D6B">
        <w:rPr>
          <w:rFonts w:eastAsia="Times New Roman" w:cs="Times New Roman"/>
          <w:i/>
          <w:sz w:val="20"/>
          <w:szCs w:val="20"/>
          <w:lang w:val="fr-CA" w:eastAsia="en-CA"/>
        </w:rPr>
        <w:t xml:space="preserve"> dûment pris en compte l’effet de l’extradition sur l’intérêt supérieur des enfants? — Sa décision d’ordonner l’extradition était</w:t>
      </w:r>
      <w:r w:rsidRPr="00FB4D6B">
        <w:rPr>
          <w:rFonts w:eastAsia="Times New Roman" w:cs="Times New Roman"/>
          <w:i/>
          <w:sz w:val="20"/>
          <w:szCs w:val="20"/>
          <w:lang w:val="fr-CA" w:eastAsia="en-CA"/>
        </w:rPr>
        <w:noBreakHyphen/>
        <w:t>elle raisonnable? — Loi sur l’extradition, L.C. 1999, c. 18, art. 44(1)a).</w:t>
      </w:r>
    </w:p>
    <w:p w:rsidR="0052229C" w:rsidRPr="007A5455" w:rsidRDefault="0052229C" w:rsidP="0052229C">
      <w:pPr>
        <w:pStyle w:val="SCCNormalDoubleSpacing"/>
        <w:spacing w:line="240" w:lineRule="auto"/>
        <w:rPr>
          <w:sz w:val="20"/>
          <w:lang w:val="fr-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M est mère de trois enfants. La famille vivait en Géorgie lorsque les parents ont divorcé. Un tribunal de cet État a </w:t>
      </w:r>
      <w:proofErr w:type="spellStart"/>
      <w:r w:rsidRPr="00D50799">
        <w:rPr>
          <w:rFonts w:eastAsia="Times New Roman" w:cs="Times New Roman"/>
          <w:sz w:val="20"/>
          <w:szCs w:val="20"/>
          <w:lang w:val="fr-CA" w:eastAsia="en-CA"/>
        </w:rPr>
        <w:t>acordé</w:t>
      </w:r>
      <w:proofErr w:type="spellEnd"/>
      <w:r w:rsidRPr="00D50799">
        <w:rPr>
          <w:rFonts w:eastAsia="Times New Roman" w:cs="Times New Roman"/>
          <w:sz w:val="20"/>
          <w:szCs w:val="20"/>
          <w:lang w:val="fr-CA" w:eastAsia="en-CA"/>
        </w:rPr>
        <w:t xml:space="preserve"> au père la garde exclusive des enfants. M n’a obtenu aucun droit de visite, et tout autre contact avec les enfants lui a été interdit. Cependant, après que le père eut signalé leur disparition en 2010, la police de la Géorgie a retrouvé les enfants en compagnie de M dans un refuge pour femmes battues au Québec et a arrêté cette dernière. Les enfants ont d’abord été confiés à un foyer d’accueil, puis rendus à M une fois qu’elle a été libérée sous caution. Les É.</w:t>
      </w:r>
      <w:r w:rsidRPr="00D50799">
        <w:rPr>
          <w:rFonts w:eastAsia="Times New Roman" w:cs="Times New Roman"/>
          <w:sz w:val="20"/>
          <w:szCs w:val="20"/>
          <w:lang w:val="fr-CA" w:eastAsia="en-CA"/>
        </w:rPr>
        <w:noBreakHyphen/>
        <w:t xml:space="preserve">U. ont demandé l’extradition de M en vue de sa poursuite en Géorgie pour violation d’une ordonnance de garde à l’extérieur de l’État (en anglais, </w:t>
      </w:r>
      <w:proofErr w:type="spellStart"/>
      <w:r w:rsidRPr="00D50799">
        <w:rPr>
          <w:rFonts w:eastAsia="Times New Roman" w:cs="Times New Roman"/>
          <w:i/>
          <w:sz w:val="20"/>
          <w:szCs w:val="20"/>
          <w:lang w:val="fr-CA" w:eastAsia="en-CA"/>
        </w:rPr>
        <w:t>interstate</w:t>
      </w:r>
      <w:proofErr w:type="spellEnd"/>
      <w:r w:rsidRPr="00D50799">
        <w:rPr>
          <w:rFonts w:eastAsia="Times New Roman" w:cs="Times New Roman"/>
          <w:i/>
          <w:sz w:val="20"/>
          <w:szCs w:val="20"/>
          <w:lang w:val="fr-CA" w:eastAsia="en-CA"/>
        </w:rPr>
        <w:t xml:space="preserve"> </w:t>
      </w:r>
      <w:proofErr w:type="spellStart"/>
      <w:r w:rsidRPr="00D50799">
        <w:rPr>
          <w:rFonts w:eastAsia="Times New Roman" w:cs="Times New Roman"/>
          <w:i/>
          <w:sz w:val="20"/>
          <w:szCs w:val="20"/>
          <w:lang w:val="fr-CA" w:eastAsia="en-CA"/>
        </w:rPr>
        <w:t>interference</w:t>
      </w:r>
      <w:proofErr w:type="spellEnd"/>
      <w:r w:rsidRPr="00D50799">
        <w:rPr>
          <w:rFonts w:eastAsia="Times New Roman" w:cs="Times New Roman"/>
          <w:i/>
          <w:sz w:val="20"/>
          <w:szCs w:val="20"/>
          <w:lang w:val="fr-CA" w:eastAsia="en-CA"/>
        </w:rPr>
        <w:t xml:space="preserve"> </w:t>
      </w:r>
      <w:proofErr w:type="spellStart"/>
      <w:r w:rsidRPr="00D50799">
        <w:rPr>
          <w:rFonts w:eastAsia="Times New Roman" w:cs="Times New Roman"/>
          <w:i/>
          <w:sz w:val="20"/>
          <w:szCs w:val="20"/>
          <w:lang w:val="fr-CA" w:eastAsia="en-CA"/>
        </w:rPr>
        <w:t>with</w:t>
      </w:r>
      <w:proofErr w:type="spellEnd"/>
      <w:r w:rsidRPr="00D50799">
        <w:rPr>
          <w:rFonts w:eastAsia="Times New Roman" w:cs="Times New Roman"/>
          <w:i/>
          <w:sz w:val="20"/>
          <w:szCs w:val="20"/>
          <w:lang w:val="fr-CA" w:eastAsia="en-CA"/>
        </w:rPr>
        <w:t xml:space="preserve"> </w:t>
      </w:r>
      <w:proofErr w:type="spellStart"/>
      <w:r w:rsidRPr="00D50799">
        <w:rPr>
          <w:rFonts w:eastAsia="Times New Roman" w:cs="Times New Roman"/>
          <w:i/>
          <w:sz w:val="20"/>
          <w:szCs w:val="20"/>
          <w:lang w:val="fr-CA" w:eastAsia="en-CA"/>
        </w:rPr>
        <w:t>custody</w:t>
      </w:r>
      <w:proofErr w:type="spellEnd"/>
      <w:r w:rsidRPr="00D50799">
        <w:rPr>
          <w:rFonts w:eastAsia="Times New Roman" w:cs="Times New Roman"/>
          <w:sz w:val="20"/>
          <w:szCs w:val="20"/>
          <w:lang w:val="fr-CA" w:eastAsia="en-CA"/>
        </w:rPr>
        <w:t xml:space="preserve">). Le ministre de la Justice a pris un arrêté introductif d’instance </w:t>
      </w:r>
      <w:r w:rsidRPr="00D50799">
        <w:rPr>
          <w:rFonts w:eastAsia="Times New Roman" w:cs="Times New Roman"/>
          <w:sz w:val="20"/>
          <w:szCs w:val="20"/>
          <w:lang w:val="fr-CA" w:eastAsia="en-CA"/>
        </w:rPr>
        <w:lastRenderedPageBreak/>
        <w:t xml:space="preserve">(« AII ») dans lequel il énumérait les infractions canadiennes correspondantes d’enlèvement prévues dans le </w:t>
      </w:r>
      <w:r w:rsidRPr="00D50799">
        <w:rPr>
          <w:rFonts w:eastAsia="Times New Roman" w:cs="Times New Roman"/>
          <w:i/>
          <w:sz w:val="20"/>
          <w:szCs w:val="20"/>
          <w:lang w:val="fr-CA" w:eastAsia="en-CA"/>
        </w:rPr>
        <w:t>Code criminel</w:t>
      </w:r>
      <w:r w:rsidRPr="00D50799">
        <w:rPr>
          <w:rFonts w:eastAsia="Times New Roman" w:cs="Times New Roman"/>
          <w:sz w:val="20"/>
          <w:szCs w:val="20"/>
          <w:lang w:val="fr-CA" w:eastAsia="en-CA"/>
        </w:rPr>
        <w:t>. La Cour supérieure du Québec a rejeté la demande d’incarcération de M en vue de son extradition aux É.</w:t>
      </w:r>
      <w:r w:rsidRPr="00D50799">
        <w:rPr>
          <w:rFonts w:eastAsia="Times New Roman" w:cs="Times New Roman"/>
          <w:sz w:val="20"/>
          <w:szCs w:val="20"/>
          <w:lang w:val="fr-CA" w:eastAsia="en-CA"/>
        </w:rPr>
        <w:noBreakHyphen/>
        <w:t xml:space="preserve">U. La Cour d’appel du Québec a toutefois annulé l’ordonnance de mise en liberté de M et ordonné son incarcération en vue de son extradition (l’« ordonnance d’incarcération »). Le ministre de la Justice a ordonné l’extradition de M, puis la Cour d’appel a rejeté la demande de contrôle judiciaire visant la décision du ministre (l’« arrêté d’extradition »). M se pourvoit contre l’ordonnance d’incarcération et l’arrêté d’extradition.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r>
      <w:r w:rsidRPr="00D50799">
        <w:rPr>
          <w:rFonts w:eastAsia="Times New Roman" w:cs="Times New Roman"/>
          <w:i/>
          <w:sz w:val="20"/>
          <w:szCs w:val="20"/>
          <w:lang w:val="fr-CA" w:eastAsia="en-CA"/>
        </w:rPr>
        <w:t>Arrêt</w:t>
      </w:r>
      <w:r w:rsidRPr="00D50799">
        <w:rPr>
          <w:rFonts w:eastAsia="Times New Roman" w:cs="Times New Roman"/>
          <w:sz w:val="20"/>
          <w:szCs w:val="20"/>
          <w:lang w:val="fr-CA" w:eastAsia="en-CA"/>
        </w:rPr>
        <w:t xml:space="preserve"> </w:t>
      </w:r>
      <w:r w:rsidRPr="007A5455">
        <w:rPr>
          <w:rFonts w:eastAsia="Times New Roman" w:cs="Times New Roman"/>
          <w:iCs/>
          <w:sz w:val="20"/>
          <w:szCs w:val="20"/>
          <w:lang w:val="fr-CA" w:eastAsia="en-CA"/>
        </w:rPr>
        <w:t xml:space="preserve">(les juges Abella, </w:t>
      </w:r>
      <w:proofErr w:type="spellStart"/>
      <w:r w:rsidRPr="007A5455">
        <w:rPr>
          <w:rFonts w:eastAsia="Times New Roman" w:cs="Times New Roman"/>
          <w:iCs/>
          <w:sz w:val="20"/>
          <w:szCs w:val="20"/>
          <w:lang w:val="fr-CA" w:eastAsia="en-CA"/>
        </w:rPr>
        <w:t>Karakatsanis</w:t>
      </w:r>
      <w:proofErr w:type="spellEnd"/>
      <w:r w:rsidRPr="007A5455">
        <w:rPr>
          <w:rFonts w:eastAsia="Times New Roman" w:cs="Times New Roman"/>
          <w:iCs/>
          <w:sz w:val="20"/>
          <w:szCs w:val="20"/>
          <w:lang w:val="fr-CA" w:eastAsia="en-CA"/>
        </w:rPr>
        <w:t xml:space="preserve"> et Côté sont dissidentes) : Le pourvoi est </w:t>
      </w:r>
      <w:r w:rsidRPr="00D50799">
        <w:rPr>
          <w:rFonts w:eastAsia="Times New Roman" w:cs="Times New Roman"/>
          <w:iCs/>
          <w:sz w:val="20"/>
          <w:szCs w:val="20"/>
          <w:lang w:val="fr-CA" w:eastAsia="en-CA"/>
        </w:rPr>
        <w:t>rejeté</w:t>
      </w:r>
      <w:r w:rsidRPr="007A5455">
        <w:rPr>
          <w:rFonts w:eastAsia="Times New Roman" w:cs="Times New Roman"/>
          <w:iCs/>
          <w:sz w:val="20"/>
          <w:szCs w:val="20"/>
          <w:lang w:val="fr-CA" w:eastAsia="en-CA"/>
        </w:rPr>
        <w:t xml:space="preserve"> quant à l’ordonnance d’incarcération et à l’arrêté d’extradition</w:t>
      </w:r>
      <w:r w:rsidRPr="00D50799">
        <w:rPr>
          <w:rFonts w:eastAsia="Times New Roman" w:cs="Times New Roman"/>
          <w:sz w:val="20"/>
          <w:szCs w:val="20"/>
          <w:lang w:val="fr-CA" w:eastAsia="en-CA"/>
        </w:rPr>
        <w:t>.</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r>
      <w:r w:rsidRPr="00D50799">
        <w:rPr>
          <w:rFonts w:eastAsia="Times New Roman" w:cs="Times New Roman"/>
          <w:i/>
          <w:sz w:val="20"/>
          <w:szCs w:val="20"/>
          <w:lang w:val="fr-CA" w:eastAsia="en-CA"/>
        </w:rPr>
        <w:t xml:space="preserve">La </w:t>
      </w:r>
      <w:r w:rsidRPr="00D50799">
        <w:rPr>
          <w:rFonts w:eastAsia="Times New Roman" w:cs="Times New Roman"/>
          <w:sz w:val="20"/>
          <w:szCs w:val="20"/>
          <w:lang w:val="fr-CA" w:eastAsia="en-CA"/>
        </w:rPr>
        <w:t xml:space="preserve">juge en chef </w:t>
      </w:r>
      <w:proofErr w:type="spellStart"/>
      <w:r w:rsidRPr="00D50799">
        <w:rPr>
          <w:rFonts w:eastAsia="Times New Roman" w:cs="Times New Roman"/>
          <w:sz w:val="20"/>
          <w:szCs w:val="20"/>
          <w:lang w:val="fr-CA" w:eastAsia="en-CA"/>
        </w:rPr>
        <w:t>McLachlin</w:t>
      </w:r>
      <w:proofErr w:type="spellEnd"/>
      <w:r w:rsidRPr="00D50799">
        <w:rPr>
          <w:rFonts w:eastAsia="Times New Roman" w:cs="Times New Roman"/>
          <w:sz w:val="20"/>
          <w:szCs w:val="20"/>
          <w:lang w:val="fr-CA" w:eastAsia="en-CA"/>
        </w:rPr>
        <w:t xml:space="preserve"> et les juges </w:t>
      </w:r>
      <w:r w:rsidRPr="00D50799">
        <w:rPr>
          <w:rFonts w:eastAsia="Times New Roman" w:cs="Times New Roman"/>
          <w:b/>
          <w:sz w:val="20"/>
          <w:szCs w:val="20"/>
          <w:lang w:val="fr-CA" w:eastAsia="en-CA"/>
        </w:rPr>
        <w:t>Cromwell</w:t>
      </w:r>
      <w:r w:rsidRPr="00D50799">
        <w:rPr>
          <w:rFonts w:eastAsia="Times New Roman" w:cs="Times New Roman"/>
          <w:sz w:val="20"/>
          <w:szCs w:val="20"/>
          <w:lang w:val="fr-CA" w:eastAsia="en-CA"/>
        </w:rPr>
        <w:t xml:space="preserve">, </w:t>
      </w:r>
      <w:proofErr w:type="spellStart"/>
      <w:r w:rsidRPr="00D50799">
        <w:rPr>
          <w:rFonts w:eastAsia="Times New Roman" w:cs="Times New Roman"/>
          <w:sz w:val="20"/>
          <w:szCs w:val="20"/>
          <w:lang w:val="fr-CA" w:eastAsia="en-CA"/>
        </w:rPr>
        <w:t>Moldaver</w:t>
      </w:r>
      <w:proofErr w:type="spellEnd"/>
      <w:r w:rsidRPr="00D50799">
        <w:rPr>
          <w:rFonts w:eastAsia="Times New Roman" w:cs="Times New Roman"/>
          <w:sz w:val="20"/>
          <w:szCs w:val="20"/>
          <w:lang w:val="fr-CA" w:eastAsia="en-CA"/>
        </w:rPr>
        <w:t xml:space="preserve"> et Wagner : Pour ce qui est de l’ordonnance d’incarcération, la juge d’extradition a appliqué les mauvais principes en ce qui concerne l’exigence de la double incrimination et le rôle du juge d’extradition dans l’appréciation de la fiabilité de la preuve offerte. Elle a commis des erreurs de droit lorsqu’elle a soupesé et invoqué la preuve de moyens de défense et d’autres éléments </w:t>
      </w:r>
      <w:proofErr w:type="spellStart"/>
      <w:r w:rsidRPr="00D50799">
        <w:rPr>
          <w:rFonts w:eastAsia="Times New Roman" w:cs="Times New Roman"/>
          <w:sz w:val="20"/>
          <w:szCs w:val="20"/>
          <w:lang w:val="fr-CA" w:eastAsia="en-CA"/>
        </w:rPr>
        <w:t>disculpatoires</w:t>
      </w:r>
      <w:proofErr w:type="spellEnd"/>
      <w:r w:rsidRPr="00D50799">
        <w:rPr>
          <w:rFonts w:eastAsia="Times New Roman" w:cs="Times New Roman"/>
          <w:sz w:val="20"/>
          <w:szCs w:val="20"/>
          <w:lang w:val="fr-CA" w:eastAsia="en-CA"/>
        </w:rPr>
        <w:t xml:space="preserve"> pour conclure que la preuve de l’État requérant ne justifiait pas l’incarcération, de même que dans son analyse des infractions canadiennes. En ce qui concerne l’arrêté d’extradition, les moyens de défense possibles et l’intérêt supérieur des enfants importent pour la décision du ministre de la Justice. En l’espèce, le ministre a dûment tenu compte de l’intérêt supérieur des enfants et </w:t>
      </w:r>
      <w:r w:rsidRPr="00D50799">
        <w:rPr>
          <w:rFonts w:eastAsia="MS Mincho" w:cs="Times New Roman"/>
          <w:sz w:val="20"/>
          <w:szCs w:val="20"/>
          <w:lang w:val="fr-CA" w:eastAsia="en-CA"/>
        </w:rPr>
        <w:t>soulevé de son propre chef la question du droit de la Géorgie en liaison avec la défense restreinte de nécessité que M aurait pu invoquer. Par conséquent, s</w:t>
      </w:r>
      <w:r w:rsidRPr="00D50799">
        <w:rPr>
          <w:rFonts w:eastAsia="Times New Roman" w:cs="Times New Roman"/>
          <w:sz w:val="20"/>
          <w:szCs w:val="20"/>
          <w:lang w:val="fr-CA" w:eastAsia="en-CA"/>
        </w:rPr>
        <w:t xml:space="preserve">a décision de renvoyer l’appelante en Géorgie pour qu’elle y subisse son procès était raisonnable.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La procédure d’extradition comporte deux objectifs importants, soit s’acquitter avec diligence des obligations internationales du Canada envers ses partenaires et protéger les droits de la personne dont l’extradition est demandée, d’où la nécessité d’établir un juste équilibre entre les objectifs généraux de l’extradition et les droits et les intérêts de cette personne. La procédure d’extradition se déroule en trois étapes (l’AII, l’incarcération et l’extradition) et, à chacune d’elles, le souci d’un tel équilibre est manifeste. Formulé à l’al. 3(1)</w:t>
      </w:r>
      <w:r w:rsidRPr="00D50799">
        <w:rPr>
          <w:rFonts w:eastAsia="Times New Roman" w:cs="Times New Roman"/>
          <w:i/>
          <w:sz w:val="20"/>
          <w:szCs w:val="20"/>
          <w:lang w:val="fr-CA" w:eastAsia="en-CA"/>
        </w:rPr>
        <w:t>b</w:t>
      </w:r>
      <w:r w:rsidRPr="00D50799">
        <w:rPr>
          <w:rFonts w:eastAsia="Times New Roman" w:cs="Times New Roman"/>
          <w:sz w:val="20"/>
          <w:szCs w:val="20"/>
          <w:lang w:val="fr-CA" w:eastAsia="en-CA"/>
        </w:rPr>
        <w:t xml:space="preserve">) de la </w:t>
      </w:r>
      <w:r w:rsidRPr="00D50799">
        <w:rPr>
          <w:rFonts w:eastAsia="Times New Roman" w:cs="Times New Roman"/>
          <w:i/>
          <w:sz w:val="20"/>
          <w:szCs w:val="20"/>
          <w:lang w:val="fr-CA" w:eastAsia="en-CA"/>
        </w:rPr>
        <w:t>Loi sur l’extradition</w:t>
      </w:r>
      <w:r w:rsidRPr="00D50799">
        <w:rPr>
          <w:rFonts w:eastAsia="Times New Roman" w:cs="Times New Roman"/>
          <w:sz w:val="20"/>
          <w:szCs w:val="20"/>
          <w:lang w:val="fr-CA" w:eastAsia="en-CA"/>
        </w:rPr>
        <w:t>, le principe général de la double incrimination, selon lequel le Canada devrait refuser d’extrader une personne vers un pays où elle risque d’être punie pour un acte qui n’est pas criminel au Canada, sous</w:t>
      </w:r>
      <w:r w:rsidRPr="00D50799">
        <w:rPr>
          <w:rFonts w:eastAsia="Times New Roman" w:cs="Times New Roman"/>
          <w:sz w:val="20"/>
          <w:szCs w:val="20"/>
          <w:lang w:val="fr-CA" w:eastAsia="en-CA"/>
        </w:rPr>
        <w:noBreakHyphen/>
        <w:t>tend également chacune des trois étapes de la procédure.</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L’étape de l’audience relative à l’incarcération en vue de l’extradition opère un filtrage important, mais circonscrit et limité. Le juge d’extradition doit déterminer s’il existe une preuve d’actes qui, s’ils avaient été commis au Canada, justifieraient le renvoi à procès au Canada relativement à l’infraction mentionnée dans l’AII; à défaut d’une telle preuve, il doit la libérer la personne (al. 29(1</w:t>
      </w:r>
      <w:proofErr w:type="gramStart"/>
      <w:r w:rsidRPr="00D50799">
        <w:rPr>
          <w:rFonts w:eastAsia="Times New Roman" w:cs="Times New Roman"/>
          <w:sz w:val="20"/>
          <w:szCs w:val="20"/>
          <w:lang w:val="fr-CA" w:eastAsia="en-CA"/>
        </w:rPr>
        <w:t>)</w:t>
      </w:r>
      <w:r w:rsidRPr="00D50799">
        <w:rPr>
          <w:rFonts w:eastAsia="Times New Roman" w:cs="Times New Roman"/>
          <w:i/>
          <w:sz w:val="20"/>
          <w:szCs w:val="20"/>
          <w:lang w:val="fr-CA" w:eastAsia="en-CA"/>
        </w:rPr>
        <w:t>a</w:t>
      </w:r>
      <w:proofErr w:type="gramEnd"/>
      <w:r w:rsidRPr="00D50799">
        <w:rPr>
          <w:rFonts w:eastAsia="Times New Roman" w:cs="Times New Roman"/>
          <w:sz w:val="20"/>
          <w:szCs w:val="20"/>
          <w:lang w:val="fr-CA" w:eastAsia="en-CA"/>
        </w:rPr>
        <w:t xml:space="preserve">) et par. 29(3) de la </w:t>
      </w:r>
      <w:r w:rsidRPr="00D50799">
        <w:rPr>
          <w:rFonts w:eastAsia="Times New Roman" w:cs="Times New Roman"/>
          <w:i/>
          <w:sz w:val="20"/>
          <w:szCs w:val="20"/>
          <w:lang w:val="fr-CA" w:eastAsia="en-CA"/>
        </w:rPr>
        <w:t>Loi sur l’extradition</w:t>
      </w:r>
      <w:r w:rsidRPr="00D50799">
        <w:rPr>
          <w:rFonts w:eastAsia="Times New Roman" w:cs="Times New Roman"/>
          <w:sz w:val="20"/>
          <w:szCs w:val="20"/>
          <w:lang w:val="fr-CA" w:eastAsia="en-CA"/>
        </w:rPr>
        <w:t xml:space="preserve">). Il y a ainsi intégration du critère que doit appliquer en droit canadien le juge présidant l’enquête préliminaire pour décider s’il y a lieu ou non d’ordonner le renvoi à procès d’un accusé. La fonction du juge d’extradition consiste à déterminer s’il existe une preuve suffisante à première vue de la perpétration d’une infraction canadienne, non à s’empêtrer dans un débat sur d’éventuels moyens de défense ou sur la vraisemblance d’une déclaration de culpabilité. L’audience relative à l’incarcération n’équivaut pas à un procès; elle se veut une procédure expéditive pour déterminer s’il doit y avoir procès ou non.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Ni le juge d’extradition ni le juge qui préside l’enquête préliminaire ne sauraient se pencher sur les moyens de défense ou les autres éléments dont la charge de présentation ou de persuasion appartient à l’accusé. Bien que le rôle du juge d’extradition à l’étape de l’incarcération ait évolué par suite de modifications législatives et en raison des exigences de la </w:t>
      </w:r>
      <w:r w:rsidRPr="00D50799">
        <w:rPr>
          <w:rFonts w:eastAsia="Times New Roman" w:cs="Times New Roman"/>
          <w:i/>
          <w:sz w:val="20"/>
          <w:szCs w:val="20"/>
          <w:lang w:val="fr-CA" w:eastAsia="en-CA"/>
        </w:rPr>
        <w:t>Charte</w:t>
      </w:r>
      <w:r w:rsidRPr="00D50799">
        <w:rPr>
          <w:rFonts w:eastAsia="Times New Roman" w:cs="Times New Roman"/>
          <w:sz w:val="20"/>
          <w:szCs w:val="20"/>
          <w:lang w:val="fr-CA" w:eastAsia="en-CA"/>
        </w:rPr>
        <w:t xml:space="preserve">, les principes fondamentaux régissant l’extradition sont demeurés les mêmes. Aucun élément de la jurisprudence ne donne à penser que le rôle imparti par la loi au juge d’extradition ait été modifié. De plus, la jurisprudence n’a pas modifié — et ne pouvait modifier — par jugement l’exigence législative voulant que l’État requérant établisse seulement que le dossier d’extradition justifierait le renvoi à procès au Canada.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Dans l’ensemble, la bonne approche consiste à interpréter restrictivement le rôle du juge d’extradition dans l’appréciation de la fiabilité de la preuve. Au départ, le juge d’extradition présume que la preuve certifiée de l’État requérant est digne de foi. Cette présomption ne peut être réfutée que par la preuve de l’insuffisance ou de la faiblesse fondamentale des éléments invoqués par l’État requérant. Ce n’est que lorsque la preuve présentée à l’appui de l’incarcération est à ce point viciée ou semble si peu digne de foi qu’il serait dangereux ou imprudent de se fonder sur elle que le juge d’extradition peut refuser d’ordonner l’incarcération pour ce motif. Pour que soit admissible à cette fin la </w:t>
      </w:r>
      <w:r w:rsidRPr="00D50799">
        <w:rPr>
          <w:rFonts w:eastAsia="Times New Roman" w:cs="Times New Roman"/>
          <w:sz w:val="20"/>
          <w:szCs w:val="20"/>
          <w:lang w:val="fr-CA" w:eastAsia="en-CA"/>
        </w:rPr>
        <w:lastRenderedPageBreak/>
        <w:t xml:space="preserve">preuve de l’intéressé, le juge doit être convaincu que, considérés au regard de l’ensemble du dossier, les éléments de preuve proposés pourraient permettre de tirer une telle conclusion.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En l’espèce, la juge d’extradition a eu tort de conclure que la preuve versée au dossier d’extradition certifié (« DEC ») de l’État requérant était insuffisante pour justifier l’incarcération. Elle n’a pas tenu compte de la présomption de fiabilité du DEC, et ce dernier appuyait l’incarcération en l’espèce. La preuve circonstancielle et les inférences raisonnables qui pouvaient en être tirées étaient suffisantes pour permettre à un jury raisonnable ayant reçu des directives appropriées de parvenir à un verdict de culpabilité. Le DEC permettait d’inférer raisonnablement que M avait enlevé les enfants au père, qui en avait la charge légale, et qu’elle avait enlevé les enfants en contravention avec une ordonnance de garde dans l’intention de priver leur père de leur possession.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La juge d’extradition a également commis des erreurs de droit quant aux exigences relatives à une preuve suffisante à première vue et relativement à son analyse des infractions canadiennes. En ce qui concerne le par. 280(1) du </w:t>
      </w:r>
      <w:r w:rsidRPr="00D50799">
        <w:rPr>
          <w:rFonts w:eastAsia="Times New Roman" w:cs="Times New Roman"/>
          <w:i/>
          <w:sz w:val="20"/>
          <w:szCs w:val="20"/>
          <w:lang w:val="fr-CA" w:eastAsia="en-CA"/>
        </w:rPr>
        <w:t>Code criminel</w:t>
      </w:r>
      <w:r w:rsidRPr="00D50799">
        <w:rPr>
          <w:rFonts w:eastAsia="Times New Roman" w:cs="Times New Roman"/>
          <w:sz w:val="20"/>
          <w:szCs w:val="20"/>
          <w:lang w:val="fr-CA" w:eastAsia="en-CA"/>
        </w:rPr>
        <w:t xml:space="preserve"> (enlèvement d’une personne âgée de moins de 16 ans), ses conclusions voulant que les enfants étaient partis de leur plein gré et qu’ils n’avaient pas été enlevés à leur père par M, que « l’ensemble de la preuve » montre que les trois enfants se sont enfuis de chez leur père et que leur sœur aînée les a conduits au Canada sont erronées en fait et en droit. Au chapitre du droit, ce n’est pas seulement lorsqu’il exerce la surveillance physique des enfants que le père ou la mère peut être </w:t>
      </w:r>
      <w:proofErr w:type="gramStart"/>
      <w:r w:rsidRPr="00D50799">
        <w:rPr>
          <w:rFonts w:eastAsia="Times New Roman" w:cs="Times New Roman"/>
          <w:sz w:val="20"/>
          <w:szCs w:val="20"/>
          <w:lang w:val="fr-CA" w:eastAsia="en-CA"/>
        </w:rPr>
        <w:t>privé</w:t>
      </w:r>
      <w:proofErr w:type="gramEnd"/>
      <w:r w:rsidRPr="00D50799">
        <w:rPr>
          <w:rFonts w:eastAsia="Times New Roman" w:cs="Times New Roman"/>
          <w:sz w:val="20"/>
          <w:szCs w:val="20"/>
          <w:lang w:val="fr-CA" w:eastAsia="en-CA"/>
        </w:rPr>
        <w:t xml:space="preserve"> de la « possession » de ceux</w:t>
      </w:r>
      <w:r w:rsidRPr="00D50799">
        <w:rPr>
          <w:rFonts w:eastAsia="Times New Roman" w:cs="Times New Roman"/>
          <w:sz w:val="20"/>
          <w:szCs w:val="20"/>
          <w:lang w:val="fr-CA" w:eastAsia="en-CA"/>
        </w:rPr>
        <w:noBreakHyphen/>
        <w:t xml:space="preserve">ci. L’infraction consiste, pour l’essentiel, à entraver l’exercice par le père ou la mère de son droit de surveillance des enfants. La poursuite n’est pas tenue d’établir que M a bel et bien emmené les enfants. En outre, la juge d’extradition n’a pas reconnu l’existence d’éléments de preuve contradictoires sur la façon dont les enfants se sont retrouvés avec M au Canada. On ne pouvait raisonnablement considérer que le dossier de la juge d’extradition établissait que le DEC était si peu digne de foi qu’il devait être écarté ou que les inférences invoquées par l’État requérant étaient déraisonnables.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En ce qui concerne la défense restreinte de nécessité que prévoit l’art. 285 du </w:t>
      </w:r>
      <w:r w:rsidRPr="00D50799">
        <w:rPr>
          <w:rFonts w:eastAsia="Times New Roman" w:cs="Times New Roman"/>
          <w:i/>
          <w:sz w:val="20"/>
          <w:szCs w:val="20"/>
          <w:lang w:val="fr-CA" w:eastAsia="en-CA"/>
        </w:rPr>
        <w:t>Code criminel</w:t>
      </w:r>
      <w:r w:rsidRPr="00D50799">
        <w:rPr>
          <w:rFonts w:eastAsia="Times New Roman" w:cs="Times New Roman"/>
          <w:sz w:val="20"/>
          <w:szCs w:val="20"/>
          <w:lang w:val="fr-CA" w:eastAsia="en-CA"/>
        </w:rPr>
        <w:t>, la juge d’extradition a à nouveau commis une erreur tant de droit que de fait. Sur le plan du droit, il ne lui appartenait pas de se prononcer sur l’existence possible d’un moyen de défense valable à une infraction canadienne. Quant aux faits, elle a méconnu l’exigence, à l’art. 285, d’un danger imminent pour les enfants ou M elle</w:t>
      </w:r>
      <w:r w:rsidRPr="00D50799">
        <w:rPr>
          <w:rFonts w:eastAsia="Times New Roman" w:cs="Times New Roman"/>
          <w:sz w:val="20"/>
          <w:szCs w:val="20"/>
          <w:lang w:val="fr-CA" w:eastAsia="en-CA"/>
        </w:rPr>
        <w:noBreakHyphen/>
        <w:t xml:space="preserve">même. Aucun élément ne tendait à prouver l’existence d’un tel danger.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À l’étape de la décision sur l’extradition, le ministre de la Justice doit refuser d’extrader la personne lorsque la mesure serait « injuste ou tyrannique » au sens de l’al. 44(1)</w:t>
      </w:r>
      <w:r w:rsidRPr="00D50799">
        <w:rPr>
          <w:rFonts w:eastAsia="Times New Roman" w:cs="Times New Roman"/>
          <w:i/>
          <w:sz w:val="20"/>
          <w:szCs w:val="20"/>
          <w:lang w:val="fr-CA" w:eastAsia="en-CA"/>
        </w:rPr>
        <w:t>a</w:t>
      </w:r>
      <w:r w:rsidRPr="00D50799">
        <w:rPr>
          <w:rFonts w:eastAsia="Times New Roman" w:cs="Times New Roman"/>
          <w:sz w:val="20"/>
          <w:szCs w:val="20"/>
          <w:lang w:val="fr-CA" w:eastAsia="en-CA"/>
        </w:rPr>
        <w:t xml:space="preserve">) de la </w:t>
      </w:r>
      <w:r w:rsidRPr="00D50799">
        <w:rPr>
          <w:rFonts w:eastAsia="Times New Roman" w:cs="Times New Roman"/>
          <w:i/>
          <w:sz w:val="20"/>
          <w:szCs w:val="20"/>
          <w:lang w:val="fr-CA" w:eastAsia="en-CA"/>
        </w:rPr>
        <w:t>Loi sur l’extradition</w:t>
      </w:r>
      <w:r w:rsidRPr="00D50799">
        <w:rPr>
          <w:rFonts w:eastAsia="Times New Roman" w:cs="Times New Roman"/>
          <w:sz w:val="20"/>
          <w:szCs w:val="20"/>
          <w:lang w:val="fr-CA" w:eastAsia="en-CA"/>
        </w:rPr>
        <w:t>. Le souci fondamental qui sous</w:t>
      </w:r>
      <w:r w:rsidRPr="00D50799">
        <w:rPr>
          <w:rFonts w:eastAsia="Times New Roman" w:cs="Times New Roman"/>
          <w:sz w:val="20"/>
          <w:szCs w:val="20"/>
          <w:lang w:val="fr-CA" w:eastAsia="en-CA"/>
        </w:rPr>
        <w:noBreakHyphen/>
        <w:t xml:space="preserve">tend le principe général de la double incrimination, qui vaut aux étapes de l’AII et de l’incarcération de la procédure d’extradition, peut aussi jouer dans la décision du ministre d’ordonner ou non l’extradition. Le ministre se livre à un examen de toutes les circonstances en cause. Ce rôle revêt une importance capitale en ce qu’il offre une garantie supplémentaire aux droits de l’intéressé et qu’il s’intéresse à des questions qui ne sont pas forcément dûment prises en compte aux deux premières étapes de la procédure d’extradition. Le ministre a compétence, à l’étape de la décision sur l’extradition, pour évaluer les conséquences susceptibles de découler de l’assujettissement de l’intéressé au droit de l’État requérant. Lorsque l’extradition serait contraire aux principes de justice fondamentale, elle sera également injuste et tyrannique.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Lorsqu’il exerce ce pouvoir d’extradition, le ministre doit tenir compte de l’intérêt supérieur des enfants, s’il en est, qui sont touchés ou susceptibles d’être touchés par l’extradition et se demander s’il existe un écart important entre le droit étranger et le droit interne en ce qui concerne le péril auquel s’expose l’intéressé. À cet égard, la raison d’être du principe général de la double incrimination peut jouer dans l’exercice du pouvoir du ministre de refuser l’extradition lorsqu’un moyen de défense qui pourrait être invoqué au Canada n’existe pas dans l’État requérant.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Ainsi, l’existence de moyens de défense éventuels qui débordent le cadre de l’analyse liée à la double incrimination que commandent les deux premières étapes de la procédure d’extradition peut néanmoins être pertinente à la troisième. Il s’ensuit que le ministre devrait tenir compte de la manière dont, le cas échéant, l’intéressé serait touché par l’inexistence d’un moyen de défense équivalent dans l’État requérant.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Or, toute différence quant à l’existence d’un péril ou d’un moyen de défense ne rend pas l’extradition injuste ou tyrannique ou contraire aux principes de justice fondamentale. En général, il n’y a rien d’injuste dans le fait d’extrader l’intéressé pour qu’il subisse les conséquences juridiques de ses actes là où il les a commis. Les différences </w:t>
      </w:r>
      <w:r w:rsidRPr="00D50799">
        <w:rPr>
          <w:rFonts w:eastAsia="Times New Roman" w:cs="Times New Roman"/>
          <w:sz w:val="20"/>
          <w:szCs w:val="20"/>
          <w:lang w:val="fr-CA" w:eastAsia="en-CA"/>
        </w:rPr>
        <w:lastRenderedPageBreak/>
        <w:t>entre les systèmes de droit, si importantes soient</w:t>
      </w:r>
      <w:r w:rsidRPr="00D50799">
        <w:rPr>
          <w:rFonts w:eastAsia="Times New Roman" w:cs="Times New Roman"/>
          <w:sz w:val="20"/>
          <w:szCs w:val="20"/>
          <w:lang w:val="fr-CA" w:eastAsia="en-CA"/>
        </w:rPr>
        <w:noBreakHyphen/>
        <w:t xml:space="preserve">elles, ne devraient généralement pas constituer des motifs de refuser d’ordonner l’extradition. Pour que l’inexistence d’un moyen de défense puisse donner ouverture au refus d’extrader, l’intéressé doit établir (1) qu’une différence de fond existe bel et bien entre les règles de l’État requis et celles de l’État requérant, de sorte que le moyen de défense existe au Canada, mais qu’aucune défense équivalente n’existe dans l’État requérant, (2) qu’il y a une possibilité raisonnable que soit retenu le moyen de défense s’il était invoqué au Canada pour les mêmes actes et (3) que la différence entre les lois des deux pays se traduit par un péril beaucoup plus grand pour l’intéressé dans l’État requérant. Lorsque ces trois conditions sont réunies, le ministre doit tenir compte des différences possibles entre les moyens de défense de pair avec tous les autres éléments pertinents pour décider d’ordonner ou non l’extradition. La charge de persuasion continue d’appartenir à l’intéressé. La décision à laquelle arrive finalement le ministre commande la déférence en cas de contrôle judiciaire.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En l’espèce, la décision du ministre n’était pas déraisonnable, car M n’a rempli aucune des trois conditions</w:t>
      </w:r>
      <w:r w:rsidRPr="00D50799">
        <w:rPr>
          <w:rFonts w:eastAsia="MS Mincho" w:cs="Times New Roman"/>
          <w:sz w:val="20"/>
          <w:szCs w:val="20"/>
          <w:lang w:val="fr-CA" w:eastAsia="en-CA"/>
        </w:rPr>
        <w:t xml:space="preserve">. </w:t>
      </w:r>
      <w:r w:rsidRPr="00D50799">
        <w:rPr>
          <w:rFonts w:eastAsia="Times New Roman" w:cs="Times New Roman"/>
          <w:sz w:val="20"/>
          <w:szCs w:val="20"/>
          <w:lang w:val="fr-CA" w:eastAsia="en-CA"/>
        </w:rPr>
        <w:t>D’abord, M n’a pas établi de différence de fond entre le droit du Canada et celui de la Géorgie. Eu égard au fait que les autorités américaines ont indiqué au ministre que M pourrait invoquer la coercition en défense aux accusations en Géorgie, il n’y a aucune raison de supposer que la coercition et la nécessité diffèrent sensiblement sur le fond. Nul élément du dossier n’appuie l’allégation selon laquelle le droit de la Géorgie n’offre pas une défense équivalente à celle de la nécessité que prévoit notre loi. Deuxièmement, le dossier ne permet pas de conclure à une possibilité raisonnable que soit retenue la défense restreinte de nécessité prévue au Canada si M était poursuivie au pays pour les actes qui lui sont reprochés. Cette défense ne vaut que s’il y avait un « danger imminent ». Les éléments dont disposait le ministre ne lui permettaient pas de croire que cette exigence d’un danger imminent était remplie en l’espèce. De plus, M a sensiblement modifié sa version des faits dans ses observations au ministre, si bien que ces prétentions ne pouvaient pas raisonnablement se voir accorder beaucoup d’importance. Troisièmement, M n’a pas établi qu’elle s’exposait à un péril sensiblement plus grand en Géorgie qu’au Canada.</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En ce qui concerne l’intérêt supérieur des enfants, le ministre, pour arriver à sa décision d’ordonner ou non l’extradition, peut tenir compte des circonstances personnelles, y compris les difficultés que l’extradition occasionnera à la famille. Il est tenu de le faire lorsque la preuve met de tels éléments en jeu, et son examen englobe alors l’intérêt supérieur des enfants qui seront touchés par l’extradition ou qui pourraient l’être lorsqu’il appert des éléments au dossier que cette considération est pertinente. Toutefois, l’intérêt supérieur des enfants en cas d’extradition doit être considéré à la lumière d’autres principes de droit importants et des faits de l’affaire. Le principe juridique qu’est l’intérêt supérieur de l’enfant peut être subordonné à d’autres intérêts dans des contextes appropriés, son application ne peut que dépendre fortement du contexte et la société estime qu’il n’est pas toujours essentiel que l’intérêt supérieur de l’enfant ait préséance sur tous les autres intérêts en cause. Par exemple, les conséquences d’une mise en accusation du père ou de la mère à l’étranger ne peuvent en soi être injustes ou tyranniques.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Dans le cas qui nous occupe, le ministre devait tenir compte de l’intérêt supérieur des enfants pour prendre sa décision d’extrader ou non. Ses principales conclusions étaient les suivantes : l’intérêt supérieur des enfants n’était pas clair, les conséquences de l’extradition sur eux n’étaient pas claires non plus et des considérations importantes militaient en faveur de l’extradition. Ces conclusions clés étaient raisonnables et ont mené à la décision raisonnable d’ordonner l’extradition de M. Aucune interprétation raisonnable de la preuve ne permettait de déterminer aisément ce qui était préférable pour les enfants étant donné le parcours compliqué de cette famille malheureuse et instable et les problèmes évidents du père et de la mère. En ce qui concerne les répercussions de l’extradition de M sur les enfants, ni la preuve offerte au ministre, ni celle dont la Cour dispose aujourd’hui ne renseignent davantage sur le bien</w:t>
      </w:r>
      <w:r w:rsidRPr="00D50799">
        <w:rPr>
          <w:rFonts w:eastAsia="Times New Roman" w:cs="Times New Roman"/>
          <w:sz w:val="20"/>
          <w:szCs w:val="20"/>
          <w:lang w:val="fr-CA" w:eastAsia="en-CA"/>
        </w:rPr>
        <w:noBreakHyphen/>
        <w:t>être des enfants ou la façon dont M s’est acquittée de son rôle de mère après que les enfants lui eurent été rendus, aucun élément ne permettait au ministre de dire qu’ils seraient rendus à leur père si leur mère était extradée, il n’y a au dossier aucun élément permettant de savoir si M sera incarcérée ou non jusqu’à son procès en Géorgie ou quelles seront les répercussions des accusations criminelles portées contre elle sur sa relation avec ses enfants, et aucune donnée sur la possibilité d’autres arrangements familiaux au Canada ou aux États</w:t>
      </w:r>
      <w:r w:rsidRPr="00D50799">
        <w:rPr>
          <w:rFonts w:eastAsia="Times New Roman" w:cs="Times New Roman"/>
          <w:sz w:val="20"/>
          <w:szCs w:val="20"/>
          <w:lang w:val="fr-CA" w:eastAsia="en-CA"/>
        </w:rPr>
        <w:noBreakHyphen/>
        <w:t xml:space="preserve">Unis ne figure au dossier. </w:t>
      </w:r>
    </w:p>
    <w:p w:rsidR="00D50799" w:rsidRPr="007A5455" w:rsidRDefault="00D50799" w:rsidP="00D50799">
      <w:pPr>
        <w:tabs>
          <w:tab w:val="left" w:pos="1168"/>
        </w:tabs>
        <w:jc w:val="both"/>
        <w:rPr>
          <w:rFonts w:eastAsia="Times New Roman" w:cs="Times New Roman"/>
          <w:iCs/>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7A5455">
        <w:rPr>
          <w:rFonts w:eastAsia="Times New Roman" w:cs="Times New Roman"/>
          <w:iCs/>
          <w:sz w:val="20"/>
          <w:szCs w:val="20"/>
          <w:lang w:val="fr-CA" w:eastAsia="en-CA"/>
        </w:rPr>
        <w:tab/>
      </w:r>
      <w:r w:rsidRPr="007A5455">
        <w:rPr>
          <w:rFonts w:eastAsia="Times New Roman" w:cs="Times New Roman"/>
          <w:i/>
          <w:iCs/>
          <w:sz w:val="20"/>
          <w:szCs w:val="20"/>
          <w:lang w:val="fr-CA" w:eastAsia="en-CA"/>
        </w:rPr>
        <w:t xml:space="preserve">Les </w:t>
      </w:r>
      <w:r w:rsidRPr="007A5455">
        <w:rPr>
          <w:rFonts w:eastAsia="Times New Roman" w:cs="Times New Roman"/>
          <w:iCs/>
          <w:sz w:val="20"/>
          <w:szCs w:val="20"/>
          <w:lang w:val="fr-CA" w:eastAsia="en-CA"/>
        </w:rPr>
        <w:t xml:space="preserve">juges </w:t>
      </w:r>
      <w:r w:rsidRPr="007A5455">
        <w:rPr>
          <w:rFonts w:eastAsia="Times New Roman" w:cs="Times New Roman"/>
          <w:b/>
          <w:iCs/>
          <w:sz w:val="20"/>
          <w:szCs w:val="20"/>
          <w:lang w:val="fr-CA" w:eastAsia="en-CA"/>
        </w:rPr>
        <w:t>Abella</w:t>
      </w:r>
      <w:r w:rsidRPr="007A5455">
        <w:rPr>
          <w:rFonts w:eastAsia="Times New Roman" w:cs="Times New Roman"/>
          <w:iCs/>
          <w:sz w:val="20"/>
          <w:szCs w:val="20"/>
          <w:lang w:val="fr-CA" w:eastAsia="en-CA"/>
        </w:rPr>
        <w:t xml:space="preserve">, </w:t>
      </w:r>
      <w:proofErr w:type="spellStart"/>
      <w:r w:rsidRPr="007A5455">
        <w:rPr>
          <w:rFonts w:eastAsia="Times New Roman" w:cs="Times New Roman"/>
          <w:iCs/>
          <w:sz w:val="20"/>
          <w:szCs w:val="20"/>
          <w:lang w:val="fr-CA" w:eastAsia="en-CA"/>
        </w:rPr>
        <w:t>Karakatsanis</w:t>
      </w:r>
      <w:proofErr w:type="spellEnd"/>
      <w:r w:rsidRPr="007A5455">
        <w:rPr>
          <w:rFonts w:eastAsia="Times New Roman" w:cs="Times New Roman"/>
          <w:iCs/>
          <w:sz w:val="20"/>
          <w:szCs w:val="20"/>
          <w:lang w:val="fr-CA" w:eastAsia="en-CA"/>
        </w:rPr>
        <w:t xml:space="preserve"> et Côté (dissidentes) :</w:t>
      </w:r>
      <w:r w:rsidRPr="00D50799">
        <w:rPr>
          <w:rFonts w:eastAsia="Times New Roman" w:cs="Times New Roman"/>
          <w:sz w:val="20"/>
          <w:szCs w:val="20"/>
          <w:lang w:val="fr-CA" w:eastAsia="en-CA"/>
        </w:rPr>
        <w:t xml:space="preserve"> Personne ne peut être extradé, à moins que sa conduite ait constitué une infraction punissable au Canada. C’est ce qu’on appelle le principe </w:t>
      </w:r>
      <w:proofErr w:type="gramStart"/>
      <w:r w:rsidRPr="00D50799">
        <w:rPr>
          <w:rFonts w:eastAsia="Times New Roman" w:cs="Times New Roman"/>
          <w:sz w:val="20"/>
          <w:szCs w:val="20"/>
          <w:lang w:val="fr-CA" w:eastAsia="en-CA"/>
        </w:rPr>
        <w:t>de la</w:t>
      </w:r>
      <w:proofErr w:type="gramEnd"/>
      <w:r w:rsidRPr="00D50799">
        <w:rPr>
          <w:rFonts w:eastAsia="Times New Roman" w:cs="Times New Roman"/>
          <w:sz w:val="20"/>
          <w:szCs w:val="20"/>
          <w:lang w:val="fr-CA" w:eastAsia="en-CA"/>
        </w:rPr>
        <w:t xml:space="preserve"> double incrimination, l’une des pierres angulaires du processus d’extradition au Canada. Il vise à garantir que personne ne soit extradé du Canada vers un autre État afin d’y être traduit en justice pour des actes qui ne constituent pas une infraction criminelle dans notre pays. La double incrimination repose sur la nécessité de garantir qu’il ne sera pas porté atteinte à la liberté d’une personne pour des infractions qui ne sont pas considérées comme criminelles par l’État requis. Autrement dit, </w:t>
      </w:r>
      <w:r w:rsidRPr="00D50799">
        <w:rPr>
          <w:rFonts w:eastAsia="Times New Roman" w:cs="Times New Roman"/>
          <w:sz w:val="20"/>
          <w:szCs w:val="20"/>
          <w:lang w:val="fr-CA" w:eastAsia="en-CA"/>
        </w:rPr>
        <w:lastRenderedPageBreak/>
        <w:t xml:space="preserve">lorsqu’une personne est extradée pour des actes qui ne correspondent pas à une infraction criminelle au Canada, il y a entorse au principe de la double incrimination. Vu le contexte des procédures d’extradition et les droits à la liberté en cause, le critère applicable à l’incarcération en vue de l’extradition est plus exigeant que celui applicable dans une enquête préliminaire en matière criminelle. </w:t>
      </w:r>
      <w:r w:rsidRPr="00D50799">
        <w:rPr>
          <w:rFonts w:cs="Times New Roman"/>
          <w:sz w:val="20"/>
          <w:szCs w:val="20"/>
          <w:lang w:val="fr-CA" w:eastAsia="en-CA"/>
        </w:rPr>
        <w:t>Pour justifier l’incarcération dans une procédure d’extradition,</w:t>
      </w:r>
      <w:r w:rsidRPr="00D50799">
        <w:rPr>
          <w:rFonts w:eastAsia="Times New Roman" w:cs="Times New Roman"/>
          <w:sz w:val="20"/>
          <w:szCs w:val="20"/>
          <w:lang w:val="fr-CA" w:eastAsia="en-CA"/>
        </w:rPr>
        <w:t xml:space="preserve"> la preuve doit être telle qu’un jury raisonnable ayant reçu des directives appropriées pourrait rendre un verdict de culpabilité.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 xml:space="preserve">L’article 285 du </w:t>
      </w:r>
      <w:r w:rsidRPr="00D50799">
        <w:rPr>
          <w:rFonts w:eastAsia="Times New Roman" w:cs="Times New Roman"/>
          <w:i/>
          <w:sz w:val="20"/>
          <w:szCs w:val="20"/>
          <w:lang w:val="fr-CA" w:eastAsia="en-CA"/>
        </w:rPr>
        <w:t>Code criminel</w:t>
      </w:r>
      <w:r w:rsidRPr="00D50799">
        <w:rPr>
          <w:rFonts w:eastAsia="Times New Roman" w:cs="Times New Roman"/>
          <w:sz w:val="20"/>
          <w:szCs w:val="20"/>
          <w:lang w:val="fr-CA" w:eastAsia="en-CA"/>
        </w:rPr>
        <w:t xml:space="preserve"> précise que nul ne peut être déclaré coupable d’une infraction visée </w:t>
      </w:r>
      <w:proofErr w:type="gramStart"/>
      <w:r w:rsidRPr="00D50799">
        <w:rPr>
          <w:rFonts w:eastAsia="Times New Roman" w:cs="Times New Roman"/>
          <w:sz w:val="20"/>
          <w:szCs w:val="20"/>
          <w:lang w:val="fr-CA" w:eastAsia="en-CA"/>
        </w:rPr>
        <w:t>aux art</w:t>
      </w:r>
      <w:proofErr w:type="gramEnd"/>
      <w:r w:rsidRPr="00D50799">
        <w:rPr>
          <w:rFonts w:eastAsia="Times New Roman" w:cs="Times New Roman"/>
          <w:sz w:val="20"/>
          <w:szCs w:val="20"/>
          <w:lang w:val="fr-CA" w:eastAsia="en-CA"/>
        </w:rPr>
        <w:t xml:space="preserve">. 280 à 283 si l’enlèvement ou l’hébergement était nécessaire pour protéger la jeune personne d’un danger imminent. Cette disposition a pour effet de rendre non criminellement responsable de ses actes l’accusé qui serait par ailleurs coupable d’une infraction prévue </w:t>
      </w:r>
      <w:proofErr w:type="gramStart"/>
      <w:r w:rsidRPr="00D50799">
        <w:rPr>
          <w:rFonts w:eastAsia="Times New Roman" w:cs="Times New Roman"/>
          <w:sz w:val="20"/>
          <w:szCs w:val="20"/>
          <w:lang w:val="fr-CA" w:eastAsia="en-CA"/>
        </w:rPr>
        <w:t>aux art</w:t>
      </w:r>
      <w:proofErr w:type="gramEnd"/>
      <w:r w:rsidRPr="00D50799">
        <w:rPr>
          <w:rFonts w:eastAsia="Times New Roman" w:cs="Times New Roman"/>
          <w:sz w:val="20"/>
          <w:szCs w:val="20"/>
          <w:lang w:val="fr-CA" w:eastAsia="en-CA"/>
        </w:rPr>
        <w:t>. 280 à 283, mais dont la conduite satisfait aux conditions qu’il énonce. Selon le libellé de l’al. 3(1)</w:t>
      </w:r>
      <w:r w:rsidRPr="00D50799">
        <w:rPr>
          <w:rFonts w:eastAsia="Times New Roman" w:cs="Times New Roman"/>
          <w:i/>
          <w:sz w:val="20"/>
          <w:szCs w:val="20"/>
          <w:lang w:val="fr-CA" w:eastAsia="en-CA"/>
        </w:rPr>
        <w:t>b</w:t>
      </w:r>
      <w:r w:rsidRPr="00D50799">
        <w:rPr>
          <w:rFonts w:eastAsia="Times New Roman" w:cs="Times New Roman"/>
          <w:sz w:val="20"/>
          <w:szCs w:val="20"/>
          <w:lang w:val="fr-CA" w:eastAsia="en-CA"/>
        </w:rPr>
        <w:t xml:space="preserve">) de la </w:t>
      </w:r>
      <w:r w:rsidRPr="00D50799">
        <w:rPr>
          <w:rFonts w:eastAsia="Times New Roman" w:cs="Times New Roman"/>
          <w:i/>
          <w:sz w:val="20"/>
          <w:szCs w:val="20"/>
          <w:lang w:val="fr-CA" w:eastAsia="en-CA"/>
        </w:rPr>
        <w:t>Loi sur l’extradition</w:t>
      </w:r>
      <w:r w:rsidRPr="00D50799">
        <w:rPr>
          <w:rFonts w:eastAsia="Times New Roman" w:cs="Times New Roman"/>
          <w:sz w:val="20"/>
          <w:szCs w:val="20"/>
          <w:lang w:val="fr-CA" w:eastAsia="en-CA"/>
        </w:rPr>
        <w:t xml:space="preserve">, ses actes n’auraient pas constitué une infraction sanctionnée. Lorsqu’une personne fait l’objet d’une demande d’extradition pour une infraction prévue </w:t>
      </w:r>
      <w:proofErr w:type="gramStart"/>
      <w:r w:rsidRPr="00D50799">
        <w:rPr>
          <w:rFonts w:eastAsia="Times New Roman" w:cs="Times New Roman"/>
          <w:sz w:val="20"/>
          <w:szCs w:val="20"/>
          <w:lang w:val="fr-CA" w:eastAsia="en-CA"/>
        </w:rPr>
        <w:t>aux art</w:t>
      </w:r>
      <w:proofErr w:type="gramEnd"/>
      <w:r w:rsidRPr="00D50799">
        <w:rPr>
          <w:rFonts w:eastAsia="Times New Roman" w:cs="Times New Roman"/>
          <w:sz w:val="20"/>
          <w:szCs w:val="20"/>
          <w:lang w:val="fr-CA" w:eastAsia="en-CA"/>
        </w:rPr>
        <w:t>. 280 à 283, l’examen de la défense fondée sur l’art. 285 constitue un élément essentiel pour déterminer si une infraction sanctionnée a été commise au Canada.</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Soustraire l’art. 285 à l’examen du juge d’extradition reviendrait à ne pas donner l’effet voulu au principe de la double incrimination. Pour que l’exigence relative à la double incrimination puisse atteindre son objectif, c’est</w:t>
      </w:r>
      <w:r w:rsidRPr="00D50799">
        <w:rPr>
          <w:rFonts w:eastAsia="Times New Roman" w:cs="Times New Roman"/>
          <w:sz w:val="20"/>
          <w:szCs w:val="20"/>
          <w:lang w:val="fr-CA" w:eastAsia="en-CA"/>
        </w:rPr>
        <w:noBreakHyphen/>
        <w:t>à</w:t>
      </w:r>
      <w:r w:rsidRPr="00D50799">
        <w:rPr>
          <w:rFonts w:eastAsia="Times New Roman" w:cs="Times New Roman"/>
          <w:sz w:val="20"/>
          <w:szCs w:val="20"/>
          <w:lang w:val="fr-CA" w:eastAsia="en-CA"/>
        </w:rPr>
        <w:noBreakHyphen/>
        <w:t xml:space="preserve">dire </w:t>
      </w:r>
      <w:proofErr w:type="gramStart"/>
      <w:r w:rsidRPr="00D50799">
        <w:rPr>
          <w:rFonts w:eastAsia="Times New Roman" w:cs="Times New Roman"/>
          <w:sz w:val="20"/>
          <w:szCs w:val="20"/>
          <w:lang w:val="fr-CA" w:eastAsia="en-CA"/>
        </w:rPr>
        <w:t>empêcher</w:t>
      </w:r>
      <w:proofErr w:type="gramEnd"/>
      <w:r w:rsidRPr="00D50799">
        <w:rPr>
          <w:rFonts w:eastAsia="Times New Roman" w:cs="Times New Roman"/>
          <w:sz w:val="20"/>
          <w:szCs w:val="20"/>
          <w:lang w:val="fr-CA" w:eastAsia="en-CA"/>
        </w:rPr>
        <w:t xml:space="preserve"> qu’une personne ne soit extradée en vue d’être traduite en justice pour des actes qui ne constitueraient pas une infraction criminelle au Canada, il faut prendre en considération l’art. 285 au moment de décider si les actes de cette personne constitueraient un crime s’ils avaient été commis dans notre pays et justifieraient donc l’incarcération. Empêcher la prise en compte de cette disposition restreint indûment le rôle du juge d’extradition lorsqu’il s’agit de veiller au respect du principe de la double incrimination et d’assurer le déroulement d’un processus véritable propre à sauvegarder les droits à la liberté de la personne dont l’extradition est demandée.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La défense selon laquelle il était nécessaire de sauver les enfants pour les protéger d’un danger imminent ne peut être invoquée dans l’État de la Géorgie. Les enfants étaient âgés de 9, 10 et 14 ans. La juge d’extradition a conclu qu’ils avaient peur de leur père et que celui</w:t>
      </w:r>
      <w:r w:rsidRPr="00D50799">
        <w:rPr>
          <w:rFonts w:eastAsia="Times New Roman" w:cs="Times New Roman"/>
          <w:sz w:val="20"/>
          <w:szCs w:val="20"/>
          <w:lang w:val="fr-CA" w:eastAsia="en-CA"/>
        </w:rPr>
        <w:noBreakHyphen/>
        <w:t xml:space="preserve">ci les avait maltraités physiquement et psychologiquement. Elle a également conclu qu’ils s’étaient enfuis de chez leur père sans aucune assistance de la part de leur mère, et même à son insu, qu’ils avaient attendu plus d’une semaine avant de communiquer avec elle pour lui demander de l’aide, et qu’en les emmenant par la suite avec elle, la mère voulait les protéger d’un autre danger.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À partir d’une appréciation judiciaire valable de l’ensemble de la preuve, la juge d’extradition a décidé à juste titre que celle</w:t>
      </w:r>
      <w:r w:rsidRPr="00D50799">
        <w:rPr>
          <w:rFonts w:eastAsia="Times New Roman" w:cs="Times New Roman"/>
          <w:sz w:val="20"/>
          <w:szCs w:val="20"/>
          <w:lang w:val="fr-CA" w:eastAsia="en-CA"/>
        </w:rPr>
        <w:noBreakHyphen/>
        <w:t>ci ne révélait pas une conduite qui justifiait l’incarcération. En raison du libellé clair de l’art. 285, la mère ne pouvait être déclarée coupable de l’infraction d’enlèvement reprochée, puisqu’elle avait l’intention de protéger les enfants d’un danger imminent aux mains de leur père. En conséquence, aucun jury canadien raisonnable ayant reçu des directives appropriées ne pourrait dans ces circonstances rendre un verdict de culpabilité contre la mère relativement à l’accusation d’enlèvement des enfants. Comme a conclu la juge d’extradition, l’incarcération n’est donc pas justifiée.</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b/>
          <w:sz w:val="20"/>
          <w:szCs w:val="20"/>
          <w:lang w:val="fr-CA" w:eastAsia="en-CA"/>
        </w:rPr>
      </w:pPr>
      <w:r w:rsidRPr="00D50799">
        <w:rPr>
          <w:rFonts w:eastAsia="Times New Roman" w:cs="Times New Roman"/>
          <w:sz w:val="20"/>
          <w:szCs w:val="20"/>
          <w:lang w:val="fr-CA" w:eastAsia="en-CA"/>
        </w:rPr>
        <w:tab/>
        <w:t>L’alinéa 44(1)</w:t>
      </w:r>
      <w:r w:rsidRPr="00D50799">
        <w:rPr>
          <w:rFonts w:eastAsia="Times New Roman" w:cs="Times New Roman"/>
          <w:i/>
          <w:sz w:val="20"/>
          <w:szCs w:val="20"/>
          <w:lang w:val="fr-CA" w:eastAsia="en-CA"/>
        </w:rPr>
        <w:t>a</w:t>
      </w:r>
      <w:r w:rsidRPr="00D50799">
        <w:rPr>
          <w:rFonts w:eastAsia="Times New Roman" w:cs="Times New Roman"/>
          <w:sz w:val="20"/>
          <w:szCs w:val="20"/>
          <w:lang w:val="fr-CA" w:eastAsia="en-CA"/>
        </w:rPr>
        <w:t xml:space="preserve">) de la </w:t>
      </w:r>
      <w:r w:rsidRPr="00D50799">
        <w:rPr>
          <w:rFonts w:eastAsia="Times New Roman" w:cs="Times New Roman"/>
          <w:i/>
          <w:sz w:val="20"/>
          <w:szCs w:val="20"/>
          <w:lang w:val="fr-CA" w:eastAsia="en-CA"/>
        </w:rPr>
        <w:t>Loi sur l’extradition</w:t>
      </w:r>
      <w:r w:rsidRPr="00D50799">
        <w:rPr>
          <w:rFonts w:eastAsia="Times New Roman" w:cs="Times New Roman"/>
          <w:sz w:val="20"/>
          <w:szCs w:val="20"/>
          <w:lang w:val="fr-CA" w:eastAsia="en-CA"/>
        </w:rPr>
        <w:t xml:space="preserve"> oblige le ministre de la Justice à tenir compte de </w:t>
      </w:r>
      <w:r w:rsidRPr="00D50799">
        <w:rPr>
          <w:rFonts w:eastAsia="Times New Roman" w:cs="Times New Roman"/>
          <w:i/>
          <w:sz w:val="20"/>
          <w:szCs w:val="20"/>
          <w:lang w:val="fr-CA" w:eastAsia="en-CA"/>
        </w:rPr>
        <w:t>toutes</w:t>
      </w:r>
      <w:r w:rsidRPr="00D50799">
        <w:rPr>
          <w:rFonts w:eastAsia="Times New Roman" w:cs="Times New Roman"/>
          <w:sz w:val="20"/>
          <w:szCs w:val="20"/>
          <w:lang w:val="fr-CA" w:eastAsia="en-CA"/>
        </w:rPr>
        <w:t xml:space="preserve"> les circonstances lorsqu’il décide si l’extradition serait injuste ou tyrannique. Même si l’on reconnaît que les exigences relatives à la double incrimination sont respectées, cela ne dispense pas le ministre de la responsabilité de prendre en compte le fait qu’il est possible au Canada, mais non en Géorgie, d’invoquer un moyen de défense qui est prévu par la loi et qui touche à l’essence même de l’infraction. Cette considération relève clairement du rôle de soupape de sûreté que la loi confère au ministre à l’étape de l’extradition, et il est donc nécessaire qu’il en tienne compte dans l’exercice du pouvoir discrétionnaire prévu à l’al. 44(1)</w:t>
      </w:r>
      <w:r w:rsidRPr="00D50799">
        <w:rPr>
          <w:rFonts w:eastAsia="Times New Roman" w:cs="Times New Roman"/>
          <w:i/>
          <w:sz w:val="20"/>
          <w:szCs w:val="20"/>
          <w:lang w:val="fr-CA" w:eastAsia="en-CA"/>
        </w:rPr>
        <w:t>a</w:t>
      </w:r>
      <w:r w:rsidRPr="00D50799">
        <w:rPr>
          <w:rFonts w:eastAsia="Times New Roman" w:cs="Times New Roman"/>
          <w:sz w:val="20"/>
          <w:szCs w:val="20"/>
          <w:lang w:val="fr-CA" w:eastAsia="en-CA"/>
        </w:rPr>
        <w:t>).</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b/>
          <w:sz w:val="20"/>
          <w:szCs w:val="20"/>
          <w:lang w:val="fr-CA" w:eastAsia="en-CA"/>
        </w:rPr>
      </w:pPr>
      <w:r w:rsidRPr="00D50799">
        <w:rPr>
          <w:rFonts w:eastAsia="Times New Roman" w:cs="Times New Roman"/>
          <w:sz w:val="20"/>
          <w:szCs w:val="20"/>
          <w:lang w:val="fr-CA" w:eastAsia="en-CA"/>
        </w:rPr>
        <w:tab/>
        <w:t>Il en est de même de l’intérêt supérieur des enfants. Dans ses observations au ministre, la mère a souligné que les enfants s’étaient enfuis de chez leur père violent et qu’ils seraient exposés à des risques sérieux de préjudice s’ils devaient lui être remis. Le père laissait les enfants à eux</w:t>
      </w:r>
      <w:r w:rsidRPr="00D50799">
        <w:rPr>
          <w:rFonts w:eastAsia="Times New Roman" w:cs="Times New Roman"/>
          <w:sz w:val="20"/>
          <w:szCs w:val="20"/>
          <w:lang w:val="fr-CA" w:eastAsia="en-CA"/>
        </w:rPr>
        <w:noBreakHyphen/>
        <w:t>mêmes la plupart du temps et il les maltraitait physiquement et psychologiquement. Ces mauvais traitements constituent la raison de la fuite des enfants, situation qui les a amenés à vivre dans une maison abandonnée pendant plus d’une semaine avant de communiquer avec leur mère. S’ils étaient forcés de retourner aux États</w:t>
      </w:r>
      <w:r w:rsidRPr="00D50799">
        <w:rPr>
          <w:rFonts w:eastAsia="Times New Roman" w:cs="Times New Roman"/>
          <w:sz w:val="20"/>
          <w:szCs w:val="20"/>
          <w:lang w:val="fr-CA" w:eastAsia="en-CA"/>
        </w:rPr>
        <w:noBreakHyphen/>
        <w:t>Unis ou étaient séparés d’elle, les enfants seraient soit victimes d’autres mauvais traitements, soit privés de toute figure parentale.</w:t>
      </w:r>
    </w:p>
    <w:p w:rsidR="00BF6F03" w:rsidRPr="007A5455" w:rsidRDefault="00BF6F03"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lastRenderedPageBreak/>
        <w:tab/>
        <w:t xml:space="preserve">Le fait d’extrader la mère serait contraire à l’intérêt supérieur des enfants. Personne ne conteste que les enfants ne </w:t>
      </w:r>
      <w:proofErr w:type="gramStart"/>
      <w:r w:rsidRPr="00D50799">
        <w:rPr>
          <w:rFonts w:eastAsia="Times New Roman" w:cs="Times New Roman"/>
          <w:sz w:val="20"/>
          <w:szCs w:val="20"/>
          <w:lang w:val="fr-CA" w:eastAsia="en-CA"/>
        </w:rPr>
        <w:t>devraient</w:t>
      </w:r>
      <w:proofErr w:type="gramEnd"/>
      <w:r w:rsidRPr="00D50799">
        <w:rPr>
          <w:rFonts w:eastAsia="Times New Roman" w:cs="Times New Roman"/>
          <w:sz w:val="20"/>
          <w:szCs w:val="20"/>
          <w:lang w:val="fr-CA" w:eastAsia="en-CA"/>
        </w:rPr>
        <w:t xml:space="preserve"> pas être renvoyés chez leur père qui les maltraite. Extrader la mère parce qu’elle a agi afin de protéger ses enfants, c’est pénaliser ceux</w:t>
      </w:r>
      <w:r w:rsidRPr="00D50799">
        <w:rPr>
          <w:rFonts w:eastAsia="Times New Roman" w:cs="Times New Roman"/>
          <w:sz w:val="20"/>
          <w:szCs w:val="20"/>
          <w:lang w:val="fr-CA" w:eastAsia="en-CA"/>
        </w:rPr>
        <w:noBreakHyphen/>
        <w:t>ci de s’être tournés vers elle en les privant du seul parent susceptible de s’occuper d’eux. De plus, comme la défense d’avoir porté secours aux enfants pour les protéger d’un danger imminent n’existe pas en Géorgie, la mère ne pourra pas faire valoir le moyen de défense qu’elle aurait été en mesure de soulever si elle avait été poursuivie au Canada.</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b/>
          <w:sz w:val="20"/>
          <w:szCs w:val="20"/>
          <w:lang w:val="fr-CA" w:eastAsia="en-CA"/>
        </w:rPr>
      </w:pPr>
      <w:r w:rsidRPr="00D50799">
        <w:rPr>
          <w:rFonts w:eastAsia="Times New Roman" w:cs="Times New Roman"/>
          <w:sz w:val="20"/>
          <w:szCs w:val="20"/>
          <w:lang w:val="fr-CA" w:eastAsia="en-CA"/>
        </w:rPr>
        <w:tab/>
        <w:t>En cas d’extradition de la mère, celle</w:t>
      </w:r>
      <w:r w:rsidRPr="00D50799">
        <w:rPr>
          <w:rFonts w:eastAsia="Times New Roman" w:cs="Times New Roman"/>
          <w:sz w:val="20"/>
          <w:szCs w:val="20"/>
          <w:lang w:val="fr-CA" w:eastAsia="en-CA"/>
        </w:rPr>
        <w:noBreakHyphen/>
        <w:t>ci est passible d’une peine pouvant aller jusqu’à 15 ans d’emprisonnement si elle était déclarée coupable des accusations de violation d’une ordonnance de garde. Pourtant, le ministre ne mentionne aucunement l’incidence de l’extradition de la mère sur la famille. Il a plutôt fait remarquer que la possibilité de placer les enfants en famille d’accueil contrebalance de manière adéquate l’éventualité d’un emprisonnement de la mère en Géorgie. Or cela représente un rejet inexplicable de la pierre angulaire de la philosophie de notre pays relativement à la protection de l’enfance, à savoir d’essayer, lorsque cela est raisonnablement possible, de ne pas séparer les enfants et les parents. Le ministre a exprimé son incertitude au sujet de l’intérêt supérieur des enfants, ce qui aurait dû l’amener à se ranger du côté du droit des enfants d’être avec un parent aimant, et non du côté de l’extradition de la mère pour qu’elle réponde de ses actes dans un processus pénal où un moyen de défense clé ne peut être invoqué.</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Compte tenu de toute l’instabilité et de tous les traumatismes qu’ont connus les enfants, il est évident que la situation qui leur serait le moins préjudiciable serait de demeurer au Canada avec leur mère qui a pris un risque sur le plan juridique pour les protéger, au lieu d’être envoyés en famille d’accueil. Le ministre a plutôt tenu compte de la conduite de la mère trois ans avant l’incident en question, laquelle lui a fait perdre ses droits de garde et d’accès. Ces antécédents ne sauraient être niés, mais on ne peut pas non plus dire qu’ils sont particulièrement pertinents dans l’examen de ce qu’a fait la mère pour répondre à la demande désespérée des enfants, ou des liens qu’elle entretient avec eux. La question n’est pas de savoir si elle est un parent idéal, mais plutôt si ce qu’elle a fait pour secourir ses enfants devrait les priver de ses soins et la priver, elle, de sa liberté pendant une période pouvant aller jusqu’à 15 ans.</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Les accusations mêmes auxquelles doit répondre la mère découlent du fait qu’elle a agi dans ce qu’elle croyait être l’intérêt supérieur de ses enfants. La preuve dont disposait le ministre démontrait sans équivoque que les enfants s’étaient enfuis de chez leur père parce que celui</w:t>
      </w:r>
      <w:r w:rsidRPr="00D50799">
        <w:rPr>
          <w:rFonts w:eastAsia="Times New Roman" w:cs="Times New Roman"/>
          <w:sz w:val="20"/>
          <w:szCs w:val="20"/>
          <w:lang w:val="fr-CA" w:eastAsia="en-CA"/>
        </w:rPr>
        <w:noBreakHyphen/>
        <w:t>ci les maltraitait, et qu’ils avaient finalement communiqué avec leur mère pour lui demander de l’aide. Elle ne les a pas retirés du domicile de leur père. En fait, il ressort de la preuve qui a été acceptée tout au long des procédures que les enfants se sont enfuis d’eux</w:t>
      </w:r>
      <w:r w:rsidRPr="00D50799">
        <w:rPr>
          <w:rFonts w:eastAsia="Times New Roman" w:cs="Times New Roman"/>
          <w:sz w:val="20"/>
          <w:szCs w:val="20"/>
          <w:lang w:val="fr-CA" w:eastAsia="en-CA"/>
        </w:rPr>
        <w:noBreakHyphen/>
        <w:t>mêmes sans l’aide de la mère et à son insu. Pris entre la perspective de retourner dans un foyer violent, de demeurer dans une maison abandonnée ou d’être réunis avec leur mère, les enfants ont considéré qu’ils n’avaient pas vraiment le choix d’agir comme ils l’ont fait. À tort ou à raison, ils ont estimé que les mesures qu’ils prenaient seraient moins dommageables pour leur bien</w:t>
      </w:r>
      <w:r w:rsidRPr="00D50799">
        <w:rPr>
          <w:rFonts w:eastAsia="Times New Roman" w:cs="Times New Roman"/>
          <w:sz w:val="20"/>
          <w:szCs w:val="20"/>
          <w:lang w:val="fr-CA" w:eastAsia="en-CA"/>
        </w:rPr>
        <w:noBreakHyphen/>
        <w:t>être que le fait de continuer d’habiter chez leur père violent. On ne peut leur reprocher d’avoir pris des mesures désespérées dans le but d’échapper à une situation intolérable les exposant au danger. Le ministre était tenu de prendre sérieusement en considération la raison pour laquelle les enfants avaient communiqué avec leur mère pour obtenir son aide. Ils avaient été maltraités. Ils n’avaient nulle part où aller. Prendre contact avec leur mère était la seule solution réaliste à leurs yeux. De même, répondre à leurs demandes de protection constituait la seule solution réaliste pour la mère. En punissant la mère pour être venue en aide à ses enfants, au lieu de rester sourde à leurs supplications, le ministre se trouve à pénaliser celle</w:t>
      </w:r>
      <w:r w:rsidRPr="00D50799">
        <w:rPr>
          <w:rFonts w:eastAsia="Times New Roman" w:cs="Times New Roman"/>
          <w:sz w:val="20"/>
          <w:szCs w:val="20"/>
          <w:lang w:val="fr-CA" w:eastAsia="en-CA"/>
        </w:rPr>
        <w:noBreakHyphen/>
        <w:t>ci pour avoir assumé la responsabilité qui lui incombait de protéger ses enfants du danger.</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tab/>
        <w:t>Comme le ministre n’a pas dûment pris en compte l’intérêt supérieur des enfants et eu égard à ses conclusions quant à la possibilité d’invoquer la défense prévue à l’art. 285, sa décision d’ordonner l’extradition de la mère était déraisonnable. En limitant son appréciation du procès que subirait la mère en Géorgie à la question de savoir si celui</w:t>
      </w:r>
      <w:r w:rsidRPr="00D50799">
        <w:rPr>
          <w:rFonts w:eastAsia="Times New Roman" w:cs="Times New Roman"/>
          <w:sz w:val="20"/>
          <w:szCs w:val="20"/>
          <w:lang w:val="fr-CA" w:eastAsia="en-CA"/>
        </w:rPr>
        <w:noBreakHyphen/>
        <w:t xml:space="preserve">ci serait équitable sur le plan procédural, plutôt qu’à celle de savoir si l’extradition serait injuste ou tyrannique, le ministre se trouve à éviter l’analyse appropriée. Étant donné les droits à la liberté en cause et le risque de responsabilité criminelle dans des circonstances non susceptibles d’entraîner une peine au Canada, il n’est pas suffisant de déterminer si le procès dans l’État requérant sera équitable sur le plan procédural. L’existence au Canada d’un moyen de défense prévu par la loi qui se rapporte directement à la criminalité, alors qu’aucun moyen de défense analogue n’est reconnu dans l’État requérant, représente, à première vue, le type même de facteur propre à rendre l’extradition injuste ou tyrannique. </w:t>
      </w:r>
    </w:p>
    <w:p w:rsidR="00D50799" w:rsidRPr="007A5455" w:rsidRDefault="00D50799" w:rsidP="00D50799">
      <w:pPr>
        <w:tabs>
          <w:tab w:val="left" w:pos="1168"/>
        </w:tabs>
        <w:jc w:val="both"/>
        <w:rPr>
          <w:rFonts w:eastAsia="Times New Roman" w:cs="Times New Roman"/>
          <w:sz w:val="20"/>
          <w:szCs w:val="20"/>
          <w:lang w:val="fr-CA" w:eastAsia="en-CA"/>
        </w:rPr>
      </w:pPr>
    </w:p>
    <w:p w:rsidR="00D50799" w:rsidRPr="00D50799" w:rsidRDefault="00D50799" w:rsidP="00D50799">
      <w:pPr>
        <w:tabs>
          <w:tab w:val="left" w:pos="1168"/>
        </w:tabs>
        <w:jc w:val="both"/>
        <w:rPr>
          <w:rFonts w:eastAsia="Times New Roman" w:cs="Times New Roman"/>
          <w:sz w:val="20"/>
          <w:szCs w:val="20"/>
          <w:lang w:val="fr-CA" w:eastAsia="en-CA"/>
        </w:rPr>
      </w:pPr>
      <w:r w:rsidRPr="00D50799">
        <w:rPr>
          <w:rFonts w:eastAsia="Times New Roman" w:cs="Times New Roman"/>
          <w:sz w:val="20"/>
          <w:szCs w:val="20"/>
          <w:lang w:val="fr-CA" w:eastAsia="en-CA"/>
        </w:rPr>
        <w:lastRenderedPageBreak/>
        <w:tab/>
        <w:t>Le préjudice que causerait à l’intégrité du processus canadien d’extradition le fait de conclure qu’il serait injuste ou tyrannique d’extrader une mère qui, à la demande de ses jeunes enfants, a soustrait ceux</w:t>
      </w:r>
      <w:r w:rsidRPr="00D50799">
        <w:rPr>
          <w:rFonts w:eastAsia="Times New Roman" w:cs="Times New Roman"/>
          <w:sz w:val="20"/>
          <w:szCs w:val="20"/>
          <w:lang w:val="fr-CA" w:eastAsia="en-CA"/>
        </w:rPr>
        <w:noBreakHyphen/>
        <w:t>ci à leur père violent est peu visible. Par ailleurs, le préjudice que subiraient les enfants privés de leur mère en pareilles circonstances est profond et manifestement inéquitable.</w:t>
      </w:r>
    </w:p>
    <w:p w:rsidR="0052229C" w:rsidRPr="007A5455" w:rsidRDefault="0052229C" w:rsidP="00C100D4">
      <w:pPr>
        <w:pStyle w:val="SCCNormalDoubleSpacing"/>
        <w:spacing w:line="240" w:lineRule="auto"/>
        <w:rPr>
          <w:sz w:val="20"/>
          <w:lang w:val="fr-CA"/>
        </w:rPr>
      </w:pPr>
    </w:p>
    <w:p w:rsidR="00C100D4" w:rsidRPr="00C100D4" w:rsidRDefault="00C100D4" w:rsidP="00C100D4">
      <w:pPr>
        <w:tabs>
          <w:tab w:val="left" w:pos="1168"/>
        </w:tabs>
        <w:jc w:val="both"/>
        <w:rPr>
          <w:rFonts w:eastAsia="Times New Roman" w:cs="Times New Roman"/>
          <w:sz w:val="20"/>
          <w:szCs w:val="20"/>
          <w:lang w:val="fr-CA" w:eastAsia="en-CA"/>
        </w:rPr>
      </w:pPr>
      <w:r w:rsidRPr="00C100D4">
        <w:rPr>
          <w:rFonts w:eastAsia="Times New Roman" w:cs="Times New Roman"/>
          <w:sz w:val="20"/>
          <w:szCs w:val="20"/>
          <w:lang w:eastAsia="en-CA"/>
        </w:rPr>
        <w:tab/>
      </w:r>
      <w:r w:rsidRPr="00C100D4">
        <w:rPr>
          <w:rFonts w:eastAsia="Times New Roman" w:cs="Times New Roman"/>
          <w:sz w:val="20"/>
          <w:szCs w:val="20"/>
          <w:lang w:val="fr-CA" w:eastAsia="en-CA"/>
        </w:rPr>
        <w:t xml:space="preserve">POURVOI contre deux arrêts de la Cour d’appel du Québec (les juges Thibault, Doyon et </w:t>
      </w:r>
      <w:proofErr w:type="spellStart"/>
      <w:r w:rsidRPr="00C100D4">
        <w:rPr>
          <w:rFonts w:eastAsia="Times New Roman" w:cs="Times New Roman"/>
          <w:sz w:val="20"/>
          <w:szCs w:val="20"/>
          <w:lang w:val="fr-CA" w:eastAsia="en-CA"/>
        </w:rPr>
        <w:t>Dutil</w:t>
      </w:r>
      <w:proofErr w:type="spellEnd"/>
      <w:r w:rsidRPr="00C100D4">
        <w:rPr>
          <w:rFonts w:eastAsia="Times New Roman" w:cs="Times New Roman"/>
          <w:sz w:val="20"/>
          <w:szCs w:val="20"/>
          <w:lang w:val="fr-CA" w:eastAsia="en-CA"/>
        </w:rPr>
        <w:t>), 2014 QCCA 681, [2014] AZ</w:t>
      </w:r>
      <w:r w:rsidRPr="00C100D4">
        <w:rPr>
          <w:rFonts w:eastAsia="Times New Roman" w:cs="Times New Roman"/>
          <w:sz w:val="20"/>
          <w:szCs w:val="20"/>
          <w:lang w:val="fr-CA" w:eastAsia="en-CA"/>
        </w:rPr>
        <w:noBreakHyphen/>
        <w:t xml:space="preserve">51061285, [2014] Q.J. No. 2910 (QL), 2014 </w:t>
      </w:r>
      <w:proofErr w:type="spellStart"/>
      <w:r w:rsidRPr="00C100D4">
        <w:rPr>
          <w:rFonts w:eastAsia="Times New Roman" w:cs="Times New Roman"/>
          <w:sz w:val="20"/>
          <w:szCs w:val="20"/>
          <w:lang w:val="fr-CA" w:eastAsia="en-CA"/>
        </w:rPr>
        <w:t>CarswellQue</w:t>
      </w:r>
      <w:proofErr w:type="spellEnd"/>
      <w:r w:rsidRPr="00C100D4">
        <w:rPr>
          <w:rFonts w:eastAsia="Times New Roman" w:cs="Times New Roman"/>
          <w:sz w:val="20"/>
          <w:szCs w:val="20"/>
          <w:lang w:val="fr-CA" w:eastAsia="en-CA"/>
        </w:rPr>
        <w:t xml:space="preserve"> 3081 (WL Can.), qui a rejeté la demande de contrôle judiciaire visant l’arrêté d’extradition pris par le ministre de la Justice; et (les juges Morissette, Gagnon et Gascon), 2012 QCCA 1142, [2012] AZ</w:t>
      </w:r>
      <w:r w:rsidRPr="00C100D4">
        <w:rPr>
          <w:rFonts w:eastAsia="Times New Roman" w:cs="Times New Roman"/>
          <w:sz w:val="20"/>
          <w:szCs w:val="20"/>
          <w:lang w:val="fr-CA" w:eastAsia="en-CA"/>
        </w:rPr>
        <w:noBreakHyphen/>
        <w:t xml:space="preserve">50866680, [2012] Q.J. No. 5896 (QL), 2012 </w:t>
      </w:r>
      <w:proofErr w:type="spellStart"/>
      <w:r w:rsidRPr="00C100D4">
        <w:rPr>
          <w:rFonts w:eastAsia="Times New Roman" w:cs="Times New Roman"/>
          <w:sz w:val="20"/>
          <w:szCs w:val="20"/>
          <w:lang w:val="fr-CA" w:eastAsia="en-CA"/>
        </w:rPr>
        <w:t>CarswellQue</w:t>
      </w:r>
      <w:proofErr w:type="spellEnd"/>
      <w:r w:rsidRPr="00C100D4">
        <w:rPr>
          <w:rFonts w:eastAsia="Times New Roman" w:cs="Times New Roman"/>
          <w:sz w:val="20"/>
          <w:szCs w:val="20"/>
          <w:lang w:val="fr-CA" w:eastAsia="en-CA"/>
        </w:rPr>
        <w:t xml:space="preserve"> 6422 (WL Can.), qui a infirmé une décision de la juge Cohen, 2011 QCCS 4800, [2011] AZ</w:t>
      </w:r>
      <w:r w:rsidRPr="00C100D4">
        <w:rPr>
          <w:rFonts w:eastAsia="Times New Roman" w:cs="Times New Roman"/>
          <w:sz w:val="20"/>
          <w:szCs w:val="20"/>
          <w:lang w:val="fr-CA" w:eastAsia="en-CA"/>
        </w:rPr>
        <w:noBreakHyphen/>
        <w:t xml:space="preserve">50778075, [2011] Q.J. No. 12453 (QL), 2011 </w:t>
      </w:r>
      <w:proofErr w:type="spellStart"/>
      <w:r w:rsidRPr="00C100D4">
        <w:rPr>
          <w:rFonts w:eastAsia="Times New Roman" w:cs="Times New Roman"/>
          <w:sz w:val="20"/>
          <w:szCs w:val="20"/>
          <w:lang w:val="fr-CA" w:eastAsia="en-CA"/>
        </w:rPr>
        <w:t>CarswellQue</w:t>
      </w:r>
      <w:proofErr w:type="spellEnd"/>
      <w:r w:rsidRPr="00C100D4">
        <w:rPr>
          <w:rFonts w:eastAsia="Times New Roman" w:cs="Times New Roman"/>
          <w:sz w:val="20"/>
          <w:szCs w:val="20"/>
          <w:lang w:val="fr-CA" w:eastAsia="en-CA"/>
        </w:rPr>
        <w:t xml:space="preserve"> 9861 (WL Can.). Pourvoi rejeté, les juges Abella, </w:t>
      </w:r>
      <w:proofErr w:type="spellStart"/>
      <w:r w:rsidRPr="00C100D4">
        <w:rPr>
          <w:rFonts w:eastAsia="Times New Roman" w:cs="Times New Roman"/>
          <w:sz w:val="20"/>
          <w:szCs w:val="20"/>
          <w:lang w:val="fr-CA" w:eastAsia="en-CA"/>
        </w:rPr>
        <w:t>Karakatsanis</w:t>
      </w:r>
      <w:proofErr w:type="spellEnd"/>
      <w:r w:rsidRPr="00C100D4">
        <w:rPr>
          <w:rFonts w:eastAsia="Times New Roman" w:cs="Times New Roman"/>
          <w:sz w:val="20"/>
          <w:szCs w:val="20"/>
          <w:lang w:val="fr-CA" w:eastAsia="en-CA"/>
        </w:rPr>
        <w:t xml:space="preserve"> et Côté sont dissidentes.</w:t>
      </w:r>
    </w:p>
    <w:p w:rsidR="00C100D4" w:rsidRPr="007A5455" w:rsidRDefault="00C100D4" w:rsidP="00C100D4">
      <w:pPr>
        <w:tabs>
          <w:tab w:val="left" w:pos="1168"/>
        </w:tabs>
        <w:jc w:val="both"/>
        <w:rPr>
          <w:rFonts w:eastAsia="Times New Roman" w:cs="Times New Roman"/>
          <w:sz w:val="20"/>
          <w:szCs w:val="20"/>
          <w:lang w:val="fr-CA" w:eastAsia="en-CA"/>
        </w:rPr>
      </w:pPr>
    </w:p>
    <w:p w:rsidR="00C100D4" w:rsidRPr="00C100D4" w:rsidRDefault="00C100D4" w:rsidP="00C100D4">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val="fr-CA" w:eastAsia="en-CA"/>
        </w:rPr>
        <w:tab/>
      </w:r>
      <w:r w:rsidRPr="007A5455">
        <w:rPr>
          <w:rFonts w:eastAsia="Times New Roman" w:cs="Times New Roman"/>
          <w:i/>
          <w:sz w:val="20"/>
          <w:szCs w:val="20"/>
          <w:lang w:val="fr-CA" w:eastAsia="en-CA"/>
        </w:rPr>
        <w:t>Julius H. Grey</w:t>
      </w:r>
      <w:r w:rsidRPr="007A5455">
        <w:rPr>
          <w:rFonts w:eastAsia="Times New Roman" w:cs="Times New Roman"/>
          <w:sz w:val="20"/>
          <w:szCs w:val="20"/>
          <w:lang w:val="fr-CA" w:eastAsia="en-CA"/>
        </w:rPr>
        <w:t xml:space="preserve">, </w:t>
      </w:r>
      <w:r w:rsidRPr="007A5455">
        <w:rPr>
          <w:rFonts w:eastAsia="Times New Roman" w:cs="Times New Roman"/>
          <w:i/>
          <w:sz w:val="20"/>
          <w:szCs w:val="20"/>
          <w:lang w:val="fr-CA" w:eastAsia="en-CA"/>
        </w:rPr>
        <w:t>Cornelia Herta</w:t>
      </w:r>
      <w:r w:rsidRPr="007A5455">
        <w:rPr>
          <w:rFonts w:eastAsia="Times New Roman" w:cs="Times New Roman"/>
          <w:i/>
          <w:sz w:val="20"/>
          <w:szCs w:val="20"/>
          <w:lang w:val="fr-CA" w:eastAsia="en-CA"/>
        </w:rPr>
        <w:noBreakHyphen/>
      </w:r>
      <w:proofErr w:type="spellStart"/>
      <w:r w:rsidRPr="007A5455">
        <w:rPr>
          <w:rFonts w:eastAsia="Times New Roman" w:cs="Times New Roman"/>
          <w:i/>
          <w:sz w:val="20"/>
          <w:szCs w:val="20"/>
          <w:lang w:val="fr-CA" w:eastAsia="en-CA"/>
        </w:rPr>
        <w:t>Zvezdin</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i/>
          <w:sz w:val="20"/>
          <w:szCs w:val="20"/>
          <w:lang w:val="fr-CA" w:eastAsia="en-CA"/>
        </w:rPr>
        <w:t>Clemente</w:t>
      </w:r>
      <w:proofErr w:type="spellEnd"/>
      <w:r w:rsidRPr="007A5455">
        <w:rPr>
          <w:rFonts w:eastAsia="Times New Roman" w:cs="Times New Roman"/>
          <w:i/>
          <w:sz w:val="20"/>
          <w:szCs w:val="20"/>
          <w:lang w:val="fr-CA" w:eastAsia="en-CA"/>
        </w:rPr>
        <w:t xml:space="preserve"> </w:t>
      </w:r>
      <w:proofErr w:type="spellStart"/>
      <w:r w:rsidRPr="007A5455">
        <w:rPr>
          <w:rFonts w:eastAsia="Times New Roman" w:cs="Times New Roman"/>
          <w:i/>
          <w:sz w:val="20"/>
          <w:szCs w:val="20"/>
          <w:lang w:val="fr-CA" w:eastAsia="en-CA"/>
        </w:rPr>
        <w:t>Monterosso</w:t>
      </w:r>
      <w:proofErr w:type="spellEnd"/>
      <w:r w:rsidRPr="007A5455">
        <w:rPr>
          <w:rFonts w:eastAsia="Times New Roman" w:cs="Times New Roman"/>
          <w:sz w:val="20"/>
          <w:szCs w:val="20"/>
          <w:lang w:val="fr-CA" w:eastAsia="en-CA"/>
        </w:rPr>
        <w:t xml:space="preserve"> et </w:t>
      </w:r>
      <w:r w:rsidRPr="007A5455">
        <w:rPr>
          <w:rFonts w:eastAsia="Times New Roman" w:cs="Times New Roman"/>
          <w:i/>
          <w:sz w:val="20"/>
          <w:szCs w:val="20"/>
          <w:lang w:val="fr-CA" w:eastAsia="en-CA"/>
        </w:rPr>
        <w:t xml:space="preserve">Iris </w:t>
      </w:r>
      <w:proofErr w:type="spellStart"/>
      <w:r w:rsidRPr="007A5455">
        <w:rPr>
          <w:rFonts w:eastAsia="Times New Roman" w:cs="Times New Roman"/>
          <w:i/>
          <w:sz w:val="20"/>
          <w:szCs w:val="20"/>
          <w:lang w:val="fr-CA" w:eastAsia="en-CA"/>
        </w:rPr>
        <w:t>Simixhiu</w:t>
      </w:r>
      <w:proofErr w:type="spellEnd"/>
      <w:r w:rsidRPr="007A5455">
        <w:rPr>
          <w:rFonts w:eastAsia="Times New Roman" w:cs="Times New Roman"/>
          <w:sz w:val="20"/>
          <w:szCs w:val="20"/>
          <w:lang w:val="fr-CA" w:eastAsia="en-CA"/>
        </w:rPr>
        <w:t>, pour l’appelante.</w:t>
      </w:r>
    </w:p>
    <w:p w:rsidR="00C100D4" w:rsidRPr="007A5455" w:rsidRDefault="00C100D4" w:rsidP="00C100D4">
      <w:pPr>
        <w:tabs>
          <w:tab w:val="left" w:pos="1168"/>
        </w:tabs>
        <w:jc w:val="both"/>
        <w:rPr>
          <w:rFonts w:eastAsia="Times New Roman" w:cs="Times New Roman"/>
          <w:sz w:val="20"/>
          <w:szCs w:val="20"/>
          <w:lang w:val="fr-CA" w:eastAsia="en-CA"/>
        </w:rPr>
      </w:pPr>
    </w:p>
    <w:p w:rsidR="00C100D4" w:rsidRPr="00C100D4" w:rsidRDefault="00C100D4" w:rsidP="00C100D4">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val="fr-CA" w:eastAsia="en-CA"/>
        </w:rPr>
        <w:tab/>
      </w:r>
      <w:r w:rsidRPr="007A5455">
        <w:rPr>
          <w:rFonts w:eastAsia="Times New Roman" w:cs="Times New Roman"/>
          <w:i/>
          <w:sz w:val="20"/>
          <w:szCs w:val="20"/>
          <w:lang w:val="fr-CA" w:eastAsia="en-CA"/>
        </w:rPr>
        <w:t xml:space="preserve">Ginette </w:t>
      </w:r>
      <w:proofErr w:type="spellStart"/>
      <w:r w:rsidRPr="007A5455">
        <w:rPr>
          <w:rFonts w:eastAsia="Times New Roman" w:cs="Times New Roman"/>
          <w:i/>
          <w:sz w:val="20"/>
          <w:szCs w:val="20"/>
          <w:lang w:val="fr-CA" w:eastAsia="en-CA"/>
        </w:rPr>
        <w:t>Gobeil</w:t>
      </w:r>
      <w:proofErr w:type="spellEnd"/>
      <w:r w:rsidRPr="007A5455">
        <w:rPr>
          <w:rFonts w:eastAsia="Times New Roman" w:cs="Times New Roman"/>
          <w:sz w:val="20"/>
          <w:szCs w:val="20"/>
          <w:lang w:val="fr-CA" w:eastAsia="en-CA"/>
        </w:rPr>
        <w:t xml:space="preserve"> et </w:t>
      </w:r>
      <w:proofErr w:type="spellStart"/>
      <w:r w:rsidRPr="007A5455">
        <w:rPr>
          <w:rFonts w:eastAsia="Times New Roman" w:cs="Times New Roman"/>
          <w:i/>
          <w:sz w:val="20"/>
          <w:szCs w:val="20"/>
          <w:lang w:val="fr-CA" w:eastAsia="en-CA"/>
        </w:rPr>
        <w:t>Diba</w:t>
      </w:r>
      <w:proofErr w:type="spellEnd"/>
      <w:r w:rsidRPr="007A5455">
        <w:rPr>
          <w:rFonts w:eastAsia="Times New Roman" w:cs="Times New Roman"/>
          <w:i/>
          <w:sz w:val="20"/>
          <w:szCs w:val="20"/>
          <w:lang w:val="fr-CA" w:eastAsia="en-CA"/>
        </w:rPr>
        <w:t xml:space="preserve"> </w:t>
      </w:r>
      <w:proofErr w:type="spellStart"/>
      <w:r w:rsidRPr="007A5455">
        <w:rPr>
          <w:rFonts w:eastAsia="Times New Roman" w:cs="Times New Roman"/>
          <w:i/>
          <w:sz w:val="20"/>
          <w:szCs w:val="20"/>
          <w:lang w:val="fr-CA" w:eastAsia="en-CA"/>
        </w:rPr>
        <w:t>Majzub</w:t>
      </w:r>
      <w:proofErr w:type="spellEnd"/>
      <w:r w:rsidRPr="007A5455">
        <w:rPr>
          <w:rFonts w:eastAsia="Times New Roman" w:cs="Times New Roman"/>
          <w:sz w:val="20"/>
          <w:szCs w:val="20"/>
          <w:lang w:val="fr-CA" w:eastAsia="en-CA"/>
        </w:rPr>
        <w:t>, pour l’intimé.</w:t>
      </w:r>
    </w:p>
    <w:p w:rsidR="00C100D4" w:rsidRPr="007A5455" w:rsidRDefault="00C100D4" w:rsidP="00C100D4">
      <w:pPr>
        <w:tabs>
          <w:tab w:val="left" w:pos="1168"/>
        </w:tabs>
        <w:jc w:val="both"/>
        <w:rPr>
          <w:rFonts w:eastAsia="Times New Roman" w:cs="Times New Roman"/>
          <w:sz w:val="20"/>
          <w:szCs w:val="20"/>
          <w:lang w:val="fr-CA" w:eastAsia="en-CA"/>
        </w:rPr>
      </w:pPr>
    </w:p>
    <w:p w:rsidR="00C100D4" w:rsidRPr="00C100D4" w:rsidRDefault="00C100D4" w:rsidP="00C100D4">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val="fr-CA" w:eastAsia="en-CA"/>
        </w:rPr>
        <w:tab/>
      </w:r>
      <w:r w:rsidRPr="007A5455">
        <w:rPr>
          <w:rFonts w:eastAsia="Times New Roman" w:cs="Times New Roman"/>
          <w:i/>
          <w:sz w:val="20"/>
          <w:szCs w:val="20"/>
          <w:lang w:val="fr-CA" w:eastAsia="en-CA"/>
        </w:rPr>
        <w:t>John Norris</w:t>
      </w:r>
      <w:r w:rsidRPr="007A5455">
        <w:rPr>
          <w:rFonts w:eastAsia="Times New Roman" w:cs="Times New Roman"/>
          <w:sz w:val="20"/>
          <w:szCs w:val="20"/>
          <w:lang w:val="fr-CA" w:eastAsia="en-CA"/>
        </w:rPr>
        <w:t xml:space="preserve"> et </w:t>
      </w:r>
      <w:proofErr w:type="spellStart"/>
      <w:r w:rsidRPr="007A5455">
        <w:rPr>
          <w:rFonts w:eastAsia="Times New Roman" w:cs="Times New Roman"/>
          <w:i/>
          <w:sz w:val="20"/>
          <w:szCs w:val="20"/>
          <w:lang w:val="fr-CA" w:eastAsia="en-CA"/>
        </w:rPr>
        <w:t>Meara</w:t>
      </w:r>
      <w:proofErr w:type="spellEnd"/>
      <w:r w:rsidRPr="007A5455">
        <w:rPr>
          <w:rFonts w:eastAsia="Times New Roman" w:cs="Times New Roman"/>
          <w:i/>
          <w:sz w:val="20"/>
          <w:szCs w:val="20"/>
          <w:lang w:val="fr-CA" w:eastAsia="en-CA"/>
        </w:rPr>
        <w:t xml:space="preserve"> Conway</w:t>
      </w:r>
      <w:r w:rsidRPr="007A5455">
        <w:rPr>
          <w:rFonts w:eastAsia="Times New Roman" w:cs="Times New Roman"/>
          <w:sz w:val="20"/>
          <w:szCs w:val="20"/>
          <w:lang w:val="fr-CA" w:eastAsia="en-CA"/>
        </w:rPr>
        <w:t xml:space="preserve">, pour l’intervenante </w:t>
      </w:r>
      <w:proofErr w:type="spellStart"/>
      <w:r w:rsidRPr="007A5455">
        <w:rPr>
          <w:rFonts w:eastAsia="Times New Roman" w:cs="Times New Roman"/>
          <w:sz w:val="20"/>
          <w:szCs w:val="20"/>
          <w:lang w:val="fr-CA" w:eastAsia="en-CA"/>
        </w:rPr>
        <w:t>Criminal</w:t>
      </w:r>
      <w:proofErr w:type="spellEnd"/>
      <w:r w:rsidRPr="007A5455">
        <w:rPr>
          <w:rFonts w:eastAsia="Times New Roman" w:cs="Times New Roman"/>
          <w:sz w:val="20"/>
          <w:szCs w:val="20"/>
          <w:lang w:val="fr-CA" w:eastAsia="en-CA"/>
        </w:rPr>
        <w:t xml:space="preserve"> </w:t>
      </w:r>
      <w:proofErr w:type="spellStart"/>
      <w:r w:rsidRPr="007A5455">
        <w:rPr>
          <w:rFonts w:eastAsia="Times New Roman" w:cs="Times New Roman"/>
          <w:sz w:val="20"/>
          <w:szCs w:val="20"/>
          <w:lang w:val="fr-CA" w:eastAsia="en-CA"/>
        </w:rPr>
        <w:t>Lawyers</w:t>
      </w:r>
      <w:proofErr w:type="spellEnd"/>
      <w:r w:rsidRPr="007A5455">
        <w:rPr>
          <w:rFonts w:eastAsia="Times New Roman" w:cs="Times New Roman"/>
          <w:sz w:val="20"/>
          <w:szCs w:val="20"/>
          <w:lang w:val="fr-CA" w:eastAsia="en-CA"/>
        </w:rPr>
        <w:t>’ Association (Ontario).</w:t>
      </w:r>
    </w:p>
    <w:p w:rsidR="00C100D4" w:rsidRPr="007A5455" w:rsidRDefault="00C100D4" w:rsidP="00C100D4">
      <w:pPr>
        <w:tabs>
          <w:tab w:val="left" w:pos="1168"/>
        </w:tabs>
        <w:jc w:val="both"/>
        <w:rPr>
          <w:rFonts w:eastAsia="Times New Roman" w:cs="Times New Roman"/>
          <w:sz w:val="20"/>
          <w:szCs w:val="20"/>
          <w:lang w:val="fr-CA" w:eastAsia="en-CA"/>
        </w:rPr>
      </w:pPr>
    </w:p>
    <w:p w:rsidR="00C100D4" w:rsidRPr="00C100D4" w:rsidRDefault="00C100D4" w:rsidP="00C100D4">
      <w:pPr>
        <w:tabs>
          <w:tab w:val="left" w:pos="1168"/>
        </w:tabs>
        <w:jc w:val="both"/>
        <w:rPr>
          <w:rFonts w:eastAsia="Times New Roman" w:cs="Times New Roman"/>
          <w:sz w:val="20"/>
          <w:szCs w:val="20"/>
          <w:lang w:val="fr-CA" w:eastAsia="en-CA"/>
        </w:rPr>
      </w:pPr>
      <w:r w:rsidRPr="007A5455">
        <w:rPr>
          <w:rFonts w:eastAsia="Times New Roman" w:cs="Times New Roman"/>
          <w:sz w:val="20"/>
          <w:szCs w:val="20"/>
          <w:lang w:val="fr-CA" w:eastAsia="en-CA"/>
        </w:rPr>
        <w:tab/>
      </w:r>
      <w:r w:rsidRPr="007A5455">
        <w:rPr>
          <w:rFonts w:eastAsia="Times New Roman" w:cs="Times New Roman"/>
          <w:i/>
          <w:sz w:val="20"/>
          <w:szCs w:val="20"/>
          <w:lang w:val="fr-CA" w:eastAsia="en-CA"/>
        </w:rPr>
        <w:t xml:space="preserve">Brent </w:t>
      </w:r>
      <w:proofErr w:type="spellStart"/>
      <w:r w:rsidRPr="007A5455">
        <w:rPr>
          <w:rFonts w:eastAsia="Times New Roman" w:cs="Times New Roman"/>
          <w:i/>
          <w:sz w:val="20"/>
          <w:szCs w:val="20"/>
          <w:lang w:val="fr-CA" w:eastAsia="en-CA"/>
        </w:rPr>
        <w:t>Olthuis</w:t>
      </w:r>
      <w:proofErr w:type="spellEnd"/>
      <w:r w:rsidRPr="007A5455">
        <w:rPr>
          <w:rFonts w:eastAsia="Times New Roman" w:cs="Times New Roman"/>
          <w:sz w:val="20"/>
          <w:szCs w:val="20"/>
          <w:lang w:val="fr-CA" w:eastAsia="en-CA"/>
        </w:rPr>
        <w:t xml:space="preserve">, </w:t>
      </w:r>
      <w:r w:rsidRPr="007A5455">
        <w:rPr>
          <w:rFonts w:eastAsia="Times New Roman" w:cs="Times New Roman"/>
          <w:i/>
          <w:sz w:val="20"/>
          <w:szCs w:val="20"/>
          <w:lang w:val="fr-CA" w:eastAsia="en-CA"/>
        </w:rPr>
        <w:t>Greg J. Allen</w:t>
      </w:r>
      <w:r w:rsidRPr="007A5455">
        <w:rPr>
          <w:rFonts w:eastAsia="Times New Roman" w:cs="Times New Roman"/>
          <w:sz w:val="20"/>
          <w:szCs w:val="20"/>
          <w:lang w:val="fr-CA" w:eastAsia="en-CA"/>
        </w:rPr>
        <w:t xml:space="preserve"> et </w:t>
      </w:r>
      <w:r w:rsidRPr="007A5455">
        <w:rPr>
          <w:rFonts w:eastAsia="Times New Roman" w:cs="Times New Roman"/>
          <w:i/>
          <w:sz w:val="20"/>
          <w:szCs w:val="20"/>
          <w:lang w:val="fr-CA" w:eastAsia="en-CA"/>
        </w:rPr>
        <w:t xml:space="preserve">Michael </w:t>
      </w:r>
      <w:proofErr w:type="spellStart"/>
      <w:r w:rsidRPr="007A5455">
        <w:rPr>
          <w:rFonts w:eastAsia="Times New Roman" w:cs="Times New Roman"/>
          <w:i/>
          <w:sz w:val="20"/>
          <w:szCs w:val="20"/>
          <w:lang w:val="fr-CA" w:eastAsia="en-CA"/>
        </w:rPr>
        <w:t>Sobkin</w:t>
      </w:r>
      <w:proofErr w:type="spellEnd"/>
      <w:r w:rsidRPr="007A5455">
        <w:rPr>
          <w:rFonts w:eastAsia="Times New Roman" w:cs="Times New Roman"/>
          <w:sz w:val="20"/>
          <w:szCs w:val="20"/>
          <w:lang w:val="fr-CA" w:eastAsia="en-CA"/>
        </w:rPr>
        <w:t>, pour l’intervenante l’</w:t>
      </w:r>
      <w:r w:rsidRPr="00C100D4">
        <w:rPr>
          <w:rFonts w:eastAsia="Times New Roman" w:cs="Times New Roman"/>
          <w:sz w:val="20"/>
          <w:szCs w:val="20"/>
          <w:lang w:val="fr-CA" w:eastAsia="en-CA"/>
        </w:rPr>
        <w:t>Association des libertés civiles de la Colombie</w:t>
      </w:r>
      <w:r w:rsidRPr="00C100D4">
        <w:rPr>
          <w:rFonts w:eastAsia="Times New Roman" w:cs="Times New Roman"/>
          <w:sz w:val="20"/>
          <w:szCs w:val="20"/>
          <w:lang w:val="fr-CA" w:eastAsia="en-CA"/>
        </w:rPr>
        <w:noBreakHyphen/>
        <w:t>Britannique</w:t>
      </w:r>
      <w:r w:rsidRPr="007A5455">
        <w:rPr>
          <w:rFonts w:eastAsia="Times New Roman" w:cs="Times New Roman"/>
          <w:sz w:val="20"/>
          <w:szCs w:val="20"/>
          <w:lang w:val="fr-CA" w:eastAsia="en-CA"/>
        </w:rPr>
        <w:t>.</w:t>
      </w:r>
    </w:p>
    <w:p w:rsidR="00C100D4" w:rsidRPr="007A5455" w:rsidRDefault="00C100D4" w:rsidP="00C100D4">
      <w:pPr>
        <w:tabs>
          <w:tab w:val="left" w:pos="1168"/>
        </w:tabs>
        <w:jc w:val="both"/>
        <w:rPr>
          <w:rFonts w:eastAsia="Times New Roman" w:cs="Times New Roman"/>
          <w:i/>
          <w:sz w:val="20"/>
          <w:szCs w:val="20"/>
          <w:lang w:val="fr-CA" w:eastAsia="en-CA"/>
        </w:rPr>
      </w:pPr>
    </w:p>
    <w:p w:rsidR="00C100D4" w:rsidRPr="00C100D4" w:rsidRDefault="00C100D4" w:rsidP="00C100D4">
      <w:pPr>
        <w:tabs>
          <w:tab w:val="left" w:pos="1168"/>
        </w:tabs>
        <w:jc w:val="both"/>
        <w:rPr>
          <w:rFonts w:eastAsia="Times New Roman" w:cs="Times New Roman"/>
          <w:i/>
          <w:sz w:val="20"/>
          <w:szCs w:val="20"/>
          <w:lang w:val="fr-CA" w:eastAsia="en-CA"/>
        </w:rPr>
      </w:pPr>
      <w:r w:rsidRPr="00C100D4">
        <w:rPr>
          <w:rFonts w:eastAsia="Times New Roman" w:cs="Times New Roman"/>
          <w:i/>
          <w:sz w:val="20"/>
          <w:szCs w:val="20"/>
          <w:lang w:val="fr-CA" w:eastAsia="en-CA"/>
        </w:rPr>
        <w:tab/>
        <w:t xml:space="preserve">Procureurs de l’appelante : Grey Casgrain, Montréal; </w:t>
      </w:r>
      <w:proofErr w:type="spellStart"/>
      <w:r w:rsidRPr="00C100D4">
        <w:rPr>
          <w:rFonts w:eastAsia="Times New Roman" w:cs="Times New Roman"/>
          <w:i/>
          <w:sz w:val="20"/>
          <w:szCs w:val="20"/>
          <w:lang w:val="fr-CA" w:eastAsia="en-CA"/>
        </w:rPr>
        <w:t>Clemente</w:t>
      </w:r>
      <w:proofErr w:type="spellEnd"/>
      <w:r w:rsidRPr="00C100D4">
        <w:rPr>
          <w:rFonts w:eastAsia="Times New Roman" w:cs="Times New Roman"/>
          <w:i/>
          <w:sz w:val="20"/>
          <w:szCs w:val="20"/>
          <w:lang w:val="fr-CA" w:eastAsia="en-CA"/>
        </w:rPr>
        <w:t xml:space="preserve"> </w:t>
      </w:r>
      <w:proofErr w:type="spellStart"/>
      <w:r w:rsidRPr="00C100D4">
        <w:rPr>
          <w:rFonts w:eastAsia="Times New Roman" w:cs="Times New Roman"/>
          <w:i/>
          <w:sz w:val="20"/>
          <w:szCs w:val="20"/>
          <w:lang w:val="fr-CA" w:eastAsia="en-CA"/>
        </w:rPr>
        <w:t>Monterosso</w:t>
      </w:r>
      <w:proofErr w:type="spellEnd"/>
      <w:r w:rsidRPr="00C100D4">
        <w:rPr>
          <w:rFonts w:eastAsia="Times New Roman" w:cs="Times New Roman"/>
          <w:i/>
          <w:sz w:val="20"/>
          <w:szCs w:val="20"/>
          <w:lang w:val="fr-CA" w:eastAsia="en-CA"/>
        </w:rPr>
        <w:t>, Montréal.</w:t>
      </w:r>
    </w:p>
    <w:p w:rsidR="00C100D4" w:rsidRPr="007A5455" w:rsidRDefault="00C100D4" w:rsidP="00C100D4">
      <w:pPr>
        <w:tabs>
          <w:tab w:val="left" w:pos="1168"/>
        </w:tabs>
        <w:jc w:val="both"/>
        <w:rPr>
          <w:rFonts w:eastAsia="Times New Roman" w:cs="Times New Roman"/>
          <w:i/>
          <w:sz w:val="20"/>
          <w:szCs w:val="20"/>
          <w:lang w:val="fr-CA" w:eastAsia="en-CA"/>
        </w:rPr>
      </w:pPr>
    </w:p>
    <w:p w:rsidR="00C100D4" w:rsidRPr="00C100D4" w:rsidRDefault="00C100D4" w:rsidP="00C100D4">
      <w:pPr>
        <w:tabs>
          <w:tab w:val="left" w:pos="1168"/>
        </w:tabs>
        <w:jc w:val="both"/>
        <w:rPr>
          <w:rFonts w:eastAsia="Times New Roman" w:cs="Times New Roman"/>
          <w:i/>
          <w:sz w:val="20"/>
          <w:szCs w:val="20"/>
          <w:lang w:val="fr-CA" w:eastAsia="en-CA"/>
        </w:rPr>
      </w:pPr>
      <w:r w:rsidRPr="00C100D4">
        <w:rPr>
          <w:rFonts w:eastAsia="Times New Roman" w:cs="Times New Roman"/>
          <w:i/>
          <w:sz w:val="20"/>
          <w:szCs w:val="20"/>
          <w:lang w:val="fr-CA" w:eastAsia="en-CA"/>
        </w:rPr>
        <w:tab/>
        <w:t>Procureur de l’intimé : Procureur général du Canada, Montréal.</w:t>
      </w:r>
    </w:p>
    <w:p w:rsidR="00C100D4" w:rsidRPr="007A5455" w:rsidRDefault="00C100D4" w:rsidP="00C100D4">
      <w:pPr>
        <w:tabs>
          <w:tab w:val="left" w:pos="1168"/>
        </w:tabs>
        <w:jc w:val="both"/>
        <w:rPr>
          <w:rFonts w:eastAsia="Times New Roman" w:cs="Times New Roman"/>
          <w:i/>
          <w:sz w:val="20"/>
          <w:szCs w:val="20"/>
          <w:lang w:val="fr-CA" w:eastAsia="en-CA"/>
        </w:rPr>
      </w:pPr>
    </w:p>
    <w:p w:rsidR="00C100D4" w:rsidRPr="00C100D4" w:rsidRDefault="00C100D4" w:rsidP="00C100D4">
      <w:pPr>
        <w:tabs>
          <w:tab w:val="left" w:pos="1168"/>
        </w:tabs>
        <w:jc w:val="both"/>
        <w:rPr>
          <w:rFonts w:eastAsia="Times New Roman" w:cs="Times New Roman"/>
          <w:i/>
          <w:sz w:val="20"/>
          <w:szCs w:val="20"/>
          <w:lang w:val="fr-CA" w:eastAsia="en-CA"/>
        </w:rPr>
      </w:pPr>
      <w:r w:rsidRPr="00C100D4">
        <w:rPr>
          <w:rFonts w:eastAsia="Times New Roman" w:cs="Times New Roman"/>
          <w:i/>
          <w:sz w:val="20"/>
          <w:szCs w:val="20"/>
          <w:lang w:val="fr-CA" w:eastAsia="en-CA"/>
        </w:rPr>
        <w:tab/>
        <w:t xml:space="preserve">Procureurs de l’intervenante </w:t>
      </w:r>
      <w:proofErr w:type="spellStart"/>
      <w:r w:rsidRPr="00C100D4">
        <w:rPr>
          <w:rFonts w:eastAsia="Times New Roman" w:cs="Times New Roman"/>
          <w:i/>
          <w:sz w:val="20"/>
          <w:szCs w:val="20"/>
          <w:lang w:val="fr-CA" w:eastAsia="en-CA"/>
        </w:rPr>
        <w:t>Criminal</w:t>
      </w:r>
      <w:proofErr w:type="spellEnd"/>
      <w:r w:rsidRPr="00C100D4">
        <w:rPr>
          <w:rFonts w:eastAsia="Times New Roman" w:cs="Times New Roman"/>
          <w:i/>
          <w:sz w:val="20"/>
          <w:szCs w:val="20"/>
          <w:lang w:val="fr-CA" w:eastAsia="en-CA"/>
        </w:rPr>
        <w:t xml:space="preserve"> </w:t>
      </w:r>
      <w:proofErr w:type="spellStart"/>
      <w:r w:rsidRPr="00C100D4">
        <w:rPr>
          <w:rFonts w:eastAsia="Times New Roman" w:cs="Times New Roman"/>
          <w:i/>
          <w:sz w:val="20"/>
          <w:szCs w:val="20"/>
          <w:lang w:val="fr-CA" w:eastAsia="en-CA"/>
        </w:rPr>
        <w:t>Lawyers</w:t>
      </w:r>
      <w:proofErr w:type="spellEnd"/>
      <w:r w:rsidRPr="00C100D4">
        <w:rPr>
          <w:rFonts w:eastAsia="Times New Roman" w:cs="Times New Roman"/>
          <w:i/>
          <w:sz w:val="20"/>
          <w:szCs w:val="20"/>
          <w:lang w:val="fr-CA" w:eastAsia="en-CA"/>
        </w:rPr>
        <w:t xml:space="preserve">’ Association (Ontario) : John Norris </w:t>
      </w:r>
      <w:proofErr w:type="spellStart"/>
      <w:r w:rsidRPr="00C100D4">
        <w:rPr>
          <w:rFonts w:eastAsia="Times New Roman" w:cs="Times New Roman"/>
          <w:i/>
          <w:sz w:val="20"/>
          <w:szCs w:val="20"/>
          <w:lang w:val="fr-CA" w:eastAsia="en-CA"/>
        </w:rPr>
        <w:t>Barrister</w:t>
      </w:r>
      <w:proofErr w:type="spellEnd"/>
      <w:r w:rsidRPr="00C100D4">
        <w:rPr>
          <w:rFonts w:eastAsia="Times New Roman" w:cs="Times New Roman"/>
          <w:i/>
          <w:sz w:val="20"/>
          <w:szCs w:val="20"/>
          <w:lang w:val="fr-CA" w:eastAsia="en-CA"/>
        </w:rPr>
        <w:t>, Toronto.</w:t>
      </w:r>
    </w:p>
    <w:p w:rsidR="00C100D4" w:rsidRPr="007A5455" w:rsidRDefault="00C100D4" w:rsidP="00C100D4">
      <w:pPr>
        <w:tabs>
          <w:tab w:val="left" w:pos="1168"/>
        </w:tabs>
        <w:jc w:val="both"/>
        <w:rPr>
          <w:rFonts w:eastAsia="Times New Roman" w:cs="Times New Roman"/>
          <w:i/>
          <w:sz w:val="20"/>
          <w:szCs w:val="20"/>
          <w:lang w:val="fr-CA" w:eastAsia="en-CA"/>
        </w:rPr>
      </w:pPr>
    </w:p>
    <w:p w:rsidR="00C100D4" w:rsidRPr="00C100D4" w:rsidRDefault="00C100D4" w:rsidP="00C100D4">
      <w:pPr>
        <w:tabs>
          <w:tab w:val="left" w:pos="1168"/>
        </w:tabs>
        <w:jc w:val="both"/>
        <w:rPr>
          <w:rFonts w:eastAsia="Times New Roman" w:cs="Times New Roman"/>
          <w:i/>
          <w:sz w:val="20"/>
          <w:szCs w:val="20"/>
          <w:lang w:val="fr-CA" w:eastAsia="en-CA"/>
        </w:rPr>
      </w:pPr>
      <w:r w:rsidRPr="00C100D4">
        <w:rPr>
          <w:rFonts w:eastAsia="Times New Roman" w:cs="Times New Roman"/>
          <w:i/>
          <w:sz w:val="20"/>
          <w:szCs w:val="20"/>
          <w:lang w:val="fr-CA" w:eastAsia="en-CA"/>
        </w:rPr>
        <w:tab/>
        <w:t xml:space="preserve">Procureurs de l’intervenante </w:t>
      </w:r>
      <w:r w:rsidRPr="007A5455">
        <w:rPr>
          <w:rFonts w:eastAsia="Times New Roman" w:cs="Times New Roman"/>
          <w:i/>
          <w:sz w:val="20"/>
          <w:szCs w:val="20"/>
          <w:lang w:val="fr-CA" w:eastAsia="en-CA"/>
        </w:rPr>
        <w:t>l’</w:t>
      </w:r>
      <w:r w:rsidRPr="00C100D4">
        <w:rPr>
          <w:rFonts w:eastAsia="Times New Roman" w:cs="Times New Roman"/>
          <w:i/>
          <w:sz w:val="20"/>
          <w:szCs w:val="20"/>
          <w:lang w:val="fr-CA" w:eastAsia="en-CA"/>
        </w:rPr>
        <w:t>Association des libertés civiles de la Colombie</w:t>
      </w:r>
      <w:r w:rsidRPr="00C100D4">
        <w:rPr>
          <w:rFonts w:eastAsia="Times New Roman" w:cs="Times New Roman"/>
          <w:i/>
          <w:sz w:val="20"/>
          <w:szCs w:val="20"/>
          <w:lang w:val="fr-CA" w:eastAsia="en-CA"/>
        </w:rPr>
        <w:noBreakHyphen/>
        <w:t xml:space="preserve">Britannique : Hunter </w:t>
      </w:r>
      <w:proofErr w:type="spellStart"/>
      <w:r w:rsidRPr="00C100D4">
        <w:rPr>
          <w:rFonts w:eastAsia="Times New Roman" w:cs="Times New Roman"/>
          <w:i/>
          <w:sz w:val="20"/>
          <w:szCs w:val="20"/>
          <w:lang w:val="fr-CA" w:eastAsia="en-CA"/>
        </w:rPr>
        <w:t>Litigation</w:t>
      </w:r>
      <w:proofErr w:type="spellEnd"/>
      <w:r w:rsidRPr="00C100D4">
        <w:rPr>
          <w:rFonts w:eastAsia="Times New Roman" w:cs="Times New Roman"/>
          <w:i/>
          <w:sz w:val="20"/>
          <w:szCs w:val="20"/>
          <w:lang w:val="fr-CA" w:eastAsia="en-CA"/>
        </w:rPr>
        <w:t xml:space="preserve"> Chambers, Vancouver; Michael </w:t>
      </w:r>
      <w:proofErr w:type="spellStart"/>
      <w:r w:rsidRPr="00C100D4">
        <w:rPr>
          <w:rFonts w:eastAsia="Times New Roman" w:cs="Times New Roman"/>
          <w:i/>
          <w:sz w:val="20"/>
          <w:szCs w:val="20"/>
          <w:lang w:val="fr-CA" w:eastAsia="en-CA"/>
        </w:rPr>
        <w:t>Sobkin</w:t>
      </w:r>
      <w:proofErr w:type="spellEnd"/>
      <w:r w:rsidRPr="00C100D4">
        <w:rPr>
          <w:rFonts w:eastAsia="Times New Roman" w:cs="Times New Roman"/>
          <w:i/>
          <w:sz w:val="20"/>
          <w:szCs w:val="20"/>
          <w:lang w:val="fr-CA" w:eastAsia="en-CA"/>
        </w:rPr>
        <w:t>, Ottawa.</w:t>
      </w:r>
    </w:p>
    <w:p w:rsidR="00902E51" w:rsidRPr="007A5455" w:rsidRDefault="00902E51" w:rsidP="00902E51">
      <w:pPr>
        <w:rPr>
          <w:sz w:val="20"/>
          <w:szCs w:val="20"/>
          <w:lang w:val="fr-CA"/>
        </w:rPr>
      </w:pPr>
    </w:p>
    <w:p w:rsidR="00902E51" w:rsidRPr="007A5455" w:rsidRDefault="001F68BE" w:rsidP="00902E51">
      <w:pPr>
        <w:rPr>
          <w:rFonts w:cs="Times New Roman"/>
          <w:sz w:val="20"/>
          <w:szCs w:val="20"/>
          <w:lang w:val="fr-CA"/>
        </w:rPr>
      </w:pPr>
      <w:r>
        <w:rPr>
          <w:rFonts w:cs="Times New Roman"/>
          <w:sz w:val="20"/>
          <w:szCs w:val="20"/>
          <w:lang w:val="fr-CA"/>
        </w:rPr>
        <w:pict>
          <v:rect id="_x0000_i1090" style="width:144.3pt;height:1pt" o:hrpct="300" o:hralign="center" o:hrstd="t" o:hrnoshade="t" o:hr="t" fillcolor="black [3213]" stroked="f"/>
        </w:pict>
      </w:r>
    </w:p>
    <w:p w:rsidR="005C6840" w:rsidRPr="007A5455" w:rsidRDefault="005C6840" w:rsidP="005C6840">
      <w:pPr>
        <w:jc w:val="both"/>
        <w:rPr>
          <w:sz w:val="20"/>
          <w:szCs w:val="20"/>
        </w:rPr>
      </w:pPr>
    </w:p>
    <w:p w:rsidR="00102926" w:rsidRPr="007A5455" w:rsidRDefault="00102926" w:rsidP="00782AE4">
      <w:pPr>
        <w:jc w:val="both"/>
        <w:rPr>
          <w:sz w:val="20"/>
          <w:szCs w:val="20"/>
        </w:rPr>
        <w:sectPr w:rsidR="00102926" w:rsidRPr="007A5455" w:rsidSect="00782AE4">
          <w:headerReference w:type="even" r:id="rId110"/>
          <w:headerReference w:type="default" r:id="rId111"/>
          <w:footerReference w:type="even" r:id="rId112"/>
          <w:footerReference w:type="default" r:id="rId113"/>
          <w:headerReference w:type="first" r:id="rId114"/>
          <w:footerReference w:type="first" r:id="rId115"/>
          <w:pgSz w:w="12240" w:h="15840"/>
          <w:pgMar w:top="720" w:right="965" w:bottom="1080" w:left="1656" w:header="576" w:footer="960" w:gutter="0"/>
          <w:cols w:space="720"/>
          <w:titlePg/>
          <w:docGrid w:linePitch="272"/>
        </w:sectPr>
      </w:pPr>
    </w:p>
    <w:bookmarkStart w:id="5" w:name="QuickMark"/>
    <w:bookmarkEnd w:id="5"/>
    <w:p w:rsidR="008902B1" w:rsidRPr="007A5455" w:rsidRDefault="008902B1" w:rsidP="008902B1">
      <w:pPr>
        <w:widowControl w:val="0"/>
        <w:spacing w:line="180" w:lineRule="auto"/>
        <w:jc w:val="center"/>
        <w:rPr>
          <w:rFonts w:asciiTheme="minorHAnsi" w:hAnsiTheme="minorHAnsi" w:cstheme="minorHAnsi"/>
          <w:b/>
          <w:szCs w:val="24"/>
        </w:rPr>
      </w:pPr>
      <w:r w:rsidRPr="007A5455">
        <w:rPr>
          <w:rFonts w:asciiTheme="minorHAnsi" w:hAnsiTheme="minorHAnsi" w:cstheme="minorHAnsi"/>
          <w:b/>
          <w:szCs w:val="24"/>
        </w:rPr>
        <w:lastRenderedPageBreak/>
        <w:fldChar w:fldCharType="begin"/>
      </w:r>
      <w:r w:rsidRPr="007A5455">
        <w:rPr>
          <w:rFonts w:asciiTheme="minorHAnsi" w:hAnsiTheme="minorHAnsi" w:cstheme="minorHAnsi"/>
          <w:b/>
          <w:szCs w:val="24"/>
        </w:rPr>
        <w:instrText xml:space="preserve"> SEQ CHAPTER \h \r 1</w:instrText>
      </w:r>
      <w:r w:rsidRPr="007A5455">
        <w:rPr>
          <w:rFonts w:asciiTheme="minorHAnsi" w:hAnsiTheme="minorHAnsi" w:cstheme="minorHAnsi"/>
          <w:b/>
          <w:szCs w:val="24"/>
        </w:rPr>
        <w:fldChar w:fldCharType="end"/>
      </w:r>
      <w:r w:rsidRPr="007A5455">
        <w:rPr>
          <w:rFonts w:asciiTheme="minorHAnsi" w:hAnsiTheme="minorHAnsi" w:cstheme="minorHAnsi"/>
          <w:b/>
          <w:szCs w:val="24"/>
        </w:rPr>
        <w:t>SUPREME COURT OF CANADA SCHEDULE / CALENDRIER DE LA COUR SUPREME</w:t>
      </w:r>
    </w:p>
    <w:p w:rsidR="008902B1" w:rsidRPr="007A5455" w:rsidRDefault="008902B1" w:rsidP="008902B1">
      <w:pPr>
        <w:widowControl w:val="0"/>
        <w:spacing w:line="180" w:lineRule="auto"/>
        <w:rPr>
          <w:rFonts w:asciiTheme="minorHAnsi" w:hAnsiTheme="minorHAnsi" w:cstheme="minorHAnsi"/>
          <w:szCs w:val="24"/>
        </w:rPr>
      </w:pPr>
    </w:p>
    <w:p w:rsidR="008902B1" w:rsidRPr="007A5455" w:rsidRDefault="008902B1" w:rsidP="008902B1">
      <w:pPr>
        <w:widowControl w:val="0"/>
        <w:tabs>
          <w:tab w:val="center" w:pos="5400"/>
          <w:tab w:val="right" w:pos="10440"/>
        </w:tabs>
        <w:rPr>
          <w:rFonts w:ascii="Arial" w:hAnsi="Arial"/>
          <w:sz w:val="18"/>
        </w:rPr>
      </w:pPr>
      <w:r w:rsidRPr="007A5455">
        <w:rPr>
          <w:rFonts w:ascii="Arial" w:hAnsi="Arial"/>
          <w:sz w:val="18"/>
        </w:rPr>
        <w:tab/>
      </w:r>
      <w:r w:rsidRPr="007A5455">
        <w:rPr>
          <w:rFonts w:ascii="Arial" w:hAnsi="Arial"/>
          <w:i/>
          <w:sz w:val="36"/>
        </w:rPr>
        <w:t xml:space="preserve">- </w:t>
      </w:r>
      <w:r w:rsidRPr="007A5455">
        <w:rPr>
          <w:rFonts w:ascii="Arial" w:hAnsi="Arial"/>
          <w:b/>
          <w:i/>
          <w:sz w:val="36"/>
        </w:rPr>
        <w:t>2015</w:t>
      </w:r>
      <w:r w:rsidRPr="007A5455">
        <w:rPr>
          <w:rFonts w:ascii="Arial" w:hAnsi="Arial"/>
          <w:i/>
          <w:sz w:val="36"/>
        </w:rPr>
        <w:t xml:space="preserve"> -</w:t>
      </w:r>
      <w:r w:rsidRPr="007A5455">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7A5455" w:rsidTr="0022676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7A5455" w:rsidRDefault="008902B1" w:rsidP="0022676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7A5455" w:rsidRDefault="008902B1" w:rsidP="0022676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DECEMBER - DÉCEMBRE</w:t>
            </w:r>
          </w:p>
        </w:tc>
      </w:tr>
      <w:tr w:rsidR="008902B1" w:rsidRPr="007A5455" w:rsidTr="0022676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r>
      <w:tr w:rsidR="008902B1" w:rsidRPr="007A5455" w:rsidTr="0022676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5</w:t>
            </w:r>
          </w:p>
        </w:tc>
      </w:tr>
      <w:tr w:rsidR="008902B1" w:rsidRPr="007A5455" w:rsidTr="0022676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H</w:t>
            </w:r>
          </w:p>
          <w:p w:rsidR="008902B1" w:rsidRPr="007A5455" w:rsidRDefault="008902B1" w:rsidP="0022676D">
            <w:pPr>
              <w:widowControl w:val="0"/>
              <w:jc w:val="center"/>
              <w:rPr>
                <w:rFonts w:ascii="Arial" w:hAnsi="Arial"/>
                <w:sz w:val="14"/>
              </w:rPr>
            </w:pPr>
            <w:r w:rsidRPr="007A5455">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12</w:t>
            </w:r>
          </w:p>
        </w:tc>
      </w:tr>
      <w:tr w:rsidR="008902B1" w:rsidRPr="007A5455" w:rsidTr="0022676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H</w:t>
            </w:r>
          </w:p>
          <w:p w:rsidR="008902B1" w:rsidRPr="007A5455" w:rsidRDefault="008902B1" w:rsidP="0022676D">
            <w:pPr>
              <w:widowControl w:val="0"/>
              <w:jc w:val="center"/>
              <w:rPr>
                <w:rFonts w:ascii="Arial" w:hAnsi="Arial"/>
                <w:sz w:val="14"/>
              </w:rPr>
            </w:pPr>
            <w:r w:rsidRPr="007A5455">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r>
      <w:tr w:rsidR="008902B1" w:rsidRPr="007A5455" w:rsidTr="0022676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r w:rsidRPr="007A5455">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H</w:t>
            </w:r>
          </w:p>
          <w:p w:rsidR="008902B1" w:rsidRPr="007A5455" w:rsidRDefault="008902B1" w:rsidP="0022676D">
            <w:pPr>
              <w:widowControl w:val="0"/>
              <w:jc w:val="center"/>
              <w:rPr>
                <w:rFonts w:ascii="Arial" w:hAnsi="Arial"/>
                <w:sz w:val="14"/>
              </w:rPr>
            </w:pPr>
            <w:r w:rsidRPr="007A5455">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r>
      <w:tr w:rsidR="008902B1" w:rsidRPr="007A5455" w:rsidTr="0022676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H</w:t>
            </w: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r>
    </w:tbl>
    <w:p w:rsidR="008902B1" w:rsidRPr="007A5455" w:rsidRDefault="008902B1" w:rsidP="008902B1">
      <w:pPr>
        <w:widowControl w:val="0"/>
        <w:tabs>
          <w:tab w:val="center" w:pos="5400"/>
        </w:tabs>
        <w:rPr>
          <w:rFonts w:ascii="Arial" w:hAnsi="Arial"/>
          <w:sz w:val="16"/>
        </w:rPr>
      </w:pPr>
      <w:r w:rsidRPr="007A5455">
        <w:rPr>
          <w:rFonts w:ascii="Arial" w:hAnsi="Arial"/>
          <w:sz w:val="18"/>
        </w:rPr>
        <w:tab/>
      </w:r>
      <w:r w:rsidRPr="007A5455">
        <w:rPr>
          <w:rFonts w:ascii="Arial" w:hAnsi="Arial"/>
          <w:i/>
          <w:sz w:val="36"/>
        </w:rPr>
        <w:t xml:space="preserve">- </w:t>
      </w:r>
      <w:r w:rsidRPr="007A5455">
        <w:rPr>
          <w:rFonts w:ascii="Arial" w:hAnsi="Arial"/>
          <w:b/>
          <w:i/>
          <w:sz w:val="36"/>
        </w:rPr>
        <w:t>2016</w:t>
      </w:r>
      <w:r w:rsidRPr="007A5455">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7A5455" w:rsidTr="0022676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7A5455" w:rsidRDefault="008902B1" w:rsidP="0022676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7A5455" w:rsidRDefault="008902B1" w:rsidP="0022676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MARCH - MARS</w:t>
            </w:r>
          </w:p>
        </w:tc>
      </w:tr>
      <w:tr w:rsidR="008902B1" w:rsidRPr="007A5455" w:rsidTr="0022676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r>
      <w:tr w:rsidR="008902B1" w:rsidRPr="007A5455" w:rsidTr="0022676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H</w:t>
            </w: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5</w:t>
            </w:r>
          </w:p>
        </w:tc>
      </w:tr>
      <w:tr w:rsidR="008902B1" w:rsidRPr="007A5455" w:rsidTr="0022676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12</w:t>
            </w:r>
          </w:p>
        </w:tc>
      </w:tr>
      <w:tr w:rsidR="008902B1" w:rsidRPr="007A5455" w:rsidTr="0022676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r>
      <w:tr w:rsidR="008902B1" w:rsidRPr="007A5455" w:rsidTr="0022676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H</w:t>
            </w:r>
          </w:p>
          <w:p w:rsidR="008902B1" w:rsidRPr="007A5455" w:rsidRDefault="008902B1" w:rsidP="0022676D">
            <w:pPr>
              <w:widowControl w:val="0"/>
              <w:jc w:val="center"/>
              <w:rPr>
                <w:rFonts w:ascii="Arial" w:hAnsi="Arial"/>
                <w:sz w:val="14"/>
              </w:rPr>
            </w:pPr>
            <w:r w:rsidRPr="007A5455">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r>
      <w:tr w:rsidR="008902B1" w:rsidRPr="007A5455" w:rsidTr="0022676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rPr>
                <w:rFonts w:ascii="Arial" w:hAnsi="Arial"/>
                <w:sz w:val="14"/>
              </w:rPr>
            </w:pPr>
            <w:r w:rsidRPr="007A5455">
              <w:rPr>
                <w:rFonts w:ascii="Arial" w:hAnsi="Arial"/>
                <w:sz w:val="14"/>
              </w:rPr>
              <w:t xml:space="preserve"> 24</w:t>
            </w:r>
          </w:p>
          <w:p w:rsidR="008902B1" w:rsidRPr="007A5455" w:rsidRDefault="008902B1" w:rsidP="0022676D">
            <w:pPr>
              <w:widowControl w:val="0"/>
              <w:jc w:val="center"/>
              <w:rPr>
                <w:rFonts w:ascii="Arial" w:hAnsi="Arial"/>
                <w:sz w:val="14"/>
              </w:rPr>
            </w:pPr>
            <w:r w:rsidRPr="007A5455">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H</w:t>
            </w: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r>
    </w:tbl>
    <w:p w:rsidR="008902B1" w:rsidRPr="007A5455"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7A5455" w:rsidTr="0022676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7A5455" w:rsidRDefault="008902B1" w:rsidP="0022676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7A5455" w:rsidRDefault="008902B1" w:rsidP="0022676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7A5455" w:rsidRDefault="008902B1" w:rsidP="0022676D">
            <w:pPr>
              <w:widowControl w:val="0"/>
              <w:jc w:val="center"/>
              <w:rPr>
                <w:rFonts w:ascii="Arial" w:hAnsi="Arial"/>
                <w:sz w:val="14"/>
              </w:rPr>
            </w:pPr>
            <w:r w:rsidRPr="007A5455">
              <w:rPr>
                <w:rFonts w:ascii="Arial" w:hAnsi="Arial"/>
                <w:b/>
                <w:sz w:val="14"/>
              </w:rPr>
              <w:t>JUNE - JUIN</w:t>
            </w:r>
          </w:p>
        </w:tc>
      </w:tr>
      <w:tr w:rsidR="008902B1" w:rsidRPr="007A5455" w:rsidTr="0022676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M</w:t>
            </w:r>
          </w:p>
          <w:p w:rsidR="008902B1" w:rsidRPr="007A5455" w:rsidRDefault="008902B1" w:rsidP="0022676D">
            <w:pPr>
              <w:widowControl w:val="0"/>
              <w:jc w:val="center"/>
              <w:rPr>
                <w:rFonts w:ascii="Arial" w:hAnsi="Arial"/>
                <w:sz w:val="14"/>
              </w:rPr>
            </w:pPr>
            <w:r w:rsidRPr="007A545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W</w:t>
            </w:r>
          </w:p>
          <w:p w:rsidR="008902B1" w:rsidRPr="007A5455" w:rsidRDefault="008902B1" w:rsidP="0022676D">
            <w:pPr>
              <w:widowControl w:val="0"/>
              <w:jc w:val="center"/>
              <w:rPr>
                <w:rFonts w:ascii="Arial" w:hAnsi="Arial"/>
                <w:sz w:val="14"/>
              </w:rPr>
            </w:pPr>
            <w:r w:rsidRPr="007A545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T</w:t>
            </w:r>
          </w:p>
          <w:p w:rsidR="008902B1" w:rsidRPr="007A5455" w:rsidRDefault="008902B1" w:rsidP="0022676D">
            <w:pPr>
              <w:widowControl w:val="0"/>
              <w:jc w:val="center"/>
              <w:rPr>
                <w:rFonts w:ascii="Arial" w:hAnsi="Arial"/>
                <w:sz w:val="14"/>
              </w:rPr>
            </w:pPr>
            <w:r w:rsidRPr="007A545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F</w:t>
            </w:r>
          </w:p>
          <w:p w:rsidR="008902B1" w:rsidRPr="007A5455" w:rsidRDefault="008902B1" w:rsidP="0022676D">
            <w:pPr>
              <w:widowControl w:val="0"/>
              <w:jc w:val="center"/>
              <w:rPr>
                <w:rFonts w:ascii="Arial" w:hAnsi="Arial"/>
                <w:sz w:val="14"/>
              </w:rPr>
            </w:pPr>
            <w:r w:rsidRPr="007A5455">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r w:rsidRPr="007A5455">
              <w:rPr>
                <w:rFonts w:ascii="Arial" w:hAnsi="Arial"/>
                <w:sz w:val="14"/>
              </w:rPr>
              <w:t>S</w:t>
            </w:r>
          </w:p>
          <w:p w:rsidR="008902B1" w:rsidRPr="007A5455" w:rsidRDefault="008902B1" w:rsidP="0022676D">
            <w:pPr>
              <w:widowControl w:val="0"/>
              <w:jc w:val="center"/>
              <w:rPr>
                <w:rFonts w:ascii="Arial" w:hAnsi="Arial"/>
                <w:sz w:val="14"/>
              </w:rPr>
            </w:pPr>
            <w:r w:rsidRPr="007A5455">
              <w:rPr>
                <w:rFonts w:ascii="Arial" w:hAnsi="Arial"/>
                <w:sz w:val="14"/>
              </w:rPr>
              <w:t>S</w:t>
            </w:r>
          </w:p>
        </w:tc>
      </w:tr>
      <w:tr w:rsidR="008902B1" w:rsidRPr="007A5455" w:rsidTr="0022676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r>
      <w:tr w:rsidR="008902B1" w:rsidRPr="007A5455" w:rsidTr="0022676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11</w:t>
            </w:r>
          </w:p>
        </w:tc>
      </w:tr>
      <w:tr w:rsidR="008902B1" w:rsidRPr="007A5455" w:rsidTr="0022676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18</w:t>
            </w:r>
          </w:p>
        </w:tc>
      </w:tr>
      <w:tr w:rsidR="008902B1" w:rsidRPr="007A5455" w:rsidTr="0022676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7A5455" w:rsidRDefault="008902B1" w:rsidP="0022676D">
            <w:pPr>
              <w:widowControl w:val="0"/>
              <w:jc w:val="center"/>
              <w:rPr>
                <w:rFonts w:ascii="Arial" w:hAnsi="Arial"/>
                <w:b/>
                <w:sz w:val="14"/>
              </w:rPr>
            </w:pPr>
            <w:r w:rsidRPr="007A5455">
              <w:rPr>
                <w:rFonts w:ascii="Arial" w:hAnsi="Arial"/>
                <w:b/>
                <w:sz w:val="14"/>
              </w:rPr>
              <w:t>M</w:t>
            </w:r>
          </w:p>
          <w:p w:rsidR="008902B1" w:rsidRPr="007A5455" w:rsidRDefault="008902B1" w:rsidP="0022676D">
            <w:pPr>
              <w:widowControl w:val="0"/>
              <w:jc w:val="center"/>
              <w:rPr>
                <w:rFonts w:ascii="Arial" w:hAnsi="Arial"/>
                <w:sz w:val="14"/>
              </w:rPr>
            </w:pPr>
            <w:r w:rsidRPr="007A5455">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A5455" w:rsidRDefault="008902B1" w:rsidP="0022676D">
            <w:pPr>
              <w:widowControl w:val="0"/>
              <w:jc w:val="center"/>
              <w:rPr>
                <w:rFonts w:ascii="Arial" w:hAnsi="Arial"/>
                <w:b/>
                <w:sz w:val="14"/>
              </w:rPr>
            </w:pPr>
            <w:r w:rsidRPr="007A5455">
              <w:rPr>
                <w:rFonts w:ascii="Arial" w:hAnsi="Arial"/>
                <w:b/>
                <w:sz w:val="14"/>
              </w:rPr>
              <w:t>H</w:t>
            </w: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25</w:t>
            </w:r>
          </w:p>
        </w:tc>
      </w:tr>
      <w:tr w:rsidR="008902B1" w:rsidRPr="007A5455" w:rsidTr="0022676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r w:rsidRPr="007A545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7A5455" w:rsidRDefault="008902B1" w:rsidP="0022676D">
            <w:pPr>
              <w:widowControl w:val="0"/>
              <w:jc w:val="center"/>
              <w:rPr>
                <w:rFonts w:ascii="Arial" w:hAnsi="Arial"/>
                <w:sz w:val="14"/>
              </w:rPr>
            </w:pPr>
          </w:p>
          <w:p w:rsidR="008902B1" w:rsidRPr="007A5455" w:rsidRDefault="008902B1" w:rsidP="0022676D">
            <w:pPr>
              <w:widowControl w:val="0"/>
              <w:jc w:val="center"/>
              <w:rPr>
                <w:rFonts w:ascii="Arial" w:hAnsi="Arial"/>
                <w:sz w:val="14"/>
              </w:rPr>
            </w:pPr>
          </w:p>
        </w:tc>
      </w:tr>
    </w:tbl>
    <w:p w:rsidR="008902B1" w:rsidRPr="007A5455"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7A5455" w:rsidTr="0022676D">
        <w:trPr>
          <w:cantSplit/>
        </w:trPr>
        <w:tc>
          <w:tcPr>
            <w:tcW w:w="1710" w:type="dxa"/>
            <w:tcBorders>
              <w:top w:val="nil"/>
              <w:left w:val="nil"/>
              <w:bottom w:val="nil"/>
              <w:right w:val="nil"/>
            </w:tcBorders>
            <w:tcMar>
              <w:top w:w="43" w:type="dxa"/>
              <w:left w:w="120" w:type="dxa"/>
              <w:bottom w:w="29" w:type="dxa"/>
              <w:right w:w="120" w:type="dxa"/>
            </w:tcMar>
          </w:tcPr>
          <w:p w:rsidR="008902B1" w:rsidRPr="007A5455" w:rsidRDefault="008902B1" w:rsidP="0022676D">
            <w:pPr>
              <w:widowControl w:val="0"/>
              <w:rPr>
                <w:rFonts w:ascii="Arial" w:hAnsi="Arial"/>
                <w:sz w:val="16"/>
              </w:rPr>
            </w:pPr>
            <w:r w:rsidRPr="007A5455">
              <w:rPr>
                <w:rFonts w:ascii="Arial" w:hAnsi="Arial"/>
                <w:sz w:val="16"/>
              </w:rPr>
              <w:t>Sittings of the court:</w:t>
            </w:r>
          </w:p>
          <w:p w:rsidR="008902B1" w:rsidRPr="007A5455" w:rsidRDefault="008902B1" w:rsidP="0022676D">
            <w:pPr>
              <w:widowControl w:val="0"/>
              <w:rPr>
                <w:rFonts w:ascii="Arial" w:hAnsi="Arial"/>
                <w:sz w:val="16"/>
              </w:rPr>
            </w:pPr>
            <w:r w:rsidRPr="007A5455">
              <w:rPr>
                <w:rFonts w:ascii="Arial" w:hAnsi="Arial"/>
                <w:sz w:val="16"/>
              </w:rPr>
              <w:t xml:space="preserve">Séances de la </w:t>
            </w:r>
            <w:proofErr w:type="spellStart"/>
            <w:r w:rsidRPr="007A5455">
              <w:rPr>
                <w:rFonts w:ascii="Arial" w:hAnsi="Arial"/>
                <w:sz w:val="16"/>
              </w:rPr>
              <w:t>cour</w:t>
            </w:r>
            <w:proofErr w:type="spellEnd"/>
            <w:r w:rsidRPr="007A5455">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7A5455" w:rsidRDefault="008902B1" w:rsidP="0022676D">
            <w:pPr>
              <w:widowControl w:val="0"/>
              <w:rPr>
                <w:rFonts w:ascii="Arial" w:hAnsi="Arial"/>
                <w:sz w:val="16"/>
              </w:rPr>
            </w:pPr>
          </w:p>
          <w:p w:rsidR="008902B1" w:rsidRPr="007A5455" w:rsidRDefault="008902B1" w:rsidP="0022676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A5455">
              <w:rPr>
                <w:rFonts w:ascii="Arial" w:hAnsi="Arial"/>
                <w:b/>
                <w:sz w:val="16"/>
              </w:rPr>
              <w:tab/>
            </w:r>
            <w:r w:rsidRPr="007A5455">
              <w:rPr>
                <w:rFonts w:ascii="Arial" w:hAnsi="Arial"/>
                <w:b/>
                <w:sz w:val="16"/>
                <w:lang w:val="fr-CA"/>
              </w:rPr>
              <w:t xml:space="preserve">18  </w:t>
            </w:r>
            <w:proofErr w:type="spellStart"/>
            <w:r w:rsidRPr="007A5455">
              <w:rPr>
                <w:rFonts w:ascii="Arial" w:hAnsi="Arial"/>
                <w:b/>
                <w:sz w:val="16"/>
                <w:lang w:val="fr-CA"/>
              </w:rPr>
              <w:t>sitting</w:t>
            </w:r>
            <w:proofErr w:type="spellEnd"/>
            <w:r w:rsidRPr="007A5455">
              <w:rPr>
                <w:rFonts w:ascii="Arial" w:hAnsi="Arial"/>
                <w:b/>
                <w:sz w:val="16"/>
                <w:lang w:val="fr-CA"/>
              </w:rPr>
              <w:t xml:space="preserve"> </w:t>
            </w:r>
            <w:proofErr w:type="spellStart"/>
            <w:r w:rsidRPr="007A5455">
              <w:rPr>
                <w:rFonts w:ascii="Arial" w:hAnsi="Arial"/>
                <w:b/>
                <w:sz w:val="16"/>
                <w:lang w:val="fr-CA"/>
              </w:rPr>
              <w:t>weeks</w:t>
            </w:r>
            <w:proofErr w:type="spellEnd"/>
            <w:r w:rsidRPr="007A5455">
              <w:rPr>
                <w:rFonts w:ascii="Arial" w:hAnsi="Arial"/>
                <w:b/>
                <w:sz w:val="16"/>
                <w:lang w:val="fr-CA"/>
              </w:rPr>
              <w:t xml:space="preserve"> / semaines séances de la cour</w:t>
            </w:r>
          </w:p>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A5455">
              <w:rPr>
                <w:rFonts w:ascii="Arial" w:hAnsi="Arial"/>
                <w:b/>
                <w:sz w:val="16"/>
                <w:lang w:val="fr-CA"/>
              </w:rPr>
              <w:tab/>
              <w:t xml:space="preserve">85  </w:t>
            </w:r>
            <w:proofErr w:type="spellStart"/>
            <w:r w:rsidRPr="007A5455">
              <w:rPr>
                <w:rFonts w:ascii="Arial" w:hAnsi="Arial"/>
                <w:b/>
                <w:sz w:val="16"/>
                <w:lang w:val="fr-CA"/>
              </w:rPr>
              <w:t>sitting</w:t>
            </w:r>
            <w:proofErr w:type="spellEnd"/>
            <w:r w:rsidRPr="007A5455">
              <w:rPr>
                <w:rFonts w:ascii="Arial" w:hAnsi="Arial"/>
                <w:b/>
                <w:sz w:val="16"/>
                <w:lang w:val="fr-CA"/>
              </w:rPr>
              <w:t xml:space="preserve"> </w:t>
            </w:r>
            <w:proofErr w:type="spellStart"/>
            <w:r w:rsidRPr="007A5455">
              <w:rPr>
                <w:rFonts w:ascii="Arial" w:hAnsi="Arial"/>
                <w:b/>
                <w:sz w:val="16"/>
                <w:lang w:val="fr-CA"/>
              </w:rPr>
              <w:t>days</w:t>
            </w:r>
            <w:proofErr w:type="spellEnd"/>
            <w:r w:rsidRPr="007A5455">
              <w:rPr>
                <w:rFonts w:ascii="Arial" w:hAnsi="Arial"/>
                <w:b/>
                <w:sz w:val="16"/>
                <w:lang w:val="fr-CA"/>
              </w:rPr>
              <w:t xml:space="preserve"> / journées séances de la cour</w:t>
            </w:r>
          </w:p>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A5455">
              <w:rPr>
                <w:rFonts w:ascii="Arial" w:hAnsi="Arial"/>
                <w:b/>
                <w:sz w:val="16"/>
                <w:lang w:val="fr-CA"/>
              </w:rPr>
              <w:tab/>
              <w:t xml:space="preserve">9    motion and </w:t>
            </w:r>
            <w:proofErr w:type="spellStart"/>
            <w:r w:rsidRPr="007A5455">
              <w:rPr>
                <w:rFonts w:ascii="Arial" w:hAnsi="Arial"/>
                <w:b/>
                <w:sz w:val="16"/>
                <w:lang w:val="fr-CA"/>
              </w:rPr>
              <w:t>conference</w:t>
            </w:r>
            <w:proofErr w:type="spellEnd"/>
            <w:r w:rsidRPr="007A5455">
              <w:rPr>
                <w:rFonts w:ascii="Arial" w:hAnsi="Arial"/>
                <w:b/>
                <w:sz w:val="16"/>
                <w:lang w:val="fr-CA"/>
              </w:rPr>
              <w:t xml:space="preserve"> </w:t>
            </w:r>
            <w:proofErr w:type="spellStart"/>
            <w:r w:rsidRPr="007A5455">
              <w:rPr>
                <w:rFonts w:ascii="Arial" w:hAnsi="Arial"/>
                <w:b/>
                <w:sz w:val="16"/>
                <w:lang w:val="fr-CA"/>
              </w:rPr>
              <w:t>days</w:t>
            </w:r>
            <w:proofErr w:type="spellEnd"/>
            <w:r w:rsidRPr="007A5455">
              <w:rPr>
                <w:rFonts w:ascii="Arial" w:hAnsi="Arial"/>
                <w:b/>
                <w:sz w:val="16"/>
                <w:lang w:val="fr-CA"/>
              </w:rPr>
              <w:t xml:space="preserve"> / journées des requêtes et des conférences</w:t>
            </w:r>
          </w:p>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7A5455">
              <w:rPr>
                <w:rFonts w:ascii="Arial" w:hAnsi="Arial"/>
                <w:b/>
                <w:sz w:val="16"/>
                <w:lang w:val="fr-CA"/>
              </w:rPr>
              <w:tab/>
              <w:t>5</w:t>
            </w:r>
            <w:r w:rsidRPr="007A5455">
              <w:rPr>
                <w:rFonts w:ascii="Arial" w:hAnsi="Arial"/>
                <w:b/>
                <w:sz w:val="16"/>
              </w:rPr>
              <w:t xml:space="preserve">    holidays during sitting days / </w:t>
            </w:r>
            <w:proofErr w:type="spellStart"/>
            <w:r w:rsidRPr="007A5455">
              <w:rPr>
                <w:rFonts w:ascii="Arial" w:hAnsi="Arial"/>
                <w:b/>
                <w:sz w:val="16"/>
              </w:rPr>
              <w:t>jours</w:t>
            </w:r>
            <w:proofErr w:type="spellEnd"/>
            <w:r w:rsidRPr="007A5455">
              <w:rPr>
                <w:rFonts w:ascii="Arial" w:hAnsi="Arial"/>
                <w:b/>
                <w:sz w:val="16"/>
              </w:rPr>
              <w:t xml:space="preserve"> </w:t>
            </w:r>
            <w:proofErr w:type="spellStart"/>
            <w:r w:rsidRPr="007A5455">
              <w:rPr>
                <w:rFonts w:ascii="Arial" w:hAnsi="Arial"/>
                <w:b/>
                <w:sz w:val="16"/>
              </w:rPr>
              <w:t>fériés</w:t>
            </w:r>
            <w:proofErr w:type="spellEnd"/>
            <w:r w:rsidRPr="007A5455">
              <w:rPr>
                <w:rFonts w:ascii="Arial" w:hAnsi="Arial"/>
                <w:b/>
                <w:sz w:val="16"/>
              </w:rPr>
              <w:t xml:space="preserve"> </w:t>
            </w:r>
            <w:proofErr w:type="spellStart"/>
            <w:r w:rsidRPr="007A5455">
              <w:rPr>
                <w:rFonts w:ascii="Arial" w:hAnsi="Arial"/>
                <w:b/>
                <w:sz w:val="16"/>
              </w:rPr>
              <w:t>durant</w:t>
            </w:r>
            <w:proofErr w:type="spellEnd"/>
            <w:r w:rsidRPr="007A5455">
              <w:rPr>
                <w:rFonts w:ascii="Arial" w:hAnsi="Arial"/>
                <w:b/>
                <w:sz w:val="16"/>
              </w:rPr>
              <w:t xml:space="preserve"> les sessions</w:t>
            </w:r>
          </w:p>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7A5455" w:rsidTr="0022676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A5455">
              <w:rPr>
                <w:rFonts w:ascii="Arial" w:hAnsi="Arial"/>
                <w:sz w:val="16"/>
              </w:rPr>
              <w:t>Motions:</w:t>
            </w:r>
          </w:p>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7A5455">
              <w:rPr>
                <w:rFonts w:ascii="Arial" w:hAnsi="Arial"/>
                <w:sz w:val="16"/>
              </w:rPr>
              <w:t>Requêtes</w:t>
            </w:r>
            <w:proofErr w:type="spellEnd"/>
            <w:r w:rsidRPr="007A5455">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A5455">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22676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A5455">
              <w:rPr>
                <w:rFonts w:ascii="Arial" w:hAnsi="Arial"/>
                <w:sz w:val="16"/>
              </w:rPr>
              <w:t>Holidays:</w:t>
            </w:r>
          </w:p>
          <w:p w:rsidR="008902B1" w:rsidRPr="007A5455"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7A5455">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22676D">
            <w:pPr>
              <w:widowControl w:val="0"/>
              <w:tabs>
                <w:tab w:val="center" w:pos="150"/>
              </w:tabs>
              <w:rPr>
                <w:rFonts w:ascii="Arial" w:hAnsi="Arial"/>
                <w:sz w:val="16"/>
              </w:rPr>
            </w:pPr>
            <w:r w:rsidRPr="007A5455">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6"/>
      <w:footerReference w:type="default" r:id="rId11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6D" w:rsidRDefault="0022676D" w:rsidP="00A87207">
      <w:r>
        <w:separator/>
      </w:r>
    </w:p>
  </w:endnote>
  <w:endnote w:type="continuationSeparator" w:id="0">
    <w:p w:rsidR="0022676D" w:rsidRDefault="0022676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pPr>
      <w:pStyle w:val="Footer"/>
      <w:rPr>
        <w:lang w:val="fr-CA"/>
      </w:rPr>
    </w:pPr>
    <w:r>
      <w:rPr>
        <w:lang w:val="fr-CA"/>
      </w:rPr>
      <w:pict>
        <v:rect id="_x0000_i1065" style="width:480.95pt;height:1pt" o:hralign="center" o:hrstd="t" o:hrnoshade="t" o:hr="t" fillcolor="black [3213]" stroked="f"/>
      </w:pict>
    </w:r>
  </w:p>
  <w:p w:rsidR="0022676D" w:rsidRDefault="0022676D" w:rsidP="00245129">
    <w:pPr>
      <w:tabs>
        <w:tab w:val="center" w:pos="4680"/>
      </w:tabs>
    </w:pPr>
    <w:r>
      <w:tab/>
    </w:r>
    <w:r w:rsidRPr="0009648D">
      <w:t xml:space="preserve">- </w:t>
    </w:r>
    <w:r>
      <w:fldChar w:fldCharType="begin"/>
    </w:r>
    <w:r>
      <w:instrText xml:space="preserve"> PAGE   \* MERGEFORMAT </w:instrText>
    </w:r>
    <w:r>
      <w:fldChar w:fldCharType="separate"/>
    </w:r>
    <w:r w:rsidR="001F68BE">
      <w:rPr>
        <w:noProof/>
      </w:rPr>
      <w:t>1853</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76D" w:rsidRDefault="0022676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755F22">
    <w:pPr>
      <w:tabs>
        <w:tab w:val="left" w:pos="-1440"/>
        <w:tab w:val="left" w:pos="-720"/>
      </w:tabs>
    </w:pPr>
    <w:r>
      <w:pict>
        <v:rect id="_x0000_i1068" style="width:480.95pt;height:1pt" o:hralign="center" o:hrstd="t" o:hrnoshade="t" o:hr="t" fillcolor="black [3213]" stroked="f"/>
      </w:pict>
    </w:r>
  </w:p>
  <w:p w:rsidR="0022676D" w:rsidRDefault="0022676D" w:rsidP="00EB2B90">
    <w:pPr>
      <w:tabs>
        <w:tab w:val="center" w:pos="4680"/>
      </w:tabs>
    </w:pPr>
    <w:r>
      <w:tab/>
      <w:t xml:space="preserve">- </w:t>
    </w:r>
    <w:r>
      <w:fldChar w:fldCharType="begin"/>
    </w:r>
    <w:r>
      <w:instrText xml:space="preserve"> PAGE   \* MERGEFORMAT </w:instrText>
    </w:r>
    <w:r>
      <w:fldChar w:fldCharType="separate"/>
    </w:r>
    <w:r w:rsidR="001F68BE">
      <w:rPr>
        <w:noProof/>
      </w:rPr>
      <w:t>1876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EB2B90">
    <w:pPr>
      <w:tabs>
        <w:tab w:val="center" w:pos="4680"/>
      </w:tabs>
    </w:pPr>
    <w:r>
      <w:pict>
        <v:rect id="_x0000_i1069" style="width:480.95pt;height:1pt" o:hralign="center" o:hrstd="t" o:hrnoshade="t" o:hr="t" fillcolor="black [3213]" stroked="f"/>
      </w:pict>
    </w:r>
  </w:p>
  <w:p w:rsidR="0022676D" w:rsidRPr="0031432F" w:rsidRDefault="0022676D" w:rsidP="00EB2B90">
    <w:pPr>
      <w:tabs>
        <w:tab w:val="center" w:pos="4680"/>
      </w:tabs>
    </w:pPr>
    <w:r>
      <w:tab/>
      <w:t xml:space="preserve">- </w:t>
    </w:r>
    <w:r>
      <w:fldChar w:fldCharType="begin"/>
    </w:r>
    <w:r>
      <w:instrText xml:space="preserve"> PAGE   \* MERGEFORMAT </w:instrText>
    </w:r>
    <w:r>
      <w:fldChar w:fldCharType="separate"/>
    </w:r>
    <w:r w:rsidR="001F68BE">
      <w:rPr>
        <w:noProof/>
      </w:rPr>
      <w:t>1875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76D" w:rsidRDefault="0022676D">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2" style="width:480.95pt;height:1pt" o:hralign="center" o:hrstd="t" o:hrnoshade="t" o:hr="t" fillcolor="black [3213]" stroked="f"/>
      </w:pict>
    </w:r>
  </w:p>
  <w:p w:rsidR="0022676D" w:rsidRDefault="0022676D"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pPr>
      <w:pStyle w:val="Footer"/>
      <w:rPr>
        <w:lang w:val="fr-CA"/>
      </w:rPr>
    </w:pPr>
    <w:r>
      <w:rPr>
        <w:lang w:val="fr-CA"/>
      </w:rPr>
      <w:pict>
        <v:rect id="_x0000_i1073" style="width:480.95pt;height:1pt" o:hralign="center" o:hrstd="t" o:hrnoshade="t" o:hr="t" fillcolor="black [3213]" stroked="f"/>
      </w:pict>
    </w:r>
  </w:p>
  <w:p w:rsidR="0022676D" w:rsidRDefault="0022676D" w:rsidP="00EB2B90">
    <w:pPr>
      <w:tabs>
        <w:tab w:val="center" w:pos="4680"/>
      </w:tabs>
    </w:pPr>
    <w:r>
      <w:tab/>
      <w:t xml:space="preserve">- </w:t>
    </w:r>
    <w:r>
      <w:fldChar w:fldCharType="begin"/>
    </w:r>
    <w:r>
      <w:instrText xml:space="preserve"> PAGE   \* MERGEFORMAT </w:instrText>
    </w:r>
    <w:r>
      <w:fldChar w:fldCharType="separate"/>
    </w:r>
    <w:r w:rsidR="001F68BE">
      <w:rPr>
        <w:noProof/>
      </w:rPr>
      <w:t>1877</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76D" w:rsidRDefault="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76D" w:rsidRDefault="0022676D">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5" style="width:480.95pt;height:1pt" o:hralign="center" o:hrstd="t" o:hrnoshade="t" o:hr="t" fillcolor="black [3213]" stroked="f"/>
      </w:pict>
    </w:r>
  </w:p>
  <w:p w:rsidR="0022676D" w:rsidRDefault="0022676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802863">
    <w:pPr>
      <w:widowControl w:val="0"/>
      <w:tabs>
        <w:tab w:val="left" w:pos="-1440"/>
        <w:tab w:val="left" w:pos="-720"/>
      </w:tabs>
    </w:pPr>
    <w:r>
      <w:rPr>
        <w:lang w:val="fr-CA"/>
      </w:rPr>
      <w:pict>
        <v:rect id="_x0000_i1076" style="width:480.95pt;height:1pt" o:hralign="center" o:hrstd="t" o:hrnoshade="t" o:hr="t" fillcolor="black [3213]" stroked="f"/>
      </w:pict>
    </w:r>
  </w:p>
  <w:p w:rsidR="0022676D" w:rsidRPr="00180897" w:rsidRDefault="0022676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1F68BE">
      <w:rPr>
        <w:noProof/>
        <w:szCs w:val="24"/>
      </w:rPr>
      <w:t>1878</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76D" w:rsidRDefault="0022676D">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732DB7">
    <w:r>
      <w:pict>
        <v:rect id="_x0000_i1081" style="width:480.95pt;height:1pt" o:hralign="center" o:hrstd="t" o:hrnoshade="t" o:hr="t" fillcolor="black" stroked="f"/>
      </w:pict>
    </w:r>
  </w:p>
  <w:p w:rsidR="0022676D" w:rsidRDefault="0022676D">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pPr>
      <w:pStyle w:val="Footer"/>
    </w:pPr>
    <w:r>
      <w:pict>
        <v:rect id="_x0000_i1082" style="width:480.95pt;height:1pt" o:hralign="center" o:hrstd="t" o:hrnoshade="t" o:hr="t" fillcolor="black" stroked="f"/>
      </w:pict>
    </w:r>
  </w:p>
  <w:p w:rsidR="0022676D" w:rsidRPr="00283C52" w:rsidRDefault="0022676D">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76D" w:rsidRDefault="0022676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732DB7">
    <w:r>
      <w:pict>
        <v:rect id="_x0000_i1085" style="width:480.95pt;height:1pt" o:hralign="center" o:hrstd="t" o:hrnoshade="t" o:hr="t" fillcolor="black" stroked="f"/>
      </w:pict>
    </w:r>
  </w:p>
  <w:p w:rsidR="0022676D" w:rsidRDefault="0022676D">
    <w:pPr>
      <w:tabs>
        <w:tab w:val="center" w:pos="4740"/>
      </w:tabs>
      <w:spacing w:line="0" w:lineRule="atLeast"/>
    </w:pPr>
    <w:r>
      <w:tab/>
      <w:t xml:space="preserve">- </w:t>
    </w:r>
    <w:r>
      <w:pgNum/>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pPr>
      <w:pStyle w:val="Footer"/>
    </w:pPr>
    <w:r>
      <w:pict>
        <v:rect id="_x0000_i1086" style="width:480.95pt;height:1pt" o:hralign="center" o:hrstd="t" o:hrnoshade="t" o:hr="t" fillcolor="black [3213]" stroked="f"/>
      </w:pict>
    </w:r>
  </w:p>
  <w:p w:rsidR="0022676D" w:rsidRPr="003C2C0F" w:rsidRDefault="0022676D" w:rsidP="00697C62">
    <w:pPr>
      <w:tabs>
        <w:tab w:val="center" w:pos="4680"/>
      </w:tabs>
    </w:pPr>
    <w:r>
      <w:tab/>
      <w:t xml:space="preserve">- </w:t>
    </w:r>
    <w:r>
      <w:fldChar w:fldCharType="begin"/>
    </w:r>
    <w:r>
      <w:instrText xml:space="preserve"> PAGE   \* MERGEFORMAT </w:instrText>
    </w:r>
    <w:r>
      <w:fldChar w:fldCharType="separate"/>
    </w:r>
    <w:r w:rsidR="001F68BE">
      <w:rPr>
        <w:noProof/>
      </w:rPr>
      <w:t>1882</w:t>
    </w:r>
    <w:r>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76D" w:rsidRDefault="0022676D">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676D" w:rsidRDefault="001F68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1" style="width:480.95pt;height:1pt" o:hralign="center" o:hrstd="t" o:hrnoshade="t" o:hr="t" fillcolor="black [3213]" stroked="f"/>
      </w:pict>
    </w:r>
  </w:p>
  <w:p w:rsidR="0022676D" w:rsidRDefault="0022676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F68BE">
      <w:rPr>
        <w:noProof/>
        <w:szCs w:val="24"/>
      </w:rPr>
      <w:t>1903</w:t>
    </w:r>
    <w:r w:rsidRPr="001775C1">
      <w:rPr>
        <w:szCs w:val="24"/>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782AE4">
    <w:pPr>
      <w:tabs>
        <w:tab w:val="center" w:pos="4680"/>
      </w:tabs>
    </w:pPr>
    <w:r>
      <w:pict>
        <v:rect id="_x0000_i1092" style="width:480.95pt;height:1pt" o:hralign="center" o:hrstd="t" o:hrnoshade="t" o:hr="t" fillcolor="black [3213]" stroked="f"/>
      </w:pict>
    </w:r>
  </w:p>
  <w:p w:rsidR="0022676D" w:rsidRDefault="0022676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F68BE">
      <w:rPr>
        <w:noProof/>
        <w:szCs w:val="24"/>
      </w:rPr>
      <w:t>1883</w:t>
    </w:r>
    <w:r w:rsidRPr="001775C1">
      <w:rPr>
        <w:szCs w:val="24"/>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Pr="00924065" w:rsidRDefault="0022676D"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A87207">
    <w:pPr>
      <w:pStyle w:val="Footer"/>
    </w:pPr>
    <w:r>
      <w:pict>
        <v:rect id="_x0000_i1033" style="width:480.95pt;height:1pt" o:hralign="center" o:hrstd="t" o:hrnoshade="t" o:hr="t" fillcolor="black [3213]" stroked="f"/>
      </w:pict>
    </w:r>
  </w:p>
  <w:p w:rsidR="0022676D" w:rsidRPr="00B7374B" w:rsidRDefault="0022676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F68BE">
      <w:rPr>
        <w:noProof/>
        <w:szCs w:val="24"/>
      </w:rPr>
      <w:t>1851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755F22">
    <w:pPr>
      <w:tabs>
        <w:tab w:val="left" w:pos="-1440"/>
        <w:tab w:val="left" w:pos="-720"/>
      </w:tabs>
    </w:pPr>
    <w:r>
      <w:pict>
        <v:rect id="_x0000_i1034" style="width:480.95pt;height:1pt" o:hralign="center" o:hrstd="t" o:hrnoshade="t" o:hr="t" fillcolor="black [3213]" stroked="f"/>
      </w:pict>
    </w:r>
  </w:p>
  <w:p w:rsidR="0022676D" w:rsidRPr="00954D22" w:rsidRDefault="0022676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F68BE">
      <w:rPr>
        <w:noProof/>
        <w:szCs w:val="24"/>
      </w:rPr>
      <w:t>1850</w:t>
    </w:r>
    <w:r>
      <w:rPr>
        <w:szCs w:val="24"/>
      </w:rPr>
      <w:fldChar w:fldCharType="end"/>
    </w:r>
    <w:r w:rsidRPr="00954D22">
      <w:rPr>
        <w:szCs w:val="24"/>
      </w:rPr>
      <w:t xml:space="preserve"> -</w:t>
    </w:r>
  </w:p>
  <w:p w:rsidR="0022676D" w:rsidRDefault="002267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A87207">
    <w:pPr>
      <w:pStyle w:val="Footer"/>
    </w:pPr>
    <w:r>
      <w:pict>
        <v:rect id="_x0000_i1036" style="width:480.95pt;height:1pt" o:hralign="center" o:hrstd="t" o:hrnoshade="t" o:hr="t" fillcolor="black [3213]" stroked="f"/>
      </w:pict>
    </w:r>
  </w:p>
  <w:p w:rsidR="0022676D" w:rsidRPr="00B7374B" w:rsidRDefault="0022676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22676D" w:rsidRPr="00954D22" w:rsidRDefault="0022676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F68BE">
      <w:rPr>
        <w:noProof/>
        <w:szCs w:val="24"/>
      </w:rPr>
      <w:t>1852</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676D" w:rsidRDefault="0022676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1F68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22676D" w:rsidRPr="0009648D" w:rsidRDefault="0022676D" w:rsidP="00ED7E83">
    <w:pPr>
      <w:tabs>
        <w:tab w:val="center" w:pos="4680"/>
      </w:tabs>
    </w:pPr>
    <w:r>
      <w:tab/>
    </w:r>
    <w:r w:rsidRPr="0009648D">
      <w:t xml:space="preserve">- </w:t>
    </w:r>
    <w:r>
      <w:fldChar w:fldCharType="begin"/>
    </w:r>
    <w:r>
      <w:instrText xml:space="preserve"> PAGE   \* MERGEFORMAT </w:instrText>
    </w:r>
    <w:r>
      <w:fldChar w:fldCharType="separate"/>
    </w:r>
    <w:r w:rsidR="001F68BE">
      <w:rPr>
        <w:noProof/>
      </w:rPr>
      <w:t>1867</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6D" w:rsidRDefault="0022676D" w:rsidP="00A87207">
      <w:r>
        <w:separator/>
      </w:r>
    </w:p>
  </w:footnote>
  <w:footnote w:type="continuationSeparator" w:id="0">
    <w:p w:rsidR="0022676D" w:rsidRDefault="0022676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676D">
      <w:tc>
        <w:tcPr>
          <w:tcW w:w="423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2676D"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76D"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2676D">
      <w:trPr>
        <w:gridAfter w:val="2"/>
        <w:wAfter w:w="5250" w:type="dxa"/>
      </w:trPr>
      <w:tc>
        <w:tcPr>
          <w:tcW w:w="4230" w:type="dxa"/>
          <w:tcMar>
            <w:left w:w="0" w:type="dxa"/>
            <w:right w:w="0" w:type="dxa"/>
          </w:tcMar>
        </w:tcPr>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676D" w:rsidRPr="00755F22" w:rsidTr="00245129">
      <w:tc>
        <w:tcPr>
          <w:tcW w:w="4230" w:type="dxa"/>
          <w:tcMar>
            <w:left w:w="0" w:type="dxa"/>
            <w:right w:w="0" w:type="dxa"/>
          </w:tcMar>
        </w:tcPr>
        <w:p w:rsidR="0022676D" w:rsidRPr="00755F22" w:rsidRDefault="0022676D" w:rsidP="00831CA9">
          <w:pPr>
            <w:keepNext/>
            <w:keepLines/>
            <w:rPr>
              <w:sz w:val="20"/>
              <w:szCs w:val="20"/>
            </w:rPr>
          </w:pPr>
          <w:r w:rsidRPr="00755F22">
            <w:rPr>
              <w:sz w:val="20"/>
              <w:szCs w:val="20"/>
            </w:rPr>
            <w:t>MOTIONS</w:t>
          </w:r>
        </w:p>
      </w:tc>
      <w:tc>
        <w:tcPr>
          <w:tcW w:w="1170" w:type="dxa"/>
          <w:tcMar>
            <w:left w:w="0" w:type="dxa"/>
            <w:right w:w="0" w:type="dxa"/>
          </w:tcMar>
        </w:tcPr>
        <w:p w:rsidR="0022676D" w:rsidRPr="00755F22" w:rsidRDefault="0022676D" w:rsidP="00831CA9">
          <w:pPr>
            <w:keepLines/>
            <w:jc w:val="center"/>
            <w:rPr>
              <w:sz w:val="20"/>
              <w:szCs w:val="20"/>
            </w:rPr>
          </w:pPr>
        </w:p>
        <w:p w:rsidR="0022676D" w:rsidRPr="00755F22" w:rsidRDefault="0022676D" w:rsidP="00831CA9">
          <w:pPr>
            <w:keepLines/>
            <w:tabs>
              <w:tab w:val="left" w:pos="-1440"/>
              <w:tab w:val="left" w:pos="-720"/>
            </w:tabs>
            <w:jc w:val="center"/>
            <w:rPr>
              <w:sz w:val="20"/>
              <w:szCs w:val="20"/>
            </w:rPr>
          </w:pPr>
        </w:p>
      </w:tc>
      <w:tc>
        <w:tcPr>
          <w:tcW w:w="4080" w:type="dxa"/>
          <w:tcMar>
            <w:left w:w="0" w:type="dxa"/>
            <w:right w:w="0" w:type="dxa"/>
          </w:tcMar>
        </w:tcPr>
        <w:p w:rsidR="0022676D" w:rsidRPr="00BA6468" w:rsidRDefault="0022676D" w:rsidP="00BA6468">
          <w:pPr>
            <w:keepLines/>
            <w:rPr>
              <w:sz w:val="20"/>
              <w:szCs w:val="20"/>
              <w:lang w:val="fr-CA"/>
            </w:rPr>
          </w:pPr>
          <w:r w:rsidRPr="00BA6468">
            <w:rPr>
              <w:sz w:val="20"/>
              <w:szCs w:val="20"/>
              <w:lang w:val="fr-CA"/>
            </w:rPr>
            <w:t>REQUÊTES</w:t>
          </w:r>
        </w:p>
      </w:tc>
    </w:tr>
  </w:tbl>
  <w:p w:rsidR="0022676D" w:rsidRDefault="0022676D"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tc>
        <w:tcPr>
          <w:tcW w:w="420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76D" w:rsidRPr="00B01A03"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2676D" w:rsidRPr="00B01A03"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676D" w:rsidRPr="00B01A03"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2676D" w:rsidRPr="00FB4A2E" w:rsidTr="00245129">
      <w:tc>
        <w:tcPr>
          <w:tcW w:w="4200" w:type="dxa"/>
          <w:tcMar>
            <w:left w:w="0" w:type="dxa"/>
            <w:right w:w="0" w:type="dxa"/>
          </w:tcMar>
        </w:tcPr>
        <w:p w:rsidR="0022676D" w:rsidRPr="00F40249" w:rsidRDefault="0022676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2676D" w:rsidRDefault="0022676D" w:rsidP="00102926">
          <w:pPr>
            <w:keepNext/>
            <w:keepLines/>
            <w:tabs>
              <w:tab w:val="left" w:pos="-1440"/>
              <w:tab w:val="left" w:pos="-720"/>
            </w:tabs>
            <w:jc w:val="center"/>
            <w:rPr>
              <w:sz w:val="20"/>
              <w:szCs w:val="20"/>
            </w:rPr>
          </w:pPr>
        </w:p>
        <w:p w:rsidR="0022676D" w:rsidRDefault="0022676D" w:rsidP="00102926">
          <w:pPr>
            <w:keepNext/>
            <w:keepLines/>
            <w:tabs>
              <w:tab w:val="left" w:pos="-1440"/>
              <w:tab w:val="left" w:pos="-720"/>
            </w:tabs>
            <w:jc w:val="center"/>
            <w:rPr>
              <w:sz w:val="20"/>
              <w:szCs w:val="20"/>
            </w:rPr>
          </w:pPr>
        </w:p>
        <w:p w:rsidR="0022676D" w:rsidRPr="00F40249" w:rsidRDefault="0022676D" w:rsidP="00102926">
          <w:pPr>
            <w:keepNext/>
            <w:keepLines/>
            <w:tabs>
              <w:tab w:val="left" w:pos="-1440"/>
              <w:tab w:val="left" w:pos="-720"/>
            </w:tabs>
            <w:jc w:val="center"/>
            <w:rPr>
              <w:sz w:val="20"/>
              <w:szCs w:val="20"/>
            </w:rPr>
          </w:pPr>
        </w:p>
      </w:tc>
      <w:tc>
        <w:tcPr>
          <w:tcW w:w="4230" w:type="dxa"/>
          <w:tcMar>
            <w:left w:w="0" w:type="dxa"/>
            <w:right w:w="0" w:type="dxa"/>
          </w:tcMar>
        </w:tcPr>
        <w:p w:rsidR="0022676D" w:rsidRPr="00F40249" w:rsidRDefault="0022676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2676D" w:rsidRPr="00B01A03" w:rsidRDefault="0022676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tc>
        <w:tcPr>
          <w:tcW w:w="4200" w:type="dxa"/>
          <w:tcMar>
            <w:left w:w="0" w:type="dxa"/>
            <w:right w:w="0" w:type="dxa"/>
          </w:tcMar>
        </w:tcPr>
        <w:p w:rsidR="0022676D" w:rsidRDefault="0022676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22676D" w:rsidRDefault="0022676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2676D" w:rsidRDefault="0022676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76D" w:rsidRPr="009256DC" w:rsidRDefault="0022676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22676D" w:rsidRPr="009256DC" w:rsidRDefault="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676D" w:rsidRPr="009256DC" w:rsidRDefault="002267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rsidTr="00245129">
      <w:tc>
        <w:tcPr>
          <w:tcW w:w="4200" w:type="dxa"/>
          <w:tcMar>
            <w:left w:w="0" w:type="dxa"/>
            <w:right w:w="0" w:type="dxa"/>
          </w:tcMar>
        </w:tcPr>
        <w:p w:rsidR="0022676D" w:rsidRPr="00802863" w:rsidRDefault="0022676D"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22676D" w:rsidRPr="00802863" w:rsidRDefault="0022676D" w:rsidP="00802863">
          <w:pPr>
            <w:keepNext/>
            <w:keepLines/>
            <w:widowControl w:val="0"/>
            <w:tabs>
              <w:tab w:val="left" w:pos="-1440"/>
              <w:tab w:val="left" w:pos="-720"/>
            </w:tabs>
            <w:jc w:val="center"/>
            <w:rPr>
              <w:sz w:val="20"/>
              <w:szCs w:val="20"/>
            </w:rPr>
          </w:pPr>
        </w:p>
        <w:p w:rsidR="0022676D" w:rsidRPr="00802863" w:rsidRDefault="0022676D" w:rsidP="00802863">
          <w:pPr>
            <w:keepNext/>
            <w:keepLines/>
            <w:widowControl w:val="0"/>
            <w:tabs>
              <w:tab w:val="left" w:pos="-1440"/>
              <w:tab w:val="left" w:pos="-720"/>
            </w:tabs>
            <w:jc w:val="center"/>
            <w:rPr>
              <w:sz w:val="20"/>
              <w:szCs w:val="20"/>
            </w:rPr>
          </w:pPr>
        </w:p>
        <w:p w:rsidR="0022676D" w:rsidRPr="00802863" w:rsidRDefault="0022676D"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22676D" w:rsidRPr="00802863" w:rsidRDefault="0022676D"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22676D" w:rsidRPr="009256DC" w:rsidRDefault="0022676D"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tc>
        <w:tcPr>
          <w:tcW w:w="420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76D" w:rsidRPr="00283C52"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2676D" w:rsidRPr="00283C52"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676D" w:rsidRPr="00283C52"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rsidTr="00245129">
      <w:tc>
        <w:tcPr>
          <w:tcW w:w="4200" w:type="dxa"/>
          <w:tcMar>
            <w:left w:w="0" w:type="dxa"/>
            <w:right w:w="0" w:type="dxa"/>
          </w:tcMar>
        </w:tcPr>
        <w:p w:rsidR="0022676D" w:rsidRPr="00732DB7" w:rsidRDefault="0022676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22676D" w:rsidRPr="00732DB7" w:rsidRDefault="0022676D" w:rsidP="00732DB7">
          <w:pPr>
            <w:keepNext/>
            <w:keepLines/>
            <w:tabs>
              <w:tab w:val="left" w:pos="-1440"/>
              <w:tab w:val="left" w:pos="-720"/>
            </w:tabs>
            <w:jc w:val="center"/>
            <w:rPr>
              <w:sz w:val="20"/>
              <w:szCs w:val="20"/>
            </w:rPr>
          </w:pPr>
        </w:p>
        <w:p w:rsidR="0022676D" w:rsidRPr="00732DB7" w:rsidRDefault="0022676D" w:rsidP="00732DB7">
          <w:pPr>
            <w:keepNext/>
            <w:keepLines/>
            <w:tabs>
              <w:tab w:val="left" w:pos="-1440"/>
              <w:tab w:val="left" w:pos="-720"/>
            </w:tabs>
            <w:jc w:val="center"/>
            <w:rPr>
              <w:sz w:val="20"/>
              <w:szCs w:val="20"/>
            </w:rPr>
          </w:pPr>
        </w:p>
        <w:p w:rsidR="0022676D" w:rsidRPr="00732DB7" w:rsidRDefault="0022676D" w:rsidP="00732DB7">
          <w:pPr>
            <w:keepNext/>
            <w:keepLines/>
            <w:tabs>
              <w:tab w:val="left" w:pos="-1440"/>
              <w:tab w:val="left" w:pos="-720"/>
            </w:tabs>
            <w:jc w:val="center"/>
            <w:rPr>
              <w:sz w:val="20"/>
              <w:szCs w:val="20"/>
            </w:rPr>
          </w:pPr>
        </w:p>
      </w:tc>
      <w:tc>
        <w:tcPr>
          <w:tcW w:w="4080" w:type="dxa"/>
          <w:tcMar>
            <w:left w:w="0" w:type="dxa"/>
            <w:right w:w="0" w:type="dxa"/>
          </w:tcMar>
        </w:tcPr>
        <w:p w:rsidR="0022676D" w:rsidRPr="00732DB7" w:rsidRDefault="0022676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2676D" w:rsidRPr="00283C52" w:rsidRDefault="0022676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tc>
        <w:tcPr>
          <w:tcW w:w="420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2676D" w:rsidRPr="003C2C0F"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2676D" w:rsidRPr="003C2C0F"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2676D" w:rsidRPr="003C2C0F"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rsidTr="00245129">
      <w:tc>
        <w:tcPr>
          <w:tcW w:w="4200" w:type="dxa"/>
          <w:tcMar>
            <w:left w:w="0" w:type="dxa"/>
            <w:right w:w="0" w:type="dxa"/>
          </w:tcMar>
        </w:tcPr>
        <w:p w:rsidR="0022676D" w:rsidRPr="00FF6EEC" w:rsidRDefault="0022676D" w:rsidP="00FF6EEC">
          <w:pPr>
            <w:rPr>
              <w:sz w:val="20"/>
              <w:szCs w:val="20"/>
            </w:rPr>
          </w:pPr>
          <w:r w:rsidRPr="00FF6EEC">
            <w:rPr>
              <w:sz w:val="20"/>
              <w:szCs w:val="20"/>
            </w:rPr>
            <w:t>PRONOUNCEMENTS OF APPEALS RESERVED</w:t>
          </w:r>
        </w:p>
      </w:tc>
      <w:tc>
        <w:tcPr>
          <w:tcW w:w="1200" w:type="dxa"/>
          <w:tcMar>
            <w:left w:w="0" w:type="dxa"/>
            <w:right w:w="0" w:type="dxa"/>
          </w:tcMar>
        </w:tcPr>
        <w:p w:rsidR="0022676D" w:rsidRPr="00FF6EEC" w:rsidRDefault="0022676D" w:rsidP="00FF6EEC">
          <w:pPr>
            <w:jc w:val="center"/>
            <w:rPr>
              <w:sz w:val="20"/>
              <w:szCs w:val="20"/>
            </w:rPr>
          </w:pPr>
        </w:p>
        <w:p w:rsidR="0022676D" w:rsidRPr="00FF6EEC" w:rsidRDefault="0022676D" w:rsidP="00FF6EEC">
          <w:pPr>
            <w:jc w:val="center"/>
            <w:rPr>
              <w:sz w:val="20"/>
              <w:szCs w:val="20"/>
            </w:rPr>
          </w:pPr>
        </w:p>
        <w:p w:rsidR="0022676D" w:rsidRPr="00FF6EEC" w:rsidRDefault="0022676D" w:rsidP="00FF6EEC">
          <w:pPr>
            <w:jc w:val="center"/>
            <w:rPr>
              <w:sz w:val="20"/>
              <w:szCs w:val="20"/>
            </w:rPr>
          </w:pPr>
        </w:p>
      </w:tc>
      <w:tc>
        <w:tcPr>
          <w:tcW w:w="4080" w:type="dxa"/>
          <w:tcMar>
            <w:left w:w="0" w:type="dxa"/>
            <w:right w:w="0" w:type="dxa"/>
          </w:tcMar>
        </w:tcPr>
        <w:p w:rsidR="0022676D" w:rsidRPr="00FF6EEC" w:rsidRDefault="0022676D" w:rsidP="00FF6EEC">
          <w:pPr>
            <w:rPr>
              <w:sz w:val="20"/>
              <w:szCs w:val="20"/>
              <w:lang w:val="fr-CA"/>
            </w:rPr>
          </w:pPr>
          <w:r w:rsidRPr="00FF6EEC">
            <w:rPr>
              <w:sz w:val="20"/>
              <w:szCs w:val="20"/>
              <w:lang w:val="fr-CA"/>
            </w:rPr>
            <w:t>JUGEMENTS RENDUS SUR LES APPELS EN DÉLIBÉRÉ</w:t>
          </w:r>
        </w:p>
      </w:tc>
    </w:tr>
  </w:tbl>
  <w:p w:rsidR="0022676D" w:rsidRPr="003C2C0F" w:rsidRDefault="0022676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676D">
      <w:tc>
        <w:tcPr>
          <w:tcW w:w="423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2676D"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676D"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676D" w:rsidRPr="00782AE4" w:rsidTr="00245129">
      <w:tc>
        <w:tcPr>
          <w:tcW w:w="4230" w:type="dxa"/>
          <w:tcMar>
            <w:left w:w="0" w:type="dxa"/>
            <w:right w:w="0" w:type="dxa"/>
          </w:tcMar>
        </w:tcPr>
        <w:p w:rsidR="0022676D" w:rsidRPr="00782AE4" w:rsidRDefault="0022676D" w:rsidP="00102926">
          <w:pPr>
            <w:keepNext/>
            <w:keepLines/>
            <w:tabs>
              <w:tab w:val="left" w:pos="-1440"/>
              <w:tab w:val="left" w:pos="-720"/>
            </w:tabs>
            <w:rPr>
              <w:sz w:val="20"/>
              <w:szCs w:val="20"/>
            </w:rPr>
          </w:pPr>
          <w:r w:rsidRPr="00782AE4">
            <w:rPr>
              <w:sz w:val="20"/>
              <w:szCs w:val="20"/>
            </w:rPr>
            <w:t xml:space="preserve">HEADNOTES OF RECENT </w:t>
          </w:r>
        </w:p>
        <w:p w:rsidR="0022676D" w:rsidRPr="00782AE4"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2676D" w:rsidRDefault="0022676D" w:rsidP="00102926">
          <w:pPr>
            <w:keepNext/>
            <w:keepLines/>
            <w:tabs>
              <w:tab w:val="left" w:pos="-1440"/>
              <w:tab w:val="left" w:pos="-720"/>
            </w:tabs>
            <w:jc w:val="center"/>
            <w:rPr>
              <w:sz w:val="20"/>
              <w:szCs w:val="20"/>
            </w:rPr>
          </w:pPr>
        </w:p>
        <w:p w:rsidR="0022676D" w:rsidRDefault="0022676D" w:rsidP="00102926">
          <w:pPr>
            <w:keepNext/>
            <w:keepLines/>
            <w:tabs>
              <w:tab w:val="left" w:pos="-1440"/>
              <w:tab w:val="left" w:pos="-720"/>
            </w:tabs>
            <w:jc w:val="center"/>
            <w:rPr>
              <w:sz w:val="20"/>
              <w:szCs w:val="20"/>
            </w:rPr>
          </w:pPr>
        </w:p>
        <w:p w:rsidR="0022676D" w:rsidRPr="00782AE4" w:rsidRDefault="0022676D" w:rsidP="00102926">
          <w:pPr>
            <w:keepNext/>
            <w:keepLines/>
            <w:tabs>
              <w:tab w:val="left" w:pos="-1440"/>
              <w:tab w:val="left" w:pos="-720"/>
            </w:tabs>
            <w:jc w:val="center"/>
            <w:rPr>
              <w:sz w:val="20"/>
              <w:szCs w:val="20"/>
            </w:rPr>
          </w:pPr>
        </w:p>
      </w:tc>
      <w:tc>
        <w:tcPr>
          <w:tcW w:w="4080" w:type="dxa"/>
          <w:tcMar>
            <w:left w:w="0" w:type="dxa"/>
            <w:right w:w="0" w:type="dxa"/>
          </w:tcMar>
        </w:tcPr>
        <w:p w:rsidR="0022676D" w:rsidRPr="00102926"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2676D" w:rsidRPr="00782AE4" w:rsidRDefault="0022676D" w:rsidP="00102926">
          <w:pPr>
            <w:keepLines/>
            <w:tabs>
              <w:tab w:val="left" w:pos="-1440"/>
              <w:tab w:val="left" w:pos="-720"/>
            </w:tabs>
            <w:rPr>
              <w:sz w:val="20"/>
              <w:szCs w:val="20"/>
            </w:rPr>
          </w:pPr>
          <w:r w:rsidRPr="00102926">
            <w:rPr>
              <w:sz w:val="20"/>
              <w:szCs w:val="20"/>
              <w:lang w:val="fr-CA"/>
            </w:rPr>
            <w:t>RÉCENTS</w:t>
          </w:r>
        </w:p>
      </w:tc>
    </w:tr>
  </w:tbl>
  <w:p w:rsidR="0022676D" w:rsidRDefault="0022676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2676D" w:rsidRPr="0044776A" w:rsidTr="00245129">
      <w:tc>
        <w:tcPr>
          <w:tcW w:w="4290" w:type="dxa"/>
          <w:tcMar>
            <w:left w:w="0" w:type="dxa"/>
            <w:right w:w="0" w:type="dxa"/>
          </w:tcMar>
        </w:tcPr>
        <w:p w:rsidR="0022676D" w:rsidRPr="0044776A" w:rsidRDefault="0022676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2676D" w:rsidRPr="0044776A" w:rsidRDefault="0022676D" w:rsidP="002E2327">
          <w:pPr>
            <w:keepNext/>
            <w:keepLines/>
            <w:tabs>
              <w:tab w:val="left" w:pos="-1440"/>
              <w:tab w:val="left" w:pos="-720"/>
            </w:tabs>
            <w:jc w:val="center"/>
            <w:rPr>
              <w:sz w:val="20"/>
              <w:szCs w:val="20"/>
            </w:rPr>
          </w:pPr>
        </w:p>
        <w:p w:rsidR="0022676D" w:rsidRPr="0044776A" w:rsidRDefault="0022676D" w:rsidP="002E2327">
          <w:pPr>
            <w:keepNext/>
            <w:keepLines/>
            <w:tabs>
              <w:tab w:val="left" w:pos="-1440"/>
              <w:tab w:val="left" w:pos="-720"/>
            </w:tabs>
            <w:jc w:val="center"/>
            <w:rPr>
              <w:sz w:val="20"/>
              <w:szCs w:val="20"/>
            </w:rPr>
          </w:pPr>
        </w:p>
        <w:p w:rsidR="0022676D" w:rsidRPr="0044776A" w:rsidRDefault="0022676D" w:rsidP="002E2327">
          <w:pPr>
            <w:keepNext/>
            <w:keepLines/>
            <w:tabs>
              <w:tab w:val="left" w:pos="-1440"/>
              <w:tab w:val="left" w:pos="-720"/>
            </w:tabs>
            <w:jc w:val="center"/>
            <w:rPr>
              <w:sz w:val="20"/>
              <w:szCs w:val="20"/>
            </w:rPr>
          </w:pPr>
        </w:p>
      </w:tc>
      <w:tc>
        <w:tcPr>
          <w:tcW w:w="4320" w:type="dxa"/>
          <w:tcMar>
            <w:left w:w="0" w:type="dxa"/>
            <w:right w:w="0" w:type="dxa"/>
          </w:tcMar>
        </w:tcPr>
        <w:p w:rsidR="0022676D" w:rsidRPr="0044776A" w:rsidRDefault="0022676D" w:rsidP="002E2327">
          <w:pPr>
            <w:keepLines/>
            <w:rPr>
              <w:sz w:val="20"/>
              <w:szCs w:val="20"/>
              <w:lang w:val="fr-CA"/>
            </w:rPr>
          </w:pPr>
          <w:r w:rsidRPr="0044776A">
            <w:rPr>
              <w:sz w:val="20"/>
              <w:szCs w:val="20"/>
              <w:lang w:val="fr-CA"/>
            </w:rPr>
            <w:t>DEMANDES D'AUTORISATION D'APPEL DÉPOSÉES</w:t>
          </w:r>
        </w:p>
      </w:tc>
    </w:tr>
  </w:tbl>
  <w:p w:rsidR="0022676D" w:rsidRDefault="002267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rsidTr="00245129">
      <w:tc>
        <w:tcPr>
          <w:tcW w:w="4200" w:type="dxa"/>
          <w:tcMar>
            <w:left w:w="0" w:type="dxa"/>
            <w:right w:w="0" w:type="dxa"/>
          </w:tcMar>
        </w:tcPr>
        <w:p w:rsidR="0022676D" w:rsidRPr="0044776A" w:rsidRDefault="0022676D" w:rsidP="0044776A">
          <w:pPr>
            <w:keepNext/>
            <w:keepLines/>
            <w:widowControl w:val="0"/>
            <w:rPr>
              <w:sz w:val="20"/>
              <w:szCs w:val="20"/>
            </w:rPr>
          </w:pPr>
          <w:r>
            <w:rPr>
              <w:sz w:val="20"/>
              <w:szCs w:val="20"/>
            </w:rPr>
            <w:t>APPLICATIONS FOR LEAVE</w:t>
          </w:r>
        </w:p>
        <w:p w:rsidR="0022676D" w:rsidRPr="0044776A" w:rsidRDefault="0022676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2676D" w:rsidRPr="0044776A" w:rsidRDefault="0022676D" w:rsidP="0044776A">
          <w:pPr>
            <w:keepNext/>
            <w:keepLines/>
            <w:widowControl w:val="0"/>
            <w:jc w:val="center"/>
            <w:rPr>
              <w:sz w:val="20"/>
              <w:szCs w:val="20"/>
            </w:rPr>
          </w:pPr>
        </w:p>
        <w:p w:rsidR="0022676D" w:rsidRPr="0044776A" w:rsidRDefault="0022676D" w:rsidP="0044776A">
          <w:pPr>
            <w:keepNext/>
            <w:keepLines/>
            <w:widowControl w:val="0"/>
            <w:jc w:val="center"/>
            <w:rPr>
              <w:sz w:val="20"/>
              <w:szCs w:val="20"/>
            </w:rPr>
          </w:pPr>
        </w:p>
        <w:p w:rsidR="0022676D" w:rsidRPr="0044776A" w:rsidRDefault="0022676D" w:rsidP="0044776A">
          <w:pPr>
            <w:keepNext/>
            <w:keepLines/>
            <w:widowControl w:val="0"/>
            <w:jc w:val="center"/>
            <w:rPr>
              <w:sz w:val="20"/>
              <w:szCs w:val="20"/>
            </w:rPr>
          </w:pPr>
        </w:p>
      </w:tc>
      <w:tc>
        <w:tcPr>
          <w:tcW w:w="4080" w:type="dxa"/>
          <w:tcMar>
            <w:left w:w="0" w:type="dxa"/>
            <w:right w:w="0" w:type="dxa"/>
          </w:tcMar>
        </w:tcPr>
        <w:p w:rsidR="0022676D" w:rsidRPr="0044776A" w:rsidRDefault="0022676D" w:rsidP="0044776A">
          <w:pPr>
            <w:keepLines/>
            <w:widowControl w:val="0"/>
            <w:rPr>
              <w:sz w:val="20"/>
              <w:szCs w:val="20"/>
              <w:lang w:val="fr-CA"/>
            </w:rPr>
          </w:pPr>
          <w:r w:rsidRPr="0044776A">
            <w:rPr>
              <w:sz w:val="20"/>
              <w:szCs w:val="20"/>
              <w:lang w:val="fr-CA"/>
            </w:rPr>
            <w:t>DEMANDES SOUMISES À LA COUR DEPUIS LA DERNIÈRE PARUTION</w:t>
          </w:r>
        </w:p>
        <w:p w:rsidR="0022676D" w:rsidRPr="0044776A" w:rsidRDefault="0022676D" w:rsidP="0044776A">
          <w:pPr>
            <w:widowControl w:val="0"/>
            <w:rPr>
              <w:sz w:val="20"/>
              <w:szCs w:val="20"/>
              <w:lang w:val="fr-CA"/>
            </w:rPr>
          </w:pPr>
        </w:p>
      </w:tc>
    </w:tr>
  </w:tbl>
  <w:p w:rsidR="0022676D" w:rsidRPr="002E2327" w:rsidRDefault="0022676D">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6D" w:rsidRDefault="002267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tc>
        <w:tcPr>
          <w:tcW w:w="4200" w:type="dxa"/>
          <w:tcMar>
            <w:left w:w="0" w:type="dxa"/>
            <w:right w:w="0" w:type="dxa"/>
          </w:tcMar>
        </w:tcPr>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2676D"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2676D"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676D" w:rsidRPr="00FF6BA5"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2676D" w:rsidRPr="00FF6BA5"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2676D" w:rsidRPr="00FF6BA5"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2676D" w:rsidRPr="00FF6BA5" w:rsidRDefault="0022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676D" w:rsidRPr="00FB4A2E" w:rsidTr="00245129">
      <w:tc>
        <w:tcPr>
          <w:tcW w:w="4200" w:type="dxa"/>
          <w:tcMar>
            <w:left w:w="0" w:type="dxa"/>
            <w:right w:w="0" w:type="dxa"/>
          </w:tcMar>
        </w:tcPr>
        <w:p w:rsidR="0022676D" w:rsidRPr="00755F22"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2676D" w:rsidRPr="00755F22" w:rsidRDefault="002267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2676D" w:rsidRPr="00755F22" w:rsidRDefault="0022676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2676D" w:rsidRPr="00755F22" w:rsidRDefault="0022676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2676D" w:rsidRPr="00755F22" w:rsidRDefault="0022676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2676D" w:rsidRPr="00755F22" w:rsidRDefault="002267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2676D" w:rsidRPr="00FF6BA5" w:rsidRDefault="0022676D"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6065B9"/>
    <w:multiLevelType w:val="hybridMultilevel"/>
    <w:tmpl w:val="B3A4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E4AA8"/>
    <w:multiLevelType w:val="hybridMultilevel"/>
    <w:tmpl w:val="B3A4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86"/>
    <w:rsid w:val="00002704"/>
    <w:rsid w:val="00004B55"/>
    <w:rsid w:val="000062FB"/>
    <w:rsid w:val="000079CA"/>
    <w:rsid w:val="00010024"/>
    <w:rsid w:val="000120A6"/>
    <w:rsid w:val="00016C08"/>
    <w:rsid w:val="00020DC3"/>
    <w:rsid w:val="00027F5B"/>
    <w:rsid w:val="0003223B"/>
    <w:rsid w:val="000327B2"/>
    <w:rsid w:val="0004528B"/>
    <w:rsid w:val="000464B7"/>
    <w:rsid w:val="000500C1"/>
    <w:rsid w:val="000502E1"/>
    <w:rsid w:val="00051926"/>
    <w:rsid w:val="00063FBD"/>
    <w:rsid w:val="00064FBA"/>
    <w:rsid w:val="00066AFC"/>
    <w:rsid w:val="00080AB2"/>
    <w:rsid w:val="000818A4"/>
    <w:rsid w:val="00081AFE"/>
    <w:rsid w:val="00085BE2"/>
    <w:rsid w:val="000873DE"/>
    <w:rsid w:val="000908B2"/>
    <w:rsid w:val="00091FA6"/>
    <w:rsid w:val="00094175"/>
    <w:rsid w:val="00096BD9"/>
    <w:rsid w:val="000973BB"/>
    <w:rsid w:val="000A2671"/>
    <w:rsid w:val="000A2A4F"/>
    <w:rsid w:val="000B3C9A"/>
    <w:rsid w:val="000B3D45"/>
    <w:rsid w:val="000B40A2"/>
    <w:rsid w:val="000B4624"/>
    <w:rsid w:val="000C0ACD"/>
    <w:rsid w:val="000C0D2A"/>
    <w:rsid w:val="000C5CE8"/>
    <w:rsid w:val="000C65CC"/>
    <w:rsid w:val="000D0CBE"/>
    <w:rsid w:val="000D55A2"/>
    <w:rsid w:val="000E27A5"/>
    <w:rsid w:val="000E2959"/>
    <w:rsid w:val="000F0B60"/>
    <w:rsid w:val="00100192"/>
    <w:rsid w:val="00100DA0"/>
    <w:rsid w:val="001015CD"/>
    <w:rsid w:val="00102926"/>
    <w:rsid w:val="00103375"/>
    <w:rsid w:val="0010587F"/>
    <w:rsid w:val="00111C6B"/>
    <w:rsid w:val="0012102B"/>
    <w:rsid w:val="0013369E"/>
    <w:rsid w:val="00135F0C"/>
    <w:rsid w:val="00140B0C"/>
    <w:rsid w:val="00146D53"/>
    <w:rsid w:val="0015047B"/>
    <w:rsid w:val="00150E35"/>
    <w:rsid w:val="001571F1"/>
    <w:rsid w:val="001624BB"/>
    <w:rsid w:val="001633B0"/>
    <w:rsid w:val="00163D77"/>
    <w:rsid w:val="00164E6D"/>
    <w:rsid w:val="00170BD5"/>
    <w:rsid w:val="00171994"/>
    <w:rsid w:val="00171CD5"/>
    <w:rsid w:val="00175C53"/>
    <w:rsid w:val="00183454"/>
    <w:rsid w:val="001A7DBB"/>
    <w:rsid w:val="001B157C"/>
    <w:rsid w:val="001B4006"/>
    <w:rsid w:val="001B555F"/>
    <w:rsid w:val="001B5C23"/>
    <w:rsid w:val="001B5C95"/>
    <w:rsid w:val="001C1021"/>
    <w:rsid w:val="001C2A78"/>
    <w:rsid w:val="001C5F42"/>
    <w:rsid w:val="001D0D5F"/>
    <w:rsid w:val="001D33C4"/>
    <w:rsid w:val="001D6B8C"/>
    <w:rsid w:val="001E259A"/>
    <w:rsid w:val="001E4348"/>
    <w:rsid w:val="001E7639"/>
    <w:rsid w:val="001F1F83"/>
    <w:rsid w:val="001F2BD9"/>
    <w:rsid w:val="001F40DF"/>
    <w:rsid w:val="001F68BE"/>
    <w:rsid w:val="001F6B2D"/>
    <w:rsid w:val="002021A9"/>
    <w:rsid w:val="002026CA"/>
    <w:rsid w:val="002125F7"/>
    <w:rsid w:val="002139A7"/>
    <w:rsid w:val="00215F7C"/>
    <w:rsid w:val="0022323B"/>
    <w:rsid w:val="002256A1"/>
    <w:rsid w:val="0022676D"/>
    <w:rsid w:val="00231209"/>
    <w:rsid w:val="002336C2"/>
    <w:rsid w:val="00240761"/>
    <w:rsid w:val="002410B8"/>
    <w:rsid w:val="00242AEE"/>
    <w:rsid w:val="00242F8B"/>
    <w:rsid w:val="00245129"/>
    <w:rsid w:val="00245879"/>
    <w:rsid w:val="0025063A"/>
    <w:rsid w:val="00260C1B"/>
    <w:rsid w:val="00260ED4"/>
    <w:rsid w:val="00267FD5"/>
    <w:rsid w:val="00274D34"/>
    <w:rsid w:val="00283ED8"/>
    <w:rsid w:val="002868D0"/>
    <w:rsid w:val="00294162"/>
    <w:rsid w:val="00294CEB"/>
    <w:rsid w:val="002A008C"/>
    <w:rsid w:val="002A0A7F"/>
    <w:rsid w:val="002A27D1"/>
    <w:rsid w:val="002A4AFA"/>
    <w:rsid w:val="002B516C"/>
    <w:rsid w:val="002B61C8"/>
    <w:rsid w:val="002B7E50"/>
    <w:rsid w:val="002C001E"/>
    <w:rsid w:val="002C2FE8"/>
    <w:rsid w:val="002C5CB0"/>
    <w:rsid w:val="002D72EB"/>
    <w:rsid w:val="002E2327"/>
    <w:rsid w:val="002E3583"/>
    <w:rsid w:val="002E5576"/>
    <w:rsid w:val="002E742A"/>
    <w:rsid w:val="002F355E"/>
    <w:rsid w:val="00307D99"/>
    <w:rsid w:val="0031095C"/>
    <w:rsid w:val="00311D3C"/>
    <w:rsid w:val="00331B52"/>
    <w:rsid w:val="003359D3"/>
    <w:rsid w:val="00345C04"/>
    <w:rsid w:val="00352C72"/>
    <w:rsid w:val="003539E8"/>
    <w:rsid w:val="00355967"/>
    <w:rsid w:val="003600A4"/>
    <w:rsid w:val="0036575C"/>
    <w:rsid w:val="00377273"/>
    <w:rsid w:val="00382C47"/>
    <w:rsid w:val="00384384"/>
    <w:rsid w:val="003866AE"/>
    <w:rsid w:val="0039189F"/>
    <w:rsid w:val="00396904"/>
    <w:rsid w:val="003A47E3"/>
    <w:rsid w:val="003B3977"/>
    <w:rsid w:val="003D5F2E"/>
    <w:rsid w:val="003E0624"/>
    <w:rsid w:val="003E1D4C"/>
    <w:rsid w:val="003F4505"/>
    <w:rsid w:val="003F5463"/>
    <w:rsid w:val="00405FF3"/>
    <w:rsid w:val="004137A0"/>
    <w:rsid w:val="00422D9A"/>
    <w:rsid w:val="00432989"/>
    <w:rsid w:val="0043334D"/>
    <w:rsid w:val="00433B02"/>
    <w:rsid w:val="00440E24"/>
    <w:rsid w:val="0044250E"/>
    <w:rsid w:val="00445298"/>
    <w:rsid w:val="0044776A"/>
    <w:rsid w:val="0045203B"/>
    <w:rsid w:val="00456B08"/>
    <w:rsid w:val="00460AFC"/>
    <w:rsid w:val="00461D86"/>
    <w:rsid w:val="0047207D"/>
    <w:rsid w:val="0047277F"/>
    <w:rsid w:val="0047471F"/>
    <w:rsid w:val="004828F7"/>
    <w:rsid w:val="00487C26"/>
    <w:rsid w:val="004B195E"/>
    <w:rsid w:val="004B66B4"/>
    <w:rsid w:val="004B7F60"/>
    <w:rsid w:val="004C1AAC"/>
    <w:rsid w:val="004C3DAB"/>
    <w:rsid w:val="004C7B9D"/>
    <w:rsid w:val="004D139B"/>
    <w:rsid w:val="004E1E0A"/>
    <w:rsid w:val="004E7EB3"/>
    <w:rsid w:val="004F090E"/>
    <w:rsid w:val="004F4D3D"/>
    <w:rsid w:val="004F5D15"/>
    <w:rsid w:val="00501F3C"/>
    <w:rsid w:val="00516F35"/>
    <w:rsid w:val="00520BC0"/>
    <w:rsid w:val="0052229C"/>
    <w:rsid w:val="00525190"/>
    <w:rsid w:val="00527CC7"/>
    <w:rsid w:val="00530C63"/>
    <w:rsid w:val="005477AB"/>
    <w:rsid w:val="00554DD0"/>
    <w:rsid w:val="00562A22"/>
    <w:rsid w:val="00563784"/>
    <w:rsid w:val="0056627F"/>
    <w:rsid w:val="005703C0"/>
    <w:rsid w:val="0057048E"/>
    <w:rsid w:val="005708F8"/>
    <w:rsid w:val="00571CA4"/>
    <w:rsid w:val="0057213D"/>
    <w:rsid w:val="00582136"/>
    <w:rsid w:val="00587ED6"/>
    <w:rsid w:val="00593E86"/>
    <w:rsid w:val="00593F0E"/>
    <w:rsid w:val="005A033B"/>
    <w:rsid w:val="005B14DD"/>
    <w:rsid w:val="005C2EF6"/>
    <w:rsid w:val="005C6840"/>
    <w:rsid w:val="005D7884"/>
    <w:rsid w:val="005E7366"/>
    <w:rsid w:val="005F033F"/>
    <w:rsid w:val="005F0F3B"/>
    <w:rsid w:val="005F1ED8"/>
    <w:rsid w:val="005F263E"/>
    <w:rsid w:val="00600252"/>
    <w:rsid w:val="00604075"/>
    <w:rsid w:val="0061114A"/>
    <w:rsid w:val="00612642"/>
    <w:rsid w:val="00612A40"/>
    <w:rsid w:val="00614030"/>
    <w:rsid w:val="006248DF"/>
    <w:rsid w:val="00626280"/>
    <w:rsid w:val="0062714A"/>
    <w:rsid w:val="006357E7"/>
    <w:rsid w:val="00641DEC"/>
    <w:rsid w:val="00652AC2"/>
    <w:rsid w:val="00654E3A"/>
    <w:rsid w:val="00663A4C"/>
    <w:rsid w:val="00664BFF"/>
    <w:rsid w:val="00675479"/>
    <w:rsid w:val="00680709"/>
    <w:rsid w:val="00681F61"/>
    <w:rsid w:val="0068685F"/>
    <w:rsid w:val="006874C7"/>
    <w:rsid w:val="00696BF9"/>
    <w:rsid w:val="00696E6B"/>
    <w:rsid w:val="00697C62"/>
    <w:rsid w:val="006A329B"/>
    <w:rsid w:val="006A7EB8"/>
    <w:rsid w:val="006B1804"/>
    <w:rsid w:val="006B6926"/>
    <w:rsid w:val="006C3F47"/>
    <w:rsid w:val="006C5F7A"/>
    <w:rsid w:val="006D20D0"/>
    <w:rsid w:val="006D20F6"/>
    <w:rsid w:val="006E06AF"/>
    <w:rsid w:val="006F212F"/>
    <w:rsid w:val="006F350F"/>
    <w:rsid w:val="007032FF"/>
    <w:rsid w:val="00705B71"/>
    <w:rsid w:val="00712FF7"/>
    <w:rsid w:val="00732DB7"/>
    <w:rsid w:val="0074224B"/>
    <w:rsid w:val="0074238B"/>
    <w:rsid w:val="00745EF7"/>
    <w:rsid w:val="00746A75"/>
    <w:rsid w:val="00755A1E"/>
    <w:rsid w:val="00755F22"/>
    <w:rsid w:val="0076497D"/>
    <w:rsid w:val="00766E4A"/>
    <w:rsid w:val="00770337"/>
    <w:rsid w:val="0077793A"/>
    <w:rsid w:val="007820CE"/>
    <w:rsid w:val="00782AE4"/>
    <w:rsid w:val="00791922"/>
    <w:rsid w:val="0079724F"/>
    <w:rsid w:val="007A3EAE"/>
    <w:rsid w:val="007A5455"/>
    <w:rsid w:val="007A5551"/>
    <w:rsid w:val="007B2C27"/>
    <w:rsid w:val="007B48E4"/>
    <w:rsid w:val="007C04FC"/>
    <w:rsid w:val="007C3DB0"/>
    <w:rsid w:val="007C47C2"/>
    <w:rsid w:val="007D3E0F"/>
    <w:rsid w:val="007D503E"/>
    <w:rsid w:val="007E37E7"/>
    <w:rsid w:val="007E4282"/>
    <w:rsid w:val="007F1BBB"/>
    <w:rsid w:val="007F387B"/>
    <w:rsid w:val="008018A7"/>
    <w:rsid w:val="00802863"/>
    <w:rsid w:val="00805C2F"/>
    <w:rsid w:val="008112A9"/>
    <w:rsid w:val="0081473A"/>
    <w:rsid w:val="00815B3C"/>
    <w:rsid w:val="0081610A"/>
    <w:rsid w:val="0081785A"/>
    <w:rsid w:val="00824EEF"/>
    <w:rsid w:val="00825158"/>
    <w:rsid w:val="0082783A"/>
    <w:rsid w:val="00831CA9"/>
    <w:rsid w:val="008373B2"/>
    <w:rsid w:val="00837809"/>
    <w:rsid w:val="00840F54"/>
    <w:rsid w:val="00850E1F"/>
    <w:rsid w:val="008532A4"/>
    <w:rsid w:val="0085476B"/>
    <w:rsid w:val="00857B87"/>
    <w:rsid w:val="0086340B"/>
    <w:rsid w:val="008659C8"/>
    <w:rsid w:val="008734A9"/>
    <w:rsid w:val="00877C57"/>
    <w:rsid w:val="00880345"/>
    <w:rsid w:val="00881E53"/>
    <w:rsid w:val="008902B1"/>
    <w:rsid w:val="00890FEB"/>
    <w:rsid w:val="00892E28"/>
    <w:rsid w:val="00894FCE"/>
    <w:rsid w:val="0089549C"/>
    <w:rsid w:val="00895E7E"/>
    <w:rsid w:val="008962C7"/>
    <w:rsid w:val="008967A7"/>
    <w:rsid w:val="00897ACD"/>
    <w:rsid w:val="008A39F4"/>
    <w:rsid w:val="008A5C1A"/>
    <w:rsid w:val="008C60BF"/>
    <w:rsid w:val="008D292F"/>
    <w:rsid w:val="008D3B61"/>
    <w:rsid w:val="008E03DC"/>
    <w:rsid w:val="008E48E1"/>
    <w:rsid w:val="00902E51"/>
    <w:rsid w:val="00910199"/>
    <w:rsid w:val="00924065"/>
    <w:rsid w:val="00930D68"/>
    <w:rsid w:val="00930F68"/>
    <w:rsid w:val="00932DB4"/>
    <w:rsid w:val="009405A2"/>
    <w:rsid w:val="00941A4B"/>
    <w:rsid w:val="0094246A"/>
    <w:rsid w:val="00946242"/>
    <w:rsid w:val="0095096B"/>
    <w:rsid w:val="00955560"/>
    <w:rsid w:val="00956C8C"/>
    <w:rsid w:val="009574D7"/>
    <w:rsid w:val="009577C0"/>
    <w:rsid w:val="00967A71"/>
    <w:rsid w:val="00970CD3"/>
    <w:rsid w:val="009723FA"/>
    <w:rsid w:val="00973FBB"/>
    <w:rsid w:val="00981ACA"/>
    <w:rsid w:val="00981D23"/>
    <w:rsid w:val="00984546"/>
    <w:rsid w:val="00996510"/>
    <w:rsid w:val="009A16B6"/>
    <w:rsid w:val="009A4281"/>
    <w:rsid w:val="009B7569"/>
    <w:rsid w:val="009D1F15"/>
    <w:rsid w:val="009D555E"/>
    <w:rsid w:val="009D722B"/>
    <w:rsid w:val="009E3D60"/>
    <w:rsid w:val="009F3024"/>
    <w:rsid w:val="009F39BA"/>
    <w:rsid w:val="009F7EFD"/>
    <w:rsid w:val="00A0355E"/>
    <w:rsid w:val="00A15160"/>
    <w:rsid w:val="00A204A8"/>
    <w:rsid w:val="00A20C96"/>
    <w:rsid w:val="00A32143"/>
    <w:rsid w:val="00A3656E"/>
    <w:rsid w:val="00A375D1"/>
    <w:rsid w:val="00A4198B"/>
    <w:rsid w:val="00A43B21"/>
    <w:rsid w:val="00A51D10"/>
    <w:rsid w:val="00A51E28"/>
    <w:rsid w:val="00A52A83"/>
    <w:rsid w:val="00A53164"/>
    <w:rsid w:val="00A56819"/>
    <w:rsid w:val="00A62665"/>
    <w:rsid w:val="00A6552C"/>
    <w:rsid w:val="00A825B0"/>
    <w:rsid w:val="00A87207"/>
    <w:rsid w:val="00A935AA"/>
    <w:rsid w:val="00A956D3"/>
    <w:rsid w:val="00AA1CF8"/>
    <w:rsid w:val="00AA24DD"/>
    <w:rsid w:val="00AB2201"/>
    <w:rsid w:val="00AD1332"/>
    <w:rsid w:val="00AD1D34"/>
    <w:rsid w:val="00AD3259"/>
    <w:rsid w:val="00AD466D"/>
    <w:rsid w:val="00AF04F6"/>
    <w:rsid w:val="00AF0C41"/>
    <w:rsid w:val="00AF1715"/>
    <w:rsid w:val="00AF3904"/>
    <w:rsid w:val="00B010C0"/>
    <w:rsid w:val="00B02EFD"/>
    <w:rsid w:val="00B0511F"/>
    <w:rsid w:val="00B13AE2"/>
    <w:rsid w:val="00B34EF9"/>
    <w:rsid w:val="00B44283"/>
    <w:rsid w:val="00B45E9F"/>
    <w:rsid w:val="00B4740D"/>
    <w:rsid w:val="00B52474"/>
    <w:rsid w:val="00B57833"/>
    <w:rsid w:val="00B60B6E"/>
    <w:rsid w:val="00B61629"/>
    <w:rsid w:val="00B65CA2"/>
    <w:rsid w:val="00B7374B"/>
    <w:rsid w:val="00B73F85"/>
    <w:rsid w:val="00B877A6"/>
    <w:rsid w:val="00B90DC0"/>
    <w:rsid w:val="00B93B3E"/>
    <w:rsid w:val="00B94656"/>
    <w:rsid w:val="00BA116A"/>
    <w:rsid w:val="00BA1FD9"/>
    <w:rsid w:val="00BA5582"/>
    <w:rsid w:val="00BA5742"/>
    <w:rsid w:val="00BA6468"/>
    <w:rsid w:val="00BB1D44"/>
    <w:rsid w:val="00BB7272"/>
    <w:rsid w:val="00BC7394"/>
    <w:rsid w:val="00BC7B8C"/>
    <w:rsid w:val="00BD06DA"/>
    <w:rsid w:val="00BD4217"/>
    <w:rsid w:val="00BF25F3"/>
    <w:rsid w:val="00BF4E72"/>
    <w:rsid w:val="00BF5F29"/>
    <w:rsid w:val="00BF6F03"/>
    <w:rsid w:val="00C0000D"/>
    <w:rsid w:val="00C03DE5"/>
    <w:rsid w:val="00C100D4"/>
    <w:rsid w:val="00C12CB1"/>
    <w:rsid w:val="00C138E8"/>
    <w:rsid w:val="00C1697B"/>
    <w:rsid w:val="00C21644"/>
    <w:rsid w:val="00C21CB5"/>
    <w:rsid w:val="00C4050A"/>
    <w:rsid w:val="00C40FFE"/>
    <w:rsid w:val="00C46376"/>
    <w:rsid w:val="00C50A5C"/>
    <w:rsid w:val="00C50FDF"/>
    <w:rsid w:val="00C5562F"/>
    <w:rsid w:val="00C63381"/>
    <w:rsid w:val="00C65022"/>
    <w:rsid w:val="00C658BB"/>
    <w:rsid w:val="00C7169F"/>
    <w:rsid w:val="00C73BBD"/>
    <w:rsid w:val="00C73D06"/>
    <w:rsid w:val="00C73E1B"/>
    <w:rsid w:val="00C759B4"/>
    <w:rsid w:val="00C762E4"/>
    <w:rsid w:val="00C77713"/>
    <w:rsid w:val="00C77D99"/>
    <w:rsid w:val="00C85BB7"/>
    <w:rsid w:val="00C966BD"/>
    <w:rsid w:val="00CA2DEA"/>
    <w:rsid w:val="00CB2042"/>
    <w:rsid w:val="00CB2B1A"/>
    <w:rsid w:val="00CB3520"/>
    <w:rsid w:val="00CB43D5"/>
    <w:rsid w:val="00CB7E9C"/>
    <w:rsid w:val="00CC110C"/>
    <w:rsid w:val="00CC4D84"/>
    <w:rsid w:val="00CC5479"/>
    <w:rsid w:val="00CD58BE"/>
    <w:rsid w:val="00CD5E2D"/>
    <w:rsid w:val="00CD64EB"/>
    <w:rsid w:val="00CD6BE0"/>
    <w:rsid w:val="00CE198A"/>
    <w:rsid w:val="00CE1E76"/>
    <w:rsid w:val="00CE4C7B"/>
    <w:rsid w:val="00CF08C8"/>
    <w:rsid w:val="00CF5B2E"/>
    <w:rsid w:val="00D004FC"/>
    <w:rsid w:val="00D0726B"/>
    <w:rsid w:val="00D119F3"/>
    <w:rsid w:val="00D15C12"/>
    <w:rsid w:val="00D1707C"/>
    <w:rsid w:val="00D33405"/>
    <w:rsid w:val="00D46883"/>
    <w:rsid w:val="00D50799"/>
    <w:rsid w:val="00D56782"/>
    <w:rsid w:val="00D64901"/>
    <w:rsid w:val="00D65492"/>
    <w:rsid w:val="00D7558B"/>
    <w:rsid w:val="00D76BDF"/>
    <w:rsid w:val="00D818B6"/>
    <w:rsid w:val="00D83021"/>
    <w:rsid w:val="00D83147"/>
    <w:rsid w:val="00D83251"/>
    <w:rsid w:val="00D862C1"/>
    <w:rsid w:val="00D87F00"/>
    <w:rsid w:val="00D93B50"/>
    <w:rsid w:val="00D94028"/>
    <w:rsid w:val="00D94670"/>
    <w:rsid w:val="00DA46F6"/>
    <w:rsid w:val="00DB2B14"/>
    <w:rsid w:val="00DB374F"/>
    <w:rsid w:val="00DB4206"/>
    <w:rsid w:val="00DB63CA"/>
    <w:rsid w:val="00DC1B30"/>
    <w:rsid w:val="00DC44FD"/>
    <w:rsid w:val="00DD0B49"/>
    <w:rsid w:val="00DD2963"/>
    <w:rsid w:val="00DE0502"/>
    <w:rsid w:val="00DE349D"/>
    <w:rsid w:val="00DE50E0"/>
    <w:rsid w:val="00DF7941"/>
    <w:rsid w:val="00E06C22"/>
    <w:rsid w:val="00E06DFA"/>
    <w:rsid w:val="00E11427"/>
    <w:rsid w:val="00E1150D"/>
    <w:rsid w:val="00E20A0A"/>
    <w:rsid w:val="00E240C2"/>
    <w:rsid w:val="00E32117"/>
    <w:rsid w:val="00E356C7"/>
    <w:rsid w:val="00E37FEE"/>
    <w:rsid w:val="00E414CA"/>
    <w:rsid w:val="00E41A5A"/>
    <w:rsid w:val="00E42B65"/>
    <w:rsid w:val="00E4393B"/>
    <w:rsid w:val="00E43B4C"/>
    <w:rsid w:val="00E44E09"/>
    <w:rsid w:val="00E45FE4"/>
    <w:rsid w:val="00E471FA"/>
    <w:rsid w:val="00E56933"/>
    <w:rsid w:val="00E64C99"/>
    <w:rsid w:val="00E64FA7"/>
    <w:rsid w:val="00E73FED"/>
    <w:rsid w:val="00E770CB"/>
    <w:rsid w:val="00E801EA"/>
    <w:rsid w:val="00E861F7"/>
    <w:rsid w:val="00E903A1"/>
    <w:rsid w:val="00E93813"/>
    <w:rsid w:val="00E940EB"/>
    <w:rsid w:val="00E94C2F"/>
    <w:rsid w:val="00E9703F"/>
    <w:rsid w:val="00EA30E1"/>
    <w:rsid w:val="00EB1AB7"/>
    <w:rsid w:val="00EB2B90"/>
    <w:rsid w:val="00EC40A7"/>
    <w:rsid w:val="00EC47A1"/>
    <w:rsid w:val="00ED7E83"/>
    <w:rsid w:val="00EE091F"/>
    <w:rsid w:val="00EE467B"/>
    <w:rsid w:val="00EE4D61"/>
    <w:rsid w:val="00EF4B63"/>
    <w:rsid w:val="00EF7BAA"/>
    <w:rsid w:val="00F0068D"/>
    <w:rsid w:val="00F01FBB"/>
    <w:rsid w:val="00F0576D"/>
    <w:rsid w:val="00F05E2B"/>
    <w:rsid w:val="00F12C57"/>
    <w:rsid w:val="00F14E6D"/>
    <w:rsid w:val="00F15EA8"/>
    <w:rsid w:val="00F16C8D"/>
    <w:rsid w:val="00F23EC7"/>
    <w:rsid w:val="00F26C61"/>
    <w:rsid w:val="00F33CCE"/>
    <w:rsid w:val="00F36349"/>
    <w:rsid w:val="00F40249"/>
    <w:rsid w:val="00F43FE0"/>
    <w:rsid w:val="00F45B13"/>
    <w:rsid w:val="00F4662B"/>
    <w:rsid w:val="00F51EB7"/>
    <w:rsid w:val="00F526C8"/>
    <w:rsid w:val="00F676D1"/>
    <w:rsid w:val="00F7291A"/>
    <w:rsid w:val="00F7361C"/>
    <w:rsid w:val="00F73A0F"/>
    <w:rsid w:val="00F74AB7"/>
    <w:rsid w:val="00F761A3"/>
    <w:rsid w:val="00F7714C"/>
    <w:rsid w:val="00F824BC"/>
    <w:rsid w:val="00F83204"/>
    <w:rsid w:val="00F90371"/>
    <w:rsid w:val="00F91A84"/>
    <w:rsid w:val="00F9272D"/>
    <w:rsid w:val="00F9518C"/>
    <w:rsid w:val="00FA2A3E"/>
    <w:rsid w:val="00FA316E"/>
    <w:rsid w:val="00FA3373"/>
    <w:rsid w:val="00FA59EF"/>
    <w:rsid w:val="00FB19A2"/>
    <w:rsid w:val="00FB4A2E"/>
    <w:rsid w:val="00FB4D6B"/>
    <w:rsid w:val="00FB7870"/>
    <w:rsid w:val="00FC5995"/>
    <w:rsid w:val="00FC7F2A"/>
    <w:rsid w:val="00FF03F1"/>
    <w:rsid w:val="00FF28E0"/>
    <w:rsid w:val="00FF2B06"/>
    <w:rsid w:val="00FF3C3B"/>
    <w:rsid w:val="00FF47F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97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BB"/>
    <w:rPr>
      <w:rFonts w:ascii="Segoe UI" w:hAnsi="Segoe UI" w:cs="Segoe UI"/>
      <w:sz w:val="18"/>
      <w:szCs w:val="18"/>
      <w:lang w:val="en-CA"/>
    </w:rPr>
  </w:style>
  <w:style w:type="character" w:customStyle="1" w:styleId="documentstaticurl">
    <w:name w:val="documentstaticurl"/>
    <w:basedOn w:val="DefaultParagraphFont"/>
    <w:rsid w:val="0075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1141">
      <w:bodyDiv w:val="1"/>
      <w:marLeft w:val="0"/>
      <w:marRight w:val="0"/>
      <w:marTop w:val="0"/>
      <w:marBottom w:val="0"/>
      <w:divBdr>
        <w:top w:val="none" w:sz="0" w:space="0" w:color="auto"/>
        <w:left w:val="none" w:sz="0" w:space="0" w:color="auto"/>
        <w:bottom w:val="none" w:sz="0" w:space="0" w:color="auto"/>
        <w:right w:val="none" w:sz="0" w:space="0" w:color="auto"/>
      </w:divBdr>
    </w:div>
    <w:div w:id="164051836">
      <w:bodyDiv w:val="1"/>
      <w:marLeft w:val="0"/>
      <w:marRight w:val="0"/>
      <w:marTop w:val="0"/>
      <w:marBottom w:val="0"/>
      <w:divBdr>
        <w:top w:val="none" w:sz="0" w:space="0" w:color="auto"/>
        <w:left w:val="none" w:sz="0" w:space="0" w:color="auto"/>
        <w:bottom w:val="none" w:sz="0" w:space="0" w:color="auto"/>
        <w:right w:val="none" w:sz="0" w:space="0" w:color="auto"/>
      </w:divBdr>
    </w:div>
    <w:div w:id="166094743">
      <w:bodyDiv w:val="1"/>
      <w:marLeft w:val="0"/>
      <w:marRight w:val="0"/>
      <w:marTop w:val="0"/>
      <w:marBottom w:val="0"/>
      <w:divBdr>
        <w:top w:val="none" w:sz="0" w:space="0" w:color="auto"/>
        <w:left w:val="none" w:sz="0" w:space="0" w:color="auto"/>
        <w:bottom w:val="none" w:sz="0" w:space="0" w:color="auto"/>
        <w:right w:val="none" w:sz="0" w:space="0" w:color="auto"/>
      </w:divBdr>
    </w:div>
    <w:div w:id="223298799">
      <w:bodyDiv w:val="1"/>
      <w:marLeft w:val="0"/>
      <w:marRight w:val="0"/>
      <w:marTop w:val="0"/>
      <w:marBottom w:val="0"/>
      <w:divBdr>
        <w:top w:val="none" w:sz="0" w:space="0" w:color="auto"/>
        <w:left w:val="none" w:sz="0" w:space="0" w:color="auto"/>
        <w:bottom w:val="none" w:sz="0" w:space="0" w:color="auto"/>
        <w:right w:val="none" w:sz="0" w:space="0" w:color="auto"/>
      </w:divBdr>
    </w:div>
    <w:div w:id="260068576">
      <w:bodyDiv w:val="1"/>
      <w:marLeft w:val="0"/>
      <w:marRight w:val="0"/>
      <w:marTop w:val="0"/>
      <w:marBottom w:val="0"/>
      <w:divBdr>
        <w:top w:val="none" w:sz="0" w:space="0" w:color="auto"/>
        <w:left w:val="none" w:sz="0" w:space="0" w:color="auto"/>
        <w:bottom w:val="none" w:sz="0" w:space="0" w:color="auto"/>
        <w:right w:val="none" w:sz="0" w:space="0" w:color="auto"/>
      </w:divBdr>
    </w:div>
    <w:div w:id="294528888">
      <w:bodyDiv w:val="1"/>
      <w:marLeft w:val="0"/>
      <w:marRight w:val="0"/>
      <w:marTop w:val="0"/>
      <w:marBottom w:val="0"/>
      <w:divBdr>
        <w:top w:val="none" w:sz="0" w:space="0" w:color="auto"/>
        <w:left w:val="none" w:sz="0" w:space="0" w:color="auto"/>
        <w:bottom w:val="none" w:sz="0" w:space="0" w:color="auto"/>
        <w:right w:val="none" w:sz="0" w:space="0" w:color="auto"/>
      </w:divBdr>
    </w:div>
    <w:div w:id="330333000">
      <w:bodyDiv w:val="1"/>
      <w:marLeft w:val="0"/>
      <w:marRight w:val="0"/>
      <w:marTop w:val="0"/>
      <w:marBottom w:val="0"/>
      <w:divBdr>
        <w:top w:val="none" w:sz="0" w:space="0" w:color="auto"/>
        <w:left w:val="none" w:sz="0" w:space="0" w:color="auto"/>
        <w:bottom w:val="none" w:sz="0" w:space="0" w:color="auto"/>
        <w:right w:val="none" w:sz="0" w:space="0" w:color="auto"/>
      </w:divBdr>
    </w:div>
    <w:div w:id="335111671">
      <w:bodyDiv w:val="1"/>
      <w:marLeft w:val="0"/>
      <w:marRight w:val="0"/>
      <w:marTop w:val="0"/>
      <w:marBottom w:val="0"/>
      <w:divBdr>
        <w:top w:val="none" w:sz="0" w:space="0" w:color="auto"/>
        <w:left w:val="none" w:sz="0" w:space="0" w:color="auto"/>
        <w:bottom w:val="none" w:sz="0" w:space="0" w:color="auto"/>
        <w:right w:val="none" w:sz="0" w:space="0" w:color="auto"/>
      </w:divBdr>
    </w:div>
    <w:div w:id="341705500">
      <w:bodyDiv w:val="1"/>
      <w:marLeft w:val="0"/>
      <w:marRight w:val="0"/>
      <w:marTop w:val="0"/>
      <w:marBottom w:val="0"/>
      <w:divBdr>
        <w:top w:val="none" w:sz="0" w:space="0" w:color="auto"/>
        <w:left w:val="none" w:sz="0" w:space="0" w:color="auto"/>
        <w:bottom w:val="none" w:sz="0" w:space="0" w:color="auto"/>
        <w:right w:val="none" w:sz="0" w:space="0" w:color="auto"/>
      </w:divBdr>
    </w:div>
    <w:div w:id="352390045">
      <w:bodyDiv w:val="1"/>
      <w:marLeft w:val="0"/>
      <w:marRight w:val="0"/>
      <w:marTop w:val="0"/>
      <w:marBottom w:val="0"/>
      <w:divBdr>
        <w:top w:val="none" w:sz="0" w:space="0" w:color="auto"/>
        <w:left w:val="none" w:sz="0" w:space="0" w:color="auto"/>
        <w:bottom w:val="none" w:sz="0" w:space="0" w:color="auto"/>
        <w:right w:val="none" w:sz="0" w:space="0" w:color="auto"/>
      </w:divBdr>
    </w:div>
    <w:div w:id="417138655">
      <w:bodyDiv w:val="1"/>
      <w:marLeft w:val="0"/>
      <w:marRight w:val="0"/>
      <w:marTop w:val="0"/>
      <w:marBottom w:val="0"/>
      <w:divBdr>
        <w:top w:val="none" w:sz="0" w:space="0" w:color="auto"/>
        <w:left w:val="none" w:sz="0" w:space="0" w:color="auto"/>
        <w:bottom w:val="none" w:sz="0" w:space="0" w:color="auto"/>
        <w:right w:val="none" w:sz="0" w:space="0" w:color="auto"/>
      </w:divBdr>
    </w:div>
    <w:div w:id="426198128">
      <w:bodyDiv w:val="1"/>
      <w:marLeft w:val="0"/>
      <w:marRight w:val="0"/>
      <w:marTop w:val="0"/>
      <w:marBottom w:val="0"/>
      <w:divBdr>
        <w:top w:val="none" w:sz="0" w:space="0" w:color="auto"/>
        <w:left w:val="none" w:sz="0" w:space="0" w:color="auto"/>
        <w:bottom w:val="none" w:sz="0" w:space="0" w:color="auto"/>
        <w:right w:val="none" w:sz="0" w:space="0" w:color="auto"/>
      </w:divBdr>
    </w:div>
    <w:div w:id="489713868">
      <w:bodyDiv w:val="1"/>
      <w:marLeft w:val="0"/>
      <w:marRight w:val="0"/>
      <w:marTop w:val="0"/>
      <w:marBottom w:val="0"/>
      <w:divBdr>
        <w:top w:val="none" w:sz="0" w:space="0" w:color="auto"/>
        <w:left w:val="none" w:sz="0" w:space="0" w:color="auto"/>
        <w:bottom w:val="none" w:sz="0" w:space="0" w:color="auto"/>
        <w:right w:val="none" w:sz="0" w:space="0" w:color="auto"/>
      </w:divBdr>
    </w:div>
    <w:div w:id="493447610">
      <w:bodyDiv w:val="1"/>
      <w:marLeft w:val="0"/>
      <w:marRight w:val="0"/>
      <w:marTop w:val="0"/>
      <w:marBottom w:val="0"/>
      <w:divBdr>
        <w:top w:val="none" w:sz="0" w:space="0" w:color="auto"/>
        <w:left w:val="none" w:sz="0" w:space="0" w:color="auto"/>
        <w:bottom w:val="none" w:sz="0" w:space="0" w:color="auto"/>
        <w:right w:val="none" w:sz="0" w:space="0" w:color="auto"/>
      </w:divBdr>
    </w:div>
    <w:div w:id="536115576">
      <w:bodyDiv w:val="1"/>
      <w:marLeft w:val="0"/>
      <w:marRight w:val="0"/>
      <w:marTop w:val="0"/>
      <w:marBottom w:val="0"/>
      <w:divBdr>
        <w:top w:val="none" w:sz="0" w:space="0" w:color="auto"/>
        <w:left w:val="none" w:sz="0" w:space="0" w:color="auto"/>
        <w:bottom w:val="none" w:sz="0" w:space="0" w:color="auto"/>
        <w:right w:val="none" w:sz="0" w:space="0" w:color="auto"/>
      </w:divBdr>
    </w:div>
    <w:div w:id="537400142">
      <w:bodyDiv w:val="1"/>
      <w:marLeft w:val="0"/>
      <w:marRight w:val="0"/>
      <w:marTop w:val="0"/>
      <w:marBottom w:val="0"/>
      <w:divBdr>
        <w:top w:val="none" w:sz="0" w:space="0" w:color="auto"/>
        <w:left w:val="none" w:sz="0" w:space="0" w:color="auto"/>
        <w:bottom w:val="none" w:sz="0" w:space="0" w:color="auto"/>
        <w:right w:val="none" w:sz="0" w:space="0" w:color="auto"/>
      </w:divBdr>
    </w:div>
    <w:div w:id="543296661">
      <w:bodyDiv w:val="1"/>
      <w:marLeft w:val="0"/>
      <w:marRight w:val="0"/>
      <w:marTop w:val="0"/>
      <w:marBottom w:val="0"/>
      <w:divBdr>
        <w:top w:val="none" w:sz="0" w:space="0" w:color="auto"/>
        <w:left w:val="none" w:sz="0" w:space="0" w:color="auto"/>
        <w:bottom w:val="none" w:sz="0" w:space="0" w:color="auto"/>
        <w:right w:val="none" w:sz="0" w:space="0" w:color="auto"/>
      </w:divBdr>
    </w:div>
    <w:div w:id="547030305">
      <w:bodyDiv w:val="1"/>
      <w:marLeft w:val="0"/>
      <w:marRight w:val="0"/>
      <w:marTop w:val="0"/>
      <w:marBottom w:val="0"/>
      <w:divBdr>
        <w:top w:val="none" w:sz="0" w:space="0" w:color="auto"/>
        <w:left w:val="none" w:sz="0" w:space="0" w:color="auto"/>
        <w:bottom w:val="none" w:sz="0" w:space="0" w:color="auto"/>
        <w:right w:val="none" w:sz="0" w:space="0" w:color="auto"/>
      </w:divBdr>
    </w:div>
    <w:div w:id="585767972">
      <w:bodyDiv w:val="1"/>
      <w:marLeft w:val="0"/>
      <w:marRight w:val="0"/>
      <w:marTop w:val="0"/>
      <w:marBottom w:val="0"/>
      <w:divBdr>
        <w:top w:val="none" w:sz="0" w:space="0" w:color="auto"/>
        <w:left w:val="none" w:sz="0" w:space="0" w:color="auto"/>
        <w:bottom w:val="none" w:sz="0" w:space="0" w:color="auto"/>
        <w:right w:val="none" w:sz="0" w:space="0" w:color="auto"/>
      </w:divBdr>
    </w:div>
    <w:div w:id="604264542">
      <w:bodyDiv w:val="1"/>
      <w:marLeft w:val="0"/>
      <w:marRight w:val="0"/>
      <w:marTop w:val="0"/>
      <w:marBottom w:val="0"/>
      <w:divBdr>
        <w:top w:val="none" w:sz="0" w:space="0" w:color="auto"/>
        <w:left w:val="none" w:sz="0" w:space="0" w:color="auto"/>
        <w:bottom w:val="none" w:sz="0" w:space="0" w:color="auto"/>
        <w:right w:val="none" w:sz="0" w:space="0" w:color="auto"/>
      </w:divBdr>
    </w:div>
    <w:div w:id="756243611">
      <w:bodyDiv w:val="1"/>
      <w:marLeft w:val="0"/>
      <w:marRight w:val="0"/>
      <w:marTop w:val="0"/>
      <w:marBottom w:val="0"/>
      <w:divBdr>
        <w:top w:val="none" w:sz="0" w:space="0" w:color="auto"/>
        <w:left w:val="none" w:sz="0" w:space="0" w:color="auto"/>
        <w:bottom w:val="none" w:sz="0" w:space="0" w:color="auto"/>
        <w:right w:val="none" w:sz="0" w:space="0" w:color="auto"/>
      </w:divBdr>
    </w:div>
    <w:div w:id="779106731">
      <w:bodyDiv w:val="1"/>
      <w:marLeft w:val="0"/>
      <w:marRight w:val="0"/>
      <w:marTop w:val="0"/>
      <w:marBottom w:val="0"/>
      <w:divBdr>
        <w:top w:val="none" w:sz="0" w:space="0" w:color="auto"/>
        <w:left w:val="none" w:sz="0" w:space="0" w:color="auto"/>
        <w:bottom w:val="none" w:sz="0" w:space="0" w:color="auto"/>
        <w:right w:val="none" w:sz="0" w:space="0" w:color="auto"/>
      </w:divBdr>
    </w:div>
    <w:div w:id="799958065">
      <w:bodyDiv w:val="1"/>
      <w:marLeft w:val="0"/>
      <w:marRight w:val="0"/>
      <w:marTop w:val="0"/>
      <w:marBottom w:val="0"/>
      <w:divBdr>
        <w:top w:val="none" w:sz="0" w:space="0" w:color="auto"/>
        <w:left w:val="none" w:sz="0" w:space="0" w:color="auto"/>
        <w:bottom w:val="none" w:sz="0" w:space="0" w:color="auto"/>
        <w:right w:val="none" w:sz="0" w:space="0" w:color="auto"/>
      </w:divBdr>
    </w:div>
    <w:div w:id="852492369">
      <w:bodyDiv w:val="1"/>
      <w:marLeft w:val="0"/>
      <w:marRight w:val="0"/>
      <w:marTop w:val="0"/>
      <w:marBottom w:val="0"/>
      <w:divBdr>
        <w:top w:val="none" w:sz="0" w:space="0" w:color="auto"/>
        <w:left w:val="none" w:sz="0" w:space="0" w:color="auto"/>
        <w:bottom w:val="none" w:sz="0" w:space="0" w:color="auto"/>
        <w:right w:val="none" w:sz="0" w:space="0" w:color="auto"/>
      </w:divBdr>
    </w:div>
    <w:div w:id="1088384736">
      <w:bodyDiv w:val="1"/>
      <w:marLeft w:val="0"/>
      <w:marRight w:val="0"/>
      <w:marTop w:val="0"/>
      <w:marBottom w:val="0"/>
      <w:divBdr>
        <w:top w:val="none" w:sz="0" w:space="0" w:color="auto"/>
        <w:left w:val="none" w:sz="0" w:space="0" w:color="auto"/>
        <w:bottom w:val="none" w:sz="0" w:space="0" w:color="auto"/>
        <w:right w:val="none" w:sz="0" w:space="0" w:color="auto"/>
      </w:divBdr>
    </w:div>
    <w:div w:id="1111782694">
      <w:bodyDiv w:val="1"/>
      <w:marLeft w:val="0"/>
      <w:marRight w:val="0"/>
      <w:marTop w:val="0"/>
      <w:marBottom w:val="0"/>
      <w:divBdr>
        <w:top w:val="none" w:sz="0" w:space="0" w:color="auto"/>
        <w:left w:val="none" w:sz="0" w:space="0" w:color="auto"/>
        <w:bottom w:val="none" w:sz="0" w:space="0" w:color="auto"/>
        <w:right w:val="none" w:sz="0" w:space="0" w:color="auto"/>
      </w:divBdr>
    </w:div>
    <w:div w:id="1127893755">
      <w:bodyDiv w:val="1"/>
      <w:marLeft w:val="0"/>
      <w:marRight w:val="0"/>
      <w:marTop w:val="0"/>
      <w:marBottom w:val="0"/>
      <w:divBdr>
        <w:top w:val="none" w:sz="0" w:space="0" w:color="auto"/>
        <w:left w:val="none" w:sz="0" w:space="0" w:color="auto"/>
        <w:bottom w:val="none" w:sz="0" w:space="0" w:color="auto"/>
        <w:right w:val="none" w:sz="0" w:space="0" w:color="auto"/>
      </w:divBdr>
    </w:div>
    <w:div w:id="1239512568">
      <w:bodyDiv w:val="1"/>
      <w:marLeft w:val="0"/>
      <w:marRight w:val="0"/>
      <w:marTop w:val="0"/>
      <w:marBottom w:val="0"/>
      <w:divBdr>
        <w:top w:val="none" w:sz="0" w:space="0" w:color="auto"/>
        <w:left w:val="none" w:sz="0" w:space="0" w:color="auto"/>
        <w:bottom w:val="none" w:sz="0" w:space="0" w:color="auto"/>
        <w:right w:val="none" w:sz="0" w:space="0" w:color="auto"/>
      </w:divBdr>
    </w:div>
    <w:div w:id="1310326852">
      <w:bodyDiv w:val="1"/>
      <w:marLeft w:val="0"/>
      <w:marRight w:val="0"/>
      <w:marTop w:val="0"/>
      <w:marBottom w:val="0"/>
      <w:divBdr>
        <w:top w:val="none" w:sz="0" w:space="0" w:color="auto"/>
        <w:left w:val="none" w:sz="0" w:space="0" w:color="auto"/>
        <w:bottom w:val="none" w:sz="0" w:space="0" w:color="auto"/>
        <w:right w:val="none" w:sz="0" w:space="0" w:color="auto"/>
      </w:divBdr>
    </w:div>
    <w:div w:id="1318077098">
      <w:bodyDiv w:val="1"/>
      <w:marLeft w:val="0"/>
      <w:marRight w:val="0"/>
      <w:marTop w:val="0"/>
      <w:marBottom w:val="0"/>
      <w:divBdr>
        <w:top w:val="none" w:sz="0" w:space="0" w:color="auto"/>
        <w:left w:val="none" w:sz="0" w:space="0" w:color="auto"/>
        <w:bottom w:val="none" w:sz="0" w:space="0" w:color="auto"/>
        <w:right w:val="none" w:sz="0" w:space="0" w:color="auto"/>
      </w:divBdr>
    </w:div>
    <w:div w:id="1327825318">
      <w:bodyDiv w:val="1"/>
      <w:marLeft w:val="0"/>
      <w:marRight w:val="0"/>
      <w:marTop w:val="0"/>
      <w:marBottom w:val="0"/>
      <w:divBdr>
        <w:top w:val="none" w:sz="0" w:space="0" w:color="auto"/>
        <w:left w:val="none" w:sz="0" w:space="0" w:color="auto"/>
        <w:bottom w:val="none" w:sz="0" w:space="0" w:color="auto"/>
        <w:right w:val="none" w:sz="0" w:space="0" w:color="auto"/>
      </w:divBdr>
    </w:div>
    <w:div w:id="1331785820">
      <w:bodyDiv w:val="1"/>
      <w:marLeft w:val="0"/>
      <w:marRight w:val="0"/>
      <w:marTop w:val="0"/>
      <w:marBottom w:val="0"/>
      <w:divBdr>
        <w:top w:val="none" w:sz="0" w:space="0" w:color="auto"/>
        <w:left w:val="none" w:sz="0" w:space="0" w:color="auto"/>
        <w:bottom w:val="none" w:sz="0" w:space="0" w:color="auto"/>
        <w:right w:val="none" w:sz="0" w:space="0" w:color="auto"/>
      </w:divBdr>
    </w:div>
    <w:div w:id="1355501486">
      <w:bodyDiv w:val="1"/>
      <w:marLeft w:val="0"/>
      <w:marRight w:val="0"/>
      <w:marTop w:val="0"/>
      <w:marBottom w:val="0"/>
      <w:divBdr>
        <w:top w:val="none" w:sz="0" w:space="0" w:color="auto"/>
        <w:left w:val="none" w:sz="0" w:space="0" w:color="auto"/>
        <w:bottom w:val="none" w:sz="0" w:space="0" w:color="auto"/>
        <w:right w:val="none" w:sz="0" w:space="0" w:color="auto"/>
      </w:divBdr>
    </w:div>
    <w:div w:id="1371221168">
      <w:bodyDiv w:val="1"/>
      <w:marLeft w:val="0"/>
      <w:marRight w:val="0"/>
      <w:marTop w:val="0"/>
      <w:marBottom w:val="0"/>
      <w:divBdr>
        <w:top w:val="none" w:sz="0" w:space="0" w:color="auto"/>
        <w:left w:val="none" w:sz="0" w:space="0" w:color="auto"/>
        <w:bottom w:val="none" w:sz="0" w:space="0" w:color="auto"/>
        <w:right w:val="none" w:sz="0" w:space="0" w:color="auto"/>
      </w:divBdr>
    </w:div>
    <w:div w:id="1385987851">
      <w:bodyDiv w:val="1"/>
      <w:marLeft w:val="0"/>
      <w:marRight w:val="0"/>
      <w:marTop w:val="0"/>
      <w:marBottom w:val="0"/>
      <w:divBdr>
        <w:top w:val="none" w:sz="0" w:space="0" w:color="auto"/>
        <w:left w:val="none" w:sz="0" w:space="0" w:color="auto"/>
        <w:bottom w:val="none" w:sz="0" w:space="0" w:color="auto"/>
        <w:right w:val="none" w:sz="0" w:space="0" w:color="auto"/>
      </w:divBdr>
    </w:div>
    <w:div w:id="1418400936">
      <w:bodyDiv w:val="1"/>
      <w:marLeft w:val="0"/>
      <w:marRight w:val="0"/>
      <w:marTop w:val="0"/>
      <w:marBottom w:val="0"/>
      <w:divBdr>
        <w:top w:val="none" w:sz="0" w:space="0" w:color="auto"/>
        <w:left w:val="none" w:sz="0" w:space="0" w:color="auto"/>
        <w:bottom w:val="none" w:sz="0" w:space="0" w:color="auto"/>
        <w:right w:val="none" w:sz="0" w:space="0" w:color="auto"/>
      </w:divBdr>
    </w:div>
    <w:div w:id="1427462406">
      <w:bodyDiv w:val="1"/>
      <w:marLeft w:val="0"/>
      <w:marRight w:val="0"/>
      <w:marTop w:val="0"/>
      <w:marBottom w:val="0"/>
      <w:divBdr>
        <w:top w:val="none" w:sz="0" w:space="0" w:color="auto"/>
        <w:left w:val="none" w:sz="0" w:space="0" w:color="auto"/>
        <w:bottom w:val="none" w:sz="0" w:space="0" w:color="auto"/>
        <w:right w:val="none" w:sz="0" w:space="0" w:color="auto"/>
      </w:divBdr>
    </w:div>
    <w:div w:id="1506824649">
      <w:bodyDiv w:val="1"/>
      <w:marLeft w:val="0"/>
      <w:marRight w:val="0"/>
      <w:marTop w:val="0"/>
      <w:marBottom w:val="0"/>
      <w:divBdr>
        <w:top w:val="none" w:sz="0" w:space="0" w:color="auto"/>
        <w:left w:val="none" w:sz="0" w:space="0" w:color="auto"/>
        <w:bottom w:val="none" w:sz="0" w:space="0" w:color="auto"/>
        <w:right w:val="none" w:sz="0" w:space="0" w:color="auto"/>
      </w:divBdr>
    </w:div>
    <w:div w:id="1552963213">
      <w:bodyDiv w:val="1"/>
      <w:marLeft w:val="0"/>
      <w:marRight w:val="0"/>
      <w:marTop w:val="0"/>
      <w:marBottom w:val="0"/>
      <w:divBdr>
        <w:top w:val="none" w:sz="0" w:space="0" w:color="auto"/>
        <w:left w:val="none" w:sz="0" w:space="0" w:color="auto"/>
        <w:bottom w:val="none" w:sz="0" w:space="0" w:color="auto"/>
        <w:right w:val="none" w:sz="0" w:space="0" w:color="auto"/>
      </w:divBdr>
    </w:div>
    <w:div w:id="1556772965">
      <w:bodyDiv w:val="1"/>
      <w:marLeft w:val="0"/>
      <w:marRight w:val="0"/>
      <w:marTop w:val="0"/>
      <w:marBottom w:val="0"/>
      <w:divBdr>
        <w:top w:val="none" w:sz="0" w:space="0" w:color="auto"/>
        <w:left w:val="none" w:sz="0" w:space="0" w:color="auto"/>
        <w:bottom w:val="none" w:sz="0" w:space="0" w:color="auto"/>
        <w:right w:val="none" w:sz="0" w:space="0" w:color="auto"/>
      </w:divBdr>
    </w:div>
    <w:div w:id="1567033426">
      <w:bodyDiv w:val="1"/>
      <w:marLeft w:val="0"/>
      <w:marRight w:val="0"/>
      <w:marTop w:val="0"/>
      <w:marBottom w:val="0"/>
      <w:divBdr>
        <w:top w:val="none" w:sz="0" w:space="0" w:color="auto"/>
        <w:left w:val="none" w:sz="0" w:space="0" w:color="auto"/>
        <w:bottom w:val="none" w:sz="0" w:space="0" w:color="auto"/>
        <w:right w:val="none" w:sz="0" w:space="0" w:color="auto"/>
      </w:divBdr>
    </w:div>
    <w:div w:id="1585644198">
      <w:bodyDiv w:val="1"/>
      <w:marLeft w:val="0"/>
      <w:marRight w:val="0"/>
      <w:marTop w:val="0"/>
      <w:marBottom w:val="0"/>
      <w:divBdr>
        <w:top w:val="none" w:sz="0" w:space="0" w:color="auto"/>
        <w:left w:val="none" w:sz="0" w:space="0" w:color="auto"/>
        <w:bottom w:val="none" w:sz="0" w:space="0" w:color="auto"/>
        <w:right w:val="none" w:sz="0" w:space="0" w:color="auto"/>
      </w:divBdr>
    </w:div>
    <w:div w:id="1607737237">
      <w:bodyDiv w:val="1"/>
      <w:marLeft w:val="0"/>
      <w:marRight w:val="0"/>
      <w:marTop w:val="0"/>
      <w:marBottom w:val="0"/>
      <w:divBdr>
        <w:top w:val="none" w:sz="0" w:space="0" w:color="auto"/>
        <w:left w:val="none" w:sz="0" w:space="0" w:color="auto"/>
        <w:bottom w:val="none" w:sz="0" w:space="0" w:color="auto"/>
        <w:right w:val="none" w:sz="0" w:space="0" w:color="auto"/>
      </w:divBdr>
    </w:div>
    <w:div w:id="1655253400">
      <w:bodyDiv w:val="1"/>
      <w:marLeft w:val="0"/>
      <w:marRight w:val="0"/>
      <w:marTop w:val="0"/>
      <w:marBottom w:val="0"/>
      <w:divBdr>
        <w:top w:val="none" w:sz="0" w:space="0" w:color="auto"/>
        <w:left w:val="none" w:sz="0" w:space="0" w:color="auto"/>
        <w:bottom w:val="none" w:sz="0" w:space="0" w:color="auto"/>
        <w:right w:val="none" w:sz="0" w:space="0" w:color="auto"/>
      </w:divBdr>
    </w:div>
    <w:div w:id="1726679270">
      <w:bodyDiv w:val="1"/>
      <w:marLeft w:val="0"/>
      <w:marRight w:val="0"/>
      <w:marTop w:val="0"/>
      <w:marBottom w:val="0"/>
      <w:divBdr>
        <w:top w:val="none" w:sz="0" w:space="0" w:color="auto"/>
        <w:left w:val="none" w:sz="0" w:space="0" w:color="auto"/>
        <w:bottom w:val="none" w:sz="0" w:space="0" w:color="auto"/>
        <w:right w:val="none" w:sz="0" w:space="0" w:color="auto"/>
      </w:divBdr>
    </w:div>
    <w:div w:id="1747730007">
      <w:bodyDiv w:val="1"/>
      <w:marLeft w:val="0"/>
      <w:marRight w:val="0"/>
      <w:marTop w:val="0"/>
      <w:marBottom w:val="0"/>
      <w:divBdr>
        <w:top w:val="none" w:sz="0" w:space="0" w:color="auto"/>
        <w:left w:val="none" w:sz="0" w:space="0" w:color="auto"/>
        <w:bottom w:val="none" w:sz="0" w:space="0" w:color="auto"/>
        <w:right w:val="none" w:sz="0" w:space="0" w:color="auto"/>
      </w:divBdr>
    </w:div>
    <w:div w:id="1763185062">
      <w:bodyDiv w:val="1"/>
      <w:marLeft w:val="0"/>
      <w:marRight w:val="0"/>
      <w:marTop w:val="0"/>
      <w:marBottom w:val="0"/>
      <w:divBdr>
        <w:top w:val="none" w:sz="0" w:space="0" w:color="auto"/>
        <w:left w:val="none" w:sz="0" w:space="0" w:color="auto"/>
        <w:bottom w:val="none" w:sz="0" w:space="0" w:color="auto"/>
        <w:right w:val="none" w:sz="0" w:space="0" w:color="auto"/>
      </w:divBdr>
    </w:div>
    <w:div w:id="1780372752">
      <w:bodyDiv w:val="1"/>
      <w:marLeft w:val="0"/>
      <w:marRight w:val="0"/>
      <w:marTop w:val="0"/>
      <w:marBottom w:val="0"/>
      <w:divBdr>
        <w:top w:val="none" w:sz="0" w:space="0" w:color="auto"/>
        <w:left w:val="none" w:sz="0" w:space="0" w:color="auto"/>
        <w:bottom w:val="none" w:sz="0" w:space="0" w:color="auto"/>
        <w:right w:val="none" w:sz="0" w:space="0" w:color="auto"/>
      </w:divBdr>
    </w:div>
    <w:div w:id="1819569164">
      <w:bodyDiv w:val="1"/>
      <w:marLeft w:val="0"/>
      <w:marRight w:val="0"/>
      <w:marTop w:val="0"/>
      <w:marBottom w:val="0"/>
      <w:divBdr>
        <w:top w:val="none" w:sz="0" w:space="0" w:color="auto"/>
        <w:left w:val="none" w:sz="0" w:space="0" w:color="auto"/>
        <w:bottom w:val="none" w:sz="0" w:space="0" w:color="auto"/>
        <w:right w:val="none" w:sz="0" w:space="0" w:color="auto"/>
      </w:divBdr>
    </w:div>
    <w:div w:id="1834100402">
      <w:bodyDiv w:val="1"/>
      <w:marLeft w:val="0"/>
      <w:marRight w:val="0"/>
      <w:marTop w:val="0"/>
      <w:marBottom w:val="0"/>
      <w:divBdr>
        <w:top w:val="none" w:sz="0" w:space="0" w:color="auto"/>
        <w:left w:val="none" w:sz="0" w:space="0" w:color="auto"/>
        <w:bottom w:val="none" w:sz="0" w:space="0" w:color="auto"/>
        <w:right w:val="none" w:sz="0" w:space="0" w:color="auto"/>
      </w:divBdr>
    </w:div>
    <w:div w:id="1853717606">
      <w:bodyDiv w:val="1"/>
      <w:marLeft w:val="0"/>
      <w:marRight w:val="0"/>
      <w:marTop w:val="0"/>
      <w:marBottom w:val="0"/>
      <w:divBdr>
        <w:top w:val="none" w:sz="0" w:space="0" w:color="auto"/>
        <w:left w:val="none" w:sz="0" w:space="0" w:color="auto"/>
        <w:bottom w:val="none" w:sz="0" w:space="0" w:color="auto"/>
        <w:right w:val="none" w:sz="0" w:space="0" w:color="auto"/>
      </w:divBdr>
    </w:div>
    <w:div w:id="1911884591">
      <w:bodyDiv w:val="1"/>
      <w:marLeft w:val="0"/>
      <w:marRight w:val="0"/>
      <w:marTop w:val="0"/>
      <w:marBottom w:val="0"/>
      <w:divBdr>
        <w:top w:val="none" w:sz="0" w:space="0" w:color="auto"/>
        <w:left w:val="none" w:sz="0" w:space="0" w:color="auto"/>
        <w:bottom w:val="none" w:sz="0" w:space="0" w:color="auto"/>
        <w:right w:val="none" w:sz="0" w:space="0" w:color="auto"/>
      </w:divBdr>
    </w:div>
    <w:div w:id="1988632908">
      <w:bodyDiv w:val="1"/>
      <w:marLeft w:val="0"/>
      <w:marRight w:val="0"/>
      <w:marTop w:val="0"/>
      <w:marBottom w:val="0"/>
      <w:divBdr>
        <w:top w:val="none" w:sz="0" w:space="0" w:color="auto"/>
        <w:left w:val="none" w:sz="0" w:space="0" w:color="auto"/>
        <w:bottom w:val="none" w:sz="0" w:space="0" w:color="auto"/>
        <w:right w:val="none" w:sz="0" w:space="0" w:color="auto"/>
      </w:divBdr>
    </w:div>
    <w:div w:id="2046562430">
      <w:bodyDiv w:val="1"/>
      <w:marLeft w:val="0"/>
      <w:marRight w:val="0"/>
      <w:marTop w:val="0"/>
      <w:marBottom w:val="0"/>
      <w:divBdr>
        <w:top w:val="none" w:sz="0" w:space="0" w:color="auto"/>
        <w:left w:val="none" w:sz="0" w:space="0" w:color="auto"/>
        <w:bottom w:val="none" w:sz="0" w:space="0" w:color="auto"/>
        <w:right w:val="none" w:sz="0" w:space="0" w:color="auto"/>
      </w:divBdr>
    </w:div>
    <w:div w:id="2058894921">
      <w:bodyDiv w:val="1"/>
      <w:marLeft w:val="0"/>
      <w:marRight w:val="0"/>
      <w:marTop w:val="0"/>
      <w:marBottom w:val="0"/>
      <w:divBdr>
        <w:top w:val="none" w:sz="0" w:space="0" w:color="auto"/>
        <w:left w:val="none" w:sz="0" w:space="0" w:color="auto"/>
        <w:bottom w:val="none" w:sz="0" w:space="0" w:color="auto"/>
        <w:right w:val="none" w:sz="0" w:space="0" w:color="auto"/>
      </w:divBdr>
    </w:div>
    <w:div w:id="2071421629">
      <w:bodyDiv w:val="1"/>
      <w:marLeft w:val="0"/>
      <w:marRight w:val="0"/>
      <w:marTop w:val="0"/>
      <w:marBottom w:val="0"/>
      <w:divBdr>
        <w:top w:val="none" w:sz="0" w:space="0" w:color="auto"/>
        <w:left w:val="none" w:sz="0" w:space="0" w:color="auto"/>
        <w:bottom w:val="none" w:sz="0" w:space="0" w:color="auto"/>
        <w:right w:val="none" w:sz="0" w:space="0" w:color="auto"/>
      </w:divBdr>
    </w:div>
    <w:div w:id="2071490884">
      <w:bodyDiv w:val="1"/>
      <w:marLeft w:val="0"/>
      <w:marRight w:val="0"/>
      <w:marTop w:val="0"/>
      <w:marBottom w:val="0"/>
      <w:divBdr>
        <w:top w:val="none" w:sz="0" w:space="0" w:color="auto"/>
        <w:left w:val="none" w:sz="0" w:space="0" w:color="auto"/>
        <w:bottom w:val="none" w:sz="0" w:space="0" w:color="auto"/>
        <w:right w:val="none" w:sz="0" w:space="0" w:color="auto"/>
      </w:divBdr>
    </w:div>
    <w:div w:id="2122793961">
      <w:bodyDiv w:val="1"/>
      <w:marLeft w:val="0"/>
      <w:marRight w:val="0"/>
      <w:marTop w:val="0"/>
      <w:marBottom w:val="0"/>
      <w:divBdr>
        <w:top w:val="none" w:sz="0" w:space="0" w:color="auto"/>
        <w:left w:val="none" w:sz="0" w:space="0" w:color="auto"/>
        <w:bottom w:val="none" w:sz="0" w:space="0" w:color="auto"/>
        <w:right w:val="none" w:sz="0" w:space="0" w:color="auto"/>
      </w:divBdr>
    </w:div>
    <w:div w:id="21239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3/2013qccs968/2013qccs968.html" TargetMode="External"/><Relationship Id="rId117" Type="http://schemas.openxmlformats.org/officeDocument/2006/relationships/footer" Target="footer29.xml"/><Relationship Id="rId21" Type="http://schemas.openxmlformats.org/officeDocument/2006/relationships/footer" Target="footer6.xml"/><Relationship Id="rId42" Type="http://schemas.openxmlformats.org/officeDocument/2006/relationships/hyperlink" Target="http://canlii.ca/t/gdw4b" TargetMode="External"/><Relationship Id="rId47" Type="http://schemas.openxmlformats.org/officeDocument/2006/relationships/hyperlink" Target="http://canlii.ca/t/g836g" TargetMode="External"/><Relationship Id="rId63" Type="http://schemas.openxmlformats.org/officeDocument/2006/relationships/hyperlink" Target="https://www.canlii.org/fr/qc/qcca/doc/2015/2015qcca1112/2015qcca1112.html?resultIndex=12" TargetMode="External"/><Relationship Id="rId68" Type="http://schemas.openxmlformats.org/officeDocument/2006/relationships/header" Target="header8.xml"/><Relationship Id="rId84" Type="http://schemas.openxmlformats.org/officeDocument/2006/relationships/header" Target="header16.xml"/><Relationship Id="rId89" Type="http://schemas.openxmlformats.org/officeDocument/2006/relationships/footer" Target="footer18.xml"/><Relationship Id="rId112" Type="http://schemas.openxmlformats.org/officeDocument/2006/relationships/footer" Target="footer26.xml"/><Relationship Id="rId16" Type="http://schemas.openxmlformats.org/officeDocument/2006/relationships/header" Target="header4.xml"/><Relationship Id="rId107" Type="http://schemas.openxmlformats.org/officeDocument/2006/relationships/footer" Target="footer25.xml"/><Relationship Id="rId11" Type="http://schemas.openxmlformats.org/officeDocument/2006/relationships/header" Target="header2.xml"/><Relationship Id="rId24" Type="http://schemas.openxmlformats.org/officeDocument/2006/relationships/hyperlink" Target="http://www.canlii.org/fr/qc/qccs/doc/2013/2013qccs968/2013qccs968.html" TargetMode="External"/><Relationship Id="rId32" Type="http://schemas.openxmlformats.org/officeDocument/2006/relationships/hyperlink" Target="http://canlii.ca/t/gfnwr" TargetMode="External"/><Relationship Id="rId37" Type="http://schemas.openxmlformats.org/officeDocument/2006/relationships/hyperlink" Target="http://canlii.ca/t/fw7xr" TargetMode="External"/><Relationship Id="rId40" Type="http://schemas.openxmlformats.org/officeDocument/2006/relationships/hyperlink" Target="http://canlii.ca/t/fm71z" TargetMode="External"/><Relationship Id="rId45" Type="http://schemas.openxmlformats.org/officeDocument/2006/relationships/hyperlink" Target="http://canlii.ca/t/gdw4b" TargetMode="External"/><Relationship Id="rId53" Type="http://schemas.openxmlformats.org/officeDocument/2006/relationships/hyperlink" Target="file:///C:\Users\Roger%20Caron\Documents\Documents%20Word\Traduction%20juridique%20(clients)\Cour%20supr&#234;me%20du%20Canada\Mandat%20151104-1\%3chttp:\canlii.ca\t\gj2v" TargetMode="External"/><Relationship Id="rId58" Type="http://schemas.openxmlformats.org/officeDocument/2006/relationships/hyperlink" Target="http://c-doc/L25/01/05/(CanLII),%20%3chttp:/canlii.ca/t/gfq2c%3e%20retrieved%20on%202015-10-27" TargetMode="External"/><Relationship Id="rId66" Type="http://schemas.openxmlformats.org/officeDocument/2006/relationships/hyperlink" Target="http://canlii.ca/t/gjxxl" TargetMode="External"/><Relationship Id="rId74" Type="http://schemas.openxmlformats.org/officeDocument/2006/relationships/header" Target="header11.xml"/><Relationship Id="rId79" Type="http://schemas.openxmlformats.org/officeDocument/2006/relationships/footer" Target="footer13.xml"/><Relationship Id="rId87" Type="http://schemas.openxmlformats.org/officeDocument/2006/relationships/header" Target="header18.xml"/><Relationship Id="rId102" Type="http://schemas.openxmlformats.org/officeDocument/2006/relationships/header" Target="header23.xml"/><Relationship Id="rId110" Type="http://schemas.openxmlformats.org/officeDocument/2006/relationships/header" Target="header26.xml"/><Relationship Id="rId115" Type="http://schemas.openxmlformats.org/officeDocument/2006/relationships/footer" Target="footer28.xml"/><Relationship Id="rId5" Type="http://schemas.openxmlformats.org/officeDocument/2006/relationships/footnotes" Target="footnotes.xml"/><Relationship Id="rId61" Type="http://schemas.openxmlformats.org/officeDocument/2006/relationships/hyperlink" Target="http://c-doc/L25/01/05/2015%20ONCA%20441%20(CanLII),%20%3chttp:/canlii.ca/t/gjk3c%3e%20retrieved%20on%202015-10-27" TargetMode="External"/><Relationship Id="rId82" Type="http://schemas.openxmlformats.org/officeDocument/2006/relationships/footer" Target="footer14.xml"/><Relationship Id="rId90" Type="http://schemas.openxmlformats.org/officeDocument/2006/relationships/header" Target="header19.xml"/><Relationship Id="rId95" Type="http://schemas.openxmlformats.org/officeDocument/2006/relationships/hyperlink" Target="http://www.scc-csc.ca/case-dossier/info/sum-som-fra.aspx?cas=36210"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4/2014qcca2189/2014qcca2189.html" TargetMode="External"/><Relationship Id="rId30" Type="http://schemas.openxmlformats.org/officeDocument/2006/relationships/hyperlink" Target="https://www.canlii.org/en/ca/fct/doc/2014/2014fc138/2014fc138.html?autocompleteStr=2014%20FC%20138&amp;autocompletePos=1" TargetMode="External"/><Relationship Id="rId35" Type="http://schemas.openxmlformats.org/officeDocument/2006/relationships/hyperlink" Target="http://canlii.ca/t/g06vz" TargetMode="External"/><Relationship Id="rId43" Type="http://schemas.openxmlformats.org/officeDocument/2006/relationships/hyperlink" Target="http://canlii.ca/t/fm71z" TargetMode="External"/><Relationship Id="rId48" Type="http://schemas.openxmlformats.org/officeDocument/2006/relationships/hyperlink" Target="https://www.canlii.org/en/on/onca/doc/2015/2015onca524/2015onca524.html?autocompleteStr=2015%20ONCA%20524&amp;autocompletePos=1" TargetMode="External"/><Relationship Id="rId56" Type="http://schemas.openxmlformats.org/officeDocument/2006/relationships/hyperlink" Target="http://canlii.ca/t/gfs08" TargetMode="External"/><Relationship Id="rId64" Type="http://schemas.openxmlformats.org/officeDocument/2006/relationships/hyperlink" Target="https://www.canlii.org/fr/qc/qccs/doc/2014/2014qccs275/2014qccs275.html" TargetMode="External"/><Relationship Id="rId69" Type="http://schemas.openxmlformats.org/officeDocument/2006/relationships/header" Target="header9.xml"/><Relationship Id="rId77" Type="http://schemas.openxmlformats.org/officeDocument/2006/relationships/footer" Target="footer12.xml"/><Relationship Id="rId100" Type="http://schemas.openxmlformats.org/officeDocument/2006/relationships/header" Target="header22.xml"/><Relationship Id="rId105" Type="http://schemas.openxmlformats.org/officeDocument/2006/relationships/footer" Target="footer24.xml"/><Relationship Id="rId113" Type="http://schemas.openxmlformats.org/officeDocument/2006/relationships/footer" Target="footer27.xml"/><Relationship Id="rId118"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3chttp:/canlii.ca/t/gj2v" TargetMode="External"/><Relationship Id="rId72" Type="http://schemas.openxmlformats.org/officeDocument/2006/relationships/header" Target="header10.xml"/><Relationship Id="rId80" Type="http://schemas.openxmlformats.org/officeDocument/2006/relationships/header" Target="header14.xml"/><Relationship Id="rId85" Type="http://schemas.openxmlformats.org/officeDocument/2006/relationships/footer" Target="footer16.xml"/><Relationship Id="rId93" Type="http://schemas.openxmlformats.org/officeDocument/2006/relationships/hyperlink" Target="http://www.scc-csc.ca/case-dossier/info/sum-som-eng.aspx?cas=36223" TargetMode="External"/><Relationship Id="rId98"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4/2014qcca2189/2014qcca2189.html" TargetMode="External"/><Relationship Id="rId33" Type="http://schemas.openxmlformats.org/officeDocument/2006/relationships/hyperlink" Target="http://canlii.ca/t/gfnwr" TargetMode="External"/><Relationship Id="rId38" Type="http://schemas.openxmlformats.org/officeDocument/2006/relationships/hyperlink" Target="http://canlii.ca/t/g06vz" TargetMode="External"/><Relationship Id="rId46" Type="http://schemas.openxmlformats.org/officeDocument/2006/relationships/hyperlink" Target="http://canlii.ca/t/g836g" TargetMode="External"/><Relationship Id="rId59" Type="http://schemas.openxmlformats.org/officeDocument/2006/relationships/hyperlink" Target="http://c-doc/L25/01/05/2015%20ONCA%20441%20(CanLII),%20%3chttp:/canlii.ca/t/gjk3c%3e%20retrieved%20on%202015-10-27" TargetMode="External"/><Relationship Id="rId67" Type="http://schemas.openxmlformats.org/officeDocument/2006/relationships/hyperlink" Target="http://canlii.ca/t/gjxxl" TargetMode="External"/><Relationship Id="rId103" Type="http://schemas.openxmlformats.org/officeDocument/2006/relationships/header" Target="header24.xml"/><Relationship Id="rId108" Type="http://schemas.openxmlformats.org/officeDocument/2006/relationships/hyperlink" Target="http://www.scc-csc.ca/case-dossier/info/sum-som-eng.aspx?cas=35990" TargetMode="External"/><Relationship Id="rId116"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yperlink" Target="http://canlii.ca/t/flfkm" TargetMode="External"/><Relationship Id="rId54" Type="http://schemas.openxmlformats.org/officeDocument/2006/relationships/hyperlink" Target="http://canlii.ca/t/gfs08" TargetMode="External"/><Relationship Id="rId62" Type="http://schemas.openxmlformats.org/officeDocument/2006/relationships/hyperlink" Target="https://www.canlii.org/fr/qc/qccs/doc/2014/2014qccs275/2014qccs275.html" TargetMode="External"/><Relationship Id="rId70" Type="http://schemas.openxmlformats.org/officeDocument/2006/relationships/footer" Target="footer8.xml"/><Relationship Id="rId75" Type="http://schemas.openxmlformats.org/officeDocument/2006/relationships/header" Target="header12.xml"/><Relationship Id="rId83" Type="http://schemas.openxmlformats.org/officeDocument/2006/relationships/footer" Target="footer15.xml"/><Relationship Id="rId88" Type="http://schemas.openxmlformats.org/officeDocument/2006/relationships/footer" Target="footer17.xml"/><Relationship Id="rId91" Type="http://schemas.openxmlformats.org/officeDocument/2006/relationships/footer" Target="footer19.xml"/><Relationship Id="rId96" Type="http://schemas.openxmlformats.org/officeDocument/2006/relationships/header" Target="header20.xml"/><Relationship Id="rId11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canlii.org/en/ca/fct/doc/2014/2014fc138/2014fc138.html?autocompleteStr=2014%20FC%20138&amp;autocompletePos=1" TargetMode="External"/><Relationship Id="rId36" Type="http://schemas.openxmlformats.org/officeDocument/2006/relationships/hyperlink" Target="http://canlii.ca/t/gh85j" TargetMode="External"/><Relationship Id="rId49" Type="http://schemas.openxmlformats.org/officeDocument/2006/relationships/hyperlink" Target="https://www.canlii.org/en/on/onca/doc/2015/2015onca524/2015onca524.html?autocompleteStr=2015%20ONCA%20524&amp;autocompletePos=1" TargetMode="External"/><Relationship Id="rId57" Type="http://schemas.openxmlformats.org/officeDocument/2006/relationships/hyperlink" Target="http://canlii.ca/t/gk0vs" TargetMode="External"/><Relationship Id="rId106" Type="http://schemas.openxmlformats.org/officeDocument/2006/relationships/header" Target="header25.xml"/><Relationship Id="rId114" Type="http://schemas.openxmlformats.org/officeDocument/2006/relationships/header" Target="header28.xm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canlii.org/en/ca/fca/doc/2015/2015fca99/2015fca99.html?autocompleteStr=2015%20FCA%2099&amp;autocompletePos=1" TargetMode="External"/><Relationship Id="rId44" Type="http://schemas.openxmlformats.org/officeDocument/2006/relationships/hyperlink" Target="http://canlii.ca/t/flfkm" TargetMode="External"/><Relationship Id="rId52" Type="http://schemas.openxmlformats.org/officeDocument/2006/relationships/hyperlink" Target="http://canlii.ca/t/ghjg4" TargetMode="External"/><Relationship Id="rId60" Type="http://schemas.openxmlformats.org/officeDocument/2006/relationships/hyperlink" Target="http://c-doc/L25/01/05/(CanLII),%20%3chttp:/canlii.ca/t/gfq2c%3e%20retrieved%20on%202015-10-27" TargetMode="External"/><Relationship Id="rId65" Type="http://schemas.openxmlformats.org/officeDocument/2006/relationships/hyperlink" Target="https://www.canlii.org/fr/qc/qcca/doc/2015/2015qcca1112/2015qcca1112.html?resultIndex=12" TargetMode="External"/><Relationship Id="rId73" Type="http://schemas.openxmlformats.org/officeDocument/2006/relationships/footer" Target="footer10.xml"/><Relationship Id="rId78" Type="http://schemas.openxmlformats.org/officeDocument/2006/relationships/header" Target="header13.xml"/><Relationship Id="rId81" Type="http://schemas.openxmlformats.org/officeDocument/2006/relationships/header" Target="header15.xml"/><Relationship Id="rId86" Type="http://schemas.openxmlformats.org/officeDocument/2006/relationships/header" Target="header17.xml"/><Relationship Id="rId94" Type="http://schemas.openxmlformats.org/officeDocument/2006/relationships/hyperlink" Target="http://www.scc-csc.ca/case-dossier/info/sum-som-fra.aspx?cas=36205" TargetMode="External"/><Relationship Id="rId99" Type="http://schemas.openxmlformats.org/officeDocument/2006/relationships/footer" Target="footer21.xml"/><Relationship Id="rId10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gh85j" TargetMode="External"/><Relationship Id="rId109" Type="http://schemas.openxmlformats.org/officeDocument/2006/relationships/hyperlink" Target="http://www.scc-csc.ca/case-dossier/info/sum-som-eng.aspx?cas=35838" TargetMode="External"/><Relationship Id="rId34" Type="http://schemas.openxmlformats.org/officeDocument/2006/relationships/hyperlink" Target="http://canlii.ca/t/fw7xr" TargetMode="External"/><Relationship Id="rId50" Type="http://schemas.openxmlformats.org/officeDocument/2006/relationships/hyperlink" Target="http://canlii.ca/t/ghjg4" TargetMode="External"/><Relationship Id="rId55" Type="http://schemas.openxmlformats.org/officeDocument/2006/relationships/hyperlink" Target="http://canlii.ca/t/gk0vs" TargetMode="External"/><Relationship Id="rId76" Type="http://schemas.openxmlformats.org/officeDocument/2006/relationships/footer" Target="footer11.xml"/><Relationship Id="rId97" Type="http://schemas.openxmlformats.org/officeDocument/2006/relationships/header" Target="header21.xml"/><Relationship Id="rId104" Type="http://schemas.openxmlformats.org/officeDocument/2006/relationships/footer" Target="footer23.xml"/><Relationship Id="rId7" Type="http://schemas.openxmlformats.org/officeDocument/2006/relationships/image" Target="media/image1.wmf"/><Relationship Id="rId71" Type="http://schemas.openxmlformats.org/officeDocument/2006/relationships/footer" Target="footer9.xml"/><Relationship Id="rId92" Type="http://schemas.openxmlformats.org/officeDocument/2006/relationships/hyperlink" Target="http://www.scc-csc.ca/case-dossier/info/sum-som-fra.aspx?cas=36124" TargetMode="External"/><Relationship Id="rId2" Type="http://schemas.openxmlformats.org/officeDocument/2006/relationships/styles" Target="styles.xml"/><Relationship Id="rId29" Type="http://schemas.openxmlformats.org/officeDocument/2006/relationships/hyperlink" Target="https://www.canlii.org/en/ca/fca/doc/2015/2015fca99/2015fca99.html?autocompleteStr=2015%20FCA%2099&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27444</Words>
  <Characters>156433</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2015-12-04T18:27:00Z</dcterms:created>
  <dcterms:modified xsi:type="dcterms:W3CDTF">2015-12-15T15:46:00Z</dcterms:modified>
</cp:coreProperties>
</file>