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26F8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26F8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26F8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26F8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26F8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26F8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26F8D"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5C3B9D">
        <w:rPr>
          <w:lang w:val="fr-CA"/>
        </w:rPr>
        <w:t>15</w:t>
      </w:r>
      <w:r w:rsidR="00440E24" w:rsidRPr="00675479">
        <w:rPr>
          <w:lang w:val="fr-CA"/>
        </w:rPr>
        <w:t>, 201</w:t>
      </w:r>
      <w:r w:rsidR="005C3B9D">
        <w:rPr>
          <w:lang w:val="fr-CA"/>
        </w:rPr>
        <w:t>6</w:t>
      </w:r>
      <w:r w:rsidR="00F0068D" w:rsidRPr="00675479">
        <w:rPr>
          <w:lang w:val="fr-CA"/>
        </w:rPr>
        <w:tab/>
        <w:t>1</w:t>
      </w:r>
      <w:r w:rsidR="005C3B9D">
        <w:rPr>
          <w:lang w:val="fr-CA"/>
        </w:rPr>
        <w:t>0</w:t>
      </w:r>
      <w:r w:rsidR="00F0068D" w:rsidRPr="00675479">
        <w:rPr>
          <w:lang w:val="fr-CA"/>
        </w:rPr>
        <w:t xml:space="preserve"> - </w:t>
      </w:r>
      <w:r w:rsidR="00AB33BB">
        <w:rPr>
          <w:lang w:val="fr-CA"/>
        </w:rPr>
        <w:t>5</w:t>
      </w:r>
      <w:r w:rsidR="00A26DB1">
        <w:rPr>
          <w:lang w:val="fr-CA"/>
        </w:rPr>
        <w:t>6</w:t>
      </w:r>
      <w:r w:rsidR="00440E24" w:rsidRPr="00675479">
        <w:rPr>
          <w:lang w:val="fr-CA"/>
        </w:rPr>
        <w:tab/>
      </w:r>
      <w:r w:rsidR="00440E24" w:rsidRPr="002E2327">
        <w:rPr>
          <w:lang w:val="fr-CA"/>
        </w:rPr>
        <w:t>Le</w:t>
      </w:r>
      <w:r>
        <w:rPr>
          <w:lang w:val="fr-CA"/>
        </w:rPr>
        <w:t xml:space="preserve"> </w:t>
      </w:r>
      <w:r w:rsidR="005C3B9D">
        <w:rPr>
          <w:lang w:val="fr-CA"/>
        </w:rPr>
        <w:t>15</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C3B9D">
        <w:rPr>
          <w:lang w:val="fr-CA"/>
        </w:rPr>
        <w:t>6</w:t>
      </w:r>
    </w:p>
    <w:p w:rsidR="00440E24" w:rsidRPr="00675479" w:rsidRDefault="00440E24" w:rsidP="00440E24">
      <w:pPr>
        <w:pBdr>
          <w:bottom w:val="single" w:sz="6" w:space="1" w:color="auto"/>
        </w:pBdr>
        <w:tabs>
          <w:tab w:val="right" w:pos="9360"/>
        </w:tabs>
        <w:rPr>
          <w:lang w:val="fr-CA"/>
        </w:rPr>
      </w:pPr>
    </w:p>
    <w:p w:rsidR="00440E24" w:rsidRPr="00AB33BB" w:rsidRDefault="00440E24" w:rsidP="00440E24">
      <w:pPr>
        <w:pBdr>
          <w:bottom w:val="single" w:sz="6" w:space="1" w:color="auto"/>
        </w:pBdr>
        <w:tabs>
          <w:tab w:val="right" w:pos="9360"/>
        </w:tabs>
        <w:rPr>
          <w:sz w:val="18"/>
          <w:szCs w:val="18"/>
          <w:lang w:val="fr-CA"/>
        </w:rPr>
      </w:pPr>
      <w:r w:rsidRPr="00AB33BB">
        <w:rPr>
          <w:sz w:val="18"/>
          <w:szCs w:val="18"/>
          <w:lang w:val="fr-CA"/>
        </w:rPr>
        <w:t xml:space="preserve">© </w:t>
      </w:r>
      <w:proofErr w:type="spellStart"/>
      <w:r w:rsidRPr="00AB33BB">
        <w:rPr>
          <w:sz w:val="18"/>
          <w:szCs w:val="18"/>
          <w:lang w:val="fr-CA"/>
        </w:rPr>
        <w:t>Supreme</w:t>
      </w:r>
      <w:proofErr w:type="spellEnd"/>
      <w:r w:rsidRPr="00AB33BB">
        <w:rPr>
          <w:sz w:val="18"/>
          <w:szCs w:val="18"/>
          <w:lang w:val="fr-CA"/>
        </w:rPr>
        <w:t xml:space="preserve"> Court of Canada (201</w:t>
      </w:r>
      <w:r w:rsidR="006C1C50">
        <w:rPr>
          <w:sz w:val="18"/>
          <w:szCs w:val="18"/>
          <w:lang w:val="fr-CA"/>
        </w:rPr>
        <w:t>6</w:t>
      </w:r>
      <w:r w:rsidRPr="00AB33BB">
        <w:rPr>
          <w:sz w:val="18"/>
          <w:szCs w:val="18"/>
          <w:lang w:val="fr-CA"/>
        </w:rPr>
        <w:t>)</w:t>
      </w:r>
      <w:r w:rsidRPr="00AB33BB">
        <w:rPr>
          <w:sz w:val="18"/>
          <w:szCs w:val="18"/>
          <w:lang w:val="fr-CA"/>
        </w:rPr>
        <w:tab/>
        <w:t>© Cour suprême du Canada (201</w:t>
      </w:r>
      <w:r w:rsidR="006C1C50">
        <w:rPr>
          <w:sz w:val="18"/>
          <w:szCs w:val="18"/>
          <w:lang w:val="fr-CA"/>
        </w:rPr>
        <w:t>6</w:t>
      </w:r>
      <w:r w:rsidRPr="00AB33B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AB33BB" w:rsidRPr="00675479" w:rsidRDefault="00AB33BB" w:rsidP="00BF25F3">
      <w:pPr>
        <w:pBdr>
          <w:bottom w:val="single" w:sz="6" w:space="1" w:color="auto"/>
        </w:pBdr>
        <w:tabs>
          <w:tab w:val="left" w:pos="6075"/>
        </w:tabs>
        <w:rPr>
          <w:lang w:val="fr-CA"/>
        </w:r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3690"/>
        <w:gridCol w:w="2070"/>
        <w:gridCol w:w="3870"/>
      </w:tblGrid>
      <w:tr w:rsidR="00245129" w:rsidRPr="002E2327" w:rsidTr="00AB33BB">
        <w:tc>
          <w:tcPr>
            <w:tcW w:w="36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207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87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26F8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 on motion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w:t>
            </w:r>
            <w:r w:rsidR="001E541A">
              <w:rPr>
                <w:rFonts w:cs="Times New Roman"/>
                <w:sz w:val="20"/>
                <w:szCs w:val="20"/>
              </w:rPr>
              <w:t xml:space="preserve">and motion </w:t>
            </w:r>
            <w:r w:rsidRPr="002E2327">
              <w:rPr>
                <w:rFonts w:cs="Times New Roman"/>
                <w:sz w:val="20"/>
                <w:szCs w:val="20"/>
              </w:rPr>
              <w:t>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2B68C3">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5C3B9D" w:rsidP="0095096B">
            <w:pPr>
              <w:jc w:val="center"/>
              <w:rPr>
                <w:rFonts w:cs="Times New Roman"/>
                <w:sz w:val="20"/>
                <w:szCs w:val="20"/>
              </w:rPr>
            </w:pPr>
            <w:r>
              <w:rPr>
                <w:rFonts w:cs="Times New Roman"/>
                <w:sz w:val="20"/>
                <w:szCs w:val="20"/>
              </w:rPr>
              <w:t>10</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B68C3" w:rsidP="0095096B">
            <w:pPr>
              <w:jc w:val="center"/>
              <w:rPr>
                <w:rFonts w:cs="Times New Roman"/>
                <w:sz w:val="20"/>
                <w:szCs w:val="20"/>
              </w:rPr>
            </w:pPr>
            <w:r>
              <w:rPr>
                <w:rFonts w:cs="Times New Roman"/>
                <w:sz w:val="20"/>
                <w:szCs w:val="20"/>
              </w:rPr>
              <w:t>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B68C3" w:rsidP="0095096B">
            <w:pPr>
              <w:jc w:val="center"/>
              <w:rPr>
                <w:rFonts w:cs="Times New Roman"/>
                <w:sz w:val="20"/>
                <w:szCs w:val="20"/>
              </w:rPr>
            </w:pPr>
            <w:r>
              <w:rPr>
                <w:rFonts w:cs="Times New Roman"/>
                <w:sz w:val="20"/>
                <w:szCs w:val="20"/>
              </w:rPr>
              <w:t xml:space="preserve">12 </w:t>
            </w:r>
            <w:r w:rsidR="0095096B" w:rsidRPr="002E2327">
              <w:rPr>
                <w:rFonts w:cs="Times New Roman"/>
                <w:sz w:val="20"/>
                <w:szCs w:val="20"/>
              </w:rPr>
              <w:t>-</w:t>
            </w:r>
            <w:r>
              <w:rPr>
                <w:rFonts w:cs="Times New Roman"/>
                <w:sz w:val="20"/>
                <w:szCs w:val="20"/>
              </w:rPr>
              <w:t xml:space="preserve"> 38</w:t>
            </w:r>
          </w:p>
          <w:p w:rsidR="0095096B" w:rsidRPr="002E2327" w:rsidRDefault="0095096B" w:rsidP="0095096B">
            <w:pPr>
              <w:jc w:val="center"/>
              <w:rPr>
                <w:rFonts w:cs="Times New Roman"/>
                <w:sz w:val="20"/>
                <w:szCs w:val="20"/>
              </w:rPr>
            </w:pPr>
          </w:p>
          <w:p w:rsidR="002B68C3" w:rsidRDefault="002B68C3" w:rsidP="0095096B">
            <w:pPr>
              <w:jc w:val="center"/>
              <w:rPr>
                <w:rFonts w:cs="Times New Roman"/>
                <w:sz w:val="20"/>
                <w:szCs w:val="20"/>
              </w:rPr>
            </w:pPr>
          </w:p>
          <w:p w:rsidR="0095096B" w:rsidRPr="002E2327" w:rsidRDefault="002B68C3" w:rsidP="0095096B">
            <w:pPr>
              <w:jc w:val="center"/>
              <w:rPr>
                <w:rFonts w:cs="Times New Roman"/>
                <w:sz w:val="20"/>
                <w:szCs w:val="20"/>
              </w:rPr>
            </w:pPr>
            <w:r>
              <w:rPr>
                <w:rFonts w:cs="Times New Roman"/>
                <w:sz w:val="20"/>
                <w:szCs w:val="20"/>
              </w:rPr>
              <w:t xml:space="preserve">39 </w:t>
            </w:r>
            <w:r w:rsidR="0095096B" w:rsidRPr="002E2327">
              <w:rPr>
                <w:rFonts w:cs="Times New Roman"/>
                <w:sz w:val="20"/>
                <w:szCs w:val="20"/>
              </w:rPr>
              <w:t>-</w:t>
            </w:r>
            <w:r w:rsidR="00AB33BB">
              <w:rPr>
                <w:rFonts w:cs="Times New Roman"/>
                <w:sz w:val="20"/>
                <w:szCs w:val="20"/>
              </w:rPr>
              <w:t xml:space="preserve"> 43</w:t>
            </w:r>
          </w:p>
          <w:p w:rsidR="0095096B" w:rsidRPr="002E2327" w:rsidRDefault="0095096B" w:rsidP="0095096B">
            <w:pPr>
              <w:jc w:val="center"/>
              <w:rPr>
                <w:rFonts w:cs="Times New Roman"/>
                <w:sz w:val="20"/>
                <w:szCs w:val="20"/>
              </w:rPr>
            </w:pPr>
          </w:p>
          <w:p w:rsidR="0095096B" w:rsidRPr="002E2327" w:rsidRDefault="00AB33BB" w:rsidP="0095096B">
            <w:pPr>
              <w:jc w:val="center"/>
              <w:rPr>
                <w:rFonts w:cs="Times New Roman"/>
                <w:sz w:val="20"/>
                <w:szCs w:val="20"/>
              </w:rPr>
            </w:pPr>
            <w:r>
              <w:rPr>
                <w:rFonts w:cs="Times New Roman"/>
                <w:sz w:val="20"/>
                <w:szCs w:val="20"/>
              </w:rPr>
              <w:t xml:space="preserve">44 </w:t>
            </w:r>
            <w:r w:rsidR="0095096B" w:rsidRPr="002E2327">
              <w:rPr>
                <w:rFonts w:cs="Times New Roman"/>
                <w:sz w:val="20"/>
                <w:szCs w:val="20"/>
              </w:rPr>
              <w:t>-</w:t>
            </w:r>
            <w:r w:rsidR="00A26DB1">
              <w:rPr>
                <w:rFonts w:cs="Times New Roman"/>
                <w:sz w:val="20"/>
                <w:szCs w:val="20"/>
              </w:rPr>
              <w:t xml:space="preserve"> 49</w:t>
            </w:r>
          </w:p>
          <w:p w:rsidR="0095096B" w:rsidRPr="002E2327" w:rsidRDefault="0095096B" w:rsidP="0095096B">
            <w:pPr>
              <w:jc w:val="center"/>
              <w:rPr>
                <w:rFonts w:cs="Times New Roman"/>
                <w:sz w:val="20"/>
                <w:szCs w:val="20"/>
              </w:rPr>
            </w:pPr>
          </w:p>
          <w:p w:rsidR="0095096B" w:rsidRPr="002E2327" w:rsidRDefault="00A26DB1" w:rsidP="0095096B">
            <w:pPr>
              <w:jc w:val="center"/>
              <w:rPr>
                <w:rFonts w:cs="Times New Roman"/>
                <w:sz w:val="20"/>
                <w:szCs w:val="20"/>
              </w:rPr>
            </w:pPr>
            <w:r>
              <w:rPr>
                <w:rFonts w:cs="Times New Roman"/>
                <w:sz w:val="20"/>
                <w:szCs w:val="20"/>
              </w:rPr>
              <w:t>50</w:t>
            </w:r>
            <w:r w:rsidR="00AB33BB">
              <w:rPr>
                <w:rFonts w:cs="Times New Roman"/>
                <w:sz w:val="20"/>
                <w:szCs w:val="20"/>
              </w:rPr>
              <w:t xml:space="preserve"> </w:t>
            </w:r>
            <w:r w:rsidR="0095096B" w:rsidRPr="002E2327">
              <w:rPr>
                <w:rFonts w:cs="Times New Roman"/>
                <w:sz w:val="20"/>
                <w:szCs w:val="20"/>
              </w:rPr>
              <w:t>-</w:t>
            </w:r>
            <w:r w:rsidR="00AB33BB">
              <w:rPr>
                <w:rFonts w:cs="Times New Roman"/>
                <w:sz w:val="20"/>
                <w:szCs w:val="20"/>
              </w:rPr>
              <w:t xml:space="preserve"> 5</w:t>
            </w:r>
            <w:r>
              <w:rPr>
                <w:rFonts w:cs="Times New Roman"/>
                <w:sz w:val="20"/>
                <w:szCs w:val="20"/>
              </w:rPr>
              <w:t>3</w:t>
            </w:r>
          </w:p>
          <w:p w:rsidR="0095096B" w:rsidRPr="002E2327" w:rsidRDefault="0095096B" w:rsidP="0095096B">
            <w:pPr>
              <w:jc w:val="center"/>
              <w:rPr>
                <w:rFonts w:cs="Times New Roman"/>
                <w:sz w:val="20"/>
                <w:szCs w:val="20"/>
              </w:rPr>
            </w:pPr>
          </w:p>
          <w:p w:rsidR="002B68C3" w:rsidRDefault="002B68C3" w:rsidP="0095096B">
            <w:pPr>
              <w:jc w:val="center"/>
              <w:rPr>
                <w:rFonts w:cs="Times New Roman"/>
                <w:sz w:val="20"/>
                <w:szCs w:val="20"/>
              </w:rPr>
            </w:pPr>
          </w:p>
          <w:p w:rsidR="0095096B" w:rsidRPr="002E2327" w:rsidRDefault="00AB33BB" w:rsidP="0095096B">
            <w:pPr>
              <w:jc w:val="center"/>
              <w:rPr>
                <w:rFonts w:cs="Times New Roman"/>
                <w:sz w:val="20"/>
                <w:szCs w:val="20"/>
              </w:rPr>
            </w:pPr>
            <w:r>
              <w:rPr>
                <w:rFonts w:cs="Times New Roman"/>
                <w:sz w:val="20"/>
                <w:szCs w:val="20"/>
              </w:rPr>
              <w:t>5</w:t>
            </w:r>
            <w:r w:rsidR="00A26DB1">
              <w:rPr>
                <w:rFonts w:cs="Times New Roman"/>
                <w:sz w:val="20"/>
                <w:szCs w:val="20"/>
              </w:rPr>
              <w:t>4</w:t>
            </w:r>
          </w:p>
          <w:p w:rsidR="0095096B" w:rsidRPr="002E2327" w:rsidRDefault="0095096B" w:rsidP="0095096B">
            <w:pPr>
              <w:jc w:val="center"/>
              <w:rPr>
                <w:rFonts w:cs="Times New Roman"/>
                <w:sz w:val="20"/>
                <w:szCs w:val="20"/>
              </w:rPr>
            </w:pPr>
          </w:p>
          <w:p w:rsidR="002B68C3" w:rsidRDefault="002B68C3" w:rsidP="0095096B">
            <w:pPr>
              <w:jc w:val="center"/>
              <w:rPr>
                <w:rFonts w:cs="Times New Roman"/>
                <w:sz w:val="20"/>
                <w:szCs w:val="20"/>
              </w:rPr>
            </w:pPr>
          </w:p>
          <w:p w:rsidR="00A87207" w:rsidRPr="002E2327" w:rsidRDefault="00AB33BB" w:rsidP="00A26DB1">
            <w:pPr>
              <w:jc w:val="center"/>
              <w:rPr>
                <w:rFonts w:cs="Times New Roman"/>
                <w:sz w:val="20"/>
                <w:szCs w:val="20"/>
              </w:rPr>
            </w:pPr>
            <w:r>
              <w:rPr>
                <w:rFonts w:cs="Times New Roman"/>
                <w:sz w:val="20"/>
                <w:szCs w:val="20"/>
              </w:rPr>
              <w:t>5</w:t>
            </w:r>
            <w:r w:rsidR="00A26DB1">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5</w:t>
            </w:r>
            <w:r w:rsidR="00A26DB1">
              <w:rPr>
                <w:rFonts w:cs="Times New Roman"/>
                <w:sz w:val="20"/>
                <w:szCs w:val="20"/>
              </w:rPr>
              <w:t>6</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Jugement sur requête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Appels</w:t>
            </w:r>
            <w:r w:rsidR="001E541A">
              <w:rPr>
                <w:rFonts w:cs="Times New Roman"/>
                <w:sz w:val="20"/>
                <w:szCs w:val="20"/>
                <w:lang w:val="fr-CA"/>
              </w:rPr>
              <w:t xml:space="preserve"> et requête</w:t>
            </w:r>
            <w:r w:rsidRPr="002E2327">
              <w:rPr>
                <w:rFonts w:cs="Times New Roman"/>
                <w:sz w:val="20"/>
                <w:szCs w:val="20"/>
                <w:lang w:val="fr-CA"/>
              </w:rPr>
              <w:t xml:space="preserve">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2B68C3">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146A70"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26F8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5C3B9D" w:rsidRPr="00C50A5C" w:rsidRDefault="005C3B9D" w:rsidP="005C3B9D">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C3B9D" w:rsidRPr="00C21644" w:rsidTr="008F5FE2">
        <w:tc>
          <w:tcPr>
            <w:tcW w:w="4320" w:type="dxa"/>
            <w:shd w:val="clear" w:color="auto" w:fill="auto"/>
          </w:tcPr>
          <w:p w:rsidR="005C3B9D" w:rsidRPr="009013E0" w:rsidRDefault="005C3B9D" w:rsidP="008F5FE2">
            <w:pPr>
              <w:tabs>
                <w:tab w:val="left" w:pos="-1440"/>
                <w:tab w:val="left" w:pos="-720"/>
              </w:tabs>
              <w:rPr>
                <w:b/>
                <w:sz w:val="20"/>
                <w:szCs w:val="20"/>
                <w:lang w:val="fr-CA"/>
              </w:rPr>
            </w:pPr>
            <w:r w:rsidRPr="009013E0">
              <w:rPr>
                <w:b/>
                <w:sz w:val="20"/>
                <w:szCs w:val="20"/>
                <w:lang w:val="fr-CA"/>
              </w:rPr>
              <w:t xml:space="preserve">Dépanneurs </w:t>
            </w:r>
            <w:proofErr w:type="spellStart"/>
            <w:r w:rsidRPr="009013E0">
              <w:rPr>
                <w:b/>
                <w:sz w:val="20"/>
                <w:szCs w:val="20"/>
                <w:lang w:val="fr-CA"/>
              </w:rPr>
              <w:t>Mac's</w:t>
            </w:r>
            <w:proofErr w:type="spellEnd"/>
          </w:p>
          <w:p w:rsidR="005C3B9D" w:rsidRPr="003824D3" w:rsidRDefault="005C3B9D" w:rsidP="008F5FE2">
            <w:pPr>
              <w:tabs>
                <w:tab w:val="left" w:pos="-1440"/>
                <w:tab w:val="left" w:pos="-720"/>
              </w:tabs>
              <w:rPr>
                <w:sz w:val="20"/>
                <w:szCs w:val="20"/>
                <w:lang w:val="fr-CA"/>
              </w:rPr>
            </w:pPr>
            <w:r w:rsidRPr="009013E0">
              <w:rPr>
                <w:sz w:val="20"/>
                <w:szCs w:val="20"/>
                <w:lang w:val="fr-CA"/>
              </w:rPr>
              <w:tab/>
            </w:r>
            <w:r w:rsidRPr="003824D3">
              <w:rPr>
                <w:sz w:val="20"/>
                <w:szCs w:val="20"/>
                <w:lang w:val="fr-CA"/>
              </w:rPr>
              <w:t>Guy Du Pont</w:t>
            </w:r>
          </w:p>
          <w:p w:rsidR="005C3B9D" w:rsidRPr="00E95CE4" w:rsidRDefault="005C3B9D" w:rsidP="008F5FE2">
            <w:pPr>
              <w:tabs>
                <w:tab w:val="left" w:pos="-1440"/>
                <w:tab w:val="left" w:pos="-720"/>
              </w:tabs>
              <w:rPr>
                <w:sz w:val="20"/>
                <w:szCs w:val="20"/>
                <w:lang w:val="fr-CA"/>
              </w:rPr>
            </w:pPr>
            <w:r w:rsidRPr="003824D3">
              <w:rPr>
                <w:sz w:val="20"/>
                <w:szCs w:val="20"/>
                <w:lang w:val="fr-CA"/>
              </w:rPr>
              <w:tab/>
            </w:r>
            <w:r>
              <w:rPr>
                <w:sz w:val="20"/>
                <w:szCs w:val="20"/>
                <w:lang w:val="fr-CA"/>
              </w:rPr>
              <w:t xml:space="preserve">Davies Ward Phillips &amp; </w:t>
            </w:r>
            <w:proofErr w:type="spellStart"/>
            <w:r>
              <w:rPr>
                <w:sz w:val="20"/>
                <w:szCs w:val="20"/>
                <w:lang w:val="fr-CA"/>
              </w:rPr>
              <w:t>Vineberg</w:t>
            </w:r>
            <w:proofErr w:type="spellEnd"/>
            <w:r>
              <w:rPr>
                <w:sz w:val="20"/>
                <w:szCs w:val="20"/>
                <w:lang w:val="fr-CA"/>
              </w:rPr>
              <w:t xml:space="preserve"> LLP</w:t>
            </w:r>
          </w:p>
          <w:p w:rsidR="005C3B9D" w:rsidRPr="00E95CE4" w:rsidRDefault="005C3B9D" w:rsidP="008F5FE2">
            <w:pPr>
              <w:tabs>
                <w:tab w:val="left" w:pos="-1440"/>
                <w:tab w:val="left" w:pos="-720"/>
              </w:tabs>
              <w:rPr>
                <w:sz w:val="20"/>
                <w:szCs w:val="20"/>
                <w:lang w:val="fr-CA"/>
              </w:rPr>
            </w:pPr>
          </w:p>
          <w:p w:rsidR="005C3B9D" w:rsidRPr="00E95CE4" w:rsidRDefault="005C3B9D" w:rsidP="008F5FE2">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w:t>
            </w:r>
            <w:r>
              <w:rPr>
                <w:sz w:val="20"/>
                <w:szCs w:val="20"/>
                <w:lang w:val="fr-CA"/>
              </w:rPr>
              <w:t>6773</w:t>
            </w:r>
            <w:r w:rsidRPr="00E95CE4">
              <w:rPr>
                <w:sz w:val="20"/>
                <w:szCs w:val="20"/>
                <w:lang w:val="fr-CA"/>
              </w:rPr>
              <w:t>)</w:t>
            </w:r>
          </w:p>
          <w:p w:rsidR="005C3B9D" w:rsidRPr="00E95CE4" w:rsidRDefault="005C3B9D" w:rsidP="008F5FE2">
            <w:pPr>
              <w:tabs>
                <w:tab w:val="left" w:pos="-1440"/>
                <w:tab w:val="left" w:pos="-720"/>
              </w:tabs>
              <w:rPr>
                <w:sz w:val="20"/>
                <w:szCs w:val="20"/>
                <w:lang w:val="fr-CA"/>
              </w:rPr>
            </w:pPr>
          </w:p>
          <w:p w:rsidR="005C3B9D" w:rsidRPr="003824D3" w:rsidRDefault="005C3B9D" w:rsidP="008F5FE2">
            <w:pPr>
              <w:tabs>
                <w:tab w:val="left" w:pos="-1440"/>
                <w:tab w:val="left" w:pos="-720"/>
              </w:tabs>
              <w:rPr>
                <w:b/>
                <w:sz w:val="20"/>
                <w:szCs w:val="20"/>
                <w:lang w:val="fr-CA"/>
              </w:rPr>
            </w:pPr>
            <w:r w:rsidRPr="003824D3">
              <w:rPr>
                <w:b/>
                <w:sz w:val="20"/>
                <w:szCs w:val="20"/>
                <w:lang w:val="fr-CA"/>
              </w:rPr>
              <w:t>Procureure générale du Canada</w:t>
            </w:r>
            <w:r>
              <w:rPr>
                <w:b/>
                <w:sz w:val="20"/>
                <w:szCs w:val="20"/>
                <w:lang w:val="fr-CA"/>
              </w:rPr>
              <w:t xml:space="preserve"> </w:t>
            </w:r>
            <w:r w:rsidRPr="00E95CE4">
              <w:rPr>
                <w:b/>
                <w:sz w:val="20"/>
                <w:szCs w:val="20"/>
                <w:lang w:val="fr-CA"/>
              </w:rPr>
              <w:t>et a</w:t>
            </w:r>
            <w:r>
              <w:rPr>
                <w:b/>
                <w:sz w:val="20"/>
                <w:szCs w:val="20"/>
                <w:lang w:val="fr-CA"/>
              </w:rPr>
              <w:t>utre</w:t>
            </w:r>
            <w:r w:rsidRPr="00E95CE4">
              <w:rPr>
                <w:sz w:val="20"/>
                <w:szCs w:val="20"/>
                <w:lang w:val="fr-CA"/>
              </w:rPr>
              <w:t xml:space="preserve"> </w:t>
            </w:r>
            <w:r w:rsidRPr="003824D3">
              <w:rPr>
                <w:b/>
                <w:sz w:val="20"/>
                <w:szCs w:val="20"/>
                <w:lang w:val="fr-CA"/>
              </w:rPr>
              <w:t>(</w:t>
            </w:r>
            <w:proofErr w:type="spellStart"/>
            <w:r>
              <w:rPr>
                <w:b/>
                <w:sz w:val="20"/>
                <w:szCs w:val="20"/>
                <w:lang w:val="fr-CA"/>
              </w:rPr>
              <w:t>Qc</w:t>
            </w:r>
            <w:proofErr w:type="spellEnd"/>
            <w:r w:rsidRPr="003824D3">
              <w:rPr>
                <w:b/>
                <w:sz w:val="20"/>
                <w:szCs w:val="20"/>
                <w:lang w:val="fr-CA"/>
              </w:rPr>
              <w:t>)</w:t>
            </w:r>
          </w:p>
          <w:p w:rsidR="005C3B9D" w:rsidRPr="003824D3" w:rsidRDefault="005C3B9D" w:rsidP="008F5FE2">
            <w:pPr>
              <w:tabs>
                <w:tab w:val="left" w:pos="-1440"/>
                <w:tab w:val="left" w:pos="-720"/>
              </w:tabs>
              <w:rPr>
                <w:sz w:val="20"/>
                <w:szCs w:val="20"/>
                <w:lang w:val="fr-CA"/>
              </w:rPr>
            </w:pPr>
            <w:r w:rsidRPr="003824D3">
              <w:rPr>
                <w:sz w:val="20"/>
                <w:szCs w:val="20"/>
                <w:lang w:val="fr-CA"/>
              </w:rPr>
              <w:tab/>
              <w:t>Marielle Th</w:t>
            </w:r>
            <w:r>
              <w:rPr>
                <w:sz w:val="20"/>
                <w:szCs w:val="20"/>
                <w:lang w:val="fr-CA"/>
              </w:rPr>
              <w:t>ériault</w:t>
            </w:r>
          </w:p>
          <w:p w:rsidR="005C3B9D" w:rsidRPr="003824D3" w:rsidRDefault="005C3B9D" w:rsidP="008F5FE2">
            <w:pPr>
              <w:tabs>
                <w:tab w:val="left" w:pos="-1440"/>
                <w:tab w:val="left" w:pos="-720"/>
              </w:tabs>
              <w:rPr>
                <w:sz w:val="20"/>
                <w:szCs w:val="20"/>
                <w:lang w:val="fr-CA"/>
              </w:rPr>
            </w:pPr>
            <w:r w:rsidRPr="003824D3">
              <w:rPr>
                <w:sz w:val="20"/>
                <w:szCs w:val="20"/>
                <w:lang w:val="fr-CA"/>
              </w:rPr>
              <w:tab/>
              <w:t>Minist</w:t>
            </w:r>
            <w:r>
              <w:rPr>
                <w:sz w:val="20"/>
                <w:szCs w:val="20"/>
                <w:lang w:val="fr-CA"/>
              </w:rPr>
              <w:t>ère de la Justice Canada</w:t>
            </w:r>
          </w:p>
          <w:p w:rsidR="005C3B9D" w:rsidRPr="003824D3" w:rsidRDefault="005C3B9D" w:rsidP="008F5FE2">
            <w:pPr>
              <w:tabs>
                <w:tab w:val="left" w:pos="-1440"/>
                <w:tab w:val="left" w:pos="-720"/>
              </w:tabs>
              <w:rPr>
                <w:sz w:val="20"/>
                <w:szCs w:val="20"/>
                <w:lang w:val="fr-CA"/>
              </w:rPr>
            </w:pPr>
          </w:p>
          <w:p w:rsidR="005C3B9D" w:rsidRPr="003824D3" w:rsidRDefault="005C3B9D" w:rsidP="008F5FE2">
            <w:pPr>
              <w:rPr>
                <w:sz w:val="20"/>
                <w:szCs w:val="20"/>
                <w:lang w:val="fr-CA"/>
              </w:rPr>
            </w:pPr>
            <w:r w:rsidRPr="00806A5B">
              <w:rPr>
                <w:sz w:val="20"/>
                <w:szCs w:val="20"/>
                <w:lang w:val="fr-CA"/>
              </w:rPr>
              <w:t>DATE DE PRODUCTION</w:t>
            </w:r>
            <w:r>
              <w:rPr>
                <w:sz w:val="20"/>
                <w:szCs w:val="20"/>
                <w:lang w:val="fr-CA"/>
              </w:rPr>
              <w:t xml:space="preserve"> </w:t>
            </w:r>
            <w:r w:rsidRPr="003824D3">
              <w:rPr>
                <w:sz w:val="20"/>
                <w:szCs w:val="20"/>
                <w:lang w:val="fr-CA"/>
              </w:rPr>
              <w:t>: 18.12.2015</w:t>
            </w:r>
          </w:p>
          <w:p w:rsidR="005C3B9D" w:rsidRPr="00A935AA" w:rsidRDefault="00CD76E4" w:rsidP="008F5FE2">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tc>
        <w:tc>
          <w:tcPr>
            <w:tcW w:w="4320" w:type="dxa"/>
            <w:shd w:val="clear" w:color="auto" w:fill="auto"/>
          </w:tcPr>
          <w:p w:rsidR="005C3B9D" w:rsidRDefault="005C3B9D" w:rsidP="008F5FE2">
            <w:pPr>
              <w:keepNext/>
              <w:keepLines/>
              <w:tabs>
                <w:tab w:val="left" w:pos="-1440"/>
                <w:tab w:val="left" w:pos="-720"/>
              </w:tabs>
              <w:rPr>
                <w:b/>
                <w:sz w:val="20"/>
                <w:szCs w:val="20"/>
                <w:lang w:val="en-US"/>
              </w:rPr>
            </w:pPr>
            <w:r w:rsidRPr="003824D3">
              <w:rPr>
                <w:b/>
                <w:sz w:val="20"/>
                <w:szCs w:val="20"/>
                <w:lang w:val="en-US"/>
              </w:rPr>
              <w:t>Chippewas of the Thames First Nation</w:t>
            </w:r>
          </w:p>
          <w:p w:rsidR="005C3B9D" w:rsidRPr="003824D3" w:rsidRDefault="005C3B9D" w:rsidP="008F5FE2">
            <w:pPr>
              <w:keepNext/>
              <w:keepLines/>
              <w:tabs>
                <w:tab w:val="left" w:pos="-1440"/>
                <w:tab w:val="left" w:pos="-720"/>
              </w:tabs>
              <w:rPr>
                <w:sz w:val="20"/>
                <w:szCs w:val="20"/>
                <w:lang w:val="en-US"/>
              </w:rPr>
            </w:pPr>
            <w:r w:rsidRPr="003824D3">
              <w:rPr>
                <w:sz w:val="20"/>
                <w:szCs w:val="20"/>
                <w:lang w:val="en-US"/>
              </w:rPr>
              <w:tab/>
            </w:r>
            <w:r>
              <w:rPr>
                <w:sz w:val="20"/>
                <w:szCs w:val="20"/>
                <w:lang w:val="en-US"/>
              </w:rPr>
              <w:t>David C. Nahwegahbow</w:t>
            </w:r>
          </w:p>
          <w:p w:rsidR="005C3B9D" w:rsidRPr="000E02DB" w:rsidRDefault="005C3B9D" w:rsidP="008F5FE2">
            <w:pPr>
              <w:keepNext/>
              <w:keepLines/>
              <w:tabs>
                <w:tab w:val="left" w:pos="-1440"/>
                <w:tab w:val="left" w:pos="-720"/>
              </w:tabs>
              <w:rPr>
                <w:sz w:val="20"/>
                <w:szCs w:val="20"/>
                <w:lang w:val="en-US"/>
              </w:rPr>
            </w:pPr>
            <w:r w:rsidRPr="003824D3">
              <w:rPr>
                <w:sz w:val="20"/>
                <w:szCs w:val="20"/>
                <w:lang w:val="en-US"/>
              </w:rPr>
              <w:tab/>
            </w:r>
            <w:r>
              <w:rPr>
                <w:sz w:val="20"/>
                <w:szCs w:val="20"/>
                <w:lang w:val="en-US"/>
              </w:rPr>
              <w:t>Nahwegahbow, Corbiere Genoodmagejig</w:t>
            </w:r>
          </w:p>
          <w:p w:rsidR="005C3B9D" w:rsidRPr="000E02DB" w:rsidRDefault="005C3B9D" w:rsidP="008F5FE2">
            <w:pPr>
              <w:keepNext/>
              <w:keepLines/>
              <w:tabs>
                <w:tab w:val="left" w:pos="-1440"/>
                <w:tab w:val="left" w:pos="-720"/>
              </w:tabs>
              <w:rPr>
                <w:sz w:val="20"/>
                <w:szCs w:val="20"/>
                <w:lang w:val="en-US"/>
              </w:rPr>
            </w:pPr>
          </w:p>
          <w:p w:rsidR="005C3B9D" w:rsidRPr="00806A5B" w:rsidRDefault="005C3B9D" w:rsidP="008F5FE2">
            <w:pPr>
              <w:keepNext/>
              <w:keepLines/>
              <w:tabs>
                <w:tab w:val="left" w:pos="-1440"/>
                <w:tab w:val="left" w:pos="-720"/>
              </w:tabs>
              <w:rPr>
                <w:sz w:val="20"/>
                <w:szCs w:val="20"/>
                <w:lang w:val="fr-CA"/>
              </w:rPr>
            </w:pPr>
            <w:r w:rsidRPr="000E02DB">
              <w:rPr>
                <w:sz w:val="20"/>
                <w:szCs w:val="20"/>
                <w:lang w:val="en-US"/>
              </w:rPr>
              <w:tab/>
            </w:r>
            <w:r>
              <w:rPr>
                <w:sz w:val="20"/>
                <w:szCs w:val="20"/>
                <w:lang w:val="fr-CA"/>
              </w:rPr>
              <w:t>v</w:t>
            </w:r>
            <w:r w:rsidRPr="00806A5B">
              <w:rPr>
                <w:sz w:val="20"/>
                <w:szCs w:val="20"/>
                <w:lang w:val="fr-CA"/>
              </w:rPr>
              <w:t>. (</w:t>
            </w:r>
            <w:r>
              <w:rPr>
                <w:sz w:val="20"/>
                <w:szCs w:val="20"/>
                <w:lang w:val="fr-CA"/>
              </w:rPr>
              <w:t>36776</w:t>
            </w:r>
            <w:r w:rsidRPr="00806A5B">
              <w:rPr>
                <w:sz w:val="20"/>
                <w:szCs w:val="20"/>
                <w:lang w:val="fr-CA"/>
              </w:rPr>
              <w:t>)</w:t>
            </w:r>
          </w:p>
          <w:p w:rsidR="005C3B9D" w:rsidRPr="00806A5B" w:rsidRDefault="005C3B9D" w:rsidP="008F5FE2">
            <w:pPr>
              <w:keepNext/>
              <w:keepLines/>
              <w:tabs>
                <w:tab w:val="left" w:pos="-1440"/>
                <w:tab w:val="left" w:pos="-720"/>
              </w:tabs>
              <w:rPr>
                <w:sz w:val="20"/>
                <w:szCs w:val="20"/>
                <w:lang w:val="fr-CA"/>
              </w:rPr>
            </w:pPr>
          </w:p>
          <w:p w:rsidR="005C3B9D" w:rsidRPr="000E02DB" w:rsidRDefault="005C3B9D" w:rsidP="008F5FE2">
            <w:pPr>
              <w:keepNext/>
              <w:keepLines/>
              <w:tabs>
                <w:tab w:val="left" w:pos="-1440"/>
                <w:tab w:val="left" w:pos="-720"/>
              </w:tabs>
              <w:rPr>
                <w:b/>
                <w:sz w:val="20"/>
                <w:szCs w:val="20"/>
                <w:lang w:val="en-US"/>
              </w:rPr>
            </w:pPr>
            <w:r w:rsidRPr="003824D3">
              <w:rPr>
                <w:b/>
                <w:sz w:val="20"/>
                <w:szCs w:val="20"/>
                <w:lang w:val="fr-CA"/>
              </w:rPr>
              <w:t>Enbridge Pipelines Inc.</w:t>
            </w:r>
            <w:r>
              <w:rPr>
                <w:b/>
                <w:sz w:val="20"/>
                <w:szCs w:val="20"/>
                <w:lang w:val="fr-CA"/>
              </w:rPr>
              <w:t xml:space="preserve"> et al. </w:t>
            </w:r>
            <w:r w:rsidRPr="000E02DB">
              <w:rPr>
                <w:b/>
                <w:sz w:val="20"/>
                <w:szCs w:val="20"/>
                <w:lang w:val="en-US"/>
              </w:rPr>
              <w:t>(F.C.)</w:t>
            </w:r>
          </w:p>
          <w:p w:rsidR="005C3B9D" w:rsidRPr="000E02DB" w:rsidRDefault="005C3B9D" w:rsidP="008F5FE2">
            <w:pPr>
              <w:keepNext/>
              <w:keepLines/>
              <w:tabs>
                <w:tab w:val="left" w:pos="-1440"/>
                <w:tab w:val="left" w:pos="-720"/>
              </w:tabs>
              <w:rPr>
                <w:sz w:val="20"/>
                <w:szCs w:val="20"/>
                <w:lang w:val="en-US"/>
              </w:rPr>
            </w:pPr>
            <w:r w:rsidRPr="000E02DB">
              <w:rPr>
                <w:sz w:val="20"/>
                <w:szCs w:val="20"/>
                <w:lang w:val="en-US"/>
              </w:rPr>
              <w:tab/>
              <w:t>Douglas Crowther</w:t>
            </w:r>
          </w:p>
          <w:p w:rsidR="005C3B9D" w:rsidRPr="000E02DB" w:rsidRDefault="005C3B9D" w:rsidP="008F5FE2">
            <w:pPr>
              <w:keepNext/>
              <w:keepLines/>
              <w:tabs>
                <w:tab w:val="left" w:pos="-1440"/>
                <w:tab w:val="left" w:pos="-720"/>
              </w:tabs>
              <w:rPr>
                <w:sz w:val="20"/>
                <w:szCs w:val="20"/>
                <w:lang w:val="en-US"/>
              </w:rPr>
            </w:pPr>
            <w:r w:rsidRPr="000E02DB">
              <w:rPr>
                <w:sz w:val="20"/>
                <w:szCs w:val="20"/>
                <w:lang w:val="en-US"/>
              </w:rPr>
              <w:tab/>
              <w:t>Dentons Canada LLP</w:t>
            </w:r>
          </w:p>
          <w:p w:rsidR="005C3B9D" w:rsidRPr="000E02DB" w:rsidRDefault="005C3B9D" w:rsidP="008F5FE2">
            <w:pPr>
              <w:keepNext/>
              <w:keepLines/>
              <w:tabs>
                <w:tab w:val="left" w:pos="-1440"/>
                <w:tab w:val="left" w:pos="-720"/>
              </w:tabs>
              <w:rPr>
                <w:sz w:val="20"/>
                <w:szCs w:val="20"/>
                <w:lang w:val="en-US"/>
              </w:rPr>
            </w:pPr>
          </w:p>
          <w:p w:rsidR="005C3B9D" w:rsidRPr="00806A5B" w:rsidRDefault="005C3B9D" w:rsidP="008F5FE2">
            <w:pPr>
              <w:rPr>
                <w:sz w:val="20"/>
                <w:szCs w:val="20"/>
                <w:lang w:val="fr-CA"/>
              </w:rPr>
            </w:pPr>
            <w:r w:rsidRPr="00806A5B">
              <w:rPr>
                <w:sz w:val="20"/>
                <w:szCs w:val="20"/>
                <w:lang w:val="fr-CA"/>
              </w:rPr>
              <w:t xml:space="preserve">DATE DE PRODUCTION: </w:t>
            </w:r>
            <w:r w:rsidRPr="003824D3">
              <w:rPr>
                <w:sz w:val="20"/>
                <w:szCs w:val="20"/>
                <w:lang w:val="fr-CA"/>
              </w:rPr>
              <w:t>18.12.2015</w:t>
            </w:r>
            <w:r w:rsidR="00CD76E4">
              <w:rPr>
                <w:sz w:val="20"/>
                <w:szCs w:val="20"/>
                <w:lang w:val="fr-CA"/>
              </w:rPr>
              <w:pict>
                <v:rect id="_x0000_i1026" style="width:108pt;height:1pt" o:hrpct="0" o:hralign="center" o:hrstd="t" o:hrnoshade="t" o:hr="t" fillcolor="black [3213]" stroked="f"/>
              </w:pict>
            </w:r>
          </w:p>
        </w:tc>
      </w:tr>
      <w:tr w:rsidR="005C3B9D" w:rsidRPr="00506A9B" w:rsidTr="008F5FE2">
        <w:tc>
          <w:tcPr>
            <w:tcW w:w="4320" w:type="dxa"/>
            <w:shd w:val="clear" w:color="auto" w:fill="auto"/>
          </w:tcPr>
          <w:p w:rsidR="005C3B9D" w:rsidRDefault="005C3B9D" w:rsidP="008F5FE2">
            <w:pPr>
              <w:tabs>
                <w:tab w:val="left" w:pos="-1440"/>
                <w:tab w:val="left" w:pos="-720"/>
              </w:tabs>
              <w:rPr>
                <w:b/>
                <w:sz w:val="20"/>
                <w:szCs w:val="20"/>
                <w:lang w:val="fr-CA"/>
              </w:rPr>
            </w:pPr>
            <w:r w:rsidRPr="000E02DB">
              <w:rPr>
                <w:b/>
                <w:sz w:val="20"/>
                <w:szCs w:val="20"/>
                <w:lang w:val="fr-CA"/>
              </w:rPr>
              <w:t>Procureure générale du Québec</w:t>
            </w:r>
          </w:p>
          <w:p w:rsidR="005C3B9D" w:rsidRPr="003824D3" w:rsidRDefault="005C3B9D" w:rsidP="008F5FE2">
            <w:pPr>
              <w:tabs>
                <w:tab w:val="left" w:pos="-1440"/>
                <w:tab w:val="left" w:pos="-720"/>
              </w:tabs>
              <w:rPr>
                <w:sz w:val="20"/>
                <w:szCs w:val="20"/>
                <w:lang w:val="fr-CA"/>
              </w:rPr>
            </w:pPr>
            <w:r w:rsidRPr="000E02DB">
              <w:rPr>
                <w:sz w:val="20"/>
                <w:szCs w:val="20"/>
                <w:lang w:val="fr-CA"/>
              </w:rPr>
              <w:tab/>
            </w:r>
            <w:r>
              <w:rPr>
                <w:sz w:val="20"/>
                <w:szCs w:val="20"/>
                <w:lang w:val="fr-CA"/>
              </w:rPr>
              <w:t>Patrice Claude</w:t>
            </w:r>
          </w:p>
          <w:p w:rsidR="005C3B9D" w:rsidRPr="000E02DB" w:rsidRDefault="005C3B9D" w:rsidP="008F5FE2">
            <w:pPr>
              <w:tabs>
                <w:tab w:val="left" w:pos="-1440"/>
                <w:tab w:val="left" w:pos="-720"/>
              </w:tabs>
              <w:rPr>
                <w:sz w:val="20"/>
                <w:szCs w:val="20"/>
                <w:lang w:val="fr-CA"/>
              </w:rPr>
            </w:pPr>
            <w:r w:rsidRPr="003824D3">
              <w:rPr>
                <w:sz w:val="20"/>
                <w:szCs w:val="20"/>
                <w:lang w:val="fr-CA"/>
              </w:rPr>
              <w:tab/>
            </w:r>
            <w:r>
              <w:rPr>
                <w:sz w:val="20"/>
                <w:szCs w:val="20"/>
                <w:lang w:val="fr-CA"/>
              </w:rPr>
              <w:t>Bernard, Roy &amp; Associés</w:t>
            </w:r>
          </w:p>
          <w:p w:rsidR="005C3B9D" w:rsidRPr="00E95CE4" w:rsidRDefault="005C3B9D" w:rsidP="008F5FE2">
            <w:pPr>
              <w:tabs>
                <w:tab w:val="left" w:pos="-1440"/>
                <w:tab w:val="left" w:pos="-720"/>
              </w:tabs>
              <w:rPr>
                <w:sz w:val="20"/>
                <w:szCs w:val="20"/>
                <w:lang w:val="fr-CA"/>
              </w:rPr>
            </w:pPr>
          </w:p>
          <w:p w:rsidR="005C3B9D" w:rsidRPr="00E95CE4" w:rsidRDefault="005C3B9D" w:rsidP="008F5FE2">
            <w:pPr>
              <w:tabs>
                <w:tab w:val="left" w:pos="-1440"/>
                <w:tab w:val="left" w:pos="-720"/>
              </w:tabs>
              <w:rPr>
                <w:sz w:val="20"/>
                <w:szCs w:val="20"/>
                <w:lang w:val="fr-CA"/>
              </w:rPr>
            </w:pPr>
            <w:r w:rsidRPr="00E95CE4">
              <w:rPr>
                <w:sz w:val="20"/>
                <w:szCs w:val="20"/>
                <w:lang w:val="fr-CA"/>
              </w:rPr>
              <w:tab/>
            </w:r>
            <w:r>
              <w:rPr>
                <w:sz w:val="20"/>
                <w:szCs w:val="20"/>
                <w:lang w:val="fr-CA"/>
              </w:rPr>
              <w:t>c</w:t>
            </w:r>
            <w:r w:rsidRPr="00E95CE4">
              <w:rPr>
                <w:sz w:val="20"/>
                <w:szCs w:val="20"/>
                <w:lang w:val="fr-CA"/>
              </w:rPr>
              <w:t>. (3</w:t>
            </w:r>
            <w:r>
              <w:rPr>
                <w:sz w:val="20"/>
                <w:szCs w:val="20"/>
                <w:lang w:val="fr-CA"/>
              </w:rPr>
              <w:t>6775</w:t>
            </w:r>
            <w:r w:rsidRPr="00E95CE4">
              <w:rPr>
                <w:sz w:val="20"/>
                <w:szCs w:val="20"/>
                <w:lang w:val="fr-CA"/>
              </w:rPr>
              <w:t>)</w:t>
            </w:r>
          </w:p>
          <w:p w:rsidR="005C3B9D" w:rsidRPr="00E95CE4" w:rsidRDefault="005C3B9D" w:rsidP="008F5FE2">
            <w:pPr>
              <w:tabs>
                <w:tab w:val="left" w:pos="-1440"/>
                <w:tab w:val="left" w:pos="-720"/>
              </w:tabs>
              <w:rPr>
                <w:sz w:val="20"/>
                <w:szCs w:val="20"/>
                <w:lang w:val="fr-CA"/>
              </w:rPr>
            </w:pPr>
          </w:p>
          <w:p w:rsidR="005C3B9D" w:rsidRPr="003824D3" w:rsidRDefault="005C3B9D" w:rsidP="008F5FE2">
            <w:pPr>
              <w:tabs>
                <w:tab w:val="left" w:pos="-1440"/>
                <w:tab w:val="left" w:pos="-720"/>
              </w:tabs>
              <w:rPr>
                <w:b/>
                <w:sz w:val="20"/>
                <w:szCs w:val="20"/>
                <w:lang w:val="fr-CA"/>
              </w:rPr>
            </w:pPr>
            <w:r>
              <w:rPr>
                <w:b/>
                <w:sz w:val="20"/>
                <w:szCs w:val="20"/>
                <w:lang w:val="fr-CA"/>
              </w:rPr>
              <w:t xml:space="preserve">Ronald </w:t>
            </w:r>
            <w:r w:rsidRPr="000E02DB">
              <w:rPr>
                <w:b/>
                <w:sz w:val="20"/>
                <w:szCs w:val="20"/>
                <w:lang w:val="fr-CA"/>
              </w:rPr>
              <w:t>Guérin</w:t>
            </w:r>
            <w:r w:rsidRPr="00E95CE4">
              <w:rPr>
                <w:sz w:val="20"/>
                <w:szCs w:val="20"/>
                <w:lang w:val="fr-CA"/>
              </w:rPr>
              <w:t xml:space="preserve"> </w:t>
            </w:r>
            <w:r w:rsidRPr="003824D3">
              <w:rPr>
                <w:b/>
                <w:sz w:val="20"/>
                <w:szCs w:val="20"/>
                <w:lang w:val="fr-CA"/>
              </w:rPr>
              <w:t>(</w:t>
            </w:r>
            <w:r>
              <w:rPr>
                <w:b/>
                <w:sz w:val="20"/>
                <w:szCs w:val="20"/>
                <w:lang w:val="fr-CA"/>
              </w:rPr>
              <w:t>Qc</w:t>
            </w:r>
            <w:r w:rsidRPr="003824D3">
              <w:rPr>
                <w:b/>
                <w:sz w:val="20"/>
                <w:szCs w:val="20"/>
                <w:lang w:val="fr-CA"/>
              </w:rPr>
              <w:t>)</w:t>
            </w:r>
          </w:p>
          <w:p w:rsidR="005C3B9D" w:rsidRPr="003824D3" w:rsidRDefault="005C3B9D" w:rsidP="008F5FE2">
            <w:pPr>
              <w:tabs>
                <w:tab w:val="left" w:pos="-1440"/>
                <w:tab w:val="left" w:pos="-720"/>
              </w:tabs>
              <w:rPr>
                <w:sz w:val="20"/>
                <w:szCs w:val="20"/>
                <w:lang w:val="fr-CA"/>
              </w:rPr>
            </w:pPr>
            <w:r w:rsidRPr="003824D3">
              <w:rPr>
                <w:sz w:val="20"/>
                <w:szCs w:val="20"/>
                <w:lang w:val="fr-CA"/>
              </w:rPr>
              <w:tab/>
            </w:r>
            <w:r>
              <w:rPr>
                <w:sz w:val="20"/>
                <w:szCs w:val="20"/>
                <w:lang w:val="fr-CA"/>
              </w:rPr>
              <w:t>René Piotte</w:t>
            </w:r>
          </w:p>
          <w:p w:rsidR="005C3B9D" w:rsidRPr="003824D3" w:rsidRDefault="005C3B9D" w:rsidP="008F5FE2">
            <w:pPr>
              <w:tabs>
                <w:tab w:val="left" w:pos="-1440"/>
                <w:tab w:val="left" w:pos="-720"/>
              </w:tabs>
              <w:rPr>
                <w:sz w:val="20"/>
                <w:szCs w:val="20"/>
                <w:lang w:val="fr-CA"/>
              </w:rPr>
            </w:pPr>
            <w:r w:rsidRPr="003824D3">
              <w:rPr>
                <w:sz w:val="20"/>
                <w:szCs w:val="20"/>
                <w:lang w:val="fr-CA"/>
              </w:rPr>
              <w:tab/>
            </w:r>
            <w:r>
              <w:rPr>
                <w:sz w:val="20"/>
                <w:szCs w:val="20"/>
                <w:lang w:val="fr-CA"/>
              </w:rPr>
              <w:t>Bélanger, Sauvé</w:t>
            </w:r>
          </w:p>
          <w:p w:rsidR="005C3B9D" w:rsidRPr="003824D3" w:rsidRDefault="005C3B9D" w:rsidP="008F5FE2">
            <w:pPr>
              <w:tabs>
                <w:tab w:val="left" w:pos="-1440"/>
                <w:tab w:val="left" w:pos="-720"/>
              </w:tabs>
              <w:rPr>
                <w:sz w:val="20"/>
                <w:szCs w:val="20"/>
                <w:lang w:val="fr-CA"/>
              </w:rPr>
            </w:pPr>
          </w:p>
          <w:p w:rsidR="005C3B9D" w:rsidRPr="000E02DB" w:rsidRDefault="005C3B9D" w:rsidP="008F5FE2">
            <w:pPr>
              <w:rPr>
                <w:sz w:val="20"/>
                <w:szCs w:val="20"/>
                <w:lang w:val="fr-CA"/>
              </w:rPr>
            </w:pPr>
            <w:r w:rsidRPr="00806A5B">
              <w:rPr>
                <w:sz w:val="20"/>
                <w:szCs w:val="20"/>
                <w:lang w:val="fr-CA"/>
              </w:rPr>
              <w:t>DATE DE PRODUCTION</w:t>
            </w:r>
            <w:r>
              <w:rPr>
                <w:sz w:val="20"/>
                <w:szCs w:val="20"/>
                <w:lang w:val="fr-CA"/>
              </w:rPr>
              <w:t xml:space="preserve"> </w:t>
            </w:r>
            <w:r w:rsidRPr="003824D3">
              <w:rPr>
                <w:sz w:val="20"/>
                <w:szCs w:val="20"/>
                <w:lang w:val="fr-CA"/>
              </w:rPr>
              <w:t xml:space="preserve">: </w:t>
            </w:r>
            <w:r>
              <w:rPr>
                <w:sz w:val="20"/>
                <w:szCs w:val="20"/>
                <w:lang w:val="fr-CA"/>
              </w:rPr>
              <w:t>2</w:t>
            </w:r>
            <w:r w:rsidRPr="003824D3">
              <w:rPr>
                <w:sz w:val="20"/>
                <w:szCs w:val="20"/>
                <w:lang w:val="fr-CA"/>
              </w:rPr>
              <w:t>1.12.2015</w:t>
            </w:r>
            <w:r w:rsidR="00CD76E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p w:rsidR="005C3B9D" w:rsidRPr="000E02DB" w:rsidRDefault="005C3B9D" w:rsidP="008F5FE2">
            <w:pPr>
              <w:jc w:val="center"/>
              <w:rPr>
                <w:sz w:val="20"/>
                <w:szCs w:val="20"/>
                <w:lang w:val="fr-CA"/>
              </w:rPr>
            </w:pPr>
          </w:p>
        </w:tc>
        <w:tc>
          <w:tcPr>
            <w:tcW w:w="4320" w:type="dxa"/>
            <w:shd w:val="clear" w:color="auto" w:fill="auto"/>
          </w:tcPr>
          <w:p w:rsidR="005C3B9D" w:rsidRPr="009013E0" w:rsidRDefault="005C3B9D" w:rsidP="008F5FE2">
            <w:pPr>
              <w:keepNext/>
              <w:keepLines/>
              <w:tabs>
                <w:tab w:val="left" w:pos="-1440"/>
                <w:tab w:val="left" w:pos="-720"/>
              </w:tabs>
              <w:rPr>
                <w:b/>
                <w:sz w:val="20"/>
                <w:szCs w:val="20"/>
                <w:lang w:val="fr-CA"/>
              </w:rPr>
            </w:pPr>
            <w:r w:rsidRPr="009013E0">
              <w:rPr>
                <w:b/>
                <w:sz w:val="20"/>
                <w:szCs w:val="20"/>
                <w:lang w:val="fr-CA"/>
              </w:rPr>
              <w:t>Air Canada</w:t>
            </w:r>
          </w:p>
          <w:p w:rsidR="005C3B9D" w:rsidRPr="009013E0" w:rsidRDefault="005C3B9D" w:rsidP="008F5FE2">
            <w:pPr>
              <w:keepNext/>
              <w:keepLines/>
              <w:tabs>
                <w:tab w:val="left" w:pos="-1440"/>
                <w:tab w:val="left" w:pos="-720"/>
              </w:tabs>
              <w:rPr>
                <w:sz w:val="20"/>
                <w:szCs w:val="20"/>
                <w:lang w:val="fr-CA"/>
              </w:rPr>
            </w:pPr>
            <w:r w:rsidRPr="009013E0">
              <w:rPr>
                <w:sz w:val="20"/>
                <w:szCs w:val="20"/>
                <w:lang w:val="fr-CA"/>
              </w:rPr>
              <w:tab/>
              <w:t>Pierre Bienvenu</w:t>
            </w:r>
          </w:p>
          <w:p w:rsidR="005C3B9D" w:rsidRPr="009013E0" w:rsidRDefault="005C3B9D" w:rsidP="008F5FE2">
            <w:pPr>
              <w:keepNext/>
              <w:keepLines/>
              <w:tabs>
                <w:tab w:val="left" w:pos="-1440"/>
                <w:tab w:val="left" w:pos="-720"/>
              </w:tabs>
              <w:rPr>
                <w:sz w:val="20"/>
                <w:szCs w:val="20"/>
                <w:lang w:val="fr-CA"/>
              </w:rPr>
            </w:pPr>
            <w:r w:rsidRPr="009013E0">
              <w:rPr>
                <w:sz w:val="20"/>
                <w:szCs w:val="20"/>
                <w:lang w:val="fr-CA"/>
              </w:rPr>
              <w:tab/>
              <w:t>Norton Rose Fulbright Canada LLP</w:t>
            </w:r>
          </w:p>
          <w:p w:rsidR="005C3B9D" w:rsidRPr="009013E0" w:rsidRDefault="005C3B9D" w:rsidP="008F5FE2">
            <w:pPr>
              <w:keepNext/>
              <w:keepLines/>
              <w:tabs>
                <w:tab w:val="left" w:pos="-1440"/>
                <w:tab w:val="left" w:pos="-720"/>
              </w:tabs>
              <w:rPr>
                <w:sz w:val="20"/>
                <w:szCs w:val="20"/>
                <w:lang w:val="fr-CA"/>
              </w:rPr>
            </w:pPr>
          </w:p>
          <w:p w:rsidR="005C3B9D" w:rsidRPr="00B45225" w:rsidRDefault="005C3B9D" w:rsidP="008F5FE2">
            <w:pPr>
              <w:keepNext/>
              <w:keepLines/>
              <w:tabs>
                <w:tab w:val="left" w:pos="-1440"/>
                <w:tab w:val="left" w:pos="-720"/>
              </w:tabs>
              <w:rPr>
                <w:sz w:val="20"/>
                <w:szCs w:val="20"/>
                <w:lang w:val="fr-CA"/>
              </w:rPr>
            </w:pPr>
            <w:r w:rsidRPr="009013E0">
              <w:rPr>
                <w:sz w:val="20"/>
                <w:szCs w:val="20"/>
                <w:lang w:val="fr-CA"/>
              </w:rPr>
              <w:tab/>
            </w:r>
            <w:r>
              <w:rPr>
                <w:sz w:val="20"/>
                <w:szCs w:val="20"/>
                <w:lang w:val="fr-CA"/>
              </w:rPr>
              <w:t>c</w:t>
            </w:r>
            <w:r w:rsidRPr="00B45225">
              <w:rPr>
                <w:sz w:val="20"/>
                <w:szCs w:val="20"/>
                <w:lang w:val="fr-CA"/>
              </w:rPr>
              <w:t>. (36791)</w:t>
            </w:r>
          </w:p>
          <w:p w:rsidR="005C3B9D" w:rsidRPr="00B45225" w:rsidRDefault="005C3B9D" w:rsidP="008F5FE2">
            <w:pPr>
              <w:keepNext/>
              <w:keepLines/>
              <w:tabs>
                <w:tab w:val="left" w:pos="-1440"/>
                <w:tab w:val="left" w:pos="-720"/>
              </w:tabs>
              <w:rPr>
                <w:sz w:val="20"/>
                <w:szCs w:val="20"/>
                <w:lang w:val="fr-CA"/>
              </w:rPr>
            </w:pPr>
          </w:p>
          <w:p w:rsidR="005C3B9D" w:rsidRPr="00B45225" w:rsidRDefault="005C3B9D" w:rsidP="008F5FE2">
            <w:pPr>
              <w:keepNext/>
              <w:keepLines/>
              <w:tabs>
                <w:tab w:val="left" w:pos="-1440"/>
                <w:tab w:val="left" w:pos="-720"/>
              </w:tabs>
              <w:rPr>
                <w:b/>
                <w:sz w:val="20"/>
                <w:szCs w:val="20"/>
                <w:lang w:val="fr-CA"/>
              </w:rPr>
            </w:pPr>
            <w:r w:rsidRPr="00B45225">
              <w:rPr>
                <w:b/>
                <w:sz w:val="20"/>
                <w:szCs w:val="20"/>
                <w:lang w:val="fr-CA"/>
              </w:rPr>
              <w:t xml:space="preserve">Procureure générale du Québec </w:t>
            </w:r>
            <w:r w:rsidR="00065C74">
              <w:rPr>
                <w:b/>
                <w:sz w:val="20"/>
                <w:szCs w:val="20"/>
                <w:lang w:val="fr-CA"/>
              </w:rPr>
              <w:t xml:space="preserve">et autre </w:t>
            </w:r>
            <w:r w:rsidRPr="00B45225">
              <w:rPr>
                <w:b/>
                <w:sz w:val="20"/>
                <w:szCs w:val="20"/>
                <w:lang w:val="fr-CA"/>
              </w:rPr>
              <w:t>(Qc)</w:t>
            </w:r>
          </w:p>
          <w:p w:rsidR="005C3B9D" w:rsidRPr="009013E0" w:rsidRDefault="005C3B9D" w:rsidP="008F5FE2">
            <w:pPr>
              <w:keepNext/>
              <w:keepLines/>
              <w:tabs>
                <w:tab w:val="left" w:pos="-1440"/>
                <w:tab w:val="left" w:pos="-720"/>
              </w:tabs>
              <w:rPr>
                <w:sz w:val="20"/>
                <w:szCs w:val="20"/>
                <w:lang w:val="fr-CA"/>
              </w:rPr>
            </w:pPr>
            <w:r w:rsidRPr="00B45225">
              <w:rPr>
                <w:sz w:val="20"/>
                <w:szCs w:val="20"/>
                <w:lang w:val="fr-CA"/>
              </w:rPr>
              <w:tab/>
            </w:r>
            <w:r w:rsidRPr="009013E0">
              <w:rPr>
                <w:sz w:val="20"/>
                <w:szCs w:val="20"/>
                <w:lang w:val="fr-CA"/>
              </w:rPr>
              <w:t>Jean-Yves Bernard</w:t>
            </w:r>
          </w:p>
          <w:p w:rsidR="005C3B9D" w:rsidRPr="00B45225" w:rsidRDefault="005C3B9D" w:rsidP="008F5FE2">
            <w:pPr>
              <w:keepNext/>
              <w:keepLines/>
              <w:tabs>
                <w:tab w:val="left" w:pos="-1440"/>
                <w:tab w:val="left" w:pos="-720"/>
              </w:tabs>
              <w:rPr>
                <w:sz w:val="20"/>
                <w:szCs w:val="20"/>
                <w:lang w:val="fr-CA"/>
              </w:rPr>
            </w:pPr>
            <w:r w:rsidRPr="009013E0">
              <w:rPr>
                <w:sz w:val="20"/>
                <w:szCs w:val="20"/>
                <w:lang w:val="fr-CA"/>
              </w:rPr>
              <w:tab/>
            </w:r>
            <w:r w:rsidR="00065C74">
              <w:rPr>
                <w:sz w:val="20"/>
                <w:szCs w:val="20"/>
                <w:lang w:val="fr-CA"/>
              </w:rPr>
              <w:t>P</w:t>
            </w:r>
            <w:r w:rsidR="00506A9B">
              <w:rPr>
                <w:sz w:val="20"/>
                <w:szCs w:val="20"/>
                <w:lang w:val="fr-CA"/>
              </w:rPr>
              <w:t xml:space="preserve">.G. </w:t>
            </w:r>
            <w:r w:rsidRPr="00B45225">
              <w:rPr>
                <w:sz w:val="20"/>
                <w:szCs w:val="20"/>
                <w:lang w:val="fr-CA"/>
              </w:rPr>
              <w:t>du Québec</w:t>
            </w:r>
          </w:p>
          <w:p w:rsidR="005C3B9D" w:rsidRPr="00B45225" w:rsidRDefault="005C3B9D" w:rsidP="008F5FE2">
            <w:pPr>
              <w:keepNext/>
              <w:keepLines/>
              <w:tabs>
                <w:tab w:val="left" w:pos="-1440"/>
                <w:tab w:val="left" w:pos="-720"/>
              </w:tabs>
              <w:rPr>
                <w:sz w:val="20"/>
                <w:szCs w:val="20"/>
                <w:lang w:val="fr-CA"/>
              </w:rPr>
            </w:pPr>
          </w:p>
          <w:p w:rsidR="005C3B9D" w:rsidRPr="00B45225" w:rsidRDefault="005C3B9D" w:rsidP="008F5FE2">
            <w:pPr>
              <w:rPr>
                <w:sz w:val="20"/>
                <w:szCs w:val="20"/>
                <w:lang w:val="fr-CA"/>
              </w:rPr>
            </w:pPr>
            <w:r w:rsidRPr="00806A5B">
              <w:rPr>
                <w:sz w:val="20"/>
                <w:szCs w:val="20"/>
                <w:lang w:val="fr-CA"/>
              </w:rPr>
              <w:t>DATE DE PRODUCTION</w:t>
            </w:r>
            <w:r>
              <w:rPr>
                <w:sz w:val="20"/>
                <w:szCs w:val="20"/>
                <w:lang w:val="fr-CA"/>
              </w:rPr>
              <w:t xml:space="preserve"> : </w:t>
            </w:r>
            <w:r w:rsidRPr="00B45225">
              <w:rPr>
                <w:sz w:val="20"/>
                <w:szCs w:val="20"/>
                <w:lang w:val="fr-CA"/>
              </w:rPr>
              <w:t>30.12.2015</w:t>
            </w:r>
            <w:r w:rsidR="00CD76E4">
              <w:rPr>
                <w:sz w:val="20"/>
                <w:szCs w:val="20"/>
                <w:lang w:val="fr-CA"/>
              </w:rPr>
              <w:pict>
                <v:rect id="_x0000_i1028" style="width:108pt;height:1pt" o:hrpct="0" o:hralign="center" o:hrstd="t" o:hrnoshade="t" o:hr="t" fillcolor="black [3213]" stroked="f"/>
              </w:pict>
            </w:r>
          </w:p>
        </w:tc>
      </w:tr>
      <w:tr w:rsidR="005C3B9D" w:rsidRPr="00A935AA" w:rsidTr="008F5FE2">
        <w:tc>
          <w:tcPr>
            <w:tcW w:w="4320" w:type="dxa"/>
            <w:shd w:val="clear" w:color="auto" w:fill="auto"/>
          </w:tcPr>
          <w:p w:rsidR="005C3B9D" w:rsidRPr="00316871" w:rsidRDefault="005C3B9D" w:rsidP="008F5FE2">
            <w:pPr>
              <w:rPr>
                <w:b/>
                <w:sz w:val="20"/>
                <w:szCs w:val="20"/>
                <w:lang w:val="en-US"/>
              </w:rPr>
            </w:pPr>
            <w:r w:rsidRPr="00316871">
              <w:rPr>
                <w:b/>
                <w:sz w:val="20"/>
                <w:szCs w:val="20"/>
                <w:lang w:val="en-US"/>
              </w:rPr>
              <w:t>Whirlpool Canada LP</w:t>
            </w:r>
          </w:p>
          <w:p w:rsidR="005C3B9D" w:rsidRPr="00316871" w:rsidRDefault="005C3B9D" w:rsidP="008F5FE2">
            <w:pPr>
              <w:tabs>
                <w:tab w:val="left" w:pos="-1440"/>
                <w:tab w:val="left" w:pos="-720"/>
              </w:tabs>
              <w:rPr>
                <w:sz w:val="20"/>
                <w:szCs w:val="20"/>
                <w:lang w:val="en-US"/>
              </w:rPr>
            </w:pPr>
            <w:r w:rsidRPr="00316871">
              <w:rPr>
                <w:sz w:val="20"/>
                <w:szCs w:val="20"/>
                <w:lang w:val="en-US"/>
              </w:rPr>
              <w:tab/>
              <w:t>R. Aaron Rubinoff</w:t>
            </w:r>
          </w:p>
          <w:p w:rsidR="005C3B9D" w:rsidRPr="00316871" w:rsidRDefault="005C3B9D" w:rsidP="008F5FE2">
            <w:pPr>
              <w:tabs>
                <w:tab w:val="left" w:pos="-1440"/>
                <w:tab w:val="left" w:pos="-720"/>
              </w:tabs>
              <w:rPr>
                <w:sz w:val="20"/>
                <w:szCs w:val="20"/>
                <w:lang w:val="en-US"/>
              </w:rPr>
            </w:pPr>
            <w:r w:rsidRPr="00316871">
              <w:rPr>
                <w:sz w:val="20"/>
                <w:szCs w:val="20"/>
                <w:lang w:val="en-US"/>
              </w:rPr>
              <w:tab/>
              <w:t>Perley-Robertson, Hill &amp; McDougall</w:t>
            </w:r>
            <w:r w:rsidR="00065C74" w:rsidRPr="00316871">
              <w:rPr>
                <w:sz w:val="20"/>
                <w:szCs w:val="20"/>
                <w:lang w:val="en-US"/>
              </w:rPr>
              <w:t xml:space="preserve"> LLP</w:t>
            </w:r>
          </w:p>
          <w:p w:rsidR="005C3B9D" w:rsidRPr="00316871" w:rsidRDefault="005C3B9D" w:rsidP="008F5FE2">
            <w:pPr>
              <w:tabs>
                <w:tab w:val="left" w:pos="-1440"/>
                <w:tab w:val="left" w:pos="-720"/>
              </w:tabs>
              <w:rPr>
                <w:sz w:val="20"/>
                <w:szCs w:val="20"/>
                <w:lang w:val="en-US"/>
              </w:rPr>
            </w:pPr>
          </w:p>
          <w:p w:rsidR="005C3B9D" w:rsidRPr="00316871" w:rsidRDefault="005C3B9D" w:rsidP="008F5FE2">
            <w:pPr>
              <w:tabs>
                <w:tab w:val="left" w:pos="-1440"/>
                <w:tab w:val="left" w:pos="-720"/>
              </w:tabs>
              <w:rPr>
                <w:sz w:val="20"/>
                <w:szCs w:val="20"/>
                <w:lang w:val="en-US"/>
              </w:rPr>
            </w:pPr>
            <w:r w:rsidRPr="00316871">
              <w:rPr>
                <w:sz w:val="20"/>
                <w:szCs w:val="20"/>
                <w:lang w:val="en-US"/>
              </w:rPr>
              <w:tab/>
              <w:t>v. (36782)</w:t>
            </w:r>
          </w:p>
          <w:p w:rsidR="005C3B9D" w:rsidRPr="00316871" w:rsidRDefault="005C3B9D" w:rsidP="008F5FE2">
            <w:pPr>
              <w:tabs>
                <w:tab w:val="left" w:pos="-1440"/>
                <w:tab w:val="left" w:pos="-720"/>
              </w:tabs>
              <w:rPr>
                <w:sz w:val="20"/>
                <w:szCs w:val="20"/>
                <w:lang w:val="en-US"/>
              </w:rPr>
            </w:pPr>
          </w:p>
          <w:p w:rsidR="005C3B9D" w:rsidRPr="00A935AA" w:rsidRDefault="005C3B9D" w:rsidP="008F5FE2">
            <w:pPr>
              <w:tabs>
                <w:tab w:val="left" w:pos="-1440"/>
                <w:tab w:val="left" w:pos="-720"/>
              </w:tabs>
              <w:rPr>
                <w:b/>
                <w:sz w:val="20"/>
                <w:szCs w:val="20"/>
              </w:rPr>
            </w:pPr>
            <w:r w:rsidRPr="00316871">
              <w:rPr>
                <w:b/>
                <w:sz w:val="20"/>
                <w:szCs w:val="20"/>
                <w:lang w:val="en-US"/>
              </w:rPr>
              <w:t>Alliance Laundry Systems LLC (F.C</w:t>
            </w:r>
            <w:r w:rsidRPr="00A935AA">
              <w:rPr>
                <w:b/>
                <w:sz w:val="20"/>
                <w:szCs w:val="20"/>
              </w:rPr>
              <w:t>.)</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Bob H. Sotiriadis</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Robic, LLP</w:t>
            </w:r>
          </w:p>
          <w:p w:rsidR="005C3B9D" w:rsidRPr="00A935AA" w:rsidRDefault="005C3B9D" w:rsidP="008F5FE2">
            <w:pPr>
              <w:tabs>
                <w:tab w:val="left" w:pos="-1440"/>
                <w:tab w:val="left" w:pos="-720"/>
              </w:tabs>
              <w:rPr>
                <w:sz w:val="20"/>
                <w:szCs w:val="20"/>
              </w:rPr>
            </w:pPr>
          </w:p>
          <w:p w:rsidR="005C3B9D" w:rsidRPr="00A935AA" w:rsidRDefault="005C3B9D" w:rsidP="008F5FE2">
            <w:pPr>
              <w:rPr>
                <w:sz w:val="20"/>
                <w:szCs w:val="20"/>
              </w:rPr>
            </w:pPr>
            <w:r w:rsidRPr="00A935AA">
              <w:rPr>
                <w:sz w:val="20"/>
                <w:szCs w:val="20"/>
              </w:rPr>
              <w:t xml:space="preserve">FILING DATE: </w:t>
            </w:r>
            <w:r>
              <w:rPr>
                <w:sz w:val="20"/>
                <w:szCs w:val="20"/>
              </w:rPr>
              <w:t>29</w:t>
            </w:r>
            <w:r w:rsidRPr="000E02DB">
              <w:rPr>
                <w:sz w:val="20"/>
                <w:szCs w:val="20"/>
                <w:lang w:val="en-US"/>
              </w:rPr>
              <w:t>.12.2015</w:t>
            </w:r>
          </w:p>
          <w:p w:rsidR="005C3B9D" w:rsidRPr="00A935AA" w:rsidRDefault="00CD76E4" w:rsidP="008F5FE2">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Default="005C3B9D" w:rsidP="008F5FE2">
            <w:pPr>
              <w:jc w:val="center"/>
              <w:rPr>
                <w:sz w:val="20"/>
                <w:szCs w:val="20"/>
              </w:rPr>
            </w:pPr>
          </w:p>
          <w:p w:rsidR="005C3B9D" w:rsidRDefault="005C3B9D" w:rsidP="008F5FE2">
            <w:pPr>
              <w:jc w:val="center"/>
              <w:rPr>
                <w:sz w:val="20"/>
                <w:szCs w:val="20"/>
              </w:rPr>
            </w:pPr>
          </w:p>
          <w:p w:rsidR="005C3B9D" w:rsidRDefault="005C3B9D" w:rsidP="008F5FE2">
            <w:pPr>
              <w:jc w:val="center"/>
              <w:rPr>
                <w:sz w:val="20"/>
                <w:szCs w:val="20"/>
              </w:rPr>
            </w:pPr>
          </w:p>
          <w:p w:rsidR="005C3B9D" w:rsidRPr="00A935AA" w:rsidRDefault="005C3B9D" w:rsidP="008F5FE2">
            <w:pPr>
              <w:jc w:val="center"/>
              <w:rPr>
                <w:sz w:val="20"/>
                <w:szCs w:val="20"/>
              </w:rPr>
            </w:pPr>
          </w:p>
        </w:tc>
        <w:tc>
          <w:tcPr>
            <w:tcW w:w="4320" w:type="dxa"/>
            <w:shd w:val="clear" w:color="auto" w:fill="auto"/>
          </w:tcPr>
          <w:p w:rsidR="005C3B9D" w:rsidRPr="00A935AA" w:rsidRDefault="005C3B9D" w:rsidP="008F5FE2">
            <w:pPr>
              <w:rPr>
                <w:b/>
                <w:sz w:val="20"/>
                <w:szCs w:val="20"/>
              </w:rPr>
            </w:pPr>
            <w:r w:rsidRPr="000E02DB">
              <w:rPr>
                <w:b/>
                <w:sz w:val="20"/>
                <w:szCs w:val="20"/>
              </w:rPr>
              <w:t>Thanh Tam</w:t>
            </w:r>
            <w:r>
              <w:rPr>
                <w:b/>
                <w:sz w:val="20"/>
                <w:szCs w:val="20"/>
              </w:rPr>
              <w:t xml:space="preserve"> Tran</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Peter H. Edelmann</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Edelmann &amp; Co. Law Offices</w:t>
            </w:r>
          </w:p>
          <w:p w:rsidR="005C3B9D" w:rsidRPr="00A935AA" w:rsidRDefault="005C3B9D" w:rsidP="008F5FE2">
            <w:pPr>
              <w:tabs>
                <w:tab w:val="left" w:pos="-1440"/>
                <w:tab w:val="left" w:pos="-720"/>
              </w:tabs>
              <w:rPr>
                <w:sz w:val="20"/>
                <w:szCs w:val="20"/>
              </w:rPr>
            </w:pPr>
          </w:p>
          <w:p w:rsidR="005C3B9D" w:rsidRPr="00A935AA" w:rsidRDefault="005C3B9D" w:rsidP="008F5FE2">
            <w:pPr>
              <w:tabs>
                <w:tab w:val="left" w:pos="-1440"/>
                <w:tab w:val="left" w:pos="-720"/>
              </w:tabs>
              <w:rPr>
                <w:sz w:val="20"/>
                <w:szCs w:val="20"/>
              </w:rPr>
            </w:pPr>
            <w:r w:rsidRPr="00A935AA">
              <w:rPr>
                <w:sz w:val="20"/>
                <w:szCs w:val="20"/>
              </w:rPr>
              <w:tab/>
              <w:t>v. (3</w:t>
            </w:r>
            <w:r>
              <w:rPr>
                <w:sz w:val="20"/>
                <w:szCs w:val="20"/>
              </w:rPr>
              <w:t>6784</w:t>
            </w:r>
            <w:r w:rsidRPr="00A935AA">
              <w:rPr>
                <w:sz w:val="20"/>
                <w:szCs w:val="20"/>
              </w:rPr>
              <w:t>)</w:t>
            </w:r>
          </w:p>
          <w:p w:rsidR="005C3B9D" w:rsidRPr="00A935AA" w:rsidRDefault="005C3B9D" w:rsidP="008F5FE2">
            <w:pPr>
              <w:tabs>
                <w:tab w:val="left" w:pos="-1440"/>
                <w:tab w:val="left" w:pos="-720"/>
              </w:tabs>
              <w:rPr>
                <w:sz w:val="20"/>
                <w:szCs w:val="20"/>
              </w:rPr>
            </w:pPr>
          </w:p>
          <w:p w:rsidR="005C3B9D" w:rsidRPr="00A935AA" w:rsidRDefault="005C3B9D" w:rsidP="008F5FE2">
            <w:pPr>
              <w:tabs>
                <w:tab w:val="left" w:pos="-1440"/>
                <w:tab w:val="left" w:pos="-720"/>
              </w:tabs>
              <w:rPr>
                <w:b/>
                <w:sz w:val="20"/>
                <w:szCs w:val="20"/>
              </w:rPr>
            </w:pPr>
            <w:r w:rsidRPr="000E02DB">
              <w:rPr>
                <w:b/>
                <w:sz w:val="20"/>
                <w:szCs w:val="20"/>
              </w:rPr>
              <w:t xml:space="preserve">Minister of Public Safety and Emergency Preparedness </w:t>
            </w:r>
            <w:r w:rsidRPr="00A935AA">
              <w:rPr>
                <w:b/>
                <w:sz w:val="20"/>
                <w:szCs w:val="20"/>
              </w:rPr>
              <w:t>(</w:t>
            </w:r>
            <w:r>
              <w:rPr>
                <w:b/>
                <w:sz w:val="20"/>
                <w:szCs w:val="20"/>
              </w:rPr>
              <w:t>F.C</w:t>
            </w:r>
            <w:r w:rsidRPr="00A935AA">
              <w:rPr>
                <w:b/>
                <w:sz w:val="20"/>
                <w:szCs w:val="20"/>
              </w:rPr>
              <w:t>.)</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Banafsheh Sokhansanj</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A.G. of Canada</w:t>
            </w:r>
          </w:p>
          <w:p w:rsidR="005C3B9D" w:rsidRPr="00A935AA" w:rsidRDefault="005C3B9D" w:rsidP="008F5FE2">
            <w:pPr>
              <w:tabs>
                <w:tab w:val="left" w:pos="-1440"/>
                <w:tab w:val="left" w:pos="-720"/>
              </w:tabs>
              <w:rPr>
                <w:sz w:val="20"/>
                <w:szCs w:val="20"/>
              </w:rPr>
            </w:pPr>
          </w:p>
          <w:p w:rsidR="005C3B9D" w:rsidRPr="00A935AA" w:rsidRDefault="005C3B9D" w:rsidP="008F5FE2">
            <w:pPr>
              <w:rPr>
                <w:sz w:val="20"/>
                <w:szCs w:val="20"/>
              </w:rPr>
            </w:pPr>
            <w:r w:rsidRPr="00A935AA">
              <w:rPr>
                <w:sz w:val="20"/>
                <w:szCs w:val="20"/>
              </w:rPr>
              <w:t xml:space="preserve">FILING DATE: </w:t>
            </w:r>
            <w:r>
              <w:rPr>
                <w:sz w:val="20"/>
                <w:szCs w:val="20"/>
              </w:rPr>
              <w:t>29</w:t>
            </w:r>
            <w:r w:rsidRPr="000E02DB">
              <w:rPr>
                <w:sz w:val="20"/>
                <w:szCs w:val="20"/>
                <w:lang w:val="en-US"/>
              </w:rPr>
              <w:t>.12.2015</w:t>
            </w:r>
          </w:p>
          <w:p w:rsidR="005C3B9D" w:rsidRPr="00A935AA" w:rsidRDefault="00CD76E4" w:rsidP="008F5FE2">
            <w:pPr>
              <w:rPr>
                <w:sz w:val="20"/>
                <w:szCs w:val="20"/>
              </w:rPr>
            </w:pPr>
            <w:r>
              <w:rPr>
                <w:sz w:val="20"/>
                <w:szCs w:val="20"/>
                <w:lang w:val="fr-CA"/>
              </w:rPr>
              <w:pict>
                <v:rect id="_x0000_i1030" style="width:108pt;height:1pt" o:hrpct="0" o:hralign="center" o:hrstd="t" o:hrnoshade="t" o:hr="t" fillcolor="black [3213]" stroked="f"/>
              </w:pict>
            </w:r>
          </w:p>
        </w:tc>
      </w:tr>
      <w:tr w:rsidR="005C3B9D" w:rsidRPr="00A935AA" w:rsidTr="008F5FE2">
        <w:trPr>
          <w:cantSplit/>
        </w:trPr>
        <w:tc>
          <w:tcPr>
            <w:tcW w:w="4320" w:type="dxa"/>
            <w:shd w:val="clear" w:color="auto" w:fill="auto"/>
          </w:tcPr>
          <w:p w:rsidR="005C3B9D" w:rsidRPr="00A935AA" w:rsidRDefault="005C3B9D" w:rsidP="008F5FE2">
            <w:pPr>
              <w:rPr>
                <w:b/>
                <w:sz w:val="20"/>
                <w:szCs w:val="20"/>
              </w:rPr>
            </w:pPr>
            <w:r>
              <w:rPr>
                <w:b/>
                <w:sz w:val="20"/>
                <w:szCs w:val="20"/>
              </w:rPr>
              <w:t xml:space="preserve">Tasia M. </w:t>
            </w:r>
            <w:r w:rsidRPr="000E02DB">
              <w:rPr>
                <w:b/>
                <w:sz w:val="20"/>
                <w:szCs w:val="20"/>
              </w:rPr>
              <w:t>Natewayes</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Peter A. Abrametz</w:t>
            </w:r>
          </w:p>
          <w:p w:rsidR="005C3B9D" w:rsidRPr="00A935AA" w:rsidRDefault="005C3B9D" w:rsidP="008F5FE2">
            <w:pPr>
              <w:tabs>
                <w:tab w:val="left" w:pos="-1440"/>
                <w:tab w:val="left" w:pos="-720"/>
              </w:tabs>
              <w:rPr>
                <w:sz w:val="20"/>
                <w:szCs w:val="20"/>
              </w:rPr>
            </w:pPr>
          </w:p>
          <w:p w:rsidR="005C3B9D" w:rsidRPr="00A935AA" w:rsidRDefault="005C3B9D" w:rsidP="008F5FE2">
            <w:pPr>
              <w:tabs>
                <w:tab w:val="left" w:pos="-1440"/>
                <w:tab w:val="left" w:pos="-720"/>
              </w:tabs>
              <w:rPr>
                <w:sz w:val="20"/>
                <w:szCs w:val="20"/>
              </w:rPr>
            </w:pPr>
            <w:r w:rsidRPr="00A935AA">
              <w:rPr>
                <w:sz w:val="20"/>
                <w:szCs w:val="20"/>
              </w:rPr>
              <w:tab/>
              <w:t>v. (3</w:t>
            </w:r>
            <w:r>
              <w:rPr>
                <w:sz w:val="20"/>
                <w:szCs w:val="20"/>
              </w:rPr>
              <w:t>6793</w:t>
            </w:r>
            <w:r w:rsidRPr="00A935AA">
              <w:rPr>
                <w:sz w:val="20"/>
                <w:szCs w:val="20"/>
              </w:rPr>
              <w:t>)</w:t>
            </w:r>
          </w:p>
          <w:p w:rsidR="005C3B9D" w:rsidRPr="00A935AA" w:rsidRDefault="005C3B9D" w:rsidP="008F5FE2">
            <w:pPr>
              <w:tabs>
                <w:tab w:val="left" w:pos="-1440"/>
                <w:tab w:val="left" w:pos="-720"/>
              </w:tabs>
              <w:rPr>
                <w:sz w:val="20"/>
                <w:szCs w:val="20"/>
              </w:rPr>
            </w:pPr>
          </w:p>
          <w:p w:rsidR="005C3B9D" w:rsidRPr="00A935AA" w:rsidRDefault="005C3B9D" w:rsidP="008F5FE2">
            <w:pPr>
              <w:tabs>
                <w:tab w:val="left" w:pos="-1440"/>
                <w:tab w:val="left" w:pos="-720"/>
              </w:tabs>
              <w:rPr>
                <w:b/>
                <w:sz w:val="20"/>
                <w:szCs w:val="20"/>
              </w:rPr>
            </w:pPr>
            <w:r w:rsidRPr="000E02DB">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W. Dean Sinclair, Q.C.</w:t>
            </w:r>
          </w:p>
          <w:p w:rsidR="005C3B9D" w:rsidRPr="00A935AA" w:rsidRDefault="005C3B9D" w:rsidP="008F5FE2">
            <w:pPr>
              <w:tabs>
                <w:tab w:val="left" w:pos="-1440"/>
                <w:tab w:val="left" w:pos="-720"/>
              </w:tabs>
              <w:rPr>
                <w:sz w:val="20"/>
                <w:szCs w:val="20"/>
              </w:rPr>
            </w:pPr>
            <w:r w:rsidRPr="00A935AA">
              <w:rPr>
                <w:sz w:val="20"/>
                <w:szCs w:val="20"/>
              </w:rPr>
              <w:tab/>
            </w:r>
            <w:r>
              <w:rPr>
                <w:sz w:val="20"/>
                <w:szCs w:val="20"/>
              </w:rPr>
              <w:t>A.G. for Saskatchewan</w:t>
            </w:r>
          </w:p>
          <w:p w:rsidR="005C3B9D" w:rsidRPr="00A935AA" w:rsidRDefault="005C3B9D" w:rsidP="008F5FE2">
            <w:pPr>
              <w:tabs>
                <w:tab w:val="left" w:pos="-1440"/>
                <w:tab w:val="left" w:pos="-720"/>
              </w:tabs>
              <w:rPr>
                <w:sz w:val="20"/>
                <w:szCs w:val="20"/>
              </w:rPr>
            </w:pPr>
          </w:p>
          <w:p w:rsidR="005C3B9D" w:rsidRPr="00A935AA" w:rsidRDefault="005C3B9D" w:rsidP="008F5FE2">
            <w:pPr>
              <w:rPr>
                <w:sz w:val="20"/>
                <w:szCs w:val="20"/>
              </w:rPr>
            </w:pPr>
            <w:r w:rsidRPr="00A935AA">
              <w:rPr>
                <w:sz w:val="20"/>
                <w:szCs w:val="20"/>
              </w:rPr>
              <w:t xml:space="preserve">FILING DATE: </w:t>
            </w:r>
            <w:r>
              <w:rPr>
                <w:sz w:val="20"/>
                <w:szCs w:val="20"/>
              </w:rPr>
              <w:t>29</w:t>
            </w:r>
            <w:r w:rsidRPr="000E02DB">
              <w:rPr>
                <w:sz w:val="20"/>
                <w:szCs w:val="20"/>
                <w:lang w:val="en-US"/>
              </w:rPr>
              <w:t>.12.2015</w:t>
            </w:r>
          </w:p>
          <w:p w:rsidR="005C3B9D" w:rsidRPr="00A935AA" w:rsidRDefault="00CD76E4" w:rsidP="008F5FE2">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p w:rsidR="005C3B9D" w:rsidRPr="00A935AA" w:rsidRDefault="005C3B9D" w:rsidP="008F5FE2">
            <w:pPr>
              <w:jc w:val="center"/>
              <w:rPr>
                <w:sz w:val="20"/>
                <w:szCs w:val="20"/>
              </w:rPr>
            </w:pPr>
          </w:p>
        </w:tc>
        <w:tc>
          <w:tcPr>
            <w:tcW w:w="4320" w:type="dxa"/>
            <w:shd w:val="clear" w:color="auto" w:fill="auto"/>
          </w:tcPr>
          <w:p w:rsidR="005C3B9D" w:rsidRPr="000E02DB" w:rsidRDefault="005C3B9D" w:rsidP="008F5FE2">
            <w:pPr>
              <w:keepNext/>
              <w:keepLines/>
              <w:tabs>
                <w:tab w:val="left" w:pos="-1440"/>
                <w:tab w:val="left" w:pos="-720"/>
              </w:tabs>
              <w:rPr>
                <w:b/>
                <w:sz w:val="20"/>
                <w:szCs w:val="20"/>
                <w:lang w:val="en-US"/>
              </w:rPr>
            </w:pPr>
            <w:r w:rsidRPr="000E02DB">
              <w:rPr>
                <w:b/>
                <w:sz w:val="20"/>
                <w:szCs w:val="20"/>
                <w:lang w:val="en-US"/>
              </w:rPr>
              <w:t>Her Majesty the Queen in Right of Canada</w:t>
            </w:r>
          </w:p>
          <w:p w:rsidR="005C3B9D" w:rsidRPr="000E02DB" w:rsidRDefault="005C3B9D" w:rsidP="008F5FE2">
            <w:pPr>
              <w:keepNext/>
              <w:keepLines/>
              <w:tabs>
                <w:tab w:val="left" w:pos="-1440"/>
                <w:tab w:val="left" w:pos="-720"/>
              </w:tabs>
              <w:rPr>
                <w:sz w:val="20"/>
                <w:szCs w:val="20"/>
                <w:lang w:val="en-US"/>
              </w:rPr>
            </w:pPr>
            <w:r w:rsidRPr="000E02DB">
              <w:rPr>
                <w:sz w:val="20"/>
                <w:szCs w:val="20"/>
                <w:lang w:val="en-US"/>
              </w:rPr>
              <w:tab/>
            </w:r>
            <w:r>
              <w:rPr>
                <w:sz w:val="20"/>
                <w:szCs w:val="20"/>
                <w:lang w:val="en-US"/>
              </w:rPr>
              <w:t>Nicholas E. Devlin</w:t>
            </w:r>
          </w:p>
          <w:p w:rsidR="005C3B9D" w:rsidRPr="000E02DB" w:rsidRDefault="005C3B9D" w:rsidP="008F5FE2">
            <w:pPr>
              <w:keepNext/>
              <w:keepLines/>
              <w:tabs>
                <w:tab w:val="left" w:pos="-1440"/>
                <w:tab w:val="left" w:pos="-720"/>
              </w:tabs>
              <w:rPr>
                <w:sz w:val="20"/>
                <w:szCs w:val="20"/>
                <w:lang w:val="en-US"/>
              </w:rPr>
            </w:pPr>
            <w:r w:rsidRPr="000E02DB">
              <w:rPr>
                <w:sz w:val="20"/>
                <w:szCs w:val="20"/>
                <w:lang w:val="en-US"/>
              </w:rPr>
              <w:tab/>
            </w:r>
            <w:r>
              <w:rPr>
                <w:sz w:val="20"/>
                <w:szCs w:val="20"/>
                <w:lang w:val="en-US"/>
              </w:rPr>
              <w:t>Public Prosecution Service of Canada</w:t>
            </w:r>
          </w:p>
          <w:p w:rsidR="005C3B9D" w:rsidRPr="000E02DB" w:rsidRDefault="005C3B9D" w:rsidP="008F5FE2">
            <w:pPr>
              <w:keepNext/>
              <w:keepLines/>
              <w:tabs>
                <w:tab w:val="left" w:pos="-1440"/>
                <w:tab w:val="left" w:pos="-720"/>
              </w:tabs>
              <w:rPr>
                <w:sz w:val="20"/>
                <w:szCs w:val="20"/>
                <w:lang w:val="en-US"/>
              </w:rPr>
            </w:pPr>
          </w:p>
          <w:p w:rsidR="005C3B9D" w:rsidRPr="00A935AA" w:rsidRDefault="005C3B9D" w:rsidP="008F5FE2">
            <w:pPr>
              <w:keepNext/>
              <w:keepLines/>
              <w:tabs>
                <w:tab w:val="left" w:pos="-1440"/>
                <w:tab w:val="left" w:pos="-720"/>
              </w:tabs>
              <w:rPr>
                <w:sz w:val="20"/>
                <w:szCs w:val="20"/>
              </w:rPr>
            </w:pPr>
            <w:r w:rsidRPr="000E02DB">
              <w:rPr>
                <w:sz w:val="20"/>
                <w:szCs w:val="20"/>
                <w:lang w:val="en-US"/>
              </w:rPr>
              <w:tab/>
            </w:r>
            <w:r w:rsidRPr="00A935AA">
              <w:rPr>
                <w:sz w:val="20"/>
                <w:szCs w:val="20"/>
              </w:rPr>
              <w:t>v. (</w:t>
            </w:r>
            <w:r>
              <w:rPr>
                <w:sz w:val="20"/>
                <w:szCs w:val="20"/>
              </w:rPr>
              <w:t>36783</w:t>
            </w:r>
            <w:r w:rsidRPr="00A935AA">
              <w:rPr>
                <w:sz w:val="20"/>
                <w:szCs w:val="20"/>
              </w:rPr>
              <w:t>)</w:t>
            </w:r>
          </w:p>
          <w:p w:rsidR="005C3B9D" w:rsidRPr="00A935AA" w:rsidRDefault="005C3B9D" w:rsidP="008F5FE2">
            <w:pPr>
              <w:keepNext/>
              <w:keepLines/>
              <w:tabs>
                <w:tab w:val="left" w:pos="-1440"/>
                <w:tab w:val="left" w:pos="-720"/>
              </w:tabs>
              <w:rPr>
                <w:sz w:val="20"/>
                <w:szCs w:val="20"/>
              </w:rPr>
            </w:pPr>
          </w:p>
          <w:p w:rsidR="005C3B9D" w:rsidRPr="00A935AA" w:rsidRDefault="005C3B9D" w:rsidP="008F5FE2">
            <w:pPr>
              <w:keepNext/>
              <w:keepLines/>
              <w:tabs>
                <w:tab w:val="left" w:pos="-1440"/>
                <w:tab w:val="left" w:pos="-720"/>
              </w:tabs>
              <w:rPr>
                <w:b/>
                <w:sz w:val="20"/>
                <w:szCs w:val="20"/>
              </w:rPr>
            </w:pPr>
            <w:r>
              <w:rPr>
                <w:b/>
                <w:sz w:val="20"/>
                <w:szCs w:val="20"/>
              </w:rPr>
              <w:t xml:space="preserve">Kevin </w:t>
            </w:r>
            <w:r w:rsidRPr="000E02DB">
              <w:rPr>
                <w:b/>
                <w:sz w:val="20"/>
                <w:szCs w:val="20"/>
              </w:rPr>
              <w:t xml:space="preserve">Antic </w:t>
            </w:r>
            <w:r w:rsidRPr="00A935AA">
              <w:rPr>
                <w:b/>
                <w:sz w:val="20"/>
                <w:szCs w:val="20"/>
              </w:rPr>
              <w:t>(</w:t>
            </w:r>
            <w:r>
              <w:rPr>
                <w:b/>
                <w:sz w:val="20"/>
                <w:szCs w:val="20"/>
              </w:rPr>
              <w:t>Ont</w:t>
            </w:r>
            <w:r w:rsidRPr="00A935AA">
              <w:rPr>
                <w:b/>
                <w:sz w:val="20"/>
                <w:szCs w:val="20"/>
              </w:rPr>
              <w:t>.)</w:t>
            </w:r>
          </w:p>
          <w:p w:rsidR="005C3B9D" w:rsidRPr="00A935AA" w:rsidRDefault="005C3B9D" w:rsidP="008F5FE2">
            <w:pPr>
              <w:keepNext/>
              <w:keepLines/>
              <w:tabs>
                <w:tab w:val="left" w:pos="-1440"/>
                <w:tab w:val="left" w:pos="-720"/>
              </w:tabs>
              <w:rPr>
                <w:sz w:val="20"/>
                <w:szCs w:val="20"/>
              </w:rPr>
            </w:pPr>
            <w:r w:rsidRPr="00A935AA">
              <w:rPr>
                <w:sz w:val="20"/>
                <w:szCs w:val="20"/>
              </w:rPr>
              <w:tab/>
            </w:r>
            <w:r>
              <w:rPr>
                <w:sz w:val="20"/>
                <w:szCs w:val="20"/>
              </w:rPr>
              <w:t>Robert DiPietro</w:t>
            </w:r>
          </w:p>
          <w:p w:rsidR="005C3B9D" w:rsidRPr="00A935AA" w:rsidRDefault="005C3B9D" w:rsidP="008F5FE2">
            <w:pPr>
              <w:keepNext/>
              <w:keepLines/>
              <w:tabs>
                <w:tab w:val="left" w:pos="-1440"/>
                <w:tab w:val="left" w:pos="-720"/>
              </w:tabs>
              <w:rPr>
                <w:sz w:val="20"/>
                <w:szCs w:val="20"/>
              </w:rPr>
            </w:pPr>
          </w:p>
          <w:p w:rsidR="005C3B9D" w:rsidRPr="00A935AA" w:rsidRDefault="005C3B9D" w:rsidP="008F5FE2">
            <w:pPr>
              <w:rPr>
                <w:sz w:val="20"/>
                <w:szCs w:val="20"/>
              </w:rPr>
            </w:pPr>
            <w:r w:rsidRPr="00A935AA">
              <w:rPr>
                <w:sz w:val="20"/>
                <w:szCs w:val="20"/>
              </w:rPr>
              <w:t xml:space="preserve">FILING DATE: </w:t>
            </w:r>
            <w:r>
              <w:rPr>
                <w:sz w:val="20"/>
                <w:szCs w:val="20"/>
                <w:lang w:val="en-US"/>
              </w:rPr>
              <w:t>22</w:t>
            </w:r>
            <w:r w:rsidRPr="000E02DB">
              <w:rPr>
                <w:sz w:val="20"/>
                <w:szCs w:val="20"/>
                <w:lang w:val="en-US"/>
              </w:rPr>
              <w:t>.12.2015</w:t>
            </w:r>
            <w:r w:rsidR="00CD76E4">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B68C3">
          <w:headerReference w:type="default" r:id="rId17"/>
          <w:footerReference w:type="default" r:id="rId18"/>
          <w:headerReference w:type="first" r:id="rId19"/>
          <w:footerReference w:type="first" r:id="rId20"/>
          <w:pgSz w:w="12240" w:h="15840"/>
          <w:pgMar w:top="720" w:right="965" w:bottom="1080" w:left="1656" w:header="706" w:footer="706" w:gutter="0"/>
          <w:pgNumType w:start="1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26F8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5C3B9D" w:rsidRPr="00C50A5C" w:rsidRDefault="005C3B9D" w:rsidP="005C3B9D">
      <w:pPr>
        <w:widowControl w:val="0"/>
        <w:rPr>
          <w:b/>
          <w:sz w:val="20"/>
          <w:szCs w:val="20"/>
        </w:rPr>
      </w:pPr>
      <w:r>
        <w:rPr>
          <w:b/>
          <w:sz w:val="20"/>
          <w:szCs w:val="20"/>
        </w:rPr>
        <w:t>JANUARY 11</w:t>
      </w:r>
      <w:r w:rsidRPr="00C50A5C">
        <w:rPr>
          <w:b/>
          <w:sz w:val="20"/>
          <w:szCs w:val="20"/>
        </w:rPr>
        <w:t>, 201</w:t>
      </w:r>
      <w:r>
        <w:rPr>
          <w:b/>
          <w:sz w:val="20"/>
          <w:szCs w:val="20"/>
        </w:rPr>
        <w:t>6</w:t>
      </w:r>
      <w:r w:rsidRPr="00C50A5C">
        <w:rPr>
          <w:b/>
          <w:sz w:val="20"/>
          <w:szCs w:val="20"/>
        </w:rPr>
        <w:t xml:space="preserve"> / LE </w:t>
      </w:r>
      <w:r>
        <w:rPr>
          <w:b/>
          <w:sz w:val="20"/>
          <w:szCs w:val="20"/>
        </w:rPr>
        <w:t>11 JANVIER</w:t>
      </w:r>
      <w:r w:rsidRPr="00C50A5C">
        <w:rPr>
          <w:b/>
          <w:sz w:val="20"/>
          <w:szCs w:val="20"/>
        </w:rPr>
        <w:t xml:space="preserve"> 201</w:t>
      </w:r>
      <w:r>
        <w:rPr>
          <w:b/>
          <w:sz w:val="20"/>
          <w:szCs w:val="20"/>
        </w:rPr>
        <w:t>6</w:t>
      </w:r>
    </w:p>
    <w:p w:rsidR="005C3B9D" w:rsidRPr="00C50A5C" w:rsidRDefault="005C3B9D" w:rsidP="005C3B9D">
      <w:pPr>
        <w:widowControl w:val="0"/>
        <w:rPr>
          <w:b/>
          <w:sz w:val="20"/>
          <w:szCs w:val="20"/>
        </w:rPr>
      </w:pPr>
    </w:p>
    <w:p w:rsidR="005C3B9D" w:rsidRPr="00C50A5C" w:rsidRDefault="005C3B9D" w:rsidP="005C3B9D">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Côté </w:t>
      </w:r>
      <w:r w:rsidRPr="00C50A5C">
        <w:rPr>
          <w:b/>
          <w:sz w:val="20"/>
          <w:szCs w:val="20"/>
        </w:rPr>
        <w:t>JJ.</w:t>
      </w:r>
    </w:p>
    <w:p w:rsidR="005C3B9D" w:rsidRPr="00C50A5C" w:rsidRDefault="005C3B9D" w:rsidP="005C3B9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 xml:space="preserve">Cromwell </w:t>
      </w:r>
      <w:r w:rsidRPr="00C50A5C">
        <w:rPr>
          <w:b/>
          <w:sz w:val="20"/>
          <w:szCs w:val="20"/>
          <w:lang w:val="fr-CA"/>
        </w:rPr>
        <w:t xml:space="preserve">et </w:t>
      </w:r>
      <w:r>
        <w:rPr>
          <w:b/>
          <w:sz w:val="20"/>
          <w:szCs w:val="20"/>
          <w:lang w:val="fr-CA"/>
        </w:rPr>
        <w:t>Côté</w:t>
      </w:r>
    </w:p>
    <w:p w:rsidR="005C3B9D" w:rsidRPr="00C50A5C" w:rsidRDefault="005C3B9D" w:rsidP="005C3B9D">
      <w:pPr>
        <w:widowControl w:val="0"/>
        <w:rPr>
          <w:sz w:val="20"/>
          <w:szCs w:val="20"/>
          <w:lang w:val="fr-CA"/>
        </w:rPr>
      </w:pPr>
    </w:p>
    <w:p w:rsidR="005C3B9D" w:rsidRPr="009013E0" w:rsidRDefault="005C3B9D" w:rsidP="005C3B9D">
      <w:pPr>
        <w:pStyle w:val="ListParagraph"/>
        <w:numPr>
          <w:ilvl w:val="0"/>
          <w:numId w:val="7"/>
        </w:numPr>
        <w:rPr>
          <w:sz w:val="20"/>
          <w:szCs w:val="20"/>
          <w:lang w:val="en-US"/>
        </w:rPr>
      </w:pPr>
      <w:r w:rsidRPr="009013E0">
        <w:rPr>
          <w:i/>
          <w:sz w:val="20"/>
          <w:szCs w:val="20"/>
          <w:lang w:val="fr-CA"/>
        </w:rPr>
        <w:t>Directeur des poursuites criminelles et pénales c. Robert Jodoin</w:t>
      </w:r>
      <w:r w:rsidRPr="009013E0">
        <w:rPr>
          <w:sz w:val="20"/>
          <w:szCs w:val="20"/>
          <w:lang w:val="fr-CA"/>
        </w:rPr>
        <w:t xml:space="preserve"> (Qc) (Crim.) </w:t>
      </w:r>
      <w:r w:rsidRPr="009013E0">
        <w:rPr>
          <w:sz w:val="20"/>
          <w:szCs w:val="20"/>
          <w:lang w:val="en-US"/>
        </w:rPr>
        <w:t>(Autorisation) (36539)</w:t>
      </w:r>
    </w:p>
    <w:p w:rsidR="005C3B9D" w:rsidRPr="009013E0" w:rsidRDefault="005C3B9D" w:rsidP="005C3B9D">
      <w:pPr>
        <w:widowControl w:val="0"/>
        <w:ind w:left="720" w:hanging="720"/>
        <w:jc w:val="both"/>
        <w:rPr>
          <w:sz w:val="20"/>
          <w:szCs w:val="20"/>
          <w:lang w:val="en-US"/>
        </w:rPr>
      </w:pPr>
    </w:p>
    <w:p w:rsidR="005C3B9D" w:rsidRPr="009013E0" w:rsidRDefault="005C3B9D" w:rsidP="005C3B9D">
      <w:pPr>
        <w:pStyle w:val="ListParagraph"/>
        <w:numPr>
          <w:ilvl w:val="0"/>
          <w:numId w:val="7"/>
        </w:numPr>
        <w:rPr>
          <w:sz w:val="20"/>
          <w:szCs w:val="20"/>
        </w:rPr>
      </w:pPr>
      <w:r w:rsidRPr="00047B76">
        <w:rPr>
          <w:i/>
          <w:sz w:val="20"/>
          <w:szCs w:val="20"/>
          <w:lang w:val="en-US"/>
        </w:rPr>
        <w:t>Halifax Regional Municipality v. Northern Construction Enterprises Inc.</w:t>
      </w:r>
      <w:r w:rsidRPr="009013E0">
        <w:rPr>
          <w:sz w:val="20"/>
          <w:szCs w:val="20"/>
        </w:rPr>
        <w:t xml:space="preserve"> (N.S.) (Civil) (By Leave) (36504)</w:t>
      </w:r>
    </w:p>
    <w:p w:rsidR="005C3B9D" w:rsidRPr="009013E0" w:rsidRDefault="005C3B9D" w:rsidP="005C3B9D">
      <w:pPr>
        <w:ind w:left="720" w:hanging="720"/>
        <w:rPr>
          <w:i/>
          <w:sz w:val="20"/>
          <w:szCs w:val="20"/>
          <w:lang w:val="fr-CA"/>
        </w:rPr>
      </w:pPr>
    </w:p>
    <w:p w:rsidR="005C3B9D" w:rsidRPr="009013E0" w:rsidRDefault="005C3B9D" w:rsidP="005C3B9D">
      <w:pPr>
        <w:pStyle w:val="ListParagraph"/>
        <w:numPr>
          <w:ilvl w:val="0"/>
          <w:numId w:val="7"/>
        </w:numPr>
        <w:rPr>
          <w:sz w:val="20"/>
          <w:szCs w:val="20"/>
        </w:rPr>
      </w:pPr>
      <w:r w:rsidRPr="009013E0">
        <w:rPr>
          <w:i/>
          <w:sz w:val="20"/>
          <w:szCs w:val="20"/>
          <w:lang w:val="en-US"/>
        </w:rPr>
        <w:t xml:space="preserve">Dwight Ira Isenor et al. v. </w:t>
      </w:r>
      <w:r>
        <w:rPr>
          <w:i/>
          <w:sz w:val="20"/>
          <w:szCs w:val="20"/>
          <w:lang w:val="en-US"/>
        </w:rPr>
        <w:t>Halifax Regional Municipality</w:t>
      </w:r>
      <w:r w:rsidRPr="009013E0">
        <w:rPr>
          <w:i/>
          <w:sz w:val="20"/>
          <w:szCs w:val="20"/>
          <w:lang w:val="en-US"/>
        </w:rPr>
        <w:t xml:space="preserve"> et al</w:t>
      </w:r>
      <w:r w:rsidRPr="009013E0">
        <w:rPr>
          <w:sz w:val="20"/>
          <w:szCs w:val="20"/>
        </w:rPr>
        <w:t>. (N.S.) (Civil) (By Leave) (36549)</w:t>
      </w:r>
    </w:p>
    <w:p w:rsidR="005C3B9D" w:rsidRPr="009013E0" w:rsidRDefault="005C3B9D" w:rsidP="005C3B9D">
      <w:pPr>
        <w:ind w:left="720" w:hanging="720"/>
        <w:rPr>
          <w:sz w:val="20"/>
          <w:szCs w:val="20"/>
          <w:lang w:val="en-US"/>
        </w:rPr>
      </w:pPr>
    </w:p>
    <w:p w:rsidR="005C3B9D" w:rsidRPr="009013E0" w:rsidRDefault="005C3B9D" w:rsidP="005C3B9D">
      <w:pPr>
        <w:pStyle w:val="SCCAppellantInfoAppellantInfo"/>
        <w:numPr>
          <w:ilvl w:val="0"/>
          <w:numId w:val="7"/>
        </w:numPr>
        <w:rPr>
          <w:sz w:val="20"/>
          <w:szCs w:val="20"/>
          <w:lang w:val="en-US"/>
        </w:rPr>
      </w:pPr>
      <w:r w:rsidRPr="009013E0">
        <w:rPr>
          <w:i/>
          <w:sz w:val="20"/>
          <w:szCs w:val="20"/>
          <w:lang w:val="fr-CA"/>
        </w:rPr>
        <w:t>Google Inc. v. Equustek Solutions Inc. et al.</w:t>
      </w:r>
      <w:r>
        <w:rPr>
          <w:i/>
          <w:sz w:val="20"/>
          <w:szCs w:val="20"/>
          <w:lang w:val="fr-CA"/>
        </w:rPr>
        <w:t xml:space="preserve"> </w:t>
      </w:r>
      <w:r w:rsidRPr="009013E0">
        <w:rPr>
          <w:sz w:val="20"/>
          <w:szCs w:val="20"/>
          <w:lang w:val="en-US"/>
        </w:rPr>
        <w:t>(</w:t>
      </w:r>
      <w:r w:rsidRPr="009013E0">
        <w:rPr>
          <w:sz w:val="20"/>
          <w:szCs w:val="20"/>
        </w:rPr>
        <w:t>B.C.) (Civil) (By Leave) (36602)</w:t>
      </w:r>
    </w:p>
    <w:p w:rsidR="005C3B9D" w:rsidRPr="009013E0" w:rsidRDefault="005C3B9D" w:rsidP="005C3B9D">
      <w:pPr>
        <w:widowControl w:val="0"/>
        <w:jc w:val="both"/>
        <w:rPr>
          <w:sz w:val="20"/>
          <w:szCs w:val="20"/>
          <w:lang w:val="en-US"/>
        </w:rPr>
      </w:pPr>
    </w:p>
    <w:p w:rsidR="005C3B9D" w:rsidRPr="009C5D38" w:rsidRDefault="005C3B9D" w:rsidP="005C3B9D">
      <w:pPr>
        <w:widowControl w:val="0"/>
        <w:rPr>
          <w:sz w:val="20"/>
          <w:szCs w:val="20"/>
        </w:rPr>
      </w:pPr>
    </w:p>
    <w:p w:rsidR="005C3B9D" w:rsidRPr="003824D3" w:rsidRDefault="005C3B9D" w:rsidP="005C3B9D">
      <w:pPr>
        <w:widowControl w:val="0"/>
        <w:jc w:val="center"/>
        <w:rPr>
          <w:b/>
          <w:sz w:val="20"/>
          <w:szCs w:val="20"/>
          <w:lang w:val="en-US"/>
        </w:rPr>
      </w:pPr>
      <w:r w:rsidRPr="003824D3">
        <w:rPr>
          <w:b/>
          <w:sz w:val="20"/>
          <w:szCs w:val="20"/>
          <w:lang w:val="en-US"/>
        </w:rPr>
        <w:t>CORAM: Abella, Moldaver and Karakatsanis JJ.</w:t>
      </w:r>
    </w:p>
    <w:p w:rsidR="005C3B9D" w:rsidRPr="00C50A5C" w:rsidRDefault="005C3B9D" w:rsidP="005C3B9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Moldaver et Karakatsanis</w:t>
      </w:r>
    </w:p>
    <w:p w:rsidR="005C3B9D" w:rsidRPr="009013E0" w:rsidRDefault="005C3B9D" w:rsidP="005C3B9D">
      <w:pPr>
        <w:widowControl w:val="0"/>
        <w:jc w:val="both"/>
        <w:rPr>
          <w:sz w:val="20"/>
          <w:szCs w:val="20"/>
          <w:lang w:val="fr-CA"/>
        </w:rPr>
      </w:pPr>
    </w:p>
    <w:p w:rsidR="005C3B9D" w:rsidRPr="009013E0" w:rsidRDefault="005C3B9D" w:rsidP="005C3B9D">
      <w:pPr>
        <w:pStyle w:val="SCCAppellantInfoAppellantInfo"/>
        <w:numPr>
          <w:ilvl w:val="0"/>
          <w:numId w:val="7"/>
        </w:numPr>
        <w:tabs>
          <w:tab w:val="left" w:pos="5640"/>
        </w:tabs>
        <w:rPr>
          <w:sz w:val="20"/>
          <w:szCs w:val="20"/>
          <w:lang w:val="en-US"/>
        </w:rPr>
      </w:pPr>
      <w:r w:rsidRPr="00047B76">
        <w:rPr>
          <w:i/>
          <w:sz w:val="20"/>
          <w:szCs w:val="20"/>
          <w:lang w:val="en-US"/>
        </w:rPr>
        <w:t>Her Majesty the Queen v. Rodney Tingley, et al.</w:t>
      </w:r>
      <w:r w:rsidRPr="009013E0">
        <w:rPr>
          <w:sz w:val="20"/>
          <w:szCs w:val="20"/>
        </w:rPr>
        <w:t xml:space="preserve"> (N.B.) (Crim.) (By Leave) (36671)</w:t>
      </w:r>
    </w:p>
    <w:p w:rsidR="005C3B9D" w:rsidRPr="009013E0" w:rsidRDefault="005C3B9D" w:rsidP="005C3B9D">
      <w:pPr>
        <w:widowControl w:val="0"/>
        <w:ind w:left="720" w:hanging="720"/>
        <w:rPr>
          <w:sz w:val="20"/>
          <w:szCs w:val="20"/>
          <w:lang w:val="en-US"/>
        </w:rPr>
      </w:pPr>
    </w:p>
    <w:p w:rsidR="005C3B9D" w:rsidRPr="009013E0" w:rsidRDefault="005C3B9D" w:rsidP="005C3B9D">
      <w:pPr>
        <w:pStyle w:val="SCCAppellantInfoAppellantInfo"/>
        <w:numPr>
          <w:ilvl w:val="0"/>
          <w:numId w:val="7"/>
        </w:numPr>
        <w:rPr>
          <w:sz w:val="20"/>
          <w:szCs w:val="20"/>
        </w:rPr>
      </w:pPr>
      <w:r w:rsidRPr="009013E0">
        <w:rPr>
          <w:i/>
          <w:sz w:val="20"/>
          <w:szCs w:val="20"/>
          <w:lang w:val="fr-CA"/>
        </w:rPr>
        <w:t>Steffan Ileman v. Rogers Communications Inc. et al.</w:t>
      </w:r>
      <w:r w:rsidRPr="009013E0">
        <w:rPr>
          <w:sz w:val="20"/>
          <w:szCs w:val="20"/>
          <w:lang w:val="fr-CA"/>
        </w:rPr>
        <w:t xml:space="preserve"> </w:t>
      </w:r>
      <w:r w:rsidRPr="009013E0">
        <w:rPr>
          <w:sz w:val="20"/>
          <w:szCs w:val="20"/>
          <w:lang w:val="en-US"/>
        </w:rPr>
        <w:t xml:space="preserve">(B.C.) </w:t>
      </w:r>
      <w:r w:rsidRPr="009013E0">
        <w:rPr>
          <w:sz w:val="20"/>
          <w:szCs w:val="20"/>
        </w:rPr>
        <w:t>(Civil) (By Leave) (36600)</w:t>
      </w:r>
    </w:p>
    <w:p w:rsidR="005C3B9D" w:rsidRPr="009013E0" w:rsidRDefault="005C3B9D" w:rsidP="005C3B9D">
      <w:pPr>
        <w:widowControl w:val="0"/>
        <w:ind w:left="720" w:hanging="720"/>
        <w:rPr>
          <w:sz w:val="20"/>
          <w:szCs w:val="20"/>
          <w:lang w:val="en-US"/>
        </w:rPr>
      </w:pPr>
    </w:p>
    <w:p w:rsidR="005C3B9D" w:rsidRPr="009013E0" w:rsidRDefault="005C3B9D" w:rsidP="005C3B9D">
      <w:pPr>
        <w:pStyle w:val="SCCAppellantInfoAppellantInfo"/>
        <w:numPr>
          <w:ilvl w:val="0"/>
          <w:numId w:val="7"/>
        </w:numPr>
        <w:rPr>
          <w:sz w:val="20"/>
          <w:szCs w:val="20"/>
        </w:rPr>
      </w:pPr>
      <w:r>
        <w:rPr>
          <w:i/>
          <w:sz w:val="20"/>
          <w:szCs w:val="20"/>
          <w:lang w:val="en-US"/>
        </w:rPr>
        <w:t>C.S.</w:t>
      </w:r>
      <w:r w:rsidRPr="009013E0">
        <w:rPr>
          <w:i/>
          <w:sz w:val="20"/>
          <w:szCs w:val="20"/>
          <w:lang w:val="en-US"/>
        </w:rPr>
        <w:t xml:space="preserve"> et al. v. TD Home and Auto Insurance Company </w:t>
      </w:r>
      <w:r w:rsidRPr="009013E0">
        <w:rPr>
          <w:sz w:val="20"/>
          <w:szCs w:val="20"/>
          <w:lang w:val="en-US"/>
        </w:rPr>
        <w:t>(</w:t>
      </w:r>
      <w:r w:rsidRPr="009013E0">
        <w:rPr>
          <w:sz w:val="20"/>
          <w:szCs w:val="20"/>
        </w:rPr>
        <w:t>Ont.) (Civil) (By Leave) (36598)</w:t>
      </w:r>
    </w:p>
    <w:p w:rsidR="005C3B9D" w:rsidRPr="009013E0" w:rsidRDefault="005C3B9D" w:rsidP="005C3B9D">
      <w:pPr>
        <w:ind w:left="720" w:hanging="720"/>
        <w:rPr>
          <w:sz w:val="20"/>
          <w:szCs w:val="20"/>
        </w:rPr>
      </w:pPr>
    </w:p>
    <w:p w:rsidR="005C3B9D" w:rsidRPr="009013E0" w:rsidRDefault="005C3B9D" w:rsidP="005C3B9D">
      <w:pPr>
        <w:pStyle w:val="SCCAppellantInfoAppellantInfo"/>
        <w:numPr>
          <w:ilvl w:val="0"/>
          <w:numId w:val="7"/>
        </w:numPr>
        <w:rPr>
          <w:sz w:val="20"/>
          <w:szCs w:val="20"/>
        </w:rPr>
      </w:pPr>
      <w:r w:rsidRPr="00047B76">
        <w:rPr>
          <w:i/>
          <w:sz w:val="20"/>
          <w:szCs w:val="20"/>
          <w:lang w:val="en-US"/>
        </w:rPr>
        <w:t>D.E. et al. v. Unifund Assurance Company</w:t>
      </w:r>
      <w:r w:rsidRPr="009013E0">
        <w:rPr>
          <w:sz w:val="20"/>
          <w:szCs w:val="20"/>
        </w:rPr>
        <w:t xml:space="preserve"> (Ont.) (Civil) (By Leave) (36603)</w:t>
      </w:r>
    </w:p>
    <w:p w:rsidR="005C3B9D" w:rsidRPr="009013E0" w:rsidRDefault="005C3B9D" w:rsidP="005C3B9D">
      <w:pPr>
        <w:rPr>
          <w:sz w:val="20"/>
          <w:szCs w:val="20"/>
        </w:rPr>
      </w:pPr>
    </w:p>
    <w:p w:rsidR="005C3B9D" w:rsidRDefault="005C3B9D" w:rsidP="005C3B9D">
      <w:pPr>
        <w:widowControl w:val="0"/>
        <w:jc w:val="both"/>
        <w:rPr>
          <w:sz w:val="20"/>
          <w:szCs w:val="20"/>
        </w:rPr>
      </w:pPr>
    </w:p>
    <w:p w:rsidR="005C3B9D" w:rsidRPr="00C50A5C" w:rsidRDefault="005C3B9D" w:rsidP="005C3B9D">
      <w:pPr>
        <w:widowControl w:val="0"/>
        <w:jc w:val="center"/>
        <w:rPr>
          <w:b/>
          <w:sz w:val="20"/>
          <w:szCs w:val="20"/>
        </w:rPr>
      </w:pPr>
      <w:r w:rsidRPr="00C50A5C">
        <w:rPr>
          <w:b/>
          <w:sz w:val="20"/>
          <w:szCs w:val="20"/>
        </w:rPr>
        <w:t xml:space="preserve">CORAM: </w:t>
      </w:r>
      <w:r>
        <w:rPr>
          <w:b/>
          <w:sz w:val="20"/>
          <w:szCs w:val="20"/>
        </w:rPr>
        <w:t>Wagner,</w:t>
      </w:r>
      <w:r w:rsidRPr="00C50A5C">
        <w:rPr>
          <w:b/>
          <w:sz w:val="20"/>
          <w:szCs w:val="20"/>
        </w:rPr>
        <w:t xml:space="preserve"> </w:t>
      </w:r>
      <w:r>
        <w:rPr>
          <w:b/>
          <w:sz w:val="20"/>
          <w:szCs w:val="20"/>
        </w:rPr>
        <w:t xml:space="preserve">Gascon </w:t>
      </w:r>
      <w:r w:rsidRPr="00C50A5C">
        <w:rPr>
          <w:b/>
          <w:sz w:val="20"/>
          <w:szCs w:val="20"/>
        </w:rPr>
        <w:t xml:space="preserve">and </w:t>
      </w:r>
      <w:r>
        <w:rPr>
          <w:b/>
          <w:sz w:val="20"/>
          <w:szCs w:val="20"/>
        </w:rPr>
        <w:t>Brown</w:t>
      </w:r>
      <w:r w:rsidRPr="00C50A5C">
        <w:rPr>
          <w:b/>
          <w:sz w:val="20"/>
          <w:szCs w:val="20"/>
        </w:rPr>
        <w:t xml:space="preserve"> JJ.</w:t>
      </w:r>
    </w:p>
    <w:p w:rsidR="005C3B9D" w:rsidRPr="00C50A5C" w:rsidRDefault="005C3B9D" w:rsidP="005C3B9D">
      <w:pPr>
        <w:widowControl w:val="0"/>
        <w:jc w:val="center"/>
        <w:rPr>
          <w:b/>
          <w:sz w:val="20"/>
          <w:szCs w:val="20"/>
          <w:lang w:val="fr-CA"/>
        </w:rPr>
      </w:pPr>
      <w:r w:rsidRPr="00C50A5C">
        <w:rPr>
          <w:b/>
          <w:sz w:val="20"/>
          <w:szCs w:val="20"/>
          <w:lang w:val="fr-CA"/>
        </w:rPr>
        <w:t xml:space="preserve">Les juges </w:t>
      </w:r>
      <w:r>
        <w:rPr>
          <w:b/>
          <w:sz w:val="20"/>
          <w:szCs w:val="20"/>
          <w:lang w:val="fr-CA"/>
        </w:rPr>
        <w:t>Wagner</w:t>
      </w:r>
      <w:r w:rsidRPr="00C50A5C">
        <w:rPr>
          <w:b/>
          <w:sz w:val="20"/>
          <w:szCs w:val="20"/>
          <w:lang w:val="fr-CA"/>
        </w:rPr>
        <w:t xml:space="preserve">, </w:t>
      </w:r>
      <w:r>
        <w:rPr>
          <w:b/>
          <w:sz w:val="20"/>
          <w:szCs w:val="20"/>
          <w:lang w:val="fr-CA"/>
        </w:rPr>
        <w:t xml:space="preserve">Gascon </w:t>
      </w:r>
      <w:r w:rsidRPr="00C50A5C">
        <w:rPr>
          <w:b/>
          <w:sz w:val="20"/>
          <w:szCs w:val="20"/>
          <w:lang w:val="fr-CA"/>
        </w:rPr>
        <w:t xml:space="preserve">et </w:t>
      </w:r>
      <w:r>
        <w:rPr>
          <w:b/>
          <w:sz w:val="20"/>
          <w:szCs w:val="20"/>
          <w:lang w:val="fr-CA"/>
        </w:rPr>
        <w:t>Brown</w:t>
      </w:r>
    </w:p>
    <w:p w:rsidR="005C3B9D" w:rsidRPr="00047B76" w:rsidRDefault="005C3B9D" w:rsidP="005C3B9D">
      <w:pPr>
        <w:widowControl w:val="0"/>
        <w:jc w:val="both"/>
        <w:rPr>
          <w:sz w:val="20"/>
          <w:szCs w:val="20"/>
          <w:lang w:val="fr-CA"/>
        </w:rPr>
      </w:pPr>
    </w:p>
    <w:p w:rsidR="005C3B9D" w:rsidRPr="0000559F" w:rsidRDefault="005C3B9D" w:rsidP="005C3B9D">
      <w:pPr>
        <w:pStyle w:val="SCCAppellantInfoAppellantInfo"/>
        <w:numPr>
          <w:ilvl w:val="0"/>
          <w:numId w:val="7"/>
        </w:numPr>
        <w:rPr>
          <w:sz w:val="20"/>
          <w:szCs w:val="20"/>
          <w:lang w:val="fr-CA"/>
        </w:rPr>
      </w:pPr>
      <w:r w:rsidRPr="0000559F">
        <w:rPr>
          <w:i/>
          <w:sz w:val="20"/>
          <w:szCs w:val="20"/>
          <w:lang w:val="fr-CA"/>
        </w:rPr>
        <w:t>Sa Majesté la Reine c. Daniel Patry</w:t>
      </w:r>
      <w:r w:rsidRPr="0000559F">
        <w:rPr>
          <w:sz w:val="20"/>
          <w:szCs w:val="20"/>
          <w:lang w:val="fr-CA"/>
        </w:rPr>
        <w:t xml:space="preserve"> (Qc) (Crim.) (Autorisation) (36530)</w:t>
      </w:r>
    </w:p>
    <w:p w:rsidR="005C3B9D" w:rsidRPr="0000559F" w:rsidRDefault="005C3B9D" w:rsidP="005C3B9D">
      <w:pPr>
        <w:widowControl w:val="0"/>
        <w:jc w:val="both"/>
        <w:rPr>
          <w:sz w:val="20"/>
          <w:szCs w:val="20"/>
          <w:lang w:val="fr-CA"/>
        </w:rPr>
      </w:pPr>
    </w:p>
    <w:p w:rsidR="005C3B9D" w:rsidRPr="0000559F" w:rsidRDefault="005C3B9D" w:rsidP="005C3B9D">
      <w:pPr>
        <w:pStyle w:val="SCCAppellantInfoAppellantInfo"/>
        <w:numPr>
          <w:ilvl w:val="0"/>
          <w:numId w:val="7"/>
        </w:numPr>
        <w:rPr>
          <w:sz w:val="20"/>
          <w:szCs w:val="20"/>
        </w:rPr>
      </w:pPr>
      <w:r w:rsidRPr="00047B76">
        <w:rPr>
          <w:i/>
          <w:sz w:val="20"/>
          <w:szCs w:val="20"/>
          <w:lang w:val="en-US"/>
        </w:rPr>
        <w:t xml:space="preserve">Castor D'or Maritime LTÉE/Beaver Express Container Line Limited v. Royal Bank of Canada </w:t>
      </w:r>
      <w:r w:rsidRPr="0000559F">
        <w:rPr>
          <w:sz w:val="20"/>
          <w:szCs w:val="20"/>
        </w:rPr>
        <w:t>(Que.) (Civil) (By Leave) (36541)</w:t>
      </w:r>
    </w:p>
    <w:p w:rsidR="005C3B9D" w:rsidRPr="0000559F" w:rsidRDefault="005C3B9D" w:rsidP="005C3B9D">
      <w:pPr>
        <w:widowControl w:val="0"/>
        <w:jc w:val="both"/>
        <w:rPr>
          <w:sz w:val="20"/>
          <w:szCs w:val="20"/>
          <w:lang w:val="en-US"/>
        </w:rPr>
      </w:pPr>
    </w:p>
    <w:p w:rsidR="005C3B9D" w:rsidRPr="0000559F" w:rsidRDefault="005C3B9D" w:rsidP="005C3B9D">
      <w:pPr>
        <w:pStyle w:val="SCCAppellantInfoAppellantInfo"/>
        <w:numPr>
          <w:ilvl w:val="0"/>
          <w:numId w:val="7"/>
        </w:numPr>
        <w:rPr>
          <w:sz w:val="20"/>
          <w:szCs w:val="20"/>
        </w:rPr>
      </w:pPr>
      <w:r w:rsidRPr="0000559F">
        <w:rPr>
          <w:i/>
          <w:sz w:val="20"/>
          <w:szCs w:val="20"/>
          <w:lang w:val="en-US"/>
        </w:rPr>
        <w:t>Wright Medical Technology Canada Ltd. et al. v. Ken</w:t>
      </w:r>
      <w:r w:rsidRPr="0000559F">
        <w:rPr>
          <w:sz w:val="20"/>
          <w:szCs w:val="20"/>
        </w:rPr>
        <w:t xml:space="preserve"> </w:t>
      </w:r>
      <w:r w:rsidRPr="0000559F">
        <w:rPr>
          <w:i/>
          <w:sz w:val="20"/>
          <w:szCs w:val="20"/>
          <w:lang w:val="en-US"/>
        </w:rPr>
        <w:t xml:space="preserve">Taylor </w:t>
      </w:r>
      <w:r w:rsidRPr="0000559F">
        <w:rPr>
          <w:sz w:val="20"/>
          <w:szCs w:val="20"/>
        </w:rPr>
        <w:t>(N.S.) (Civil) (By Leave) (36629)</w:t>
      </w:r>
    </w:p>
    <w:p w:rsidR="002E2327" w:rsidRPr="00CB3520" w:rsidRDefault="002E2327" w:rsidP="002E2327">
      <w:pPr>
        <w:widowControl w:val="0"/>
        <w:rPr>
          <w:sz w:val="20"/>
          <w:szCs w:val="20"/>
        </w:rPr>
      </w:pPr>
    </w:p>
    <w:p w:rsidR="002E2327" w:rsidRDefault="00CD76E4"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26F8D"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5C3B9D" w:rsidRPr="00C50A5C" w:rsidRDefault="005C3B9D" w:rsidP="005C3B9D">
      <w:pPr>
        <w:rPr>
          <w:sz w:val="20"/>
          <w:szCs w:val="20"/>
          <w:lang w:val="fr-CA"/>
        </w:rPr>
      </w:pPr>
    </w:p>
    <w:p w:rsidR="005C3B9D" w:rsidRPr="00C50A5C" w:rsidRDefault="005C3B9D" w:rsidP="005C3B9D">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14</w:t>
      </w:r>
      <w:r w:rsidRPr="00C50A5C">
        <w:rPr>
          <w:b/>
          <w:sz w:val="20"/>
          <w:szCs w:val="20"/>
        </w:rPr>
        <w:t>, 201</w:t>
      </w:r>
      <w:r>
        <w:rPr>
          <w:b/>
          <w:sz w:val="20"/>
          <w:szCs w:val="20"/>
        </w:rPr>
        <w:t>6</w:t>
      </w:r>
      <w:r w:rsidRPr="00C50A5C">
        <w:rPr>
          <w:b/>
          <w:sz w:val="20"/>
          <w:szCs w:val="20"/>
        </w:rPr>
        <w:t xml:space="preserve"> / LE </w:t>
      </w:r>
      <w:r>
        <w:rPr>
          <w:b/>
          <w:sz w:val="20"/>
          <w:szCs w:val="20"/>
        </w:rPr>
        <w:t>14</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201</w:t>
      </w:r>
      <w:r>
        <w:rPr>
          <w:b/>
          <w:sz w:val="20"/>
          <w:szCs w:val="20"/>
        </w:rPr>
        <w:t>6</w: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A73D2C" w:rsidRDefault="005C3B9D" w:rsidP="008F5FE2">
            <w:pPr>
              <w:rPr>
                <w:sz w:val="20"/>
                <w:szCs w:val="20"/>
              </w:rPr>
            </w:pPr>
            <w:r w:rsidRPr="00A73D2C">
              <w:rPr>
                <w:rStyle w:val="SCCFileNumberChar"/>
                <w:sz w:val="20"/>
                <w:szCs w:val="20"/>
              </w:rPr>
              <w:t>3</w:t>
            </w:r>
            <w:r>
              <w:rPr>
                <w:rStyle w:val="SCCFileNumberChar"/>
                <w:sz w:val="20"/>
                <w:szCs w:val="20"/>
              </w:rPr>
              <w:t>6</w:t>
            </w:r>
            <w:r w:rsidRPr="00A73D2C">
              <w:rPr>
                <w:rStyle w:val="SCCFileNumberChar"/>
                <w:sz w:val="20"/>
                <w:szCs w:val="20"/>
              </w:rPr>
              <w:t>5</w:t>
            </w:r>
            <w:r>
              <w:rPr>
                <w:rStyle w:val="SCCFileNumberChar"/>
                <w:sz w:val="20"/>
                <w:szCs w:val="20"/>
              </w:rPr>
              <w:t>0</w:t>
            </w:r>
            <w:r w:rsidRPr="00A73D2C">
              <w:rPr>
                <w:rStyle w:val="SCCFileNumberChar"/>
                <w:sz w:val="20"/>
                <w:szCs w:val="20"/>
              </w:rPr>
              <w:t>0</w:t>
            </w:r>
          </w:p>
          <w:p w:rsidR="005C3B9D" w:rsidRPr="00A73D2C"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British Columbia Teachers</w:t>
            </w:r>
            <w:r w:rsidR="00C45171">
              <w:rPr>
                <w:b/>
                <w:sz w:val="20"/>
                <w:szCs w:val="24"/>
                <w:u w:val="single"/>
                <w:lang w:val="en-US"/>
              </w:rPr>
              <w:t>’</w:t>
            </w:r>
            <w:r w:rsidRPr="0041388B">
              <w:rPr>
                <w:b/>
                <w:sz w:val="20"/>
                <w:szCs w:val="24"/>
                <w:u w:val="single"/>
                <w:lang w:val="en-US"/>
              </w:rPr>
              <w:t xml:space="preserve"> Federation, on behalf of all members of the British Columbia Teachers</w:t>
            </w:r>
            <w:r w:rsidR="00C45171">
              <w:rPr>
                <w:b/>
                <w:sz w:val="20"/>
                <w:szCs w:val="24"/>
                <w:u w:val="single"/>
                <w:lang w:val="en-US"/>
              </w:rPr>
              <w:t>’</w:t>
            </w:r>
            <w:r w:rsidRPr="0041388B">
              <w:rPr>
                <w:b/>
                <w:sz w:val="20"/>
                <w:szCs w:val="24"/>
                <w:u w:val="single"/>
                <w:lang w:val="en-US"/>
              </w:rPr>
              <w:t xml:space="preserve"> Federation v. Her Majesty the Queen in Right of the Province of British Columbia</w:t>
            </w:r>
            <w:r w:rsidRPr="0041388B">
              <w:rPr>
                <w:sz w:val="20"/>
                <w:szCs w:val="24"/>
              </w:rPr>
              <w:t xml:space="preserve"> (B.C.) (Civil) (By Leave)</w:t>
            </w:r>
          </w:p>
          <w:p w:rsidR="005C3B9D" w:rsidRPr="00A73D2C"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motion for leave to intervene of the Hospital Employees’ Union is dismissed without costs and without prejudice to its right to apply for leave to intervene in the appeal. The application for leave to appeal from the judgment of the Court of Appeal for British Columbia (Vancouver), Number CA41560, 2015 BCCA 184, dated April 30, 2015, is granted with costs in the cause.</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41388B">
              <w:rPr>
                <w:lang w:val="fr-CA"/>
              </w:rPr>
              <w:t>La requête pour permission d’intervenir par le requérant, Hospital Employees’ Union, est rejetée sans dépens et sous réserve de son droit de demander l’autorisation d’intervenir dans l’appel. La demande d’autorisation d’appel de l’arrêt de la Cour d’appel de la Colombie-Britannique (Vancouver), numéro CA41560, 2015 BCCA 184, daté du 30 avril 2015, est accueillie avec dépens selon l’issue de la cause.</w:t>
            </w:r>
          </w:p>
        </w:tc>
      </w:tr>
    </w:tbl>
    <w:p w:rsidR="005C3B9D" w:rsidRPr="0016547E" w:rsidRDefault="005C3B9D" w:rsidP="005C3B9D">
      <w:pPr>
        <w:rPr>
          <w:sz w:val="20"/>
          <w:szCs w:val="20"/>
          <w:lang w:val="fr-CA"/>
        </w:rPr>
      </w:pPr>
    </w:p>
    <w:p w:rsidR="005C3B9D" w:rsidRPr="001B157C" w:rsidRDefault="005C3B9D" w:rsidP="005C3B9D">
      <w:pPr>
        <w:rPr>
          <w:sz w:val="20"/>
          <w:szCs w:val="20"/>
          <w:u w:val="single"/>
        </w:rPr>
      </w:pPr>
      <w:r w:rsidRPr="001B157C">
        <w:rPr>
          <w:sz w:val="20"/>
          <w:szCs w:val="20"/>
          <w:u w:val="single"/>
        </w:rPr>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224D60" w:rsidTr="008F5FE2">
        <w:tc>
          <w:tcPr>
            <w:tcW w:w="5000" w:type="pct"/>
            <w:gridSpan w:val="3"/>
          </w:tcPr>
          <w:p w:rsidR="005C3B9D" w:rsidRDefault="005C3B9D" w:rsidP="008F5FE2">
            <w:pPr>
              <w:jc w:val="both"/>
              <w:rPr>
                <w:i/>
                <w:sz w:val="20"/>
                <w:szCs w:val="20"/>
              </w:rPr>
            </w:pPr>
            <w:r w:rsidRPr="00224D60">
              <w:rPr>
                <w:i/>
                <w:sz w:val="20"/>
                <w:szCs w:val="20"/>
              </w:rPr>
              <w:t>Charter of Rights</w:t>
            </w:r>
            <w:r w:rsidRPr="00224D60">
              <w:rPr>
                <w:sz w:val="20"/>
                <w:szCs w:val="20"/>
              </w:rPr>
              <w:t xml:space="preserve"> – Constitutional law – Freedom of association – Right to collective bargaining – Prohibition of collective bargaining on certain topic – Law declared unconstitutional and invalid – The provincial government held pre-legislative consultation with the Federation on the remedial legislation – Whether pre-legislative consultations are relevant in the assessment of a breach of right to bargain collectively – Whether the Courts can inquire in the reasonableness of the parties’ position and the good faith of the negotiation at the pre-legislative stage – </w:t>
            </w:r>
            <w:r w:rsidRPr="00224D60">
              <w:rPr>
                <w:i/>
                <w:sz w:val="20"/>
                <w:szCs w:val="20"/>
              </w:rPr>
              <w:t>Education Improvement Act</w:t>
            </w:r>
            <w:r w:rsidRPr="00224D60">
              <w:rPr>
                <w:sz w:val="20"/>
                <w:szCs w:val="20"/>
              </w:rPr>
              <w:t xml:space="preserve">, S.B.C. 2012, c.3 –  </w:t>
            </w:r>
            <w:r w:rsidRPr="00224D60">
              <w:rPr>
                <w:i/>
                <w:sz w:val="20"/>
                <w:szCs w:val="20"/>
              </w:rPr>
              <w:t>Canadian Charter of Rights and Freedoms</w:t>
            </w:r>
            <w:r w:rsidRPr="00224D60">
              <w:rPr>
                <w:sz w:val="20"/>
                <w:szCs w:val="20"/>
              </w:rPr>
              <w:t>, ss. 1, 2</w:t>
            </w:r>
            <w:r w:rsidRPr="00224D60">
              <w:rPr>
                <w:i/>
                <w:sz w:val="20"/>
                <w:szCs w:val="20"/>
              </w:rPr>
              <w:t>(d)</w:t>
            </w:r>
          </w:p>
          <w:p w:rsidR="005C3B9D" w:rsidRPr="00224D60" w:rsidRDefault="005C3B9D" w:rsidP="008F5FE2">
            <w:pPr>
              <w:jc w:val="both"/>
              <w:rPr>
                <w:sz w:val="20"/>
                <w:szCs w:val="20"/>
              </w:rPr>
            </w:pPr>
          </w:p>
        </w:tc>
      </w:tr>
      <w:tr w:rsidR="005C3B9D" w:rsidRPr="00224D60" w:rsidTr="008F5FE2">
        <w:tc>
          <w:tcPr>
            <w:tcW w:w="5000" w:type="pct"/>
            <w:gridSpan w:val="3"/>
          </w:tcPr>
          <w:p w:rsidR="005C3B9D" w:rsidRPr="00224D60" w:rsidRDefault="005C3B9D" w:rsidP="008F5FE2">
            <w:pPr>
              <w:tabs>
                <w:tab w:val="left" w:pos="6720"/>
              </w:tabs>
              <w:jc w:val="both"/>
              <w:rPr>
                <w:sz w:val="20"/>
                <w:szCs w:val="20"/>
              </w:rPr>
            </w:pPr>
            <w:r w:rsidRPr="00224D60">
              <w:rPr>
                <w:sz w:val="20"/>
                <w:szCs w:val="20"/>
              </w:rPr>
              <w:t xml:space="preserve">In 2002, the province of British Columbia passed two statutes dealing with collective agreements for public sector workers in the field of education, the </w:t>
            </w:r>
            <w:r w:rsidRPr="00224D60">
              <w:rPr>
                <w:i/>
                <w:sz w:val="20"/>
                <w:szCs w:val="20"/>
              </w:rPr>
              <w:t>Education Flexibility and Choice Act</w:t>
            </w:r>
            <w:r w:rsidRPr="00224D60">
              <w:rPr>
                <w:sz w:val="20"/>
                <w:szCs w:val="20"/>
              </w:rPr>
              <w:t xml:space="preserve">, S.B.C. 2002 c.3 and s. 5 of the </w:t>
            </w:r>
            <w:r w:rsidRPr="00224D60">
              <w:rPr>
                <w:i/>
                <w:sz w:val="20"/>
                <w:szCs w:val="20"/>
              </w:rPr>
              <w:t>Education Services Collective Agreement Amendment Act</w:t>
            </w:r>
            <w:r w:rsidRPr="00224D60">
              <w:rPr>
                <w:sz w:val="20"/>
                <w:szCs w:val="20"/>
              </w:rPr>
              <w:t xml:space="preserve">, 2004, S.B.C. 2004, c.16. The legislation deleted collective agreement terms between the applicant, the British Columbia Teachers’ Federation (BCTF) and the British Columbia Public School Employers’ Association (BCPSEA), the exclusive employer bargaining agent for the Province of British Columbia, the defendant. The legislation also prohibited future bargaining on certain issues. </w:t>
            </w:r>
          </w:p>
          <w:p w:rsidR="005C3B9D" w:rsidRPr="00224D60" w:rsidRDefault="005C3B9D" w:rsidP="008F5FE2">
            <w:pPr>
              <w:tabs>
                <w:tab w:val="left" w:pos="6720"/>
              </w:tabs>
              <w:jc w:val="both"/>
              <w:rPr>
                <w:sz w:val="20"/>
                <w:szCs w:val="20"/>
              </w:rPr>
            </w:pPr>
          </w:p>
          <w:p w:rsidR="005C3B9D" w:rsidRPr="00224D60" w:rsidRDefault="005C3B9D" w:rsidP="008F5FE2">
            <w:pPr>
              <w:tabs>
                <w:tab w:val="left" w:pos="6720"/>
              </w:tabs>
              <w:jc w:val="both"/>
              <w:rPr>
                <w:sz w:val="20"/>
                <w:szCs w:val="20"/>
              </w:rPr>
            </w:pPr>
            <w:r w:rsidRPr="00224D60">
              <w:rPr>
                <w:sz w:val="20"/>
                <w:szCs w:val="20"/>
              </w:rPr>
              <w:t xml:space="preserve">In 2011, the Supreme Court of British Columbia found that the legislation was unconstitutional because it infringed s. 2 </w:t>
            </w:r>
            <w:r w:rsidRPr="00224D60">
              <w:rPr>
                <w:i/>
                <w:sz w:val="20"/>
                <w:szCs w:val="20"/>
              </w:rPr>
              <w:t>(d)</w:t>
            </w:r>
            <w:r w:rsidRPr="00224D60">
              <w:rPr>
                <w:sz w:val="20"/>
                <w:szCs w:val="20"/>
              </w:rPr>
              <w:t xml:space="preserve"> of the </w:t>
            </w:r>
            <w:r w:rsidRPr="00224D60">
              <w:rPr>
                <w:i/>
                <w:sz w:val="20"/>
                <w:szCs w:val="20"/>
              </w:rPr>
              <w:t xml:space="preserve">Charter </w:t>
            </w:r>
            <w:r w:rsidRPr="00224D60">
              <w:rPr>
                <w:sz w:val="20"/>
                <w:szCs w:val="20"/>
              </w:rPr>
              <w:t>and that</w:t>
            </w:r>
            <w:r w:rsidRPr="00224D60">
              <w:rPr>
                <w:i/>
                <w:sz w:val="20"/>
                <w:szCs w:val="20"/>
              </w:rPr>
              <w:t xml:space="preserve"> </w:t>
            </w:r>
            <w:r w:rsidRPr="00224D60">
              <w:rPr>
                <w:sz w:val="20"/>
                <w:szCs w:val="20"/>
              </w:rPr>
              <w:t xml:space="preserve">the infringement was not justified under s. 1 of the </w:t>
            </w:r>
            <w:r w:rsidRPr="00224D60">
              <w:rPr>
                <w:i/>
                <w:sz w:val="20"/>
                <w:szCs w:val="20"/>
              </w:rPr>
              <w:t xml:space="preserve">Charter. </w:t>
            </w:r>
            <w:r w:rsidRPr="00224D60">
              <w:rPr>
                <w:sz w:val="20"/>
                <w:szCs w:val="20"/>
              </w:rPr>
              <w:t>The Supreme Court of British Columbia declared the law unconstitutional, but suspended the order for 12 months to grant the Province time to address the decision.</w:t>
            </w:r>
          </w:p>
          <w:p w:rsidR="005C3B9D" w:rsidRPr="00224D60" w:rsidRDefault="005C3B9D" w:rsidP="008F5FE2">
            <w:pPr>
              <w:jc w:val="both"/>
              <w:rPr>
                <w:sz w:val="20"/>
                <w:szCs w:val="20"/>
              </w:rPr>
            </w:pPr>
          </w:p>
          <w:p w:rsidR="005C3B9D" w:rsidRPr="00224D60" w:rsidRDefault="005C3B9D" w:rsidP="008F5FE2">
            <w:pPr>
              <w:jc w:val="both"/>
              <w:rPr>
                <w:sz w:val="20"/>
                <w:szCs w:val="20"/>
              </w:rPr>
            </w:pPr>
            <w:r w:rsidRPr="00224D60">
              <w:rPr>
                <w:sz w:val="20"/>
                <w:szCs w:val="20"/>
              </w:rPr>
              <w:t xml:space="preserve">Following the decision, consultations between the Province and BCTF and collective bargaining between BCTF and the respondent BCPSEA occurred simultaneously but in both cases the parties were not able to reach an agreement and declared an impasse. Upon expiration of the suspension period, the Province enacted a new statute, </w:t>
            </w:r>
            <w:r w:rsidRPr="00224D60">
              <w:rPr>
                <w:i/>
                <w:sz w:val="20"/>
                <w:szCs w:val="20"/>
              </w:rPr>
              <w:t>The Education Improvement Act</w:t>
            </w:r>
            <w:r w:rsidRPr="00224D60">
              <w:rPr>
                <w:sz w:val="20"/>
                <w:szCs w:val="20"/>
              </w:rPr>
              <w:t xml:space="preserve">, S.B.C. 2012, c.3, that included sections previously declared unconstitutional by the Supreme Court of British Columbia. </w:t>
            </w:r>
          </w:p>
          <w:p w:rsidR="005C3B9D" w:rsidRPr="00224D60" w:rsidRDefault="005C3B9D" w:rsidP="008F5FE2">
            <w:pPr>
              <w:jc w:val="both"/>
              <w:rPr>
                <w:sz w:val="20"/>
                <w:szCs w:val="20"/>
              </w:rPr>
            </w:pPr>
          </w:p>
          <w:p w:rsidR="005C3B9D" w:rsidRDefault="005C3B9D" w:rsidP="008F5FE2">
            <w:pPr>
              <w:jc w:val="both"/>
              <w:rPr>
                <w:sz w:val="20"/>
                <w:szCs w:val="20"/>
              </w:rPr>
            </w:pPr>
            <w:r w:rsidRPr="00224D60">
              <w:rPr>
                <w:sz w:val="20"/>
                <w:szCs w:val="20"/>
              </w:rPr>
              <w:t xml:space="preserve">BCTF </w:t>
            </w:r>
            <w:r w:rsidRPr="00224D60">
              <w:rPr>
                <w:sz w:val="20"/>
                <w:szCs w:val="20"/>
                <w:lang w:val="en"/>
              </w:rPr>
              <w:t xml:space="preserve">challenged the constitutionality of </w:t>
            </w:r>
            <w:r w:rsidRPr="00224D60">
              <w:rPr>
                <w:i/>
                <w:sz w:val="20"/>
                <w:szCs w:val="20"/>
              </w:rPr>
              <w:t>The Education Improvement Act</w:t>
            </w:r>
            <w:r w:rsidRPr="00224D60">
              <w:rPr>
                <w:sz w:val="20"/>
                <w:szCs w:val="20"/>
              </w:rPr>
              <w:t xml:space="preserve"> based on the fact that the </w:t>
            </w:r>
            <w:r w:rsidRPr="00224D60">
              <w:rPr>
                <w:i/>
                <w:sz w:val="20"/>
                <w:szCs w:val="20"/>
              </w:rPr>
              <w:t>Education Improvement Act</w:t>
            </w:r>
            <w:r w:rsidRPr="00224D60">
              <w:rPr>
                <w:sz w:val="20"/>
                <w:szCs w:val="20"/>
              </w:rPr>
              <w:t xml:space="preserve"> was virtually identical to the legislation previously declared unconstitutional by the Supreme Court of British Columbia. The trial judge found that there was no basis to distinguish the new legislation from the previous finding of unconstitutionality and granted the BCTF declaratory relief plus $2 million in damages pursuant to s. 24 (1) </w:t>
            </w:r>
            <w:r w:rsidRPr="00224D60">
              <w:rPr>
                <w:sz w:val="20"/>
                <w:szCs w:val="20"/>
              </w:rPr>
              <w:lastRenderedPageBreak/>
              <w:t xml:space="preserve">of the </w:t>
            </w:r>
            <w:r w:rsidRPr="00224D60">
              <w:rPr>
                <w:i/>
                <w:sz w:val="20"/>
                <w:szCs w:val="20"/>
              </w:rPr>
              <w:t>Charter</w:t>
            </w:r>
            <w:r w:rsidRPr="00224D60">
              <w:rPr>
                <w:sz w:val="20"/>
                <w:szCs w:val="20"/>
              </w:rPr>
              <w:t>. The Court of Appeal for British Columbia allowed the appeal and found that the consultation were undertaken in good faith and that the context in which the new legislation was enacted was relevant to its constitutionality. The award of</w:t>
            </w:r>
            <w:r>
              <w:rPr>
                <w:sz w:val="20"/>
                <w:szCs w:val="20"/>
              </w:rPr>
              <w:t xml:space="preserve"> Charter damages was set aside.</w:t>
            </w:r>
          </w:p>
          <w:p w:rsidR="005C3B9D" w:rsidRPr="00224D60" w:rsidRDefault="005C3B9D" w:rsidP="008F5FE2">
            <w:pPr>
              <w:jc w:val="both"/>
              <w:rPr>
                <w:sz w:val="20"/>
                <w:szCs w:val="20"/>
              </w:rPr>
            </w:pPr>
          </w:p>
        </w:tc>
      </w:tr>
      <w:tr w:rsidR="005C3B9D" w:rsidRPr="00224D60" w:rsidTr="008F5FE2">
        <w:tc>
          <w:tcPr>
            <w:tcW w:w="2427" w:type="pct"/>
          </w:tcPr>
          <w:p w:rsidR="005C3B9D" w:rsidRPr="00224D60" w:rsidRDefault="005C3B9D" w:rsidP="008F5FE2">
            <w:pPr>
              <w:jc w:val="both"/>
              <w:rPr>
                <w:sz w:val="20"/>
                <w:szCs w:val="20"/>
              </w:rPr>
            </w:pPr>
            <w:r w:rsidRPr="00224D60">
              <w:rPr>
                <w:sz w:val="20"/>
                <w:szCs w:val="20"/>
              </w:rPr>
              <w:lastRenderedPageBreak/>
              <w:t>April 13, 2011</w:t>
            </w:r>
          </w:p>
          <w:p w:rsidR="005C3B9D" w:rsidRPr="00224D60" w:rsidRDefault="005C3B9D" w:rsidP="008F5FE2">
            <w:pPr>
              <w:jc w:val="both"/>
              <w:rPr>
                <w:sz w:val="20"/>
                <w:szCs w:val="20"/>
              </w:rPr>
            </w:pPr>
            <w:r w:rsidRPr="00224D60">
              <w:rPr>
                <w:sz w:val="20"/>
                <w:szCs w:val="20"/>
              </w:rPr>
              <w:t>Supreme Court of British Columbia</w:t>
            </w:r>
          </w:p>
          <w:p w:rsidR="005C3B9D" w:rsidRPr="00224D60" w:rsidRDefault="005C3B9D" w:rsidP="008F5FE2">
            <w:pPr>
              <w:jc w:val="both"/>
              <w:rPr>
                <w:sz w:val="20"/>
                <w:szCs w:val="20"/>
              </w:rPr>
            </w:pPr>
            <w:r w:rsidRPr="00224D60">
              <w:rPr>
                <w:sz w:val="20"/>
                <w:szCs w:val="20"/>
              </w:rPr>
              <w:t>(Griffin J.)</w:t>
            </w:r>
          </w:p>
          <w:p w:rsidR="005C3B9D" w:rsidRPr="00224D60" w:rsidRDefault="00CD76E4" w:rsidP="008F5FE2">
            <w:pPr>
              <w:jc w:val="both"/>
              <w:rPr>
                <w:sz w:val="20"/>
                <w:szCs w:val="20"/>
              </w:rPr>
            </w:pPr>
            <w:hyperlink r:id="rId25" w:history="1">
              <w:r w:rsidR="005C3B9D" w:rsidRPr="00224D60">
                <w:rPr>
                  <w:color w:val="0000FF" w:themeColor="hyperlink"/>
                  <w:sz w:val="20"/>
                  <w:szCs w:val="20"/>
                  <w:u w:val="single"/>
                </w:rPr>
                <w:t>2011 BCSC 469</w:t>
              </w:r>
            </w:hyperlink>
          </w:p>
          <w:p w:rsidR="005C3B9D" w:rsidRPr="00224D60" w:rsidRDefault="005C3B9D" w:rsidP="008F5FE2">
            <w:pPr>
              <w:jc w:val="both"/>
              <w:rPr>
                <w:sz w:val="20"/>
                <w:szCs w:val="20"/>
              </w:rPr>
            </w:pPr>
          </w:p>
        </w:tc>
        <w:tc>
          <w:tcPr>
            <w:tcW w:w="243" w:type="pct"/>
          </w:tcPr>
          <w:p w:rsidR="005C3B9D" w:rsidRPr="00224D60" w:rsidRDefault="005C3B9D" w:rsidP="008F5FE2">
            <w:pPr>
              <w:jc w:val="both"/>
              <w:rPr>
                <w:sz w:val="20"/>
                <w:szCs w:val="20"/>
              </w:rPr>
            </w:pPr>
          </w:p>
        </w:tc>
        <w:tc>
          <w:tcPr>
            <w:tcW w:w="2330" w:type="pct"/>
          </w:tcPr>
          <w:p w:rsidR="005C3B9D" w:rsidRDefault="005C3B9D" w:rsidP="008F5FE2">
            <w:pPr>
              <w:jc w:val="both"/>
              <w:rPr>
                <w:sz w:val="20"/>
                <w:szCs w:val="20"/>
              </w:rPr>
            </w:pPr>
            <w:r w:rsidRPr="00224D60">
              <w:rPr>
                <w:sz w:val="20"/>
                <w:szCs w:val="20"/>
              </w:rPr>
              <w:t xml:space="preserve">Declaration of unconstitutionality: ss. 8, 9 and 15 of the </w:t>
            </w:r>
            <w:r w:rsidRPr="00224D60">
              <w:rPr>
                <w:i/>
                <w:sz w:val="20"/>
                <w:szCs w:val="20"/>
              </w:rPr>
              <w:t>Public Education Flexibility and Choice Act</w:t>
            </w:r>
            <w:r w:rsidRPr="00224D60">
              <w:rPr>
                <w:sz w:val="20"/>
                <w:szCs w:val="20"/>
              </w:rPr>
              <w:t xml:space="preserve">, S.B.C. 2002 c.3 and s. 5 of the </w:t>
            </w:r>
            <w:r w:rsidRPr="00224D60">
              <w:rPr>
                <w:i/>
                <w:sz w:val="20"/>
                <w:szCs w:val="20"/>
              </w:rPr>
              <w:t>Education Services Collective Agreement Amendment Act</w:t>
            </w:r>
            <w:r w:rsidRPr="00224D60">
              <w:rPr>
                <w:sz w:val="20"/>
                <w:szCs w:val="20"/>
              </w:rPr>
              <w:t xml:space="preserve">, 2004, S.B.C. 2004, c.16, infringe s. 2 (d) of the </w:t>
            </w:r>
            <w:r w:rsidRPr="00224D60">
              <w:rPr>
                <w:i/>
                <w:sz w:val="20"/>
                <w:szCs w:val="20"/>
              </w:rPr>
              <w:t>Charter</w:t>
            </w:r>
            <w:r w:rsidRPr="00224D60">
              <w:rPr>
                <w:sz w:val="20"/>
                <w:szCs w:val="20"/>
              </w:rPr>
              <w:t>; infringement not justified under s. 1; 12 months suspension of invalidity.</w:t>
            </w:r>
          </w:p>
          <w:p w:rsidR="005C3B9D" w:rsidRPr="00224D60" w:rsidRDefault="005C3B9D" w:rsidP="008F5FE2">
            <w:pPr>
              <w:jc w:val="both"/>
              <w:rPr>
                <w:sz w:val="20"/>
                <w:szCs w:val="20"/>
              </w:rPr>
            </w:pPr>
          </w:p>
        </w:tc>
      </w:tr>
      <w:tr w:rsidR="005C3B9D" w:rsidRPr="00224D60" w:rsidTr="008F5FE2">
        <w:tc>
          <w:tcPr>
            <w:tcW w:w="2427" w:type="pct"/>
          </w:tcPr>
          <w:p w:rsidR="005C3B9D" w:rsidRPr="00224D60" w:rsidRDefault="005C3B9D" w:rsidP="008F5FE2">
            <w:pPr>
              <w:jc w:val="both"/>
              <w:rPr>
                <w:sz w:val="20"/>
                <w:szCs w:val="20"/>
              </w:rPr>
            </w:pPr>
            <w:r w:rsidRPr="00224D60">
              <w:rPr>
                <w:sz w:val="20"/>
                <w:szCs w:val="20"/>
              </w:rPr>
              <w:t>January 27, 2014</w:t>
            </w:r>
          </w:p>
          <w:p w:rsidR="005C3B9D" w:rsidRPr="00224D60" w:rsidRDefault="005C3B9D" w:rsidP="008F5FE2">
            <w:pPr>
              <w:jc w:val="both"/>
              <w:rPr>
                <w:sz w:val="20"/>
                <w:szCs w:val="20"/>
              </w:rPr>
            </w:pPr>
            <w:r w:rsidRPr="00224D60">
              <w:rPr>
                <w:sz w:val="20"/>
                <w:szCs w:val="20"/>
              </w:rPr>
              <w:t>Supreme Court of British Columbia</w:t>
            </w:r>
          </w:p>
          <w:p w:rsidR="005C3B9D" w:rsidRPr="00224D60" w:rsidRDefault="005C3B9D" w:rsidP="008F5FE2">
            <w:pPr>
              <w:jc w:val="both"/>
              <w:rPr>
                <w:sz w:val="20"/>
                <w:szCs w:val="20"/>
              </w:rPr>
            </w:pPr>
            <w:r w:rsidRPr="00224D60">
              <w:rPr>
                <w:sz w:val="20"/>
                <w:szCs w:val="20"/>
              </w:rPr>
              <w:t>(Griffin J.)</w:t>
            </w:r>
          </w:p>
          <w:p w:rsidR="005C3B9D" w:rsidRPr="00224D60" w:rsidRDefault="00CD76E4" w:rsidP="008F5FE2">
            <w:pPr>
              <w:jc w:val="both"/>
              <w:rPr>
                <w:sz w:val="20"/>
                <w:szCs w:val="20"/>
              </w:rPr>
            </w:pPr>
            <w:hyperlink r:id="rId26" w:history="1">
              <w:r w:rsidR="005C3B9D" w:rsidRPr="00224D60">
                <w:rPr>
                  <w:color w:val="0000FF" w:themeColor="hyperlink"/>
                  <w:sz w:val="20"/>
                  <w:szCs w:val="20"/>
                  <w:u w:val="single"/>
                </w:rPr>
                <w:t>2014 BCSC 121</w:t>
              </w:r>
            </w:hyperlink>
          </w:p>
          <w:p w:rsidR="005C3B9D" w:rsidRPr="00224D60" w:rsidRDefault="005C3B9D" w:rsidP="008F5FE2">
            <w:pPr>
              <w:jc w:val="both"/>
              <w:rPr>
                <w:sz w:val="20"/>
                <w:szCs w:val="20"/>
              </w:rPr>
            </w:pPr>
          </w:p>
        </w:tc>
        <w:tc>
          <w:tcPr>
            <w:tcW w:w="243" w:type="pct"/>
          </w:tcPr>
          <w:p w:rsidR="005C3B9D" w:rsidRPr="00224D60" w:rsidRDefault="005C3B9D" w:rsidP="008F5FE2">
            <w:pPr>
              <w:jc w:val="both"/>
              <w:rPr>
                <w:sz w:val="20"/>
                <w:szCs w:val="20"/>
              </w:rPr>
            </w:pPr>
          </w:p>
        </w:tc>
        <w:tc>
          <w:tcPr>
            <w:tcW w:w="2330" w:type="pct"/>
          </w:tcPr>
          <w:p w:rsidR="005C3B9D" w:rsidRPr="00224D60" w:rsidRDefault="005C3B9D" w:rsidP="008F5FE2">
            <w:pPr>
              <w:jc w:val="both"/>
              <w:rPr>
                <w:sz w:val="20"/>
                <w:szCs w:val="20"/>
              </w:rPr>
            </w:pPr>
            <w:r w:rsidRPr="00224D60">
              <w:rPr>
                <w:sz w:val="20"/>
                <w:szCs w:val="20"/>
              </w:rPr>
              <w:t xml:space="preserve">Action and application by the BCTF for constitutional remedies against the Province based on continuing violation of s. 2 (d); Action and application allowed. </w:t>
            </w:r>
          </w:p>
          <w:p w:rsidR="005C3B9D" w:rsidRPr="00224D60" w:rsidRDefault="005C3B9D" w:rsidP="008F5FE2">
            <w:pPr>
              <w:jc w:val="both"/>
              <w:rPr>
                <w:sz w:val="20"/>
                <w:szCs w:val="20"/>
              </w:rPr>
            </w:pPr>
          </w:p>
        </w:tc>
      </w:tr>
      <w:tr w:rsidR="005C3B9D" w:rsidRPr="00224D60" w:rsidTr="008F5FE2">
        <w:tc>
          <w:tcPr>
            <w:tcW w:w="2427" w:type="pct"/>
          </w:tcPr>
          <w:p w:rsidR="005C3B9D" w:rsidRPr="00224D60" w:rsidRDefault="005C3B9D" w:rsidP="008F5FE2">
            <w:pPr>
              <w:jc w:val="both"/>
              <w:rPr>
                <w:sz w:val="20"/>
                <w:szCs w:val="20"/>
              </w:rPr>
            </w:pPr>
            <w:r w:rsidRPr="00224D60">
              <w:rPr>
                <w:sz w:val="20"/>
                <w:szCs w:val="20"/>
              </w:rPr>
              <w:t>April 30, 2015</w:t>
            </w:r>
          </w:p>
          <w:p w:rsidR="005C3B9D" w:rsidRPr="00224D60" w:rsidRDefault="005C3B9D" w:rsidP="008F5FE2">
            <w:pPr>
              <w:jc w:val="both"/>
              <w:rPr>
                <w:sz w:val="20"/>
                <w:szCs w:val="20"/>
              </w:rPr>
            </w:pPr>
            <w:r w:rsidRPr="00224D60">
              <w:rPr>
                <w:sz w:val="20"/>
                <w:szCs w:val="20"/>
              </w:rPr>
              <w:t>Court of Appeal for British Columbia (Vancouver)</w:t>
            </w:r>
          </w:p>
          <w:p w:rsidR="005C3B9D" w:rsidRPr="00224D60" w:rsidRDefault="005C3B9D" w:rsidP="008F5FE2">
            <w:pPr>
              <w:jc w:val="both"/>
              <w:rPr>
                <w:sz w:val="20"/>
                <w:szCs w:val="20"/>
              </w:rPr>
            </w:pPr>
            <w:r w:rsidRPr="00224D60">
              <w:rPr>
                <w:sz w:val="20"/>
                <w:szCs w:val="20"/>
              </w:rPr>
              <w:t>(Bauman, Donald [dissenting], Newbury, Saunders and Harris JJ.A.)</w:t>
            </w:r>
          </w:p>
          <w:p w:rsidR="005C3B9D" w:rsidRPr="00224D60" w:rsidRDefault="00CD76E4" w:rsidP="008F5FE2">
            <w:pPr>
              <w:jc w:val="both"/>
              <w:rPr>
                <w:sz w:val="20"/>
                <w:szCs w:val="20"/>
              </w:rPr>
            </w:pPr>
            <w:hyperlink r:id="rId27" w:history="1">
              <w:r w:rsidR="005C3B9D" w:rsidRPr="00224D60">
                <w:rPr>
                  <w:color w:val="0000FF" w:themeColor="hyperlink"/>
                  <w:sz w:val="20"/>
                  <w:szCs w:val="20"/>
                  <w:u w:val="single"/>
                </w:rPr>
                <w:t>2015 BCCA 184</w:t>
              </w:r>
            </w:hyperlink>
          </w:p>
          <w:p w:rsidR="005C3B9D" w:rsidRPr="00224D60" w:rsidRDefault="005C3B9D" w:rsidP="008F5FE2">
            <w:pPr>
              <w:jc w:val="both"/>
              <w:rPr>
                <w:sz w:val="20"/>
                <w:szCs w:val="20"/>
              </w:rPr>
            </w:pPr>
          </w:p>
        </w:tc>
        <w:tc>
          <w:tcPr>
            <w:tcW w:w="243" w:type="pct"/>
          </w:tcPr>
          <w:p w:rsidR="005C3B9D" w:rsidRPr="00224D60" w:rsidRDefault="005C3B9D" w:rsidP="008F5FE2">
            <w:pPr>
              <w:jc w:val="both"/>
              <w:rPr>
                <w:sz w:val="20"/>
                <w:szCs w:val="20"/>
              </w:rPr>
            </w:pPr>
          </w:p>
        </w:tc>
        <w:tc>
          <w:tcPr>
            <w:tcW w:w="2330" w:type="pct"/>
          </w:tcPr>
          <w:p w:rsidR="005C3B9D" w:rsidRPr="00224D60" w:rsidRDefault="005C3B9D" w:rsidP="008F5FE2">
            <w:pPr>
              <w:jc w:val="both"/>
              <w:rPr>
                <w:sz w:val="20"/>
                <w:szCs w:val="20"/>
              </w:rPr>
            </w:pPr>
            <w:r w:rsidRPr="00224D60">
              <w:rPr>
                <w:sz w:val="20"/>
                <w:szCs w:val="20"/>
              </w:rPr>
              <w:t xml:space="preserve">Appeal allowed; Trial judge’s finding that the Province did not consult in good faith set aside; Declaration of retroactive unconstitutionality and award of </w:t>
            </w:r>
            <w:r w:rsidRPr="00224D60">
              <w:rPr>
                <w:i/>
                <w:sz w:val="20"/>
                <w:szCs w:val="20"/>
              </w:rPr>
              <w:t>Charter</w:t>
            </w:r>
            <w:r w:rsidRPr="00224D60">
              <w:rPr>
                <w:sz w:val="20"/>
                <w:szCs w:val="20"/>
              </w:rPr>
              <w:t xml:space="preserve"> damages set aside.  </w:t>
            </w:r>
          </w:p>
        </w:tc>
      </w:tr>
      <w:tr w:rsidR="005C3B9D" w:rsidRPr="00224D60" w:rsidTr="008F5FE2">
        <w:tc>
          <w:tcPr>
            <w:tcW w:w="2427" w:type="pct"/>
          </w:tcPr>
          <w:p w:rsidR="005C3B9D" w:rsidRPr="00224D60" w:rsidRDefault="005C3B9D" w:rsidP="008F5FE2">
            <w:pPr>
              <w:jc w:val="both"/>
              <w:rPr>
                <w:sz w:val="20"/>
                <w:szCs w:val="20"/>
              </w:rPr>
            </w:pPr>
            <w:r w:rsidRPr="00224D60">
              <w:rPr>
                <w:sz w:val="20"/>
                <w:szCs w:val="20"/>
              </w:rPr>
              <w:t>June 26, 2015</w:t>
            </w:r>
          </w:p>
          <w:p w:rsidR="005C3B9D" w:rsidRPr="00224D60" w:rsidRDefault="005C3B9D" w:rsidP="008F5FE2">
            <w:pPr>
              <w:jc w:val="both"/>
              <w:rPr>
                <w:sz w:val="20"/>
                <w:szCs w:val="20"/>
              </w:rPr>
            </w:pPr>
            <w:r w:rsidRPr="00224D60">
              <w:rPr>
                <w:sz w:val="20"/>
                <w:szCs w:val="20"/>
              </w:rPr>
              <w:t>Supreme Court of Canada</w:t>
            </w:r>
          </w:p>
        </w:tc>
        <w:tc>
          <w:tcPr>
            <w:tcW w:w="243" w:type="pct"/>
          </w:tcPr>
          <w:p w:rsidR="005C3B9D" w:rsidRPr="00224D60" w:rsidRDefault="005C3B9D" w:rsidP="008F5FE2">
            <w:pPr>
              <w:jc w:val="both"/>
              <w:rPr>
                <w:sz w:val="20"/>
                <w:szCs w:val="20"/>
              </w:rPr>
            </w:pPr>
          </w:p>
        </w:tc>
        <w:tc>
          <w:tcPr>
            <w:tcW w:w="2330" w:type="pct"/>
          </w:tcPr>
          <w:p w:rsidR="005C3B9D" w:rsidRPr="00224D60" w:rsidRDefault="005C3B9D" w:rsidP="008F5FE2">
            <w:pPr>
              <w:jc w:val="both"/>
              <w:rPr>
                <w:sz w:val="20"/>
                <w:szCs w:val="20"/>
              </w:rPr>
            </w:pPr>
            <w:r w:rsidRPr="00224D60">
              <w:rPr>
                <w:sz w:val="20"/>
                <w:szCs w:val="20"/>
              </w:rPr>
              <w:t>Application for leave to appeal filed.</w:t>
            </w:r>
          </w:p>
          <w:p w:rsidR="005C3B9D" w:rsidRPr="00224D60" w:rsidRDefault="005C3B9D" w:rsidP="008F5FE2">
            <w:pPr>
              <w:jc w:val="both"/>
              <w:rPr>
                <w:sz w:val="20"/>
                <w:szCs w:val="20"/>
              </w:rPr>
            </w:pP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38" style="width:2in;height:1pt" o:hrpct="0" o:hralign="center" o:hrstd="t" o:hrnoshade="t" o:hr="t" fillcolor="black [3213]" stroked="f"/>
        </w:pict>
      </w:r>
    </w:p>
    <w:p w:rsidR="005C3B9D" w:rsidRDefault="005C3B9D" w:rsidP="005C3B9D">
      <w:pPr>
        <w:rPr>
          <w:sz w:val="20"/>
          <w:szCs w:val="20"/>
        </w:rPr>
      </w:pPr>
    </w:p>
    <w:p w:rsidR="005C3B9D" w:rsidRPr="001B157C" w:rsidRDefault="005C3B9D" w:rsidP="005C3B9D">
      <w:pPr>
        <w:rPr>
          <w:sz w:val="20"/>
          <w:szCs w:val="20"/>
          <w:u w:val="single"/>
          <w:lang w:val="fr-CA"/>
        </w:rPr>
      </w:pPr>
      <w:r w:rsidRPr="001B157C">
        <w:rPr>
          <w:sz w:val="20"/>
          <w:szCs w:val="20"/>
          <w:u w:val="single"/>
          <w:lang w:val="fr-CA"/>
        </w:rPr>
        <w:t>RÉSUMÉ DE L’AFFAIRE</w:t>
      </w:r>
    </w:p>
    <w:p w:rsidR="005C3B9D" w:rsidRPr="00DC3FF5"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DC3FF5">
              <w:rPr>
                <w:i/>
                <w:sz w:val="20"/>
                <w:szCs w:val="20"/>
                <w:lang w:val="fr-CA"/>
              </w:rPr>
              <w:t>Charte des droits</w:t>
            </w:r>
            <w:r w:rsidRPr="00DC3FF5">
              <w:rPr>
                <w:sz w:val="20"/>
                <w:szCs w:val="20"/>
                <w:lang w:val="fr-CA"/>
              </w:rPr>
              <w:t xml:space="preserve"> – Droit constitutionnel – Liberté d’association – Droit à la négociation collective – Suppression de la négociation collective sur certains points – Déclaration d’inconstitutionnalité et d’invalidité d’une loi – Le gouvernement provincial a consulté la fédération sur la mesure législative corrective avant de l’adopter – Cette consultation préalable doit</w:t>
            </w:r>
            <w:r w:rsidRPr="00DC3FF5">
              <w:rPr>
                <w:sz w:val="20"/>
                <w:szCs w:val="20"/>
                <w:lang w:val="fr-CA"/>
              </w:rPr>
              <w:noBreakHyphen/>
              <w:t>elle être prise en compte pour statuer sur l’allégation d’atteinte au droit de négocier collectivement? – Le tribunal peut</w:t>
            </w:r>
            <w:r w:rsidRPr="00DC3FF5">
              <w:rPr>
                <w:sz w:val="20"/>
                <w:szCs w:val="20"/>
                <w:lang w:val="fr-CA"/>
              </w:rPr>
              <w:noBreakHyphen/>
              <w:t>il se pencher sur le caractère raisonnable de la position défendue par chacune des parties et sur la bonne foi de celles</w:t>
            </w:r>
            <w:r w:rsidRPr="00DC3FF5">
              <w:rPr>
                <w:sz w:val="20"/>
                <w:szCs w:val="20"/>
                <w:lang w:val="fr-CA"/>
              </w:rPr>
              <w:noBreakHyphen/>
              <w:t xml:space="preserve">ci lors de la négociation préalable à l’adoption de la nouvelle mesure législative? – </w:t>
            </w:r>
            <w:r w:rsidRPr="00DC3FF5">
              <w:rPr>
                <w:i/>
                <w:sz w:val="20"/>
                <w:szCs w:val="20"/>
                <w:lang w:val="fr-CA"/>
              </w:rPr>
              <w:t>Education Improvement Act</w:t>
            </w:r>
            <w:r w:rsidRPr="00DC3FF5">
              <w:rPr>
                <w:sz w:val="20"/>
                <w:szCs w:val="20"/>
                <w:lang w:val="fr-CA"/>
              </w:rPr>
              <w:t xml:space="preserve">, S.B.C. 2012, c.3 – </w:t>
            </w:r>
            <w:r w:rsidRPr="00DC3FF5">
              <w:rPr>
                <w:i/>
                <w:sz w:val="20"/>
                <w:szCs w:val="20"/>
                <w:lang w:val="fr-CA"/>
              </w:rPr>
              <w:t>Charte canadienne des droits et libertés</w:t>
            </w:r>
            <w:r w:rsidRPr="00DC3FF5">
              <w:rPr>
                <w:sz w:val="20"/>
                <w:szCs w:val="20"/>
                <w:lang w:val="fr-CA"/>
              </w:rPr>
              <w:t>, art. 1, 2</w:t>
            </w:r>
            <w:r w:rsidRPr="00DC3FF5">
              <w:rPr>
                <w:i/>
                <w:sz w:val="20"/>
                <w:szCs w:val="20"/>
                <w:lang w:val="fr-CA"/>
              </w:rPr>
              <w:t>d</w:t>
            </w:r>
            <w:r w:rsidRPr="00DC3FF5">
              <w:rPr>
                <w:sz w:val="20"/>
                <w:szCs w:val="20"/>
                <w:lang w:val="fr-CA"/>
              </w:rPr>
              <w:t>)</w:t>
            </w:r>
          </w:p>
          <w:p w:rsidR="005C3B9D" w:rsidRPr="00DC3FF5" w:rsidRDefault="005C3B9D" w:rsidP="008F5FE2">
            <w:pPr>
              <w:jc w:val="both"/>
              <w:rPr>
                <w:sz w:val="20"/>
                <w:szCs w:val="20"/>
                <w:lang w:val="fr-CA"/>
              </w:rPr>
            </w:pPr>
          </w:p>
        </w:tc>
      </w:tr>
      <w:tr w:rsidR="005C3B9D" w:rsidRPr="00B26F8D" w:rsidTr="008F5FE2">
        <w:tc>
          <w:tcPr>
            <w:tcW w:w="5000" w:type="pct"/>
            <w:gridSpan w:val="3"/>
          </w:tcPr>
          <w:p w:rsidR="005C3B9D" w:rsidRPr="00DC3FF5" w:rsidRDefault="005C3B9D" w:rsidP="008F5FE2">
            <w:pPr>
              <w:tabs>
                <w:tab w:val="left" w:pos="6720"/>
              </w:tabs>
              <w:jc w:val="both"/>
              <w:rPr>
                <w:sz w:val="20"/>
                <w:szCs w:val="20"/>
                <w:lang w:val="fr-CA"/>
              </w:rPr>
            </w:pPr>
            <w:r w:rsidRPr="00DC3FF5">
              <w:rPr>
                <w:sz w:val="20"/>
                <w:szCs w:val="20"/>
                <w:lang w:val="fr-CA"/>
              </w:rPr>
              <w:t>En 2002, la province de la Colombie</w:t>
            </w:r>
            <w:r w:rsidRPr="00DC3FF5">
              <w:rPr>
                <w:sz w:val="20"/>
                <w:szCs w:val="20"/>
                <w:lang w:val="fr-CA"/>
              </w:rPr>
              <w:noBreakHyphen/>
              <w:t>Britannique a adopté deux mesures législatives relativement à la conclusion de conventions collectives avec les employés du secteur public dans le domaine de l’éducation, soit l’</w:t>
            </w:r>
            <w:r w:rsidRPr="00DC3FF5">
              <w:rPr>
                <w:i/>
                <w:sz w:val="20"/>
                <w:szCs w:val="20"/>
                <w:lang w:val="fr-CA"/>
              </w:rPr>
              <w:t>Education Flexibility and Choice Act</w:t>
            </w:r>
            <w:r w:rsidRPr="00DC3FF5">
              <w:rPr>
                <w:sz w:val="20"/>
                <w:szCs w:val="20"/>
                <w:lang w:val="fr-CA"/>
              </w:rPr>
              <w:t>, S.B.C. 2002 c.3 et l’art. 5 de l’</w:t>
            </w:r>
            <w:r w:rsidRPr="00DC3FF5">
              <w:rPr>
                <w:i/>
                <w:sz w:val="20"/>
                <w:szCs w:val="20"/>
                <w:lang w:val="fr-CA"/>
              </w:rPr>
              <w:t>Education Services Collective Agreement Amendment Act</w:t>
            </w:r>
            <w:r w:rsidRPr="00DC3FF5">
              <w:rPr>
                <w:sz w:val="20"/>
                <w:szCs w:val="20"/>
                <w:lang w:val="fr-CA"/>
              </w:rPr>
              <w:t>, 2004, S.B.C. 2004, c.16. Les dispositions supprimaient des clauses de la convention collective liant la demanderesse, la British Columbia Teachers’ Federation (BCTF) et la British Columbia Public School Employers’ Association (BCPSEA), l’agent négociateur unique de la défenderesse, la province de la Colombie</w:t>
            </w:r>
            <w:r w:rsidRPr="00DC3FF5">
              <w:rPr>
                <w:sz w:val="20"/>
                <w:szCs w:val="20"/>
                <w:lang w:val="fr-CA"/>
              </w:rPr>
              <w:noBreakHyphen/>
              <w:t xml:space="preserve">Britannique. Elles empêchaient en outre toute négociation ultérieure sur certains points. </w:t>
            </w:r>
          </w:p>
          <w:p w:rsidR="005C3B9D" w:rsidRPr="00DC3FF5" w:rsidRDefault="005C3B9D" w:rsidP="008F5FE2">
            <w:pPr>
              <w:tabs>
                <w:tab w:val="left" w:pos="6720"/>
              </w:tabs>
              <w:jc w:val="both"/>
              <w:rPr>
                <w:sz w:val="20"/>
                <w:szCs w:val="20"/>
                <w:lang w:val="fr-CA"/>
              </w:rPr>
            </w:pPr>
          </w:p>
          <w:p w:rsidR="005C3B9D" w:rsidRPr="00DC3FF5" w:rsidRDefault="005C3B9D" w:rsidP="008F5FE2">
            <w:pPr>
              <w:tabs>
                <w:tab w:val="left" w:pos="6720"/>
              </w:tabs>
              <w:jc w:val="both"/>
              <w:rPr>
                <w:sz w:val="20"/>
                <w:szCs w:val="20"/>
                <w:lang w:val="fr-CA"/>
              </w:rPr>
            </w:pPr>
            <w:r w:rsidRPr="00DC3FF5">
              <w:rPr>
                <w:sz w:val="20"/>
                <w:szCs w:val="20"/>
                <w:lang w:val="fr-CA"/>
              </w:rPr>
              <w:t>En 2011, la Cour suprême de la Colombie</w:t>
            </w:r>
            <w:r w:rsidRPr="00DC3FF5">
              <w:rPr>
                <w:sz w:val="20"/>
                <w:szCs w:val="20"/>
                <w:lang w:val="fr-CA"/>
              </w:rPr>
              <w:noBreakHyphen/>
              <w:t>Britannique a conclu à l’inconstitutionnalité des dispositions au motif qu’elles portaient atteinte au droit garanti par l’al. 2</w:t>
            </w:r>
            <w:r w:rsidRPr="00DC3FF5">
              <w:rPr>
                <w:i/>
                <w:sz w:val="20"/>
                <w:szCs w:val="20"/>
                <w:lang w:val="fr-CA"/>
              </w:rPr>
              <w:t>d</w:t>
            </w:r>
            <w:r w:rsidRPr="00DC3FF5">
              <w:rPr>
                <w:sz w:val="20"/>
                <w:szCs w:val="20"/>
                <w:lang w:val="fr-CA"/>
              </w:rPr>
              <w:t xml:space="preserve">) de la </w:t>
            </w:r>
            <w:r w:rsidRPr="00DC3FF5">
              <w:rPr>
                <w:i/>
                <w:sz w:val="20"/>
                <w:szCs w:val="20"/>
                <w:lang w:val="fr-CA"/>
              </w:rPr>
              <w:t>Charte</w:t>
            </w:r>
            <w:r w:rsidRPr="00DC3FF5">
              <w:rPr>
                <w:sz w:val="20"/>
                <w:szCs w:val="20"/>
                <w:lang w:val="fr-CA"/>
              </w:rPr>
              <w:t xml:space="preserve"> et que l’atteinte n’était pas justifiée suivant l’article premier. Elle a déclaré les dispositions inconstitutionnelles, mais a reporté de 12 mois la prise d’effet de l’ordonnance afin de permettre à la province de remédier à la situation.</w:t>
            </w:r>
          </w:p>
          <w:p w:rsidR="005C3B9D" w:rsidRPr="00DC3FF5" w:rsidRDefault="005C3B9D" w:rsidP="008F5FE2">
            <w:pPr>
              <w:jc w:val="both"/>
              <w:rPr>
                <w:sz w:val="20"/>
                <w:szCs w:val="20"/>
                <w:lang w:val="fr-CA"/>
              </w:rPr>
            </w:pPr>
          </w:p>
          <w:p w:rsidR="005C3B9D" w:rsidRPr="00DC3FF5" w:rsidRDefault="005C3B9D" w:rsidP="008F5FE2">
            <w:pPr>
              <w:jc w:val="both"/>
              <w:rPr>
                <w:sz w:val="20"/>
                <w:szCs w:val="20"/>
                <w:lang w:val="fr-CA"/>
              </w:rPr>
            </w:pPr>
            <w:r w:rsidRPr="00DC3FF5">
              <w:rPr>
                <w:sz w:val="20"/>
                <w:szCs w:val="20"/>
                <w:lang w:val="fr-CA"/>
              </w:rPr>
              <w:lastRenderedPageBreak/>
              <w:t xml:space="preserve">Dans la foulée de cette décision, des consultations ont eu lieu entre la province et BCTF en même temps qu’il y avait négociation collective entre BCTF et l’intimée BCPSEA, mais dans les deux cas, les parties n’ont pu parvenir à un accord et se sont retrouvées dans une impasse. À l’expiration du délai accordé à la province, il y a eu adoption d’une nouvelle loi, </w:t>
            </w:r>
            <w:r w:rsidRPr="00DC3FF5">
              <w:rPr>
                <w:i/>
                <w:sz w:val="20"/>
                <w:szCs w:val="20"/>
                <w:lang w:val="fr-CA"/>
              </w:rPr>
              <w:t>The Education Improvement Act</w:t>
            </w:r>
            <w:r w:rsidRPr="00DC3FF5">
              <w:rPr>
                <w:sz w:val="20"/>
                <w:szCs w:val="20"/>
                <w:lang w:val="fr-CA"/>
              </w:rPr>
              <w:t>, S.B.C. 2012, c.3, laquelle renfermait des articles précédemment déclarés inconstitutionnels par la Cour suprême de la Colombie</w:t>
            </w:r>
            <w:r w:rsidRPr="00DC3FF5">
              <w:rPr>
                <w:sz w:val="20"/>
                <w:szCs w:val="20"/>
                <w:lang w:val="fr-CA"/>
              </w:rPr>
              <w:noBreakHyphen/>
              <w:t xml:space="preserve">Britannique. </w:t>
            </w:r>
          </w:p>
          <w:p w:rsidR="005C3B9D" w:rsidRPr="00DC3FF5" w:rsidRDefault="005C3B9D" w:rsidP="008F5FE2">
            <w:pPr>
              <w:jc w:val="both"/>
              <w:rPr>
                <w:sz w:val="20"/>
                <w:szCs w:val="20"/>
                <w:lang w:val="fr-CA"/>
              </w:rPr>
            </w:pPr>
          </w:p>
          <w:p w:rsidR="005C3B9D" w:rsidRDefault="005C3B9D" w:rsidP="008F5FE2">
            <w:pPr>
              <w:jc w:val="both"/>
              <w:rPr>
                <w:sz w:val="20"/>
                <w:szCs w:val="20"/>
                <w:lang w:val="fr-CA"/>
              </w:rPr>
            </w:pPr>
            <w:r w:rsidRPr="00DC3FF5">
              <w:rPr>
                <w:sz w:val="20"/>
                <w:szCs w:val="20"/>
                <w:lang w:val="fr-CA"/>
              </w:rPr>
              <w:t>BCTF a contesté la constitutionnalité de l’</w:t>
            </w:r>
            <w:r w:rsidRPr="00DC3FF5">
              <w:rPr>
                <w:i/>
                <w:sz w:val="20"/>
                <w:szCs w:val="20"/>
                <w:lang w:val="fr-CA"/>
              </w:rPr>
              <w:t>Education Improvement Act</w:t>
            </w:r>
            <w:r w:rsidRPr="00DC3FF5">
              <w:rPr>
                <w:sz w:val="20"/>
                <w:szCs w:val="20"/>
                <w:lang w:val="fr-CA"/>
              </w:rPr>
              <w:t xml:space="preserve"> en soutenant qu’elle était pratiquement identique à la loi que la Cour suprême de la Colombie</w:t>
            </w:r>
            <w:r w:rsidRPr="00DC3FF5">
              <w:rPr>
                <w:sz w:val="20"/>
                <w:szCs w:val="20"/>
                <w:lang w:val="fr-CA"/>
              </w:rPr>
              <w:noBreakHyphen/>
              <w:t xml:space="preserve">Britannique avait auparavant déclarée inconstitutionnelle. La juge de première instance a estimé qu’aucun élément ne permettait de distinguer la nouvelle loi de l’ancienne. Elle a accordé réparation à BCTF et ordonné qu’une indemnité de 2 millions de dollars lui soit versée, en application du par. 24(1) de la </w:t>
            </w:r>
            <w:r w:rsidRPr="00DC3FF5">
              <w:rPr>
                <w:i/>
                <w:sz w:val="20"/>
                <w:szCs w:val="20"/>
                <w:lang w:val="fr-CA"/>
              </w:rPr>
              <w:t>Charte</w:t>
            </w:r>
            <w:r w:rsidRPr="00DC3FF5">
              <w:rPr>
                <w:sz w:val="20"/>
                <w:szCs w:val="20"/>
                <w:lang w:val="fr-CA"/>
              </w:rPr>
              <w:t xml:space="preserve">. La Cour d’appel de la province a accueilli l’appel et a conclu que la consultation avait été menée de bonne foi et que le contexte de l’adoption de la mesure législative corrective importait dans l’analyse de sa constitutionnalité. L’octroi d’une indemnité sur le fondement de la </w:t>
            </w:r>
            <w:r w:rsidRPr="00DC3FF5">
              <w:rPr>
                <w:i/>
                <w:sz w:val="20"/>
                <w:szCs w:val="20"/>
                <w:lang w:val="fr-CA"/>
              </w:rPr>
              <w:t>Charte</w:t>
            </w:r>
            <w:r w:rsidRPr="00DC3FF5">
              <w:rPr>
                <w:sz w:val="20"/>
                <w:szCs w:val="20"/>
                <w:lang w:val="fr-CA"/>
              </w:rPr>
              <w:t xml:space="preserve"> a été annulé.</w:t>
            </w:r>
          </w:p>
          <w:p w:rsidR="005C3B9D" w:rsidRPr="00DC3FF5" w:rsidRDefault="005C3B9D" w:rsidP="008F5FE2">
            <w:pPr>
              <w:jc w:val="both"/>
              <w:rPr>
                <w:sz w:val="20"/>
                <w:szCs w:val="20"/>
                <w:lang w:val="fr-CA"/>
              </w:rPr>
            </w:pPr>
          </w:p>
        </w:tc>
      </w:tr>
      <w:tr w:rsidR="005C3B9D" w:rsidRPr="00B26F8D" w:rsidTr="008F5FE2">
        <w:tc>
          <w:tcPr>
            <w:tcW w:w="2427" w:type="pct"/>
          </w:tcPr>
          <w:p w:rsidR="005C3B9D" w:rsidRPr="00DC3FF5" w:rsidRDefault="005C3B9D" w:rsidP="008F5FE2">
            <w:pPr>
              <w:jc w:val="both"/>
              <w:rPr>
                <w:sz w:val="20"/>
                <w:szCs w:val="20"/>
                <w:lang w:val="fr-CA"/>
              </w:rPr>
            </w:pPr>
            <w:r w:rsidRPr="00DC3FF5">
              <w:rPr>
                <w:sz w:val="20"/>
                <w:szCs w:val="20"/>
                <w:lang w:val="fr-CA"/>
              </w:rPr>
              <w:lastRenderedPageBreak/>
              <w:t>13 avril 2011</w:t>
            </w:r>
          </w:p>
          <w:p w:rsidR="005C3B9D" w:rsidRPr="00DC3FF5" w:rsidRDefault="005C3B9D" w:rsidP="008F5FE2">
            <w:pPr>
              <w:jc w:val="both"/>
              <w:rPr>
                <w:sz w:val="20"/>
                <w:szCs w:val="20"/>
                <w:lang w:val="fr-CA"/>
              </w:rPr>
            </w:pPr>
            <w:r w:rsidRPr="00DC3FF5">
              <w:rPr>
                <w:sz w:val="20"/>
                <w:szCs w:val="20"/>
                <w:lang w:val="fr-CA"/>
              </w:rPr>
              <w:t>Cour suprême de la Colombie</w:t>
            </w:r>
            <w:r w:rsidRPr="00DC3FF5">
              <w:rPr>
                <w:sz w:val="20"/>
                <w:szCs w:val="20"/>
                <w:lang w:val="fr-CA"/>
              </w:rPr>
              <w:noBreakHyphen/>
              <w:t>Britannique</w:t>
            </w:r>
          </w:p>
          <w:p w:rsidR="005C3B9D" w:rsidRPr="00DC3FF5" w:rsidRDefault="005C3B9D" w:rsidP="008F5FE2">
            <w:pPr>
              <w:jc w:val="both"/>
              <w:rPr>
                <w:sz w:val="20"/>
                <w:szCs w:val="20"/>
              </w:rPr>
            </w:pPr>
            <w:r w:rsidRPr="00DC3FF5">
              <w:rPr>
                <w:sz w:val="20"/>
                <w:szCs w:val="20"/>
              </w:rPr>
              <w:t>(Juge Griffin)</w:t>
            </w:r>
          </w:p>
          <w:p w:rsidR="005C3B9D" w:rsidRPr="00DC3FF5" w:rsidRDefault="00CD76E4" w:rsidP="008F5FE2">
            <w:pPr>
              <w:jc w:val="both"/>
              <w:rPr>
                <w:sz w:val="20"/>
                <w:szCs w:val="20"/>
              </w:rPr>
            </w:pPr>
            <w:hyperlink r:id="rId28" w:history="1">
              <w:r w:rsidR="005C3B9D" w:rsidRPr="00DC3FF5">
                <w:rPr>
                  <w:color w:val="0000FF" w:themeColor="hyperlink"/>
                  <w:sz w:val="20"/>
                  <w:szCs w:val="20"/>
                  <w:u w:val="single"/>
                </w:rPr>
                <w:t>2011 BCSC 469</w:t>
              </w:r>
            </w:hyperlink>
          </w:p>
          <w:p w:rsidR="005C3B9D" w:rsidRPr="00DC3FF5" w:rsidRDefault="005C3B9D" w:rsidP="008F5FE2">
            <w:pPr>
              <w:jc w:val="both"/>
              <w:rPr>
                <w:sz w:val="20"/>
                <w:szCs w:val="20"/>
              </w:rPr>
            </w:pPr>
          </w:p>
        </w:tc>
        <w:tc>
          <w:tcPr>
            <w:tcW w:w="243" w:type="pct"/>
          </w:tcPr>
          <w:p w:rsidR="005C3B9D" w:rsidRPr="00DC3FF5" w:rsidRDefault="005C3B9D" w:rsidP="008F5FE2">
            <w:pPr>
              <w:jc w:val="both"/>
              <w:rPr>
                <w:sz w:val="20"/>
                <w:szCs w:val="20"/>
              </w:rPr>
            </w:pPr>
          </w:p>
        </w:tc>
        <w:tc>
          <w:tcPr>
            <w:tcW w:w="2330" w:type="pct"/>
          </w:tcPr>
          <w:p w:rsidR="005C3B9D" w:rsidRPr="00DC3FF5" w:rsidRDefault="005C3B9D" w:rsidP="008F5FE2">
            <w:pPr>
              <w:jc w:val="both"/>
              <w:rPr>
                <w:sz w:val="20"/>
                <w:szCs w:val="20"/>
                <w:lang w:val="fr-CA"/>
              </w:rPr>
            </w:pPr>
            <w:r w:rsidRPr="00DC3FF5">
              <w:rPr>
                <w:sz w:val="20"/>
                <w:szCs w:val="20"/>
                <w:lang w:val="fr-CA"/>
              </w:rPr>
              <w:t xml:space="preserve">Déclaration d’inconstitutionnalité des art. 8, 9 et 15 de la </w:t>
            </w:r>
            <w:r w:rsidRPr="00DC3FF5">
              <w:rPr>
                <w:i/>
                <w:sz w:val="20"/>
                <w:szCs w:val="20"/>
                <w:lang w:val="fr-CA"/>
              </w:rPr>
              <w:t>Public Education Flexibility and Choice Act</w:t>
            </w:r>
            <w:r w:rsidRPr="00DC3FF5">
              <w:rPr>
                <w:sz w:val="20"/>
                <w:szCs w:val="20"/>
                <w:lang w:val="fr-CA"/>
              </w:rPr>
              <w:t>, S.B.C. 2002 c.3 et de l’art. 5 de l’</w:t>
            </w:r>
            <w:r w:rsidRPr="00DC3FF5">
              <w:rPr>
                <w:i/>
                <w:sz w:val="20"/>
                <w:szCs w:val="20"/>
                <w:lang w:val="fr-CA"/>
              </w:rPr>
              <w:t>Education Services Collective Agreement Amendment Act</w:t>
            </w:r>
            <w:r w:rsidRPr="00DC3FF5">
              <w:rPr>
                <w:sz w:val="20"/>
                <w:szCs w:val="20"/>
                <w:lang w:val="fr-CA"/>
              </w:rPr>
              <w:t>, 2004, S.B.C. 2004, c.16, qui portent atteinte à l’al. 2</w:t>
            </w:r>
            <w:r w:rsidRPr="00DC3FF5">
              <w:rPr>
                <w:i/>
                <w:sz w:val="20"/>
                <w:szCs w:val="20"/>
                <w:lang w:val="fr-CA"/>
              </w:rPr>
              <w:t>d</w:t>
            </w:r>
            <w:r w:rsidRPr="00DC3FF5">
              <w:rPr>
                <w:sz w:val="20"/>
                <w:szCs w:val="20"/>
                <w:lang w:val="fr-CA"/>
              </w:rPr>
              <w:t xml:space="preserve">) de la </w:t>
            </w:r>
            <w:r w:rsidRPr="00DC3FF5">
              <w:rPr>
                <w:i/>
                <w:sz w:val="20"/>
                <w:szCs w:val="20"/>
                <w:lang w:val="fr-CA"/>
              </w:rPr>
              <w:t>Charte</w:t>
            </w:r>
            <w:r w:rsidRPr="00DC3FF5">
              <w:rPr>
                <w:sz w:val="20"/>
                <w:szCs w:val="20"/>
                <w:lang w:val="fr-CA"/>
              </w:rPr>
              <w:t>, sans justification suivant l’article premier; suspension pendant 12 mois de la déclaration d’invalidité.</w:t>
            </w:r>
          </w:p>
          <w:p w:rsidR="005C3B9D" w:rsidRPr="00DC3FF5" w:rsidRDefault="005C3B9D" w:rsidP="008F5FE2">
            <w:pPr>
              <w:jc w:val="both"/>
              <w:rPr>
                <w:sz w:val="20"/>
                <w:szCs w:val="20"/>
                <w:lang w:val="fr-CA"/>
              </w:rPr>
            </w:pPr>
          </w:p>
        </w:tc>
      </w:tr>
      <w:tr w:rsidR="005C3B9D" w:rsidRPr="00B26F8D" w:rsidTr="008F5FE2">
        <w:tc>
          <w:tcPr>
            <w:tcW w:w="2427" w:type="pct"/>
          </w:tcPr>
          <w:p w:rsidR="005C3B9D" w:rsidRPr="00DC3FF5" w:rsidRDefault="005C3B9D" w:rsidP="008F5FE2">
            <w:pPr>
              <w:jc w:val="both"/>
              <w:rPr>
                <w:sz w:val="20"/>
                <w:szCs w:val="20"/>
                <w:lang w:val="fr-CA"/>
              </w:rPr>
            </w:pPr>
            <w:r w:rsidRPr="00DC3FF5">
              <w:rPr>
                <w:sz w:val="20"/>
                <w:szCs w:val="20"/>
                <w:lang w:val="fr-CA"/>
              </w:rPr>
              <w:t>27 janvier 2014</w:t>
            </w:r>
          </w:p>
          <w:p w:rsidR="005C3B9D" w:rsidRPr="00DC3FF5" w:rsidRDefault="005C3B9D" w:rsidP="008F5FE2">
            <w:pPr>
              <w:jc w:val="both"/>
              <w:rPr>
                <w:sz w:val="20"/>
                <w:szCs w:val="20"/>
                <w:lang w:val="fr-CA"/>
              </w:rPr>
            </w:pPr>
            <w:r w:rsidRPr="00DC3FF5">
              <w:rPr>
                <w:sz w:val="20"/>
                <w:szCs w:val="20"/>
                <w:lang w:val="fr-CA"/>
              </w:rPr>
              <w:t>Cour suprême de la Colombie</w:t>
            </w:r>
            <w:r w:rsidRPr="00DC3FF5">
              <w:rPr>
                <w:sz w:val="20"/>
                <w:szCs w:val="20"/>
                <w:lang w:val="fr-CA"/>
              </w:rPr>
              <w:noBreakHyphen/>
              <w:t>Britannique</w:t>
            </w:r>
          </w:p>
          <w:p w:rsidR="005C3B9D" w:rsidRPr="00DC3FF5" w:rsidRDefault="005C3B9D" w:rsidP="008F5FE2">
            <w:pPr>
              <w:jc w:val="both"/>
              <w:rPr>
                <w:sz w:val="20"/>
                <w:szCs w:val="20"/>
              </w:rPr>
            </w:pPr>
            <w:r w:rsidRPr="00DC3FF5">
              <w:rPr>
                <w:sz w:val="20"/>
                <w:szCs w:val="20"/>
              </w:rPr>
              <w:t>(Juge Griffin)</w:t>
            </w:r>
          </w:p>
          <w:p w:rsidR="005C3B9D" w:rsidRPr="00DC3FF5" w:rsidRDefault="00CD76E4" w:rsidP="008F5FE2">
            <w:pPr>
              <w:jc w:val="both"/>
              <w:rPr>
                <w:sz w:val="20"/>
                <w:szCs w:val="20"/>
              </w:rPr>
            </w:pPr>
            <w:hyperlink r:id="rId29" w:history="1">
              <w:r w:rsidR="005C3B9D" w:rsidRPr="00DC3FF5">
                <w:rPr>
                  <w:color w:val="0000FF" w:themeColor="hyperlink"/>
                  <w:sz w:val="20"/>
                  <w:szCs w:val="20"/>
                  <w:u w:val="single"/>
                </w:rPr>
                <w:t>2014 BCSC 121</w:t>
              </w:r>
            </w:hyperlink>
          </w:p>
          <w:p w:rsidR="005C3B9D" w:rsidRPr="00DC3FF5" w:rsidRDefault="005C3B9D" w:rsidP="008F5FE2">
            <w:pPr>
              <w:jc w:val="both"/>
              <w:rPr>
                <w:sz w:val="20"/>
                <w:szCs w:val="20"/>
              </w:rPr>
            </w:pPr>
          </w:p>
        </w:tc>
        <w:tc>
          <w:tcPr>
            <w:tcW w:w="243" w:type="pct"/>
          </w:tcPr>
          <w:p w:rsidR="005C3B9D" w:rsidRPr="00DC3FF5" w:rsidRDefault="005C3B9D" w:rsidP="008F5FE2">
            <w:pPr>
              <w:jc w:val="both"/>
              <w:rPr>
                <w:sz w:val="20"/>
                <w:szCs w:val="20"/>
              </w:rPr>
            </w:pPr>
          </w:p>
        </w:tc>
        <w:tc>
          <w:tcPr>
            <w:tcW w:w="2330" w:type="pct"/>
          </w:tcPr>
          <w:p w:rsidR="005C3B9D" w:rsidRPr="00DC3FF5" w:rsidRDefault="005C3B9D" w:rsidP="008F5FE2">
            <w:pPr>
              <w:jc w:val="both"/>
              <w:rPr>
                <w:sz w:val="20"/>
                <w:szCs w:val="20"/>
                <w:lang w:val="fr-CA"/>
              </w:rPr>
            </w:pPr>
            <w:r w:rsidRPr="00DC3FF5">
              <w:rPr>
                <w:sz w:val="20"/>
                <w:szCs w:val="20"/>
                <w:lang w:val="fr-CA"/>
              </w:rPr>
              <w:t>Action intentée par BCTF contre la province, doublée d’une demande de réparations constitutionnelles, pour atteinte continue au droit garanti par l’al. 2</w:t>
            </w:r>
            <w:r w:rsidRPr="00DC3FF5">
              <w:rPr>
                <w:i/>
                <w:sz w:val="20"/>
                <w:szCs w:val="20"/>
                <w:lang w:val="fr-CA"/>
              </w:rPr>
              <w:t>d</w:t>
            </w:r>
            <w:r w:rsidRPr="00DC3FF5">
              <w:rPr>
                <w:sz w:val="20"/>
                <w:szCs w:val="20"/>
                <w:lang w:val="fr-CA"/>
              </w:rPr>
              <w:t xml:space="preserve">); action et demande accueillies. </w:t>
            </w:r>
          </w:p>
          <w:p w:rsidR="005C3B9D" w:rsidRPr="00DC3FF5" w:rsidRDefault="005C3B9D" w:rsidP="008F5FE2">
            <w:pPr>
              <w:jc w:val="both"/>
              <w:rPr>
                <w:sz w:val="20"/>
                <w:szCs w:val="20"/>
                <w:lang w:val="fr-CA"/>
              </w:rPr>
            </w:pPr>
          </w:p>
        </w:tc>
      </w:tr>
      <w:tr w:rsidR="005C3B9D" w:rsidRPr="00B26F8D" w:rsidTr="008F5FE2">
        <w:tc>
          <w:tcPr>
            <w:tcW w:w="2427" w:type="pct"/>
          </w:tcPr>
          <w:p w:rsidR="005C3B9D" w:rsidRPr="00DC3FF5" w:rsidRDefault="005C3B9D" w:rsidP="008F5FE2">
            <w:pPr>
              <w:jc w:val="both"/>
              <w:rPr>
                <w:sz w:val="20"/>
                <w:szCs w:val="20"/>
                <w:lang w:val="fr-CA"/>
              </w:rPr>
            </w:pPr>
            <w:r w:rsidRPr="00DC3FF5">
              <w:rPr>
                <w:sz w:val="20"/>
                <w:szCs w:val="20"/>
                <w:lang w:val="fr-CA"/>
              </w:rPr>
              <w:t>30 avril 2015</w:t>
            </w:r>
          </w:p>
          <w:p w:rsidR="005C3B9D" w:rsidRPr="00DC3FF5" w:rsidRDefault="005C3B9D" w:rsidP="008F5FE2">
            <w:pPr>
              <w:jc w:val="both"/>
              <w:rPr>
                <w:sz w:val="20"/>
                <w:szCs w:val="20"/>
                <w:lang w:val="fr-CA"/>
              </w:rPr>
            </w:pPr>
            <w:r w:rsidRPr="00DC3FF5">
              <w:rPr>
                <w:sz w:val="20"/>
                <w:szCs w:val="20"/>
                <w:lang w:val="fr-CA"/>
              </w:rPr>
              <w:t>Cour d’appel de la Colombie</w:t>
            </w:r>
            <w:r w:rsidRPr="00DC3FF5">
              <w:rPr>
                <w:sz w:val="20"/>
                <w:szCs w:val="20"/>
                <w:lang w:val="fr-CA"/>
              </w:rPr>
              <w:noBreakHyphen/>
              <w:t>Britannique (Vancouver)</w:t>
            </w:r>
          </w:p>
          <w:p w:rsidR="005C3B9D" w:rsidRPr="00DC3FF5" w:rsidRDefault="005C3B9D" w:rsidP="008F5FE2">
            <w:pPr>
              <w:jc w:val="both"/>
              <w:rPr>
                <w:sz w:val="20"/>
                <w:szCs w:val="20"/>
              </w:rPr>
            </w:pPr>
            <w:r w:rsidRPr="00DC3FF5">
              <w:rPr>
                <w:sz w:val="20"/>
                <w:szCs w:val="20"/>
              </w:rPr>
              <w:t>(Juges Bauman, Donald [dissident], Newbury, Saunders et Harris)</w:t>
            </w:r>
          </w:p>
          <w:p w:rsidR="005C3B9D" w:rsidRPr="00DC3FF5" w:rsidRDefault="00CD76E4" w:rsidP="008F5FE2">
            <w:pPr>
              <w:jc w:val="both"/>
              <w:rPr>
                <w:sz w:val="20"/>
                <w:szCs w:val="20"/>
              </w:rPr>
            </w:pPr>
            <w:hyperlink r:id="rId30" w:history="1">
              <w:r w:rsidR="005C3B9D" w:rsidRPr="00DC3FF5">
                <w:rPr>
                  <w:color w:val="0000FF" w:themeColor="hyperlink"/>
                  <w:sz w:val="20"/>
                  <w:szCs w:val="20"/>
                  <w:u w:val="single"/>
                </w:rPr>
                <w:t>2015 BCCA 184</w:t>
              </w:r>
            </w:hyperlink>
          </w:p>
          <w:p w:rsidR="005C3B9D" w:rsidRPr="00DC3FF5" w:rsidRDefault="005C3B9D" w:rsidP="008F5FE2">
            <w:pPr>
              <w:jc w:val="both"/>
              <w:rPr>
                <w:sz w:val="20"/>
                <w:szCs w:val="20"/>
              </w:rPr>
            </w:pPr>
          </w:p>
        </w:tc>
        <w:tc>
          <w:tcPr>
            <w:tcW w:w="243" w:type="pct"/>
          </w:tcPr>
          <w:p w:rsidR="005C3B9D" w:rsidRPr="00DC3FF5" w:rsidRDefault="005C3B9D" w:rsidP="008F5FE2">
            <w:pPr>
              <w:jc w:val="both"/>
              <w:rPr>
                <w:sz w:val="20"/>
                <w:szCs w:val="20"/>
              </w:rPr>
            </w:pPr>
          </w:p>
        </w:tc>
        <w:tc>
          <w:tcPr>
            <w:tcW w:w="2330" w:type="pct"/>
          </w:tcPr>
          <w:p w:rsidR="005C3B9D" w:rsidRPr="00DC3FF5" w:rsidRDefault="005C3B9D" w:rsidP="008F5FE2">
            <w:pPr>
              <w:jc w:val="both"/>
              <w:rPr>
                <w:sz w:val="20"/>
                <w:szCs w:val="20"/>
                <w:lang w:val="fr-CA"/>
              </w:rPr>
            </w:pPr>
            <w:r w:rsidRPr="00DC3FF5">
              <w:rPr>
                <w:sz w:val="20"/>
                <w:szCs w:val="20"/>
                <w:lang w:val="fr-CA"/>
              </w:rPr>
              <w:t xml:space="preserve">Appel accueilli; annulation de la conclusion de la juge de première instance selon laquelle la province n’avait pas consulté de bonne foi; annulation de la déclaration d’inconstitutionnalité rétroactive et de l’octroi d’une indemnité.  </w:t>
            </w:r>
          </w:p>
        </w:tc>
      </w:tr>
      <w:tr w:rsidR="005C3B9D" w:rsidRPr="00B26F8D" w:rsidTr="008F5FE2">
        <w:tc>
          <w:tcPr>
            <w:tcW w:w="2427" w:type="pct"/>
          </w:tcPr>
          <w:p w:rsidR="005C3B9D" w:rsidRPr="00DC3FF5" w:rsidRDefault="005C3B9D" w:rsidP="008F5FE2">
            <w:pPr>
              <w:jc w:val="both"/>
              <w:rPr>
                <w:sz w:val="20"/>
                <w:szCs w:val="20"/>
                <w:lang w:val="fr-CA"/>
              </w:rPr>
            </w:pPr>
            <w:r w:rsidRPr="00DC3FF5">
              <w:rPr>
                <w:sz w:val="20"/>
                <w:szCs w:val="20"/>
                <w:lang w:val="fr-CA"/>
              </w:rPr>
              <w:t>26 juin 2015</w:t>
            </w:r>
          </w:p>
          <w:p w:rsidR="005C3B9D" w:rsidRPr="00DC3FF5" w:rsidRDefault="005C3B9D" w:rsidP="008F5FE2">
            <w:pPr>
              <w:jc w:val="both"/>
              <w:rPr>
                <w:sz w:val="20"/>
                <w:szCs w:val="20"/>
                <w:lang w:val="fr-CA"/>
              </w:rPr>
            </w:pPr>
            <w:r w:rsidRPr="00DC3FF5">
              <w:rPr>
                <w:sz w:val="20"/>
                <w:szCs w:val="20"/>
                <w:lang w:val="fr-CA"/>
              </w:rPr>
              <w:t>Cour suprême du Canada</w:t>
            </w:r>
          </w:p>
        </w:tc>
        <w:tc>
          <w:tcPr>
            <w:tcW w:w="243" w:type="pct"/>
          </w:tcPr>
          <w:p w:rsidR="005C3B9D" w:rsidRPr="00DC3FF5" w:rsidRDefault="005C3B9D" w:rsidP="008F5FE2">
            <w:pPr>
              <w:jc w:val="both"/>
              <w:rPr>
                <w:sz w:val="20"/>
                <w:szCs w:val="20"/>
                <w:lang w:val="fr-CA"/>
              </w:rPr>
            </w:pPr>
          </w:p>
        </w:tc>
        <w:tc>
          <w:tcPr>
            <w:tcW w:w="2330" w:type="pct"/>
          </w:tcPr>
          <w:p w:rsidR="005C3B9D" w:rsidRPr="00DC3FF5" w:rsidRDefault="005C3B9D" w:rsidP="008F5FE2">
            <w:pPr>
              <w:jc w:val="both"/>
              <w:rPr>
                <w:sz w:val="20"/>
                <w:szCs w:val="20"/>
                <w:lang w:val="fr-CA"/>
              </w:rPr>
            </w:pPr>
            <w:r w:rsidRPr="00DC3FF5">
              <w:rPr>
                <w:sz w:val="20"/>
                <w:szCs w:val="20"/>
                <w:lang w:val="fr-CA"/>
              </w:rPr>
              <w:t>Dépôt de la demande d’autorisation d’appel.</w:t>
            </w:r>
          </w:p>
          <w:p w:rsidR="005C3B9D" w:rsidRPr="00DC3FF5" w:rsidRDefault="005C3B9D" w:rsidP="008F5FE2">
            <w:pPr>
              <w:jc w:val="both"/>
              <w:rPr>
                <w:sz w:val="20"/>
                <w:szCs w:val="20"/>
                <w:lang w:val="fr-CA"/>
              </w:rPr>
            </w:pP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39"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A73D2C" w:rsidRDefault="005C3B9D" w:rsidP="008F5FE2">
            <w:pPr>
              <w:rPr>
                <w:sz w:val="20"/>
                <w:szCs w:val="20"/>
              </w:rPr>
            </w:pPr>
            <w:r w:rsidRPr="00A73D2C">
              <w:rPr>
                <w:rStyle w:val="SCCFileNumberChar"/>
                <w:sz w:val="20"/>
                <w:szCs w:val="20"/>
              </w:rPr>
              <w:t>3</w:t>
            </w:r>
            <w:r>
              <w:rPr>
                <w:rStyle w:val="SCCFileNumberChar"/>
                <w:sz w:val="20"/>
                <w:szCs w:val="20"/>
              </w:rPr>
              <w:t>6</w:t>
            </w:r>
            <w:r w:rsidRPr="00A73D2C">
              <w:rPr>
                <w:rStyle w:val="SCCFileNumberChar"/>
                <w:sz w:val="20"/>
                <w:szCs w:val="20"/>
              </w:rPr>
              <w:t>5</w:t>
            </w:r>
            <w:r>
              <w:rPr>
                <w:rStyle w:val="SCCFileNumberChar"/>
                <w:sz w:val="20"/>
                <w:szCs w:val="20"/>
              </w:rPr>
              <w:t>02</w:t>
            </w:r>
          </w:p>
          <w:p w:rsidR="005C3B9D" w:rsidRPr="00A73D2C"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Clifford LeCaine</w:t>
            </w:r>
            <w:r>
              <w:rPr>
                <w:b/>
                <w:sz w:val="20"/>
                <w:szCs w:val="24"/>
                <w:u w:val="single"/>
                <w:lang w:val="en-US"/>
              </w:rPr>
              <w:t xml:space="preserve"> and</w:t>
            </w:r>
            <w:r w:rsidRPr="0041388B">
              <w:rPr>
                <w:b/>
                <w:sz w:val="20"/>
                <w:szCs w:val="24"/>
                <w:u w:val="single"/>
                <w:lang w:val="en-US"/>
              </w:rPr>
              <w:t xml:space="preserve"> Margaret LeCaine v. Registrar of Ind</w:t>
            </w:r>
            <w:r>
              <w:rPr>
                <w:b/>
                <w:sz w:val="20"/>
                <w:szCs w:val="24"/>
                <w:u w:val="single"/>
                <w:lang w:val="en-US"/>
              </w:rPr>
              <w:t>ian and Northern Affairs Canada and</w:t>
            </w:r>
            <w:r w:rsidRPr="0041388B">
              <w:rPr>
                <w:b/>
                <w:sz w:val="20"/>
                <w:szCs w:val="24"/>
                <w:u w:val="single"/>
                <w:lang w:val="en-US"/>
              </w:rPr>
              <w:t xml:space="preserve"> Beryl Tresa Jordison</w:t>
            </w:r>
            <w:r w:rsidRPr="0041388B">
              <w:rPr>
                <w:sz w:val="20"/>
                <w:szCs w:val="24"/>
              </w:rPr>
              <w:t xml:space="preserve"> (Sask.) (Civil) (By Leave)</w:t>
            </w:r>
          </w:p>
          <w:p w:rsidR="005C3B9D" w:rsidRPr="00A73D2C"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and Côté</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Court of Appeal for Saskatchewan, Number CACV 2447, 2015 SKCA 42, dated April 27, 2015, is dismissed with costs.</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41388B">
              <w:rPr>
                <w:lang w:val="fr-CA"/>
              </w:rPr>
              <w:t>La demande d’autorisation d’appel de l’arrêt de la Cour d’appel de la Saskatchewan, numéro CACV 2447, 2015 SKCA 42, daté du 27 avril 2015, est rejetée avec dépens.</w:t>
            </w:r>
          </w:p>
        </w:tc>
      </w:tr>
    </w:tbl>
    <w:p w:rsidR="005C3B9D" w:rsidRDefault="005C3B9D" w:rsidP="005C3B9D">
      <w:pPr>
        <w:rPr>
          <w:sz w:val="20"/>
          <w:szCs w:val="20"/>
          <w:lang w:val="fr-CA"/>
        </w:rPr>
      </w:pPr>
    </w:p>
    <w:p w:rsidR="005C3B9D" w:rsidRPr="005C3B9D" w:rsidRDefault="005C3B9D" w:rsidP="005C3B9D">
      <w:pPr>
        <w:rPr>
          <w:sz w:val="20"/>
          <w:szCs w:val="20"/>
          <w:u w:val="single"/>
          <w:lang w:val="fr-CA"/>
        </w:rPr>
      </w:pPr>
      <w:r w:rsidRPr="005C3B9D">
        <w:rPr>
          <w:sz w:val="20"/>
          <w:szCs w:val="20"/>
          <w:u w:val="single"/>
          <w:lang w:val="fr-CA"/>
        </w:rPr>
        <w:br w:type="page"/>
      </w:r>
    </w:p>
    <w:p w:rsidR="005C3B9D" w:rsidRPr="001B157C" w:rsidRDefault="005C3B9D" w:rsidP="005C3B9D">
      <w:pPr>
        <w:rPr>
          <w:sz w:val="20"/>
          <w:szCs w:val="20"/>
          <w:u w:val="single"/>
        </w:rPr>
      </w:pPr>
      <w:r w:rsidRPr="001B157C">
        <w:rPr>
          <w:sz w:val="20"/>
          <w:szCs w:val="20"/>
          <w:u w:val="single"/>
        </w:rPr>
        <w:lastRenderedPageBreak/>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8D2A36" w:rsidTr="008F5FE2">
        <w:tc>
          <w:tcPr>
            <w:tcW w:w="5000" w:type="pct"/>
            <w:gridSpan w:val="3"/>
          </w:tcPr>
          <w:p w:rsidR="005C3B9D" w:rsidRDefault="005C3B9D" w:rsidP="008F5FE2">
            <w:pPr>
              <w:jc w:val="both"/>
              <w:rPr>
                <w:sz w:val="20"/>
                <w:szCs w:val="20"/>
              </w:rPr>
            </w:pPr>
            <w:r w:rsidRPr="008D2A36">
              <w:rPr>
                <w:sz w:val="20"/>
                <w:szCs w:val="20"/>
              </w:rPr>
              <w:t xml:space="preserve">Aboriginal law — Indian Register — Membership on Indian Register — Enfranchisement of Indians — Whether the Court of Appeal for Saskatchewan erred in law in determining that the definition of a clause of a statute does not affect substantive rights — Whether it erred in law in determining that enfranchisement could only occur through the process found in Part I of the </w:t>
            </w:r>
            <w:r w:rsidRPr="008D2A36">
              <w:rPr>
                <w:i/>
                <w:sz w:val="20"/>
                <w:szCs w:val="20"/>
              </w:rPr>
              <w:t>Indian Act, 1906</w:t>
            </w:r>
            <w:r w:rsidRPr="008D2A36">
              <w:rPr>
                <w:sz w:val="20"/>
                <w:szCs w:val="20"/>
              </w:rPr>
              <w:t xml:space="preserve">, R.S.C. 1906, c. 81, and that Indians in Saskatchewan could not enfranchise — Whether it erred in law in fact and law in determining that George O’Kute/LeCaine was an Indian, as defined in the </w:t>
            </w:r>
            <w:r w:rsidRPr="008D2A36">
              <w:rPr>
                <w:i/>
                <w:sz w:val="20"/>
                <w:szCs w:val="20"/>
              </w:rPr>
              <w:t>Indian Act, 1906</w:t>
            </w:r>
            <w:r w:rsidRPr="008D2A36">
              <w:rPr>
                <w:sz w:val="20"/>
                <w:szCs w:val="20"/>
              </w:rPr>
              <w:t>, when he failed to satisfy all components of the statutory definition — Whether it erred in failing to consider certain submissions made by the applicants.</w:t>
            </w:r>
          </w:p>
          <w:p w:rsidR="005C3B9D" w:rsidRPr="008D2A36" w:rsidRDefault="005C3B9D" w:rsidP="008F5FE2">
            <w:pPr>
              <w:jc w:val="both"/>
              <w:rPr>
                <w:sz w:val="20"/>
                <w:szCs w:val="20"/>
              </w:rPr>
            </w:pPr>
          </w:p>
        </w:tc>
      </w:tr>
      <w:tr w:rsidR="005C3B9D" w:rsidRPr="008D2A36" w:rsidTr="008F5FE2">
        <w:tc>
          <w:tcPr>
            <w:tcW w:w="5000" w:type="pct"/>
            <w:gridSpan w:val="3"/>
          </w:tcPr>
          <w:p w:rsidR="005C3B9D" w:rsidRPr="008D2A36" w:rsidRDefault="005C3B9D" w:rsidP="008F5FE2">
            <w:pPr>
              <w:jc w:val="both"/>
              <w:rPr>
                <w:sz w:val="20"/>
                <w:szCs w:val="20"/>
              </w:rPr>
            </w:pPr>
            <w:r w:rsidRPr="008D2A36">
              <w:rPr>
                <w:sz w:val="20"/>
                <w:szCs w:val="20"/>
              </w:rPr>
              <w:t xml:space="preserve">Beryl Tresa Jordison was added to the Indian Register and to the Wood Mountain Lakota Nation’s Band List in October 2008. Clifford and Margaret LeCaine protested the Registrar’s decision to add her to the Register pursuant to s. 14.2(1) of the </w:t>
            </w:r>
            <w:r w:rsidRPr="008D2A36">
              <w:rPr>
                <w:i/>
                <w:sz w:val="20"/>
                <w:szCs w:val="20"/>
              </w:rPr>
              <w:t>Indian Act</w:t>
            </w:r>
            <w:r w:rsidRPr="008D2A36">
              <w:rPr>
                <w:sz w:val="20"/>
                <w:szCs w:val="20"/>
              </w:rPr>
              <w:t>, R.S.C. 1985, c. I-5, arguing that Ms. Jordison was not entitled to be registered because her father, George O’Kute/LeCaine, had been enfranchised and was therefore not entitled to be registered as an Indian. George O’Kute/LeCaine had received that homestead in 1920 without going through the formal enfranchisement process.</w:t>
            </w:r>
          </w:p>
          <w:p w:rsidR="005C3B9D" w:rsidRPr="008D2A36" w:rsidRDefault="005C3B9D" w:rsidP="008F5FE2">
            <w:pPr>
              <w:jc w:val="both"/>
              <w:rPr>
                <w:sz w:val="20"/>
                <w:szCs w:val="20"/>
              </w:rPr>
            </w:pPr>
          </w:p>
          <w:p w:rsidR="005C3B9D" w:rsidRPr="008D2A36" w:rsidRDefault="005C3B9D" w:rsidP="008F5FE2">
            <w:pPr>
              <w:jc w:val="both"/>
              <w:rPr>
                <w:sz w:val="20"/>
                <w:szCs w:val="20"/>
              </w:rPr>
            </w:pPr>
            <w:r w:rsidRPr="008D2A36">
              <w:rPr>
                <w:sz w:val="20"/>
                <w:szCs w:val="20"/>
              </w:rPr>
              <w:t>The Registrar found that George was entitled to be registered, and Ms. Jordison was entitled to be an Indian under the 1985 Indian Act. He dismissed the LeCaines’ protest. The LeCaines appealed. The chambers judge and the Court of Appeal both dismissed further appeals.</w:t>
            </w:r>
          </w:p>
          <w:p w:rsidR="005C3B9D" w:rsidRPr="008D2A36" w:rsidRDefault="005C3B9D" w:rsidP="008F5FE2">
            <w:pPr>
              <w:jc w:val="both"/>
              <w:rPr>
                <w:sz w:val="20"/>
                <w:szCs w:val="20"/>
              </w:rPr>
            </w:pPr>
          </w:p>
        </w:tc>
      </w:tr>
      <w:tr w:rsidR="005C3B9D" w:rsidRPr="008D2A36" w:rsidTr="008F5FE2">
        <w:tc>
          <w:tcPr>
            <w:tcW w:w="2427" w:type="pct"/>
          </w:tcPr>
          <w:p w:rsidR="005C3B9D" w:rsidRPr="008D2A36" w:rsidRDefault="005C3B9D" w:rsidP="008F5FE2">
            <w:pPr>
              <w:jc w:val="both"/>
              <w:rPr>
                <w:sz w:val="20"/>
                <w:szCs w:val="20"/>
              </w:rPr>
            </w:pPr>
            <w:r w:rsidRPr="008D2A36">
              <w:rPr>
                <w:sz w:val="20"/>
                <w:szCs w:val="20"/>
              </w:rPr>
              <w:t>June 27, 2013</w:t>
            </w:r>
          </w:p>
          <w:p w:rsidR="005C3B9D" w:rsidRPr="008D2A36" w:rsidRDefault="005C3B9D" w:rsidP="008F5FE2">
            <w:pPr>
              <w:jc w:val="both"/>
              <w:rPr>
                <w:sz w:val="20"/>
                <w:szCs w:val="20"/>
              </w:rPr>
            </w:pPr>
            <w:r w:rsidRPr="008D2A36">
              <w:rPr>
                <w:sz w:val="20"/>
                <w:szCs w:val="20"/>
              </w:rPr>
              <w:t>Court of Queen’s Bench of Saskatchewan</w:t>
            </w:r>
          </w:p>
          <w:p w:rsidR="005C3B9D" w:rsidRPr="008D2A36" w:rsidRDefault="005C3B9D" w:rsidP="008F5FE2">
            <w:pPr>
              <w:jc w:val="both"/>
              <w:rPr>
                <w:sz w:val="20"/>
                <w:szCs w:val="20"/>
              </w:rPr>
            </w:pPr>
            <w:r w:rsidRPr="008D2A36">
              <w:rPr>
                <w:sz w:val="20"/>
                <w:szCs w:val="20"/>
              </w:rPr>
              <w:t>(Whitmore J.)</w:t>
            </w:r>
          </w:p>
          <w:p w:rsidR="005C3B9D" w:rsidRPr="008D2A36" w:rsidRDefault="00CD76E4" w:rsidP="008F5FE2">
            <w:pPr>
              <w:jc w:val="both"/>
              <w:rPr>
                <w:sz w:val="20"/>
                <w:szCs w:val="20"/>
              </w:rPr>
            </w:pPr>
            <w:hyperlink r:id="rId31" w:history="1">
              <w:r w:rsidR="005C3B9D" w:rsidRPr="008D2A36">
                <w:rPr>
                  <w:color w:val="0000FF" w:themeColor="hyperlink"/>
                  <w:sz w:val="20"/>
                  <w:szCs w:val="20"/>
                  <w:u w:val="single"/>
                </w:rPr>
                <w:t>2013 SKQB 254</w:t>
              </w:r>
            </w:hyperlink>
          </w:p>
          <w:p w:rsidR="005C3B9D" w:rsidRPr="008D2A36" w:rsidRDefault="005C3B9D" w:rsidP="008F5FE2">
            <w:pPr>
              <w:jc w:val="both"/>
              <w:rPr>
                <w:sz w:val="20"/>
                <w:szCs w:val="20"/>
              </w:rPr>
            </w:pPr>
          </w:p>
        </w:tc>
        <w:tc>
          <w:tcPr>
            <w:tcW w:w="243" w:type="pct"/>
          </w:tcPr>
          <w:p w:rsidR="005C3B9D" w:rsidRPr="008D2A36" w:rsidRDefault="005C3B9D" w:rsidP="008F5FE2">
            <w:pPr>
              <w:jc w:val="both"/>
              <w:rPr>
                <w:sz w:val="20"/>
                <w:szCs w:val="20"/>
              </w:rPr>
            </w:pPr>
          </w:p>
        </w:tc>
        <w:tc>
          <w:tcPr>
            <w:tcW w:w="2330" w:type="pct"/>
          </w:tcPr>
          <w:p w:rsidR="005C3B9D" w:rsidRPr="008D2A36" w:rsidRDefault="005C3B9D" w:rsidP="008F5FE2">
            <w:pPr>
              <w:jc w:val="both"/>
              <w:rPr>
                <w:sz w:val="20"/>
                <w:szCs w:val="20"/>
              </w:rPr>
            </w:pPr>
            <w:r w:rsidRPr="008D2A36">
              <w:rPr>
                <w:sz w:val="20"/>
                <w:szCs w:val="20"/>
              </w:rPr>
              <w:t>Appeal of Registrar’s dismissal of the applicants’ protest of the decision to add Beryl Tresa Jordison to the Indian Register dismissed</w:t>
            </w:r>
          </w:p>
        </w:tc>
      </w:tr>
      <w:tr w:rsidR="005C3B9D" w:rsidRPr="008D2A36" w:rsidTr="008F5FE2">
        <w:tc>
          <w:tcPr>
            <w:tcW w:w="2427" w:type="pct"/>
          </w:tcPr>
          <w:p w:rsidR="005C3B9D" w:rsidRPr="008D2A36" w:rsidRDefault="005C3B9D" w:rsidP="008F5FE2">
            <w:pPr>
              <w:jc w:val="both"/>
              <w:rPr>
                <w:sz w:val="20"/>
                <w:szCs w:val="20"/>
              </w:rPr>
            </w:pPr>
            <w:r w:rsidRPr="008D2A36">
              <w:rPr>
                <w:sz w:val="20"/>
                <w:szCs w:val="20"/>
              </w:rPr>
              <w:t>June 17, 2015</w:t>
            </w:r>
          </w:p>
          <w:p w:rsidR="005C3B9D" w:rsidRPr="008D2A36" w:rsidRDefault="005C3B9D" w:rsidP="008F5FE2">
            <w:pPr>
              <w:jc w:val="both"/>
              <w:rPr>
                <w:sz w:val="20"/>
                <w:szCs w:val="20"/>
              </w:rPr>
            </w:pPr>
            <w:r w:rsidRPr="008D2A36">
              <w:rPr>
                <w:sz w:val="20"/>
                <w:szCs w:val="20"/>
              </w:rPr>
              <w:t>Court of Appeal for Saskatchewan</w:t>
            </w:r>
          </w:p>
          <w:p w:rsidR="005C3B9D" w:rsidRPr="008D2A36" w:rsidRDefault="005C3B9D" w:rsidP="008F5FE2">
            <w:pPr>
              <w:jc w:val="both"/>
              <w:rPr>
                <w:sz w:val="20"/>
                <w:szCs w:val="20"/>
              </w:rPr>
            </w:pPr>
            <w:r w:rsidRPr="008D2A36">
              <w:rPr>
                <w:sz w:val="20"/>
                <w:szCs w:val="20"/>
              </w:rPr>
              <w:t>(Jackson, Klebuc, Ottenbreit JJ.A.)</w:t>
            </w:r>
          </w:p>
          <w:p w:rsidR="005C3B9D" w:rsidRPr="008D2A36" w:rsidRDefault="00CD76E4" w:rsidP="008F5FE2">
            <w:pPr>
              <w:jc w:val="both"/>
              <w:rPr>
                <w:sz w:val="20"/>
                <w:szCs w:val="20"/>
              </w:rPr>
            </w:pPr>
            <w:hyperlink r:id="rId32" w:history="1">
              <w:r w:rsidR="005C3B9D" w:rsidRPr="008D2A36">
                <w:rPr>
                  <w:color w:val="0000FF" w:themeColor="hyperlink"/>
                  <w:sz w:val="20"/>
                  <w:szCs w:val="20"/>
                  <w:u w:val="single"/>
                </w:rPr>
                <w:t>2015 SKCA 4</w:t>
              </w:r>
            </w:hyperlink>
            <w:r w:rsidR="005C3B9D" w:rsidRPr="008D2A36">
              <w:rPr>
                <w:color w:val="0000FF" w:themeColor="hyperlink"/>
                <w:sz w:val="20"/>
                <w:szCs w:val="20"/>
                <w:u w:val="single"/>
              </w:rPr>
              <w:t>2</w:t>
            </w:r>
          </w:p>
          <w:p w:rsidR="005C3B9D" w:rsidRPr="008D2A36" w:rsidRDefault="005C3B9D" w:rsidP="008F5FE2">
            <w:pPr>
              <w:jc w:val="both"/>
              <w:rPr>
                <w:sz w:val="20"/>
                <w:szCs w:val="20"/>
              </w:rPr>
            </w:pPr>
          </w:p>
        </w:tc>
        <w:tc>
          <w:tcPr>
            <w:tcW w:w="243" w:type="pct"/>
          </w:tcPr>
          <w:p w:rsidR="005C3B9D" w:rsidRPr="008D2A36" w:rsidRDefault="005C3B9D" w:rsidP="008F5FE2">
            <w:pPr>
              <w:jc w:val="both"/>
              <w:rPr>
                <w:sz w:val="20"/>
                <w:szCs w:val="20"/>
              </w:rPr>
            </w:pPr>
          </w:p>
        </w:tc>
        <w:tc>
          <w:tcPr>
            <w:tcW w:w="2330" w:type="pct"/>
          </w:tcPr>
          <w:p w:rsidR="005C3B9D" w:rsidRPr="008D2A36" w:rsidRDefault="005C3B9D" w:rsidP="008F5FE2">
            <w:pPr>
              <w:jc w:val="both"/>
              <w:rPr>
                <w:sz w:val="20"/>
                <w:szCs w:val="20"/>
              </w:rPr>
            </w:pPr>
            <w:r w:rsidRPr="008D2A36">
              <w:rPr>
                <w:sz w:val="20"/>
                <w:szCs w:val="20"/>
              </w:rPr>
              <w:t>Appeal dismissed</w:t>
            </w:r>
          </w:p>
          <w:p w:rsidR="005C3B9D" w:rsidRPr="008D2A36" w:rsidRDefault="005C3B9D" w:rsidP="008F5FE2">
            <w:pPr>
              <w:jc w:val="both"/>
              <w:rPr>
                <w:sz w:val="20"/>
                <w:szCs w:val="20"/>
              </w:rPr>
            </w:pPr>
          </w:p>
        </w:tc>
      </w:tr>
      <w:tr w:rsidR="005C3B9D" w:rsidRPr="008D2A36" w:rsidTr="008F5FE2">
        <w:tc>
          <w:tcPr>
            <w:tcW w:w="2427" w:type="pct"/>
          </w:tcPr>
          <w:p w:rsidR="005C3B9D" w:rsidRPr="008D2A36" w:rsidRDefault="005C3B9D" w:rsidP="008F5FE2">
            <w:pPr>
              <w:jc w:val="both"/>
              <w:rPr>
                <w:sz w:val="20"/>
                <w:szCs w:val="20"/>
              </w:rPr>
            </w:pPr>
            <w:r w:rsidRPr="008D2A36">
              <w:rPr>
                <w:sz w:val="20"/>
                <w:szCs w:val="20"/>
              </w:rPr>
              <w:t>June 25, 2015</w:t>
            </w:r>
          </w:p>
          <w:p w:rsidR="005C3B9D" w:rsidRPr="008D2A36" w:rsidRDefault="005C3B9D" w:rsidP="008F5FE2">
            <w:pPr>
              <w:jc w:val="both"/>
              <w:rPr>
                <w:sz w:val="20"/>
                <w:szCs w:val="20"/>
              </w:rPr>
            </w:pPr>
            <w:r w:rsidRPr="008D2A36">
              <w:rPr>
                <w:sz w:val="20"/>
                <w:szCs w:val="20"/>
              </w:rPr>
              <w:t>Supreme Court of Canada</w:t>
            </w:r>
          </w:p>
        </w:tc>
        <w:tc>
          <w:tcPr>
            <w:tcW w:w="243" w:type="pct"/>
          </w:tcPr>
          <w:p w:rsidR="005C3B9D" w:rsidRPr="008D2A36" w:rsidRDefault="005C3B9D" w:rsidP="008F5FE2">
            <w:pPr>
              <w:jc w:val="both"/>
              <w:rPr>
                <w:sz w:val="20"/>
                <w:szCs w:val="20"/>
              </w:rPr>
            </w:pPr>
          </w:p>
        </w:tc>
        <w:tc>
          <w:tcPr>
            <w:tcW w:w="2330" w:type="pct"/>
          </w:tcPr>
          <w:p w:rsidR="005C3B9D" w:rsidRPr="008D2A36" w:rsidRDefault="005C3B9D" w:rsidP="008F5FE2">
            <w:pPr>
              <w:jc w:val="both"/>
              <w:rPr>
                <w:sz w:val="20"/>
                <w:szCs w:val="20"/>
              </w:rPr>
            </w:pPr>
            <w:r w:rsidRPr="008D2A36">
              <w:rPr>
                <w:sz w:val="20"/>
                <w:szCs w:val="20"/>
              </w:rPr>
              <w:t>Application for leave to appeal filed</w:t>
            </w:r>
          </w:p>
          <w:p w:rsidR="005C3B9D" w:rsidRPr="008D2A36" w:rsidRDefault="005C3B9D" w:rsidP="008F5FE2">
            <w:pPr>
              <w:jc w:val="both"/>
              <w:rPr>
                <w:sz w:val="20"/>
                <w:szCs w:val="20"/>
              </w:rPr>
            </w:pPr>
          </w:p>
        </w:tc>
      </w:tr>
    </w:tbl>
    <w:p w:rsidR="005C3B9D" w:rsidRPr="008D2A36" w:rsidRDefault="005C3B9D" w:rsidP="005C3B9D">
      <w:pPr>
        <w:rPr>
          <w:sz w:val="20"/>
          <w:szCs w:val="20"/>
        </w:rPr>
      </w:pPr>
    </w:p>
    <w:p w:rsidR="005C3B9D" w:rsidRPr="00C50A5C" w:rsidRDefault="00CD76E4" w:rsidP="005C3B9D">
      <w:pPr>
        <w:rPr>
          <w:sz w:val="20"/>
          <w:szCs w:val="20"/>
        </w:rPr>
      </w:pPr>
      <w:r>
        <w:rPr>
          <w:sz w:val="20"/>
          <w:szCs w:val="20"/>
          <w:lang w:val="fr-CA"/>
        </w:rPr>
        <w:pict>
          <v:rect id="_x0000_i1040"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Pr="00CC0E3E"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CC0E3E">
              <w:rPr>
                <w:sz w:val="20"/>
                <w:szCs w:val="20"/>
                <w:lang w:val="fr-CA"/>
              </w:rPr>
              <w:t xml:space="preserve">Droit des autochtones — Registre des Indiens — Membres inscrits au registre des Indiens — Émancipation des Indiens — La Cour d’appel de la Saskatchewan a-t-elle commis une erreur de droit en concluant que la définition donnée par une disposition législative ne porte pas atteinte à des droits substantiels? — A-t-elle commis une erreur de droit en statuant que l’émancipation ne pouvait avoir lieu qu’au moyen de la procédure énoncée à la partie I de la </w:t>
            </w:r>
            <w:r w:rsidRPr="00CC0E3E">
              <w:rPr>
                <w:i/>
                <w:sz w:val="20"/>
                <w:szCs w:val="20"/>
                <w:lang w:val="fr-CA"/>
              </w:rPr>
              <w:t>Loi des sauvages</w:t>
            </w:r>
            <w:r w:rsidRPr="00CC0E3E">
              <w:rPr>
                <w:sz w:val="20"/>
                <w:szCs w:val="20"/>
                <w:lang w:val="fr-CA"/>
              </w:rPr>
              <w:t xml:space="preserve"> de 1906,</w:t>
            </w:r>
            <w:r w:rsidRPr="00CC0E3E">
              <w:rPr>
                <w:i/>
                <w:sz w:val="20"/>
                <w:szCs w:val="20"/>
                <w:lang w:val="fr-CA"/>
              </w:rPr>
              <w:t xml:space="preserve"> </w:t>
            </w:r>
            <w:r w:rsidRPr="00CC0E3E">
              <w:rPr>
                <w:sz w:val="20"/>
                <w:szCs w:val="20"/>
                <w:lang w:val="fr-CA"/>
              </w:rPr>
              <w:t xml:space="preserve">S.R.C. 1906, c. 81, et que les Indiens de la Saskatchewan ne pouvaient s’émanciper? — A-t-elle commis une erreur de fait et de droit en concluant que George O’Kute/LeCaine était un sauvage (maintenant appelé « Indien ») au sens de la </w:t>
            </w:r>
            <w:r w:rsidRPr="00CC0E3E">
              <w:rPr>
                <w:i/>
                <w:sz w:val="20"/>
                <w:szCs w:val="20"/>
                <w:lang w:val="fr-CA"/>
              </w:rPr>
              <w:t>Loi des sauvages</w:t>
            </w:r>
            <w:r w:rsidRPr="00CC0E3E">
              <w:rPr>
                <w:sz w:val="20"/>
                <w:szCs w:val="20"/>
                <w:lang w:val="fr-CA"/>
              </w:rPr>
              <w:t xml:space="preserve"> de 1906, alors qu’il ne satisfaisait pas à tous les éléments de la définition prévue par la loi? — A-t-elle commis une erreur en ne prenant pas en considération certaines observations présentées par les demandeurs?</w:t>
            </w:r>
          </w:p>
          <w:p w:rsidR="005C3B9D" w:rsidRPr="00CC0E3E" w:rsidRDefault="005C3B9D" w:rsidP="008F5FE2">
            <w:pPr>
              <w:jc w:val="both"/>
              <w:rPr>
                <w:sz w:val="20"/>
                <w:szCs w:val="20"/>
                <w:lang w:val="fr-CA"/>
              </w:rPr>
            </w:pPr>
          </w:p>
        </w:tc>
      </w:tr>
      <w:tr w:rsidR="005C3B9D" w:rsidRPr="00B26F8D" w:rsidTr="008F5FE2">
        <w:tc>
          <w:tcPr>
            <w:tcW w:w="5000" w:type="pct"/>
            <w:gridSpan w:val="3"/>
          </w:tcPr>
          <w:p w:rsidR="005C3B9D" w:rsidRPr="00CC0E3E" w:rsidRDefault="005C3B9D" w:rsidP="008F5FE2">
            <w:pPr>
              <w:jc w:val="both"/>
              <w:rPr>
                <w:sz w:val="20"/>
                <w:szCs w:val="20"/>
                <w:lang w:val="fr-CA"/>
              </w:rPr>
            </w:pPr>
            <w:proofErr w:type="spellStart"/>
            <w:r w:rsidRPr="00CC0E3E">
              <w:rPr>
                <w:sz w:val="20"/>
                <w:szCs w:val="20"/>
                <w:lang w:val="fr-CA"/>
              </w:rPr>
              <w:t>Beryl</w:t>
            </w:r>
            <w:proofErr w:type="spellEnd"/>
            <w:r w:rsidRPr="00CC0E3E">
              <w:rPr>
                <w:sz w:val="20"/>
                <w:szCs w:val="20"/>
                <w:lang w:val="fr-CA"/>
              </w:rPr>
              <w:t xml:space="preserve"> </w:t>
            </w:r>
            <w:proofErr w:type="spellStart"/>
            <w:r w:rsidRPr="00CC0E3E">
              <w:rPr>
                <w:sz w:val="20"/>
                <w:szCs w:val="20"/>
                <w:lang w:val="fr-CA"/>
              </w:rPr>
              <w:t>Tresa</w:t>
            </w:r>
            <w:proofErr w:type="spellEnd"/>
            <w:r w:rsidRPr="00CC0E3E">
              <w:rPr>
                <w:sz w:val="20"/>
                <w:szCs w:val="20"/>
                <w:lang w:val="fr-CA"/>
              </w:rPr>
              <w:t xml:space="preserve"> </w:t>
            </w:r>
            <w:proofErr w:type="spellStart"/>
            <w:r w:rsidRPr="00CC0E3E">
              <w:rPr>
                <w:sz w:val="20"/>
                <w:szCs w:val="20"/>
                <w:lang w:val="fr-CA"/>
              </w:rPr>
              <w:t>Jordison</w:t>
            </w:r>
            <w:proofErr w:type="spellEnd"/>
            <w:r w:rsidRPr="00CC0E3E">
              <w:rPr>
                <w:sz w:val="20"/>
                <w:szCs w:val="20"/>
                <w:lang w:val="fr-CA"/>
              </w:rPr>
              <w:t xml:space="preserve"> a été ajoutée au registre des Indiens ainsi qu’à la liste de bande de la nation Wood Mountain Lakota en octobre 2008. Conformément au par. 14.2(1) de la </w:t>
            </w:r>
            <w:r w:rsidRPr="00CC0E3E">
              <w:rPr>
                <w:i/>
                <w:sz w:val="20"/>
                <w:szCs w:val="20"/>
                <w:lang w:val="fr-CA"/>
              </w:rPr>
              <w:t>Loi sur les Indiens</w:t>
            </w:r>
            <w:r w:rsidRPr="00CC0E3E">
              <w:rPr>
                <w:sz w:val="20"/>
                <w:szCs w:val="20"/>
                <w:lang w:val="fr-CA"/>
              </w:rPr>
              <w:t xml:space="preserve">, L.R.C. 1985, c. I-5, Clifford et Margaret LeCaine ont formulé une protestation contre la décision du registraire d’ajouter Mme Jordison au registre, soutenant que celle-ci n’avait pas droit d’être inscrite comme Indien au motif que son père, George O’Kute/LeCaine, s’était émancipé </w:t>
            </w:r>
            <w:r w:rsidRPr="00CC0E3E">
              <w:rPr>
                <w:sz w:val="20"/>
                <w:szCs w:val="20"/>
                <w:lang w:val="fr-CA"/>
              </w:rPr>
              <w:lastRenderedPageBreak/>
              <w:t>et n’avait donc pas droit à l’inscription. George O’Kute/LeCaine a reçu son homestead en 1920 sans passer par le processus formel d’émancipation.</w:t>
            </w:r>
          </w:p>
          <w:p w:rsidR="005C3B9D" w:rsidRPr="00CC0E3E" w:rsidRDefault="005C3B9D" w:rsidP="008F5FE2">
            <w:pPr>
              <w:jc w:val="both"/>
              <w:rPr>
                <w:sz w:val="20"/>
                <w:szCs w:val="20"/>
                <w:lang w:val="fr-CA"/>
              </w:rPr>
            </w:pPr>
          </w:p>
          <w:p w:rsidR="005C3B9D" w:rsidRPr="00CC0E3E" w:rsidRDefault="005C3B9D" w:rsidP="008F5FE2">
            <w:pPr>
              <w:jc w:val="both"/>
              <w:rPr>
                <w:sz w:val="20"/>
                <w:szCs w:val="20"/>
                <w:lang w:val="fr-CA"/>
              </w:rPr>
            </w:pPr>
            <w:r w:rsidRPr="00CC0E3E">
              <w:rPr>
                <w:sz w:val="20"/>
                <w:szCs w:val="20"/>
                <w:lang w:val="fr-CA"/>
              </w:rPr>
              <w:t xml:space="preserve">Le registraire a conclu que George avait droit à l’inscription et que Mme Jordison avait le droit au statut d’Indien en application de la </w:t>
            </w:r>
            <w:r w:rsidRPr="00CC0E3E">
              <w:rPr>
                <w:i/>
                <w:sz w:val="20"/>
                <w:szCs w:val="20"/>
                <w:lang w:val="fr-CA"/>
              </w:rPr>
              <w:t>Loi sur les Indiens</w:t>
            </w:r>
            <w:r w:rsidRPr="00CC0E3E">
              <w:rPr>
                <w:sz w:val="20"/>
                <w:szCs w:val="20"/>
                <w:lang w:val="fr-CA"/>
              </w:rPr>
              <w:t xml:space="preserve"> de 1985. Il a rejeté la protestation des LeCaines. Ces derniers ont interjeté appel. Le juge siégeant en son cabinet et la Cour d’appel ont tous deux rejeté les appels.</w:t>
            </w:r>
          </w:p>
          <w:p w:rsidR="005C3B9D" w:rsidRPr="00CC0E3E" w:rsidRDefault="005C3B9D" w:rsidP="008F5FE2">
            <w:pPr>
              <w:jc w:val="both"/>
              <w:rPr>
                <w:sz w:val="20"/>
                <w:szCs w:val="20"/>
                <w:lang w:val="fr-CA"/>
              </w:rPr>
            </w:pPr>
          </w:p>
        </w:tc>
      </w:tr>
      <w:tr w:rsidR="005C3B9D" w:rsidRPr="00B26F8D" w:rsidTr="008F5FE2">
        <w:tc>
          <w:tcPr>
            <w:tcW w:w="2427" w:type="pct"/>
          </w:tcPr>
          <w:p w:rsidR="005C3B9D" w:rsidRPr="00CC0E3E" w:rsidRDefault="005C3B9D" w:rsidP="008F5FE2">
            <w:pPr>
              <w:jc w:val="both"/>
              <w:rPr>
                <w:sz w:val="20"/>
                <w:szCs w:val="20"/>
                <w:lang w:val="fr-CA"/>
              </w:rPr>
            </w:pPr>
            <w:r w:rsidRPr="00CC0E3E">
              <w:rPr>
                <w:sz w:val="20"/>
                <w:szCs w:val="20"/>
                <w:lang w:val="fr-CA"/>
              </w:rPr>
              <w:lastRenderedPageBreak/>
              <w:t>27 juin 2013</w:t>
            </w:r>
          </w:p>
          <w:p w:rsidR="005C3B9D" w:rsidRPr="00CC0E3E" w:rsidRDefault="005C3B9D" w:rsidP="008F5FE2">
            <w:pPr>
              <w:jc w:val="both"/>
              <w:rPr>
                <w:sz w:val="20"/>
                <w:szCs w:val="20"/>
                <w:lang w:val="fr-CA"/>
              </w:rPr>
            </w:pPr>
            <w:r w:rsidRPr="00CC0E3E">
              <w:rPr>
                <w:sz w:val="20"/>
                <w:szCs w:val="20"/>
                <w:lang w:val="fr-CA"/>
              </w:rPr>
              <w:t>Cour du Banc de la Reine de la Saskatchewan</w:t>
            </w:r>
          </w:p>
          <w:p w:rsidR="005C3B9D" w:rsidRPr="00CC0E3E" w:rsidRDefault="005C3B9D" w:rsidP="008F5FE2">
            <w:pPr>
              <w:jc w:val="both"/>
              <w:rPr>
                <w:sz w:val="20"/>
                <w:szCs w:val="20"/>
                <w:lang w:val="en-US"/>
              </w:rPr>
            </w:pPr>
            <w:r w:rsidRPr="00CC0E3E">
              <w:rPr>
                <w:sz w:val="20"/>
                <w:szCs w:val="20"/>
                <w:lang w:val="en-US"/>
              </w:rPr>
              <w:t>(Juge Whitmore)</w:t>
            </w:r>
          </w:p>
          <w:p w:rsidR="005C3B9D" w:rsidRPr="00CC0E3E" w:rsidRDefault="00CD76E4" w:rsidP="008F5FE2">
            <w:pPr>
              <w:jc w:val="both"/>
              <w:rPr>
                <w:sz w:val="20"/>
                <w:szCs w:val="20"/>
                <w:lang w:val="fr-CA"/>
              </w:rPr>
            </w:pPr>
            <w:hyperlink r:id="rId33" w:history="1">
              <w:r w:rsidR="005C3B9D" w:rsidRPr="00CC0E3E">
                <w:rPr>
                  <w:color w:val="0000FF" w:themeColor="hyperlink"/>
                  <w:sz w:val="20"/>
                  <w:szCs w:val="20"/>
                  <w:u w:val="single"/>
                  <w:lang w:val="fr-CA"/>
                </w:rPr>
                <w:t>2013 SKQB 254</w:t>
              </w:r>
            </w:hyperlink>
          </w:p>
          <w:p w:rsidR="005C3B9D" w:rsidRPr="00CC0E3E" w:rsidRDefault="005C3B9D" w:rsidP="008F5FE2">
            <w:pPr>
              <w:jc w:val="both"/>
              <w:rPr>
                <w:sz w:val="20"/>
                <w:szCs w:val="20"/>
                <w:lang w:val="fr-CA"/>
              </w:rPr>
            </w:pPr>
          </w:p>
        </w:tc>
        <w:tc>
          <w:tcPr>
            <w:tcW w:w="243" w:type="pct"/>
          </w:tcPr>
          <w:p w:rsidR="005C3B9D" w:rsidRPr="00CC0E3E" w:rsidRDefault="005C3B9D" w:rsidP="008F5FE2">
            <w:pPr>
              <w:jc w:val="both"/>
              <w:rPr>
                <w:sz w:val="20"/>
                <w:szCs w:val="20"/>
                <w:lang w:val="fr-CA"/>
              </w:rPr>
            </w:pPr>
          </w:p>
        </w:tc>
        <w:tc>
          <w:tcPr>
            <w:tcW w:w="2330" w:type="pct"/>
          </w:tcPr>
          <w:p w:rsidR="005C3B9D" w:rsidRPr="00CC0E3E" w:rsidRDefault="005C3B9D" w:rsidP="008F5FE2">
            <w:pPr>
              <w:jc w:val="both"/>
              <w:rPr>
                <w:sz w:val="20"/>
                <w:szCs w:val="20"/>
                <w:lang w:val="fr-CA"/>
              </w:rPr>
            </w:pPr>
            <w:r w:rsidRPr="00CC0E3E">
              <w:rPr>
                <w:sz w:val="20"/>
                <w:szCs w:val="20"/>
                <w:lang w:val="fr-CA"/>
              </w:rPr>
              <w:t>Rejet de l’appel interjeté contre la décision du registraire de rejeter la protestation formulée par les demandeurs contre la décision d’ajouter Beryl Tresa Jordison au registre des Indiens</w:t>
            </w:r>
          </w:p>
          <w:p w:rsidR="005C3B9D" w:rsidRPr="00CC0E3E" w:rsidRDefault="005C3B9D" w:rsidP="008F5FE2">
            <w:pPr>
              <w:jc w:val="both"/>
              <w:rPr>
                <w:sz w:val="20"/>
                <w:szCs w:val="20"/>
                <w:lang w:val="fr-CA"/>
              </w:rPr>
            </w:pPr>
          </w:p>
        </w:tc>
      </w:tr>
      <w:tr w:rsidR="005C3B9D" w:rsidRPr="00CC0E3E" w:rsidTr="008F5FE2">
        <w:tc>
          <w:tcPr>
            <w:tcW w:w="2427" w:type="pct"/>
          </w:tcPr>
          <w:p w:rsidR="005C3B9D" w:rsidRPr="00CC0E3E" w:rsidRDefault="005C3B9D" w:rsidP="008F5FE2">
            <w:pPr>
              <w:jc w:val="both"/>
              <w:rPr>
                <w:sz w:val="20"/>
                <w:szCs w:val="20"/>
                <w:lang w:val="fr-CA"/>
              </w:rPr>
            </w:pPr>
            <w:r w:rsidRPr="00CC0E3E">
              <w:rPr>
                <w:sz w:val="20"/>
                <w:szCs w:val="20"/>
                <w:lang w:val="fr-CA"/>
              </w:rPr>
              <w:t>17 juin 2015</w:t>
            </w:r>
          </w:p>
          <w:p w:rsidR="005C3B9D" w:rsidRPr="00CC0E3E" w:rsidRDefault="005C3B9D" w:rsidP="008F5FE2">
            <w:pPr>
              <w:jc w:val="both"/>
              <w:rPr>
                <w:sz w:val="20"/>
                <w:szCs w:val="20"/>
                <w:lang w:val="fr-CA"/>
              </w:rPr>
            </w:pPr>
            <w:r w:rsidRPr="00CC0E3E">
              <w:rPr>
                <w:sz w:val="20"/>
                <w:szCs w:val="20"/>
                <w:lang w:val="fr-CA"/>
              </w:rPr>
              <w:t>Cour d’appel de la Saskatchewan</w:t>
            </w:r>
          </w:p>
          <w:p w:rsidR="005C3B9D" w:rsidRPr="00CC0E3E" w:rsidRDefault="005C3B9D" w:rsidP="008F5FE2">
            <w:pPr>
              <w:jc w:val="both"/>
              <w:rPr>
                <w:sz w:val="20"/>
                <w:szCs w:val="20"/>
                <w:lang w:val="fr-CA"/>
              </w:rPr>
            </w:pPr>
            <w:r w:rsidRPr="00CC0E3E">
              <w:rPr>
                <w:sz w:val="20"/>
                <w:szCs w:val="20"/>
                <w:lang w:val="fr-CA"/>
              </w:rPr>
              <w:t>(Juges Jackson, Klebuc et Ottenbreit)</w:t>
            </w:r>
          </w:p>
          <w:p w:rsidR="005C3B9D" w:rsidRPr="00CC0E3E" w:rsidRDefault="00CD76E4" w:rsidP="008F5FE2">
            <w:pPr>
              <w:jc w:val="both"/>
              <w:rPr>
                <w:sz w:val="20"/>
                <w:szCs w:val="20"/>
                <w:lang w:val="fr-CA"/>
              </w:rPr>
            </w:pPr>
            <w:hyperlink r:id="rId34" w:history="1">
              <w:r w:rsidR="005C3B9D" w:rsidRPr="00CC0E3E">
                <w:rPr>
                  <w:color w:val="0000FF" w:themeColor="hyperlink"/>
                  <w:sz w:val="20"/>
                  <w:szCs w:val="20"/>
                  <w:u w:val="single"/>
                  <w:lang w:val="fr-CA"/>
                </w:rPr>
                <w:t>2015 SKCA 4</w:t>
              </w:r>
            </w:hyperlink>
            <w:r w:rsidR="005C3B9D" w:rsidRPr="00CC0E3E">
              <w:rPr>
                <w:color w:val="0000FF" w:themeColor="hyperlink"/>
                <w:sz w:val="20"/>
                <w:szCs w:val="20"/>
                <w:u w:val="single"/>
                <w:lang w:val="fr-CA"/>
              </w:rPr>
              <w:t>2</w:t>
            </w:r>
          </w:p>
          <w:p w:rsidR="005C3B9D" w:rsidRPr="00CC0E3E" w:rsidRDefault="005C3B9D" w:rsidP="008F5FE2">
            <w:pPr>
              <w:jc w:val="both"/>
              <w:rPr>
                <w:sz w:val="20"/>
                <w:szCs w:val="20"/>
                <w:lang w:val="fr-CA"/>
              </w:rPr>
            </w:pPr>
          </w:p>
        </w:tc>
        <w:tc>
          <w:tcPr>
            <w:tcW w:w="243" w:type="pct"/>
          </w:tcPr>
          <w:p w:rsidR="005C3B9D" w:rsidRPr="00CC0E3E" w:rsidRDefault="005C3B9D" w:rsidP="008F5FE2">
            <w:pPr>
              <w:jc w:val="both"/>
              <w:rPr>
                <w:sz w:val="20"/>
                <w:szCs w:val="20"/>
                <w:lang w:val="fr-CA"/>
              </w:rPr>
            </w:pPr>
          </w:p>
        </w:tc>
        <w:tc>
          <w:tcPr>
            <w:tcW w:w="2330" w:type="pct"/>
          </w:tcPr>
          <w:p w:rsidR="005C3B9D" w:rsidRPr="00CC0E3E" w:rsidRDefault="005C3B9D" w:rsidP="008F5FE2">
            <w:pPr>
              <w:jc w:val="both"/>
              <w:rPr>
                <w:sz w:val="20"/>
                <w:szCs w:val="20"/>
                <w:lang w:val="fr-CA"/>
              </w:rPr>
            </w:pPr>
            <w:r w:rsidRPr="00CC0E3E">
              <w:rPr>
                <w:sz w:val="20"/>
                <w:szCs w:val="20"/>
                <w:lang w:val="fr-CA"/>
              </w:rPr>
              <w:t>Rejet de l’appel</w:t>
            </w:r>
          </w:p>
          <w:p w:rsidR="005C3B9D" w:rsidRPr="00CC0E3E" w:rsidRDefault="005C3B9D" w:rsidP="008F5FE2">
            <w:pPr>
              <w:jc w:val="both"/>
              <w:rPr>
                <w:sz w:val="20"/>
                <w:szCs w:val="20"/>
                <w:lang w:val="fr-CA"/>
              </w:rPr>
            </w:pPr>
          </w:p>
        </w:tc>
      </w:tr>
      <w:tr w:rsidR="005C3B9D" w:rsidRPr="00B26F8D" w:rsidTr="008F5FE2">
        <w:tc>
          <w:tcPr>
            <w:tcW w:w="2427" w:type="pct"/>
          </w:tcPr>
          <w:p w:rsidR="005C3B9D" w:rsidRPr="00CC0E3E" w:rsidRDefault="005C3B9D" w:rsidP="008F5FE2">
            <w:pPr>
              <w:jc w:val="both"/>
              <w:rPr>
                <w:sz w:val="20"/>
                <w:szCs w:val="20"/>
                <w:lang w:val="fr-CA"/>
              </w:rPr>
            </w:pPr>
            <w:r w:rsidRPr="00CC0E3E">
              <w:rPr>
                <w:sz w:val="20"/>
                <w:szCs w:val="20"/>
                <w:lang w:val="fr-CA"/>
              </w:rPr>
              <w:t>25 juin 2015</w:t>
            </w:r>
          </w:p>
          <w:p w:rsidR="005C3B9D" w:rsidRPr="00CC0E3E" w:rsidRDefault="005C3B9D" w:rsidP="008F5FE2">
            <w:pPr>
              <w:jc w:val="both"/>
              <w:rPr>
                <w:sz w:val="20"/>
                <w:szCs w:val="20"/>
                <w:lang w:val="fr-CA"/>
              </w:rPr>
            </w:pPr>
            <w:r w:rsidRPr="00CC0E3E">
              <w:rPr>
                <w:sz w:val="20"/>
                <w:szCs w:val="20"/>
                <w:lang w:val="fr-CA"/>
              </w:rPr>
              <w:t>Cour suprême du Canada</w:t>
            </w:r>
          </w:p>
        </w:tc>
        <w:tc>
          <w:tcPr>
            <w:tcW w:w="243" w:type="pct"/>
          </w:tcPr>
          <w:p w:rsidR="005C3B9D" w:rsidRPr="00CC0E3E" w:rsidRDefault="005C3B9D" w:rsidP="008F5FE2">
            <w:pPr>
              <w:jc w:val="both"/>
              <w:rPr>
                <w:sz w:val="20"/>
                <w:szCs w:val="20"/>
                <w:lang w:val="fr-CA"/>
              </w:rPr>
            </w:pPr>
          </w:p>
        </w:tc>
        <w:tc>
          <w:tcPr>
            <w:tcW w:w="2330" w:type="pct"/>
          </w:tcPr>
          <w:p w:rsidR="005C3B9D" w:rsidRPr="00CC0E3E" w:rsidRDefault="005C3B9D" w:rsidP="008F5FE2">
            <w:pPr>
              <w:jc w:val="both"/>
              <w:rPr>
                <w:sz w:val="20"/>
                <w:szCs w:val="20"/>
                <w:lang w:val="fr-CA"/>
              </w:rPr>
            </w:pPr>
            <w:r w:rsidRPr="00CC0E3E">
              <w:rPr>
                <w:sz w:val="20"/>
                <w:szCs w:val="20"/>
                <w:lang w:val="fr-CA"/>
              </w:rPr>
              <w:t>Dépôt de la demande d’autorisation d’appel</w:t>
            </w:r>
          </w:p>
          <w:p w:rsidR="005C3B9D" w:rsidRPr="00CC0E3E" w:rsidRDefault="005C3B9D" w:rsidP="008F5FE2">
            <w:pPr>
              <w:jc w:val="both"/>
              <w:rPr>
                <w:sz w:val="20"/>
                <w:szCs w:val="20"/>
                <w:lang w:val="fr-CA"/>
              </w:rPr>
            </w:pP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41"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A73D2C" w:rsidRDefault="005C3B9D" w:rsidP="008F5FE2">
            <w:pPr>
              <w:rPr>
                <w:sz w:val="20"/>
                <w:szCs w:val="20"/>
              </w:rPr>
            </w:pPr>
            <w:r w:rsidRPr="00A73D2C">
              <w:rPr>
                <w:rStyle w:val="SCCFileNumberChar"/>
                <w:sz w:val="20"/>
                <w:szCs w:val="20"/>
              </w:rPr>
              <w:t>3</w:t>
            </w:r>
            <w:r>
              <w:rPr>
                <w:rStyle w:val="SCCFileNumberChar"/>
                <w:sz w:val="20"/>
                <w:szCs w:val="20"/>
              </w:rPr>
              <w:t>6</w:t>
            </w:r>
            <w:r w:rsidRPr="00A73D2C">
              <w:rPr>
                <w:rStyle w:val="SCCFileNumberChar"/>
                <w:sz w:val="20"/>
                <w:szCs w:val="20"/>
              </w:rPr>
              <w:t>5</w:t>
            </w:r>
            <w:r>
              <w:rPr>
                <w:rStyle w:val="SCCFileNumberChar"/>
                <w:sz w:val="20"/>
                <w:szCs w:val="20"/>
              </w:rPr>
              <w:t>03</w:t>
            </w:r>
          </w:p>
          <w:p w:rsidR="005C3B9D" w:rsidRPr="00A73D2C"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Clifford LeCaine</w:t>
            </w:r>
            <w:r>
              <w:rPr>
                <w:b/>
                <w:sz w:val="20"/>
                <w:szCs w:val="24"/>
                <w:u w:val="single"/>
                <w:lang w:val="en-US"/>
              </w:rPr>
              <w:t xml:space="preserve"> and</w:t>
            </w:r>
            <w:r w:rsidRPr="0041388B">
              <w:rPr>
                <w:b/>
                <w:sz w:val="20"/>
                <w:szCs w:val="24"/>
                <w:u w:val="single"/>
                <w:lang w:val="en-US"/>
              </w:rPr>
              <w:t xml:space="preserve"> Margaret LeCaine v. Registrar of Indian and Northern Affairs, David Michael Ogle, Patricia Lynn Ogle Gendre, Judy Theresa Ogle Helland, Jimmie Luther Ogle, William Hall Ogle, Brian James Ogle, Travis Sophie Ogle, Robin Wanda Ogle Fehr, Alice Agnes Ogle and Everett Leroy Ogle</w:t>
            </w:r>
            <w:r w:rsidRPr="0041388B">
              <w:rPr>
                <w:sz w:val="20"/>
                <w:szCs w:val="24"/>
              </w:rPr>
              <w:t xml:space="preserve"> (Sask.) (Civil) (By Leave)</w:t>
            </w:r>
          </w:p>
          <w:p w:rsidR="005C3B9D" w:rsidRPr="00A73D2C"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and Côté</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Court of Appeal for Saskatchewan, Number CACV2448, 2015 SKCA 43, dated April 27, 2015, is dismissed with costs.</w:t>
            </w:r>
          </w:p>
          <w:p w:rsidR="005C3B9D" w:rsidRDefault="005C3B9D" w:rsidP="008F5FE2">
            <w:pPr>
              <w:pStyle w:val="SCCShortJudgment"/>
              <w:ind w:firstLine="0"/>
            </w:pPr>
          </w:p>
          <w:p w:rsidR="005C3B9D" w:rsidRPr="0041388B" w:rsidRDefault="005C3B9D" w:rsidP="008F5FE2">
            <w:pPr>
              <w:pStyle w:val="SCCShortJudgment"/>
              <w:rPr>
                <w:lang w:val="fr-CA"/>
              </w:rPr>
            </w:pPr>
            <w:r w:rsidRPr="0041388B">
              <w:rPr>
                <w:lang w:val="fr-CA"/>
              </w:rPr>
              <w:t>La demande d’autorisation d’appel de l’arrêt de la Cour d’appel de la Saskatchewan, numéro CACV2448, 2015 SKCA 43, daté du  27 avril  2015, est rejetée avec dépens.</w:t>
            </w:r>
          </w:p>
        </w:tc>
      </w:tr>
    </w:tbl>
    <w:p w:rsidR="005C3B9D" w:rsidRPr="0016547E" w:rsidRDefault="005C3B9D" w:rsidP="005C3B9D">
      <w:pPr>
        <w:rPr>
          <w:sz w:val="20"/>
          <w:szCs w:val="20"/>
          <w:lang w:val="fr-CA"/>
        </w:rPr>
      </w:pPr>
    </w:p>
    <w:p w:rsidR="005C3B9D" w:rsidRPr="00A73F00" w:rsidRDefault="005C3B9D" w:rsidP="005C3B9D">
      <w:pPr>
        <w:rPr>
          <w:sz w:val="20"/>
          <w:szCs w:val="20"/>
          <w:u w:val="single"/>
        </w:rPr>
      </w:pPr>
      <w:r w:rsidRPr="00A73F00">
        <w:rPr>
          <w:sz w:val="20"/>
          <w:szCs w:val="20"/>
          <w:u w:val="single"/>
        </w:rPr>
        <w:t>CASE SUMMARY</w:t>
      </w:r>
    </w:p>
    <w:p w:rsidR="005C3B9D" w:rsidRPr="00A73F00"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A73F00" w:rsidTr="008F5FE2">
        <w:tc>
          <w:tcPr>
            <w:tcW w:w="5000" w:type="pct"/>
            <w:gridSpan w:val="3"/>
          </w:tcPr>
          <w:p w:rsidR="005C3B9D" w:rsidRPr="00A73F00" w:rsidRDefault="005C3B9D" w:rsidP="008F5FE2">
            <w:pPr>
              <w:jc w:val="both"/>
              <w:rPr>
                <w:sz w:val="20"/>
                <w:szCs w:val="20"/>
              </w:rPr>
            </w:pPr>
            <w:r w:rsidRPr="00A73F00">
              <w:rPr>
                <w:sz w:val="20"/>
                <w:szCs w:val="20"/>
              </w:rPr>
              <w:t>Aboriginal law — Indian Register — Membership on Indian Register — Protests of additions to Indian Register — Limitation of actions — Prescription — Whether the Court of Appeal erred in holding that the right to protest Band membership pursuant to s. 14.2 of the Indian Act, 1985 was subject to a rigid limitation period — Whether the Court of Appeal erred in holding that the discoverability principle was inapplicable to the protest period found in s. 14.2 of the Indian Act, 1985 and that the doctrine of fraudulent concealment was not applicable — What standard of review applies to appeals of the Registrar’s decisions — Whether the appeal from the Registrar’s decision is a true appeal — Whether Crown conduct could render reliance on the three-year limitation period inequitable or unconstitutional — Whether the Court of Appeal erred in permitting the Registrar to make substantive submissions in support of his decisions, contrary to the principles of natural justice.</w:t>
            </w:r>
          </w:p>
          <w:p w:rsidR="005C3B9D" w:rsidRPr="00A73F00" w:rsidRDefault="005C3B9D" w:rsidP="008F5FE2">
            <w:pPr>
              <w:jc w:val="both"/>
              <w:rPr>
                <w:sz w:val="20"/>
                <w:szCs w:val="20"/>
              </w:rPr>
            </w:pPr>
          </w:p>
        </w:tc>
      </w:tr>
      <w:tr w:rsidR="005C3B9D" w:rsidRPr="00A73F00" w:rsidTr="008F5FE2">
        <w:tc>
          <w:tcPr>
            <w:tcW w:w="5000" w:type="pct"/>
            <w:gridSpan w:val="3"/>
          </w:tcPr>
          <w:p w:rsidR="005C3B9D" w:rsidRPr="00A73F00" w:rsidRDefault="005C3B9D" w:rsidP="008F5FE2">
            <w:pPr>
              <w:jc w:val="both"/>
              <w:rPr>
                <w:sz w:val="20"/>
                <w:szCs w:val="20"/>
              </w:rPr>
            </w:pPr>
            <w:r w:rsidRPr="00A73F00">
              <w:rPr>
                <w:sz w:val="20"/>
                <w:szCs w:val="20"/>
              </w:rPr>
              <w:t xml:space="preserve">In the late 19th century, a number of American Lakota Sioux crossed into Canada following the battle of Little Bighorn. They settled south of Moose Jaw, Saskatchewan and came to identify themselves as the Wood Mountain Lakota Nation. John O’Kute/LeCaine and Emma Loveswar are shown as members of the 1910 Wood Mountain Band List. The legal </w:t>
            </w:r>
            <w:r w:rsidRPr="00A73F00">
              <w:rPr>
                <w:sz w:val="20"/>
                <w:szCs w:val="20"/>
              </w:rPr>
              <w:lastRenderedPageBreak/>
              <w:t>status of some of their descendants is at issue here and in SCC File No. 35602, submitted along with this application. Clifford and Margaret LeCaines filed a protest on February 18, 2010, concerning the inclusion on the Indian Registry of their daughter Elizabeth, her husband, and 11 of their descendants (“the Ogles”). Most of them were added to the Indian Register and to the Nation’s Band List between February 1990 and July 2003; one was added on March 21, 2005, and another was added on May 10, 2006. The LeCaines allege that they did not know that the Ogles had been added to the Register because their request for a Band Membership List was denied.</w:t>
            </w:r>
          </w:p>
          <w:p w:rsidR="005C3B9D" w:rsidRPr="00A73F00" w:rsidRDefault="005C3B9D" w:rsidP="008F5FE2">
            <w:pPr>
              <w:jc w:val="both"/>
              <w:rPr>
                <w:sz w:val="20"/>
                <w:szCs w:val="20"/>
              </w:rPr>
            </w:pPr>
          </w:p>
          <w:p w:rsidR="005C3B9D" w:rsidRPr="00A73F00" w:rsidRDefault="005C3B9D" w:rsidP="008F5FE2">
            <w:pPr>
              <w:jc w:val="both"/>
              <w:rPr>
                <w:sz w:val="20"/>
                <w:szCs w:val="20"/>
              </w:rPr>
            </w:pPr>
            <w:r w:rsidRPr="00A73F00">
              <w:rPr>
                <w:sz w:val="20"/>
                <w:szCs w:val="20"/>
              </w:rPr>
              <w:t>The Registrar dismissed the protests on the grounds that they had been filed outside the three-year time limit set out in s. 14.2(1). The Court of Queen’s Bench dismissed an appeal, as did the Court of Appeal.</w:t>
            </w:r>
          </w:p>
          <w:p w:rsidR="005C3B9D" w:rsidRPr="00A73F00" w:rsidRDefault="005C3B9D" w:rsidP="008F5FE2">
            <w:pPr>
              <w:jc w:val="both"/>
              <w:rPr>
                <w:sz w:val="20"/>
                <w:szCs w:val="20"/>
              </w:rPr>
            </w:pPr>
          </w:p>
        </w:tc>
      </w:tr>
      <w:tr w:rsidR="005C3B9D" w:rsidRPr="00A73F00" w:rsidTr="008F5FE2">
        <w:tc>
          <w:tcPr>
            <w:tcW w:w="2427" w:type="pct"/>
          </w:tcPr>
          <w:p w:rsidR="005C3B9D" w:rsidRPr="00A73F00" w:rsidRDefault="005C3B9D" w:rsidP="008F5FE2">
            <w:pPr>
              <w:jc w:val="both"/>
              <w:rPr>
                <w:sz w:val="20"/>
                <w:szCs w:val="20"/>
              </w:rPr>
            </w:pPr>
            <w:r w:rsidRPr="00A73F00">
              <w:rPr>
                <w:sz w:val="20"/>
                <w:szCs w:val="20"/>
              </w:rPr>
              <w:lastRenderedPageBreak/>
              <w:t>June 27, 2013</w:t>
            </w:r>
          </w:p>
          <w:p w:rsidR="005C3B9D" w:rsidRPr="00A73F00" w:rsidRDefault="005C3B9D" w:rsidP="008F5FE2">
            <w:pPr>
              <w:jc w:val="both"/>
              <w:rPr>
                <w:sz w:val="20"/>
                <w:szCs w:val="20"/>
              </w:rPr>
            </w:pPr>
            <w:r w:rsidRPr="00A73F00">
              <w:rPr>
                <w:sz w:val="20"/>
                <w:szCs w:val="20"/>
              </w:rPr>
              <w:t>Court of Queen’s Bench of Saskatchewan</w:t>
            </w:r>
          </w:p>
          <w:p w:rsidR="005C3B9D" w:rsidRPr="00A73F00" w:rsidRDefault="005C3B9D" w:rsidP="008F5FE2">
            <w:pPr>
              <w:jc w:val="both"/>
              <w:rPr>
                <w:sz w:val="20"/>
                <w:szCs w:val="20"/>
              </w:rPr>
            </w:pPr>
            <w:r w:rsidRPr="00A73F00">
              <w:rPr>
                <w:sz w:val="20"/>
                <w:szCs w:val="20"/>
              </w:rPr>
              <w:t>(Whitmore J.)</w:t>
            </w:r>
          </w:p>
          <w:p w:rsidR="005C3B9D" w:rsidRPr="00A73F00" w:rsidRDefault="00CD76E4" w:rsidP="008F5FE2">
            <w:pPr>
              <w:jc w:val="both"/>
              <w:rPr>
                <w:sz w:val="20"/>
                <w:szCs w:val="20"/>
              </w:rPr>
            </w:pPr>
            <w:hyperlink r:id="rId35" w:history="1">
              <w:r w:rsidR="005C3B9D" w:rsidRPr="00A73F00">
                <w:rPr>
                  <w:color w:val="0000FF" w:themeColor="hyperlink"/>
                  <w:sz w:val="20"/>
                  <w:szCs w:val="20"/>
                  <w:u w:val="single"/>
                </w:rPr>
                <w:t>2013 SKQB 253</w:t>
              </w:r>
            </w:hyperlink>
          </w:p>
          <w:p w:rsidR="005C3B9D" w:rsidRPr="00A73F00" w:rsidRDefault="005C3B9D" w:rsidP="008F5FE2">
            <w:pPr>
              <w:jc w:val="both"/>
              <w:rPr>
                <w:sz w:val="20"/>
                <w:szCs w:val="20"/>
              </w:rPr>
            </w:pPr>
          </w:p>
        </w:tc>
        <w:tc>
          <w:tcPr>
            <w:tcW w:w="243" w:type="pct"/>
          </w:tcPr>
          <w:p w:rsidR="005C3B9D" w:rsidRPr="00A73F00" w:rsidRDefault="005C3B9D" w:rsidP="008F5FE2">
            <w:pPr>
              <w:jc w:val="both"/>
              <w:rPr>
                <w:sz w:val="20"/>
                <w:szCs w:val="20"/>
              </w:rPr>
            </w:pPr>
          </w:p>
        </w:tc>
        <w:tc>
          <w:tcPr>
            <w:tcW w:w="2330" w:type="pct"/>
          </w:tcPr>
          <w:p w:rsidR="005C3B9D" w:rsidRPr="00A73F00" w:rsidRDefault="005C3B9D" w:rsidP="008F5FE2">
            <w:pPr>
              <w:jc w:val="both"/>
              <w:rPr>
                <w:sz w:val="20"/>
                <w:szCs w:val="20"/>
              </w:rPr>
            </w:pPr>
            <w:r w:rsidRPr="00A73F00">
              <w:rPr>
                <w:sz w:val="20"/>
                <w:szCs w:val="20"/>
              </w:rPr>
              <w:t>Appeal of Registrar’s dismissal of the applicants’ protest of the decision to add 13 members of the Ogle family to the Indian Register dismissed</w:t>
            </w:r>
          </w:p>
        </w:tc>
      </w:tr>
      <w:tr w:rsidR="005C3B9D" w:rsidRPr="00A73F00" w:rsidTr="008F5FE2">
        <w:tc>
          <w:tcPr>
            <w:tcW w:w="2427" w:type="pct"/>
          </w:tcPr>
          <w:p w:rsidR="005C3B9D" w:rsidRPr="00A73F00" w:rsidRDefault="005C3B9D" w:rsidP="008F5FE2">
            <w:pPr>
              <w:jc w:val="both"/>
              <w:rPr>
                <w:sz w:val="20"/>
                <w:szCs w:val="20"/>
              </w:rPr>
            </w:pPr>
            <w:r w:rsidRPr="00A73F00">
              <w:rPr>
                <w:sz w:val="20"/>
                <w:szCs w:val="20"/>
              </w:rPr>
              <w:t>June 17, 2015</w:t>
            </w:r>
          </w:p>
          <w:p w:rsidR="005C3B9D" w:rsidRPr="00A73F00" w:rsidRDefault="005C3B9D" w:rsidP="008F5FE2">
            <w:pPr>
              <w:jc w:val="both"/>
              <w:rPr>
                <w:sz w:val="20"/>
                <w:szCs w:val="20"/>
              </w:rPr>
            </w:pPr>
            <w:r w:rsidRPr="00A73F00">
              <w:rPr>
                <w:sz w:val="20"/>
                <w:szCs w:val="20"/>
              </w:rPr>
              <w:t>Court of Appeal for Saskatchewan</w:t>
            </w:r>
          </w:p>
          <w:p w:rsidR="005C3B9D" w:rsidRPr="00A73F00" w:rsidRDefault="005C3B9D" w:rsidP="008F5FE2">
            <w:pPr>
              <w:jc w:val="both"/>
              <w:rPr>
                <w:sz w:val="20"/>
                <w:szCs w:val="20"/>
              </w:rPr>
            </w:pPr>
            <w:r w:rsidRPr="00A73F00">
              <w:rPr>
                <w:sz w:val="20"/>
                <w:szCs w:val="20"/>
              </w:rPr>
              <w:t>(Jackson J.A., Klebuc and Ottenbreit JJ.A.)</w:t>
            </w:r>
          </w:p>
          <w:p w:rsidR="005C3B9D" w:rsidRPr="00A73F00" w:rsidRDefault="00CD76E4" w:rsidP="008F5FE2">
            <w:pPr>
              <w:jc w:val="both"/>
              <w:rPr>
                <w:sz w:val="20"/>
                <w:szCs w:val="20"/>
              </w:rPr>
            </w:pPr>
            <w:hyperlink r:id="rId36" w:history="1">
              <w:r w:rsidR="005C3B9D" w:rsidRPr="00A73F00">
                <w:rPr>
                  <w:color w:val="0000FF" w:themeColor="hyperlink"/>
                  <w:sz w:val="20"/>
                  <w:szCs w:val="20"/>
                  <w:u w:val="single"/>
                </w:rPr>
                <w:t>2015 SKCA 43</w:t>
              </w:r>
            </w:hyperlink>
          </w:p>
          <w:p w:rsidR="005C3B9D" w:rsidRPr="00A73F00" w:rsidRDefault="005C3B9D" w:rsidP="008F5FE2">
            <w:pPr>
              <w:jc w:val="both"/>
              <w:rPr>
                <w:sz w:val="20"/>
                <w:szCs w:val="20"/>
              </w:rPr>
            </w:pPr>
          </w:p>
        </w:tc>
        <w:tc>
          <w:tcPr>
            <w:tcW w:w="243" w:type="pct"/>
          </w:tcPr>
          <w:p w:rsidR="005C3B9D" w:rsidRPr="00A73F00" w:rsidRDefault="005C3B9D" w:rsidP="008F5FE2">
            <w:pPr>
              <w:jc w:val="both"/>
              <w:rPr>
                <w:sz w:val="20"/>
                <w:szCs w:val="20"/>
              </w:rPr>
            </w:pPr>
          </w:p>
        </w:tc>
        <w:tc>
          <w:tcPr>
            <w:tcW w:w="2330" w:type="pct"/>
          </w:tcPr>
          <w:p w:rsidR="005C3B9D" w:rsidRPr="00A73F00" w:rsidRDefault="005C3B9D" w:rsidP="008F5FE2">
            <w:pPr>
              <w:jc w:val="both"/>
              <w:rPr>
                <w:sz w:val="20"/>
                <w:szCs w:val="20"/>
              </w:rPr>
            </w:pPr>
            <w:r w:rsidRPr="00A73F00">
              <w:rPr>
                <w:sz w:val="20"/>
                <w:szCs w:val="20"/>
              </w:rPr>
              <w:t>Appeal dismissed</w:t>
            </w:r>
          </w:p>
          <w:p w:rsidR="005C3B9D" w:rsidRPr="00A73F00" w:rsidRDefault="005C3B9D" w:rsidP="008F5FE2">
            <w:pPr>
              <w:jc w:val="both"/>
              <w:rPr>
                <w:sz w:val="20"/>
                <w:szCs w:val="20"/>
              </w:rPr>
            </w:pPr>
          </w:p>
        </w:tc>
      </w:tr>
      <w:tr w:rsidR="005C3B9D" w:rsidRPr="00A73F00" w:rsidTr="008F5FE2">
        <w:tc>
          <w:tcPr>
            <w:tcW w:w="2427" w:type="pct"/>
          </w:tcPr>
          <w:p w:rsidR="005C3B9D" w:rsidRPr="00A73F00" w:rsidRDefault="005C3B9D" w:rsidP="008F5FE2">
            <w:pPr>
              <w:jc w:val="both"/>
              <w:rPr>
                <w:sz w:val="20"/>
                <w:szCs w:val="20"/>
              </w:rPr>
            </w:pPr>
            <w:r w:rsidRPr="00A73F00">
              <w:rPr>
                <w:sz w:val="20"/>
                <w:szCs w:val="20"/>
              </w:rPr>
              <w:t>June 25, 2015</w:t>
            </w:r>
          </w:p>
          <w:p w:rsidR="005C3B9D" w:rsidRPr="00A73F00" w:rsidRDefault="005C3B9D" w:rsidP="008F5FE2">
            <w:pPr>
              <w:jc w:val="both"/>
              <w:rPr>
                <w:sz w:val="20"/>
                <w:szCs w:val="20"/>
              </w:rPr>
            </w:pPr>
            <w:r w:rsidRPr="00A73F00">
              <w:rPr>
                <w:sz w:val="20"/>
                <w:szCs w:val="20"/>
              </w:rPr>
              <w:t>Supreme Court of Canada</w:t>
            </w:r>
          </w:p>
        </w:tc>
        <w:tc>
          <w:tcPr>
            <w:tcW w:w="243" w:type="pct"/>
          </w:tcPr>
          <w:p w:rsidR="005C3B9D" w:rsidRPr="00A73F00" w:rsidRDefault="005C3B9D" w:rsidP="008F5FE2">
            <w:pPr>
              <w:jc w:val="both"/>
              <w:rPr>
                <w:sz w:val="20"/>
                <w:szCs w:val="20"/>
              </w:rPr>
            </w:pPr>
          </w:p>
        </w:tc>
        <w:tc>
          <w:tcPr>
            <w:tcW w:w="2330" w:type="pct"/>
          </w:tcPr>
          <w:p w:rsidR="005C3B9D" w:rsidRPr="00A73F00" w:rsidRDefault="005C3B9D" w:rsidP="008F5FE2">
            <w:pPr>
              <w:jc w:val="both"/>
              <w:rPr>
                <w:sz w:val="20"/>
                <w:szCs w:val="20"/>
              </w:rPr>
            </w:pPr>
            <w:r w:rsidRPr="00A73F00">
              <w:rPr>
                <w:sz w:val="20"/>
                <w:szCs w:val="20"/>
              </w:rPr>
              <w:t>Application for leave to appeal filed</w:t>
            </w: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42"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BA0F4F" w:rsidRDefault="005C3B9D" w:rsidP="008F5FE2">
            <w:pPr>
              <w:jc w:val="both"/>
              <w:rPr>
                <w:sz w:val="20"/>
                <w:szCs w:val="20"/>
                <w:lang w:val="fr-CA"/>
              </w:rPr>
            </w:pPr>
            <w:r w:rsidRPr="00BA0F4F">
              <w:rPr>
                <w:sz w:val="20"/>
                <w:szCs w:val="20"/>
                <w:lang w:val="fr-CA"/>
              </w:rPr>
              <w:t xml:space="preserve">Droit des autochtones — Registre des Indiens — Membres inscrits au registre des Indiens — Protestations contre l’addition de noms dans le registre des Indiens — Prescription — La Cour d’appel a-t-elle commis une erreur en statuant que le droit de protestation relatif à l’appartenance à la bande, prévu à l’art. 14.2 de la </w:t>
            </w:r>
            <w:r w:rsidRPr="00BA0F4F">
              <w:rPr>
                <w:i/>
                <w:sz w:val="20"/>
                <w:szCs w:val="20"/>
                <w:lang w:val="fr-CA"/>
              </w:rPr>
              <w:t>Loi sur les Indiens</w:t>
            </w:r>
            <w:r w:rsidRPr="00BA0F4F">
              <w:rPr>
                <w:sz w:val="20"/>
                <w:szCs w:val="20"/>
                <w:lang w:val="fr-CA"/>
              </w:rPr>
              <w:t xml:space="preserve"> de 1985, était assujetti à un délai de prescription strict? — La Cour d’appel a-t-elle commis une erreur en concluant que la règle de la possibilité de découvrir le dommage ne s’appliquait pas à la période de protestation prévue à l’art. 14.2 de la </w:t>
            </w:r>
            <w:r w:rsidRPr="00BA0F4F">
              <w:rPr>
                <w:i/>
                <w:sz w:val="20"/>
                <w:szCs w:val="20"/>
                <w:lang w:val="fr-CA"/>
              </w:rPr>
              <w:t>Loi sur les Indiens</w:t>
            </w:r>
            <w:r w:rsidRPr="00BA0F4F">
              <w:rPr>
                <w:sz w:val="20"/>
                <w:szCs w:val="20"/>
                <w:lang w:val="fr-CA"/>
              </w:rPr>
              <w:t xml:space="preserve"> de 1985, et que la doctrine de la dissimulation frauduleuse était inapplicable? — Quelle est la norme de contrôle applicable aux appels des décisions du registraire? — L’appel de la décision du registraire constitue-t-il un appel véritable? — La conduite de la Couronne pourrait-elle rendre inéquitable ou inconstitutionnel le fait d’invoquer le délai de prescription de trois ans? — La Cour d’appel a-t-elle commis une erreur en permettant au registraire de présenter des arguments de fond à l’appui de ses décisions, contrairement aux principes de justice naturelle?</w:t>
            </w:r>
          </w:p>
          <w:p w:rsidR="005C3B9D" w:rsidRPr="00BA0F4F" w:rsidRDefault="005C3B9D" w:rsidP="008F5FE2">
            <w:pPr>
              <w:jc w:val="both"/>
              <w:rPr>
                <w:sz w:val="20"/>
                <w:szCs w:val="20"/>
                <w:lang w:val="fr-CA"/>
              </w:rPr>
            </w:pPr>
          </w:p>
        </w:tc>
      </w:tr>
      <w:tr w:rsidR="005C3B9D" w:rsidRPr="00B26F8D" w:rsidTr="008F5FE2">
        <w:tc>
          <w:tcPr>
            <w:tcW w:w="5000" w:type="pct"/>
            <w:gridSpan w:val="3"/>
          </w:tcPr>
          <w:p w:rsidR="005C3B9D" w:rsidRPr="00BA0F4F" w:rsidRDefault="005C3B9D" w:rsidP="008F5FE2">
            <w:pPr>
              <w:jc w:val="both"/>
              <w:rPr>
                <w:sz w:val="20"/>
                <w:szCs w:val="20"/>
                <w:lang w:val="fr-CA"/>
              </w:rPr>
            </w:pPr>
            <w:r w:rsidRPr="00BA0F4F">
              <w:rPr>
                <w:sz w:val="20"/>
                <w:szCs w:val="20"/>
                <w:lang w:val="fr-CA"/>
              </w:rPr>
              <w:t>À la fin du 19</w:t>
            </w:r>
            <w:r w:rsidRPr="00BA0F4F">
              <w:rPr>
                <w:sz w:val="20"/>
                <w:szCs w:val="20"/>
                <w:vertAlign w:val="superscript"/>
                <w:lang w:val="fr-CA"/>
              </w:rPr>
              <w:t>e</w:t>
            </w:r>
            <w:r w:rsidRPr="00BA0F4F">
              <w:rPr>
                <w:sz w:val="20"/>
                <w:szCs w:val="20"/>
                <w:lang w:val="fr-CA"/>
              </w:rPr>
              <w:t xml:space="preserve"> siècle, plusieurs Sioux Lakota américains sont entrés au Canada après la bataille de Little Bighorn. Ils se sont établis au sud de Moose Jaw, en Saskatchewan, et en sont venus à s’identifier comme la nation Wood Mountain Lakota. John O’Kute/LeCaine et Emma Loveswar sont inscrits comme membres de la liste de bande de Wood Mountain de 1910. Le statut juridique de certains de leurs descendants est en cause en l’espèce et dans le dossier de la CSC n</w:t>
            </w:r>
            <w:r w:rsidRPr="00BA0F4F">
              <w:rPr>
                <w:sz w:val="20"/>
                <w:szCs w:val="20"/>
                <w:vertAlign w:val="superscript"/>
                <w:lang w:val="fr-CA"/>
              </w:rPr>
              <w:t>o</w:t>
            </w:r>
            <w:r w:rsidRPr="00BA0F4F">
              <w:rPr>
                <w:sz w:val="20"/>
                <w:szCs w:val="20"/>
                <w:lang w:val="fr-CA"/>
              </w:rPr>
              <w:t> 35602, soumis avec la présente demande. Le 18 février 2010, Clifford et Margaret LeCaines ont déposé une protestation relative à l’inclusion dans le registre des Indiens de leur fille Elizabeth, de son époux et de 11 de leurs descendants (« les Ogles »). La plupart d’entre eux ont été ajoutés au registre des Indiens et à la liste de bande entre février 1990 et juillet 2003, l’un d’eux ayant été ajouté le 21 mars 2005 et un autre, le 10 mai 2006. Les LeCaines allèguent qu’ils ne savaient pas que les Ogles avaient été ajoutés au registre, parce que leur demande en vue d’obtenir une liste des membres de la bande a été rejetée.</w:t>
            </w:r>
          </w:p>
          <w:p w:rsidR="005C3B9D" w:rsidRPr="00BA0F4F" w:rsidRDefault="005C3B9D" w:rsidP="008F5FE2">
            <w:pPr>
              <w:jc w:val="both"/>
              <w:rPr>
                <w:sz w:val="20"/>
                <w:szCs w:val="20"/>
                <w:lang w:val="fr-CA"/>
              </w:rPr>
            </w:pPr>
          </w:p>
          <w:p w:rsidR="005C3B9D" w:rsidRPr="00BA0F4F" w:rsidRDefault="005C3B9D" w:rsidP="008F5FE2">
            <w:pPr>
              <w:jc w:val="both"/>
              <w:rPr>
                <w:sz w:val="20"/>
                <w:szCs w:val="20"/>
                <w:lang w:val="fr-CA"/>
              </w:rPr>
            </w:pPr>
            <w:r w:rsidRPr="00BA0F4F">
              <w:rPr>
                <w:sz w:val="20"/>
                <w:szCs w:val="20"/>
                <w:lang w:val="fr-CA"/>
              </w:rPr>
              <w:t>Le registraire a rejeté les protestations au motif qu’elles avaient été déposées après l’expiration du délai de prescription de trois ans établi au par. 14.2(1). La Cour du Banc de la Reine et la Cour d’appel ont toutes deux rejeté les appels.</w:t>
            </w:r>
          </w:p>
          <w:p w:rsidR="005C3B9D" w:rsidRPr="00BA0F4F" w:rsidRDefault="005C3B9D" w:rsidP="008F5FE2">
            <w:pPr>
              <w:jc w:val="both"/>
              <w:rPr>
                <w:sz w:val="20"/>
                <w:szCs w:val="20"/>
                <w:lang w:val="fr-CA"/>
              </w:rPr>
            </w:pPr>
          </w:p>
        </w:tc>
      </w:tr>
      <w:tr w:rsidR="005C3B9D" w:rsidRPr="00B26F8D" w:rsidTr="008F5FE2">
        <w:tc>
          <w:tcPr>
            <w:tcW w:w="2427" w:type="pct"/>
          </w:tcPr>
          <w:p w:rsidR="005C3B9D" w:rsidRPr="00BA0F4F" w:rsidRDefault="005C3B9D" w:rsidP="008F5FE2">
            <w:pPr>
              <w:jc w:val="both"/>
              <w:rPr>
                <w:sz w:val="20"/>
                <w:szCs w:val="20"/>
                <w:lang w:val="fr-CA"/>
              </w:rPr>
            </w:pPr>
            <w:r w:rsidRPr="00BA0F4F">
              <w:rPr>
                <w:sz w:val="20"/>
                <w:szCs w:val="20"/>
                <w:lang w:val="fr-CA"/>
              </w:rPr>
              <w:lastRenderedPageBreak/>
              <w:t>27 juin 2013</w:t>
            </w:r>
          </w:p>
          <w:p w:rsidR="005C3B9D" w:rsidRPr="00BA0F4F" w:rsidRDefault="005C3B9D" w:rsidP="008F5FE2">
            <w:pPr>
              <w:jc w:val="both"/>
              <w:rPr>
                <w:sz w:val="20"/>
                <w:szCs w:val="20"/>
                <w:lang w:val="fr-CA"/>
              </w:rPr>
            </w:pPr>
            <w:r w:rsidRPr="00BA0F4F">
              <w:rPr>
                <w:sz w:val="20"/>
                <w:szCs w:val="20"/>
                <w:lang w:val="fr-CA"/>
              </w:rPr>
              <w:t>Cour du Banc de la Reine de la Saskatchewan</w:t>
            </w:r>
          </w:p>
          <w:p w:rsidR="005C3B9D" w:rsidRPr="00BA0F4F" w:rsidRDefault="005C3B9D" w:rsidP="008F5FE2">
            <w:pPr>
              <w:jc w:val="both"/>
              <w:rPr>
                <w:sz w:val="20"/>
                <w:szCs w:val="20"/>
                <w:lang w:val="fr-CA"/>
              </w:rPr>
            </w:pPr>
            <w:r w:rsidRPr="00BA0F4F">
              <w:rPr>
                <w:sz w:val="20"/>
                <w:szCs w:val="20"/>
                <w:lang w:val="fr-CA"/>
              </w:rPr>
              <w:t>(Juge Whitmore)</w:t>
            </w:r>
          </w:p>
          <w:p w:rsidR="005C3B9D" w:rsidRPr="00BA0F4F" w:rsidRDefault="00CD76E4" w:rsidP="008F5FE2">
            <w:pPr>
              <w:jc w:val="both"/>
              <w:rPr>
                <w:sz w:val="20"/>
                <w:szCs w:val="20"/>
                <w:lang w:val="fr-CA"/>
              </w:rPr>
            </w:pPr>
            <w:hyperlink r:id="rId37" w:history="1">
              <w:r w:rsidR="005C3B9D" w:rsidRPr="00BA0F4F">
                <w:rPr>
                  <w:color w:val="0000FF" w:themeColor="hyperlink"/>
                  <w:sz w:val="20"/>
                  <w:szCs w:val="20"/>
                  <w:u w:val="single"/>
                  <w:lang w:val="fr-CA"/>
                </w:rPr>
                <w:t>2013 SKQB 253</w:t>
              </w:r>
            </w:hyperlink>
          </w:p>
          <w:p w:rsidR="005C3B9D" w:rsidRPr="00BA0F4F" w:rsidRDefault="005C3B9D" w:rsidP="008F5FE2">
            <w:pPr>
              <w:jc w:val="both"/>
              <w:rPr>
                <w:sz w:val="20"/>
                <w:szCs w:val="20"/>
                <w:lang w:val="fr-CA"/>
              </w:rPr>
            </w:pPr>
          </w:p>
        </w:tc>
        <w:tc>
          <w:tcPr>
            <w:tcW w:w="243" w:type="pct"/>
          </w:tcPr>
          <w:p w:rsidR="005C3B9D" w:rsidRPr="00BA0F4F" w:rsidRDefault="005C3B9D" w:rsidP="008F5FE2">
            <w:pPr>
              <w:jc w:val="both"/>
              <w:rPr>
                <w:sz w:val="20"/>
                <w:szCs w:val="20"/>
                <w:lang w:val="fr-CA"/>
              </w:rPr>
            </w:pPr>
          </w:p>
        </w:tc>
        <w:tc>
          <w:tcPr>
            <w:tcW w:w="2330" w:type="pct"/>
          </w:tcPr>
          <w:p w:rsidR="005C3B9D" w:rsidRPr="00BA0F4F" w:rsidRDefault="005C3B9D" w:rsidP="008F5FE2">
            <w:pPr>
              <w:jc w:val="both"/>
              <w:rPr>
                <w:sz w:val="20"/>
                <w:szCs w:val="20"/>
                <w:lang w:val="fr-CA"/>
              </w:rPr>
            </w:pPr>
            <w:r w:rsidRPr="00BA0F4F">
              <w:rPr>
                <w:sz w:val="20"/>
                <w:szCs w:val="20"/>
                <w:lang w:val="fr-CA"/>
              </w:rPr>
              <w:t xml:space="preserve">Rejet de l’appel interjeté contre la décision du registraire de rejeter la protestation formulée par les demandeurs contre la décision d’ajouter 13 membres de la famille Ogle au registre des Indiens </w:t>
            </w:r>
          </w:p>
          <w:p w:rsidR="005C3B9D" w:rsidRPr="00BA0F4F" w:rsidRDefault="005C3B9D" w:rsidP="008F5FE2">
            <w:pPr>
              <w:jc w:val="both"/>
              <w:rPr>
                <w:sz w:val="20"/>
                <w:szCs w:val="20"/>
                <w:lang w:val="fr-CA"/>
              </w:rPr>
            </w:pPr>
          </w:p>
        </w:tc>
      </w:tr>
      <w:tr w:rsidR="005C3B9D" w:rsidRPr="00BA0F4F" w:rsidTr="008F5FE2">
        <w:tc>
          <w:tcPr>
            <w:tcW w:w="2427" w:type="pct"/>
          </w:tcPr>
          <w:p w:rsidR="005C3B9D" w:rsidRPr="00BA0F4F" w:rsidRDefault="005C3B9D" w:rsidP="008F5FE2">
            <w:pPr>
              <w:jc w:val="both"/>
              <w:rPr>
                <w:sz w:val="20"/>
                <w:szCs w:val="20"/>
                <w:lang w:val="fr-CA"/>
              </w:rPr>
            </w:pPr>
            <w:r w:rsidRPr="00BA0F4F">
              <w:rPr>
                <w:sz w:val="20"/>
                <w:szCs w:val="20"/>
                <w:lang w:val="fr-CA"/>
              </w:rPr>
              <w:t>17 juin 2015</w:t>
            </w:r>
          </w:p>
          <w:p w:rsidR="005C3B9D" w:rsidRPr="00BA0F4F" w:rsidRDefault="005C3B9D" w:rsidP="008F5FE2">
            <w:pPr>
              <w:jc w:val="both"/>
              <w:rPr>
                <w:sz w:val="20"/>
                <w:szCs w:val="20"/>
                <w:lang w:val="fr-CA"/>
              </w:rPr>
            </w:pPr>
            <w:r w:rsidRPr="00BA0F4F">
              <w:rPr>
                <w:sz w:val="20"/>
                <w:szCs w:val="20"/>
                <w:lang w:val="fr-CA"/>
              </w:rPr>
              <w:t>Cour d’appel de la Saskatchewan</w:t>
            </w:r>
          </w:p>
          <w:p w:rsidR="005C3B9D" w:rsidRPr="00BA0F4F" w:rsidRDefault="005C3B9D" w:rsidP="008F5FE2">
            <w:pPr>
              <w:jc w:val="both"/>
              <w:rPr>
                <w:sz w:val="20"/>
                <w:szCs w:val="20"/>
                <w:lang w:val="fr-CA"/>
              </w:rPr>
            </w:pPr>
            <w:r w:rsidRPr="00BA0F4F">
              <w:rPr>
                <w:sz w:val="20"/>
                <w:szCs w:val="20"/>
                <w:lang w:val="fr-CA"/>
              </w:rPr>
              <w:t>(Juges Jackson, Klebuc et Ottenbreit)</w:t>
            </w:r>
          </w:p>
          <w:p w:rsidR="005C3B9D" w:rsidRPr="00BA0F4F" w:rsidRDefault="00CD76E4" w:rsidP="008F5FE2">
            <w:pPr>
              <w:jc w:val="both"/>
              <w:rPr>
                <w:sz w:val="20"/>
                <w:szCs w:val="20"/>
                <w:lang w:val="fr-CA"/>
              </w:rPr>
            </w:pPr>
            <w:hyperlink r:id="rId38" w:history="1">
              <w:r w:rsidR="005C3B9D" w:rsidRPr="00BA0F4F">
                <w:rPr>
                  <w:color w:val="0000FF" w:themeColor="hyperlink"/>
                  <w:sz w:val="20"/>
                  <w:szCs w:val="20"/>
                  <w:u w:val="single"/>
                  <w:lang w:val="fr-CA"/>
                </w:rPr>
                <w:t>2015 SKCA 43</w:t>
              </w:r>
            </w:hyperlink>
          </w:p>
          <w:p w:rsidR="005C3B9D" w:rsidRPr="00BA0F4F" w:rsidRDefault="005C3B9D" w:rsidP="008F5FE2">
            <w:pPr>
              <w:jc w:val="both"/>
              <w:rPr>
                <w:sz w:val="20"/>
                <w:szCs w:val="20"/>
                <w:lang w:val="fr-CA"/>
              </w:rPr>
            </w:pPr>
          </w:p>
        </w:tc>
        <w:tc>
          <w:tcPr>
            <w:tcW w:w="243" w:type="pct"/>
          </w:tcPr>
          <w:p w:rsidR="005C3B9D" w:rsidRPr="00BA0F4F" w:rsidRDefault="005C3B9D" w:rsidP="008F5FE2">
            <w:pPr>
              <w:jc w:val="both"/>
              <w:rPr>
                <w:sz w:val="20"/>
                <w:szCs w:val="20"/>
                <w:lang w:val="fr-CA"/>
              </w:rPr>
            </w:pPr>
          </w:p>
        </w:tc>
        <w:tc>
          <w:tcPr>
            <w:tcW w:w="2330" w:type="pct"/>
          </w:tcPr>
          <w:p w:rsidR="005C3B9D" w:rsidRPr="00BA0F4F" w:rsidRDefault="005C3B9D" w:rsidP="008F5FE2">
            <w:pPr>
              <w:jc w:val="both"/>
              <w:rPr>
                <w:sz w:val="20"/>
                <w:szCs w:val="20"/>
                <w:lang w:val="fr-CA"/>
              </w:rPr>
            </w:pPr>
            <w:r w:rsidRPr="00BA0F4F">
              <w:rPr>
                <w:sz w:val="20"/>
                <w:szCs w:val="20"/>
                <w:lang w:val="fr-CA"/>
              </w:rPr>
              <w:t>Rejet de l’appel</w:t>
            </w:r>
          </w:p>
          <w:p w:rsidR="005C3B9D" w:rsidRPr="00BA0F4F" w:rsidRDefault="005C3B9D" w:rsidP="008F5FE2">
            <w:pPr>
              <w:jc w:val="both"/>
              <w:rPr>
                <w:sz w:val="20"/>
                <w:szCs w:val="20"/>
                <w:lang w:val="fr-CA"/>
              </w:rPr>
            </w:pPr>
          </w:p>
        </w:tc>
      </w:tr>
      <w:tr w:rsidR="005C3B9D" w:rsidRPr="00B26F8D" w:rsidTr="008F5FE2">
        <w:tc>
          <w:tcPr>
            <w:tcW w:w="2427" w:type="pct"/>
          </w:tcPr>
          <w:p w:rsidR="005C3B9D" w:rsidRPr="00BA0F4F" w:rsidRDefault="005C3B9D" w:rsidP="008F5FE2">
            <w:pPr>
              <w:jc w:val="both"/>
              <w:rPr>
                <w:sz w:val="20"/>
                <w:szCs w:val="20"/>
                <w:lang w:val="fr-CA"/>
              </w:rPr>
            </w:pPr>
            <w:r w:rsidRPr="00BA0F4F">
              <w:rPr>
                <w:sz w:val="20"/>
                <w:szCs w:val="20"/>
                <w:lang w:val="fr-CA"/>
              </w:rPr>
              <w:t>25 juin 2015</w:t>
            </w:r>
          </w:p>
          <w:p w:rsidR="005C3B9D" w:rsidRPr="00BA0F4F" w:rsidRDefault="005C3B9D" w:rsidP="008F5FE2">
            <w:pPr>
              <w:jc w:val="both"/>
              <w:rPr>
                <w:sz w:val="20"/>
                <w:szCs w:val="20"/>
                <w:lang w:val="fr-CA"/>
              </w:rPr>
            </w:pPr>
            <w:r w:rsidRPr="00BA0F4F">
              <w:rPr>
                <w:sz w:val="20"/>
                <w:szCs w:val="20"/>
                <w:lang w:val="fr-CA"/>
              </w:rPr>
              <w:t>Cour suprême du Canada</w:t>
            </w:r>
          </w:p>
        </w:tc>
        <w:tc>
          <w:tcPr>
            <w:tcW w:w="243" w:type="pct"/>
          </w:tcPr>
          <w:p w:rsidR="005C3B9D" w:rsidRPr="00BA0F4F" w:rsidRDefault="005C3B9D" w:rsidP="008F5FE2">
            <w:pPr>
              <w:jc w:val="both"/>
              <w:rPr>
                <w:sz w:val="20"/>
                <w:szCs w:val="20"/>
                <w:lang w:val="fr-CA"/>
              </w:rPr>
            </w:pPr>
          </w:p>
        </w:tc>
        <w:tc>
          <w:tcPr>
            <w:tcW w:w="2330" w:type="pct"/>
          </w:tcPr>
          <w:p w:rsidR="005C3B9D" w:rsidRPr="00BA0F4F" w:rsidRDefault="005C3B9D" w:rsidP="008F5FE2">
            <w:pPr>
              <w:jc w:val="both"/>
              <w:rPr>
                <w:sz w:val="20"/>
                <w:szCs w:val="20"/>
                <w:lang w:val="fr-CA"/>
              </w:rPr>
            </w:pPr>
            <w:r w:rsidRPr="00BA0F4F">
              <w:rPr>
                <w:sz w:val="20"/>
                <w:szCs w:val="20"/>
                <w:lang w:val="fr-CA"/>
              </w:rPr>
              <w:t>Dépôt de la demande d’autorisation d’appel</w:t>
            </w:r>
          </w:p>
        </w:tc>
      </w:tr>
    </w:tbl>
    <w:p w:rsidR="005C3B9D" w:rsidRDefault="005C3B9D" w:rsidP="005C3B9D">
      <w:pPr>
        <w:rPr>
          <w:sz w:val="20"/>
          <w:szCs w:val="20"/>
          <w:lang w:val="fr-CA"/>
        </w:rPr>
      </w:pPr>
    </w:p>
    <w:p w:rsidR="005C3B9D" w:rsidRDefault="00CD76E4" w:rsidP="005C3B9D">
      <w:pPr>
        <w:rPr>
          <w:sz w:val="20"/>
          <w:szCs w:val="20"/>
        </w:rPr>
      </w:pPr>
      <w:r>
        <w:rPr>
          <w:sz w:val="20"/>
          <w:szCs w:val="20"/>
          <w:lang w:val="fr-CA"/>
        </w:rPr>
        <w:pict>
          <v:rect id="_x0000_i1043"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w:t>
            </w:r>
            <w:r w:rsidRPr="00622B1A">
              <w:rPr>
                <w:rStyle w:val="SCCFileNumberChar"/>
                <w:sz w:val="20"/>
                <w:szCs w:val="20"/>
              </w:rPr>
              <w:t>3</w:t>
            </w:r>
            <w:r>
              <w:rPr>
                <w:rStyle w:val="SCCFileNumberChar"/>
                <w:sz w:val="20"/>
                <w:szCs w:val="20"/>
              </w:rPr>
              <w:t>7</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Her Majesty the Queen v. Robert David Nicholas Bradshaw</w:t>
            </w:r>
            <w:r w:rsidRPr="0041388B">
              <w:rPr>
                <w:sz w:val="20"/>
                <w:szCs w:val="24"/>
              </w:rPr>
              <w:t xml:space="preserve"> (B.C.) (Criminal)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Court of Appeal for British Columbia (Vancouver), Number CA040718, 2015 BCCA 195, dated May 5, 2015, is granted.</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demande d’autorisation d’appel de l’arrêt de la Cour d’appel de la Colombie-Britannique (Vancouver), numéro CA040718, 2015 BCCA 195, daté du 5 mai 2015, est accueillie.</w:t>
            </w:r>
          </w:p>
        </w:tc>
      </w:tr>
    </w:tbl>
    <w:p w:rsidR="005C3B9D" w:rsidRPr="0016547E" w:rsidRDefault="005C3B9D" w:rsidP="005C3B9D">
      <w:pPr>
        <w:rPr>
          <w:sz w:val="20"/>
          <w:szCs w:val="20"/>
          <w:lang w:val="fr-CA"/>
        </w:rPr>
      </w:pPr>
    </w:p>
    <w:p w:rsidR="005C3B9D" w:rsidRPr="0033473D" w:rsidRDefault="005C3B9D" w:rsidP="005C3B9D">
      <w:pPr>
        <w:rPr>
          <w:sz w:val="20"/>
          <w:szCs w:val="20"/>
          <w:u w:val="single"/>
        </w:rPr>
      </w:pPr>
      <w:r w:rsidRPr="0033473D">
        <w:rPr>
          <w:sz w:val="20"/>
          <w:szCs w:val="20"/>
          <w:u w:val="single"/>
        </w:rPr>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3A1646" w:rsidTr="008F5FE2">
        <w:tc>
          <w:tcPr>
            <w:tcW w:w="5000" w:type="pct"/>
            <w:gridSpan w:val="3"/>
          </w:tcPr>
          <w:p w:rsidR="005C3B9D" w:rsidRPr="003A1646" w:rsidRDefault="005C3B9D" w:rsidP="008F5FE2">
            <w:pPr>
              <w:jc w:val="both"/>
              <w:rPr>
                <w:smallCaps/>
                <w:sz w:val="20"/>
                <w:szCs w:val="20"/>
              </w:rPr>
            </w:pPr>
            <w:r w:rsidRPr="003A1646">
              <w:rPr>
                <w:smallCaps/>
                <w:sz w:val="20"/>
                <w:szCs w:val="20"/>
              </w:rPr>
              <w:t>(Publication ban in case)</w:t>
            </w:r>
          </w:p>
          <w:p w:rsidR="005C3B9D" w:rsidRPr="003A1646" w:rsidRDefault="005C3B9D" w:rsidP="008F5FE2">
            <w:pPr>
              <w:jc w:val="both"/>
              <w:rPr>
                <w:sz w:val="20"/>
                <w:szCs w:val="20"/>
              </w:rPr>
            </w:pPr>
          </w:p>
          <w:p w:rsidR="005C3B9D" w:rsidRDefault="005C3B9D" w:rsidP="008F5FE2">
            <w:pPr>
              <w:jc w:val="both"/>
              <w:rPr>
                <w:sz w:val="20"/>
                <w:szCs w:val="20"/>
                <w:lang w:val="en-US"/>
              </w:rPr>
            </w:pPr>
            <w:r w:rsidRPr="003A1646">
              <w:rPr>
                <w:sz w:val="20"/>
                <w:szCs w:val="20"/>
              </w:rPr>
              <w:t xml:space="preserve">Criminal Law – Evidence – Hearsay – Threshold reliability </w:t>
            </w:r>
            <w:r w:rsidRPr="003A1646">
              <w:rPr>
                <w:sz w:val="20"/>
                <w:szCs w:val="20"/>
                <w:lang w:val="en-US"/>
              </w:rPr>
              <w:t xml:space="preserve">– Admissibility of former co-accused’s hearsay statement </w:t>
            </w:r>
            <w:r w:rsidRPr="003A1646">
              <w:rPr>
                <w:sz w:val="20"/>
                <w:szCs w:val="20"/>
              </w:rPr>
              <w:t xml:space="preserve">– Whether </w:t>
            </w:r>
            <w:r w:rsidRPr="003A1646">
              <w:rPr>
                <w:sz w:val="20"/>
                <w:szCs w:val="20"/>
                <w:lang w:val="en-US"/>
              </w:rPr>
              <w:t>Court of Appeal erred in elevating test for threshold reliability – Use of extrinsic evidence in assessment of threshold reliability – Appropriate contextual analysis in assessment of threshold reliability.</w:t>
            </w:r>
          </w:p>
          <w:p w:rsidR="005C3B9D" w:rsidRPr="003A1646" w:rsidRDefault="005C3B9D" w:rsidP="008F5FE2">
            <w:pPr>
              <w:jc w:val="both"/>
              <w:rPr>
                <w:sz w:val="20"/>
                <w:szCs w:val="20"/>
              </w:rPr>
            </w:pPr>
          </w:p>
        </w:tc>
      </w:tr>
      <w:tr w:rsidR="005C3B9D" w:rsidRPr="003A1646" w:rsidTr="008F5FE2">
        <w:tc>
          <w:tcPr>
            <w:tcW w:w="5000" w:type="pct"/>
            <w:gridSpan w:val="3"/>
          </w:tcPr>
          <w:p w:rsidR="005C3B9D" w:rsidRDefault="005C3B9D" w:rsidP="008F5FE2">
            <w:pPr>
              <w:jc w:val="both"/>
              <w:rPr>
                <w:rFonts w:ascii="Arial (W1)" w:hAnsi="Arial (W1)"/>
                <w:sz w:val="20"/>
                <w:szCs w:val="20"/>
                <w:lang w:val="en-US"/>
              </w:rPr>
            </w:pPr>
            <w:r w:rsidRPr="003A1646">
              <w:rPr>
                <w:rFonts w:ascii="Arial (W1)" w:hAnsi="Arial (W1)"/>
                <w:sz w:val="20"/>
                <w:szCs w:val="20"/>
                <w:lang w:val="en-US"/>
              </w:rPr>
              <w:t xml:space="preserve">Two people were shot to death five days apart. A co-accused became the target of a Mr. Big investigation, during which he told an undercover officer that he alone was the shooter in both killings. When he met Mr. Big, he said that </w:t>
            </w:r>
            <w:r w:rsidRPr="003A1646">
              <w:rPr>
                <w:sz w:val="20"/>
                <w:szCs w:val="20"/>
              </w:rPr>
              <w:t xml:space="preserve">the respondent shot </w:t>
            </w:r>
            <w:r w:rsidRPr="003A1646">
              <w:rPr>
                <w:rFonts w:ascii="Arial (W1)" w:hAnsi="Arial (W1)"/>
                <w:sz w:val="20"/>
                <w:szCs w:val="20"/>
                <w:lang w:val="en-US"/>
              </w:rPr>
              <w:t xml:space="preserve">one victim and assisted killing the other victim. The co-accused was arrested and charged with two counts of first degree murder. In police interviews, he </w:t>
            </w:r>
            <w:r w:rsidRPr="003A1646">
              <w:rPr>
                <w:sz w:val="20"/>
                <w:szCs w:val="20"/>
              </w:rPr>
              <w:t xml:space="preserve">first denied involvement, then he described the murders and implicated others but not by name, then he confessed, then he re-enacted the murders and alleged that the respondent shot the second victim and helped in the first murder. </w:t>
            </w:r>
            <w:r w:rsidRPr="003A1646">
              <w:rPr>
                <w:rFonts w:ascii="Arial (W1)" w:hAnsi="Arial (W1)"/>
                <w:sz w:val="20"/>
                <w:szCs w:val="20"/>
                <w:lang w:val="en-US"/>
              </w:rPr>
              <w:t xml:space="preserve">At the respondent’s trial, the co-accused refused to be sworn. The Crown sought to admit a recording of his re-enactment for the truth of its contents. </w:t>
            </w:r>
            <w:r w:rsidRPr="003A1646">
              <w:rPr>
                <w:sz w:val="20"/>
                <w:szCs w:val="20"/>
              </w:rPr>
              <w:t xml:space="preserve">The trial judge admitted the </w:t>
            </w:r>
            <w:r w:rsidRPr="003A1646">
              <w:rPr>
                <w:rFonts w:ascii="Arial (W1)" w:hAnsi="Arial (W1)"/>
                <w:sz w:val="20"/>
                <w:szCs w:val="20"/>
                <w:lang w:val="en-US"/>
              </w:rPr>
              <w:t xml:space="preserve">recording under the principled exception to the hearsay rule. </w:t>
            </w:r>
            <w:r w:rsidRPr="003A1646">
              <w:rPr>
                <w:sz w:val="20"/>
                <w:szCs w:val="20"/>
              </w:rPr>
              <w:t>A</w:t>
            </w:r>
            <w:r w:rsidRPr="003A1646">
              <w:rPr>
                <w:rFonts w:ascii="Arial (W1)" w:hAnsi="Arial (W1)"/>
                <w:sz w:val="20"/>
                <w:szCs w:val="20"/>
                <w:lang w:val="en-US"/>
              </w:rPr>
              <w:t xml:space="preserve"> jury convicted the respondent on two counts of first degree murder. The Court of Appeal held that the recording of the co-accused’s re-enactment should not have been admitted. It set aside the convictions and ordered a new trial on both counts.</w:t>
            </w:r>
          </w:p>
          <w:p w:rsidR="005C3B9D" w:rsidRPr="003A1646" w:rsidRDefault="005C3B9D" w:rsidP="008F5FE2">
            <w:pPr>
              <w:jc w:val="both"/>
              <w:rPr>
                <w:sz w:val="20"/>
                <w:szCs w:val="20"/>
              </w:rPr>
            </w:pPr>
          </w:p>
        </w:tc>
      </w:tr>
      <w:tr w:rsidR="005C3B9D" w:rsidRPr="003A1646" w:rsidTr="008F5FE2">
        <w:tc>
          <w:tcPr>
            <w:tcW w:w="2427" w:type="pct"/>
          </w:tcPr>
          <w:p w:rsidR="005C3B9D" w:rsidRPr="003A1646" w:rsidRDefault="005C3B9D" w:rsidP="008F5FE2">
            <w:pPr>
              <w:jc w:val="both"/>
              <w:rPr>
                <w:sz w:val="20"/>
                <w:szCs w:val="20"/>
              </w:rPr>
            </w:pPr>
            <w:r w:rsidRPr="003A1646">
              <w:rPr>
                <w:sz w:val="20"/>
                <w:szCs w:val="20"/>
              </w:rPr>
              <w:t>October 10, 2012</w:t>
            </w:r>
          </w:p>
          <w:p w:rsidR="005C3B9D" w:rsidRPr="003A1646" w:rsidRDefault="005C3B9D" w:rsidP="008F5FE2">
            <w:pPr>
              <w:jc w:val="both"/>
              <w:rPr>
                <w:sz w:val="20"/>
                <w:szCs w:val="20"/>
              </w:rPr>
            </w:pPr>
            <w:r w:rsidRPr="003A1646">
              <w:rPr>
                <w:sz w:val="20"/>
                <w:szCs w:val="20"/>
              </w:rPr>
              <w:t xml:space="preserve">Supreme Court of British Columbia </w:t>
            </w:r>
          </w:p>
          <w:p w:rsidR="005C3B9D" w:rsidRPr="003A1646" w:rsidRDefault="005C3B9D" w:rsidP="008F5FE2">
            <w:pPr>
              <w:jc w:val="both"/>
              <w:rPr>
                <w:sz w:val="20"/>
                <w:szCs w:val="20"/>
              </w:rPr>
            </w:pPr>
            <w:r w:rsidRPr="003A1646">
              <w:rPr>
                <w:sz w:val="20"/>
                <w:szCs w:val="20"/>
              </w:rPr>
              <w:t>(Greyell J.)</w:t>
            </w:r>
          </w:p>
          <w:p w:rsidR="005C3B9D" w:rsidRPr="003A1646" w:rsidRDefault="00CD76E4" w:rsidP="008F5FE2">
            <w:pPr>
              <w:jc w:val="both"/>
              <w:rPr>
                <w:sz w:val="20"/>
                <w:szCs w:val="20"/>
              </w:rPr>
            </w:pPr>
            <w:hyperlink r:id="rId39" w:history="1">
              <w:r w:rsidR="005C3B9D" w:rsidRPr="003A1646">
                <w:rPr>
                  <w:color w:val="0000FF" w:themeColor="hyperlink"/>
                  <w:sz w:val="20"/>
                  <w:szCs w:val="20"/>
                  <w:u w:val="single"/>
                </w:rPr>
                <w:t>2012 BCSC 2025</w:t>
              </w:r>
            </w:hyperlink>
          </w:p>
          <w:p w:rsidR="005C3B9D" w:rsidRPr="003A1646" w:rsidRDefault="005C3B9D" w:rsidP="008F5FE2">
            <w:pPr>
              <w:jc w:val="both"/>
              <w:rPr>
                <w:sz w:val="20"/>
                <w:szCs w:val="20"/>
              </w:rPr>
            </w:pPr>
          </w:p>
        </w:tc>
        <w:tc>
          <w:tcPr>
            <w:tcW w:w="243" w:type="pct"/>
          </w:tcPr>
          <w:p w:rsidR="005C3B9D" w:rsidRPr="003A1646" w:rsidRDefault="005C3B9D" w:rsidP="008F5FE2">
            <w:pPr>
              <w:jc w:val="both"/>
              <w:rPr>
                <w:sz w:val="20"/>
                <w:szCs w:val="20"/>
              </w:rPr>
            </w:pPr>
          </w:p>
        </w:tc>
        <w:tc>
          <w:tcPr>
            <w:tcW w:w="2330" w:type="pct"/>
          </w:tcPr>
          <w:p w:rsidR="005C3B9D" w:rsidRPr="003A1646" w:rsidRDefault="005C3B9D" w:rsidP="008F5FE2">
            <w:pPr>
              <w:jc w:val="both"/>
              <w:rPr>
                <w:sz w:val="20"/>
                <w:szCs w:val="20"/>
              </w:rPr>
            </w:pPr>
            <w:r w:rsidRPr="003A1646">
              <w:rPr>
                <w:sz w:val="20"/>
                <w:szCs w:val="20"/>
              </w:rPr>
              <w:t>Voir dire: Evidence admitted at trial</w:t>
            </w:r>
          </w:p>
        </w:tc>
      </w:tr>
    </w:tbl>
    <w:p w:rsidR="005C3B9D" w:rsidRDefault="005C3B9D" w:rsidP="005C3B9D"/>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3A1646" w:rsidTr="008F5FE2">
        <w:tc>
          <w:tcPr>
            <w:tcW w:w="2427" w:type="pct"/>
          </w:tcPr>
          <w:p w:rsidR="005C3B9D" w:rsidRPr="003A1646" w:rsidRDefault="005C3B9D" w:rsidP="008F5FE2">
            <w:pPr>
              <w:jc w:val="both"/>
              <w:rPr>
                <w:sz w:val="20"/>
                <w:szCs w:val="20"/>
              </w:rPr>
            </w:pPr>
            <w:r w:rsidRPr="003A1646">
              <w:rPr>
                <w:sz w:val="20"/>
                <w:szCs w:val="20"/>
              </w:rPr>
              <w:lastRenderedPageBreak/>
              <w:t>October 26, 2012</w:t>
            </w:r>
          </w:p>
          <w:p w:rsidR="005C3B9D" w:rsidRPr="003A1646" w:rsidRDefault="005C3B9D" w:rsidP="008F5FE2">
            <w:pPr>
              <w:jc w:val="both"/>
              <w:rPr>
                <w:sz w:val="20"/>
                <w:szCs w:val="20"/>
              </w:rPr>
            </w:pPr>
            <w:r w:rsidRPr="003A1646">
              <w:rPr>
                <w:sz w:val="20"/>
                <w:szCs w:val="20"/>
              </w:rPr>
              <w:t xml:space="preserve">Supreme Court of British Columbia </w:t>
            </w:r>
          </w:p>
          <w:p w:rsidR="005C3B9D" w:rsidRPr="003A1646" w:rsidRDefault="005C3B9D" w:rsidP="008F5FE2">
            <w:pPr>
              <w:jc w:val="both"/>
              <w:rPr>
                <w:sz w:val="20"/>
                <w:szCs w:val="20"/>
              </w:rPr>
            </w:pPr>
            <w:r w:rsidRPr="003A1646">
              <w:rPr>
                <w:sz w:val="20"/>
                <w:szCs w:val="20"/>
              </w:rPr>
              <w:t>(Greyell J.)</w:t>
            </w:r>
          </w:p>
          <w:p w:rsidR="005C3B9D" w:rsidRPr="003A1646" w:rsidRDefault="005C3B9D" w:rsidP="008F5FE2">
            <w:pPr>
              <w:jc w:val="both"/>
              <w:rPr>
                <w:sz w:val="20"/>
                <w:szCs w:val="20"/>
              </w:rPr>
            </w:pPr>
            <w:r w:rsidRPr="003A1646">
              <w:rPr>
                <w:sz w:val="20"/>
                <w:szCs w:val="20"/>
              </w:rPr>
              <w:t xml:space="preserve"> </w:t>
            </w:r>
          </w:p>
        </w:tc>
        <w:tc>
          <w:tcPr>
            <w:tcW w:w="243" w:type="pct"/>
          </w:tcPr>
          <w:p w:rsidR="005C3B9D" w:rsidRPr="003A1646" w:rsidRDefault="005C3B9D" w:rsidP="008F5FE2">
            <w:pPr>
              <w:jc w:val="both"/>
              <w:rPr>
                <w:sz w:val="20"/>
                <w:szCs w:val="20"/>
              </w:rPr>
            </w:pPr>
          </w:p>
        </w:tc>
        <w:tc>
          <w:tcPr>
            <w:tcW w:w="2330" w:type="pct"/>
          </w:tcPr>
          <w:p w:rsidR="005C3B9D" w:rsidRPr="003A1646" w:rsidRDefault="005C3B9D" w:rsidP="008F5FE2">
            <w:pPr>
              <w:jc w:val="both"/>
              <w:rPr>
                <w:sz w:val="20"/>
                <w:szCs w:val="20"/>
              </w:rPr>
            </w:pPr>
            <w:r w:rsidRPr="003A1646">
              <w:rPr>
                <w:sz w:val="20"/>
                <w:szCs w:val="20"/>
              </w:rPr>
              <w:t>Convictions by jury: Two counts first degree murder</w:t>
            </w:r>
          </w:p>
          <w:p w:rsidR="005C3B9D" w:rsidRPr="003A1646" w:rsidRDefault="005C3B9D" w:rsidP="008F5FE2">
            <w:pPr>
              <w:jc w:val="both"/>
              <w:rPr>
                <w:sz w:val="20"/>
                <w:szCs w:val="20"/>
              </w:rPr>
            </w:pPr>
          </w:p>
        </w:tc>
      </w:tr>
      <w:tr w:rsidR="005C3B9D" w:rsidRPr="003A1646" w:rsidTr="008F5FE2">
        <w:tc>
          <w:tcPr>
            <w:tcW w:w="2427" w:type="pct"/>
          </w:tcPr>
          <w:p w:rsidR="005C3B9D" w:rsidRPr="003A1646" w:rsidRDefault="005C3B9D" w:rsidP="008F5FE2">
            <w:pPr>
              <w:jc w:val="both"/>
              <w:rPr>
                <w:sz w:val="20"/>
                <w:szCs w:val="20"/>
              </w:rPr>
            </w:pPr>
            <w:r w:rsidRPr="003A1646">
              <w:rPr>
                <w:sz w:val="20"/>
                <w:szCs w:val="20"/>
              </w:rPr>
              <w:t>May 5, 2015</w:t>
            </w:r>
          </w:p>
          <w:p w:rsidR="005C3B9D" w:rsidRPr="003A1646" w:rsidRDefault="005C3B9D" w:rsidP="008F5FE2">
            <w:pPr>
              <w:jc w:val="both"/>
              <w:rPr>
                <w:sz w:val="20"/>
                <w:szCs w:val="20"/>
              </w:rPr>
            </w:pPr>
            <w:r w:rsidRPr="003A1646">
              <w:rPr>
                <w:sz w:val="20"/>
                <w:szCs w:val="20"/>
              </w:rPr>
              <w:t xml:space="preserve">Court of Appeal for British Columbia </w:t>
            </w:r>
          </w:p>
          <w:p w:rsidR="005C3B9D" w:rsidRPr="003A1646" w:rsidRDefault="005C3B9D" w:rsidP="008F5FE2">
            <w:pPr>
              <w:jc w:val="both"/>
              <w:rPr>
                <w:sz w:val="20"/>
                <w:szCs w:val="20"/>
                <w:lang w:val="fr-CA"/>
              </w:rPr>
            </w:pPr>
            <w:r w:rsidRPr="003A1646">
              <w:rPr>
                <w:sz w:val="20"/>
                <w:szCs w:val="20"/>
                <w:lang w:val="fr-CA"/>
              </w:rPr>
              <w:t>(Vancouver)</w:t>
            </w:r>
          </w:p>
          <w:p w:rsidR="005C3B9D" w:rsidRPr="003A1646" w:rsidRDefault="005C3B9D" w:rsidP="008F5FE2">
            <w:pPr>
              <w:jc w:val="both"/>
              <w:rPr>
                <w:sz w:val="20"/>
                <w:szCs w:val="20"/>
                <w:lang w:val="fr-CA"/>
              </w:rPr>
            </w:pPr>
            <w:r w:rsidRPr="003A1646">
              <w:rPr>
                <w:sz w:val="20"/>
                <w:szCs w:val="20"/>
                <w:lang w:val="fr-CA"/>
              </w:rPr>
              <w:t>(Bennett, Neilson, Garson JJ.A.)</w:t>
            </w:r>
          </w:p>
          <w:p w:rsidR="005C3B9D" w:rsidRPr="003A1646" w:rsidRDefault="005C3B9D" w:rsidP="008F5FE2">
            <w:pPr>
              <w:jc w:val="both"/>
              <w:rPr>
                <w:sz w:val="20"/>
                <w:szCs w:val="20"/>
              </w:rPr>
            </w:pPr>
            <w:r w:rsidRPr="003A1646">
              <w:rPr>
                <w:sz w:val="20"/>
                <w:szCs w:val="20"/>
              </w:rPr>
              <w:t xml:space="preserve">C040718; </w:t>
            </w:r>
            <w:hyperlink r:id="rId40" w:history="1">
              <w:r w:rsidRPr="003A1646">
                <w:rPr>
                  <w:color w:val="0000FF" w:themeColor="hyperlink"/>
                  <w:sz w:val="20"/>
                  <w:szCs w:val="20"/>
                  <w:u w:val="single"/>
                </w:rPr>
                <w:t>2015 BCCA 195</w:t>
              </w:r>
            </w:hyperlink>
          </w:p>
          <w:p w:rsidR="005C3B9D" w:rsidRPr="003A1646" w:rsidRDefault="005C3B9D" w:rsidP="008F5FE2">
            <w:pPr>
              <w:jc w:val="both"/>
              <w:rPr>
                <w:sz w:val="20"/>
                <w:szCs w:val="20"/>
              </w:rPr>
            </w:pPr>
          </w:p>
        </w:tc>
        <w:tc>
          <w:tcPr>
            <w:tcW w:w="243" w:type="pct"/>
          </w:tcPr>
          <w:p w:rsidR="005C3B9D" w:rsidRPr="003A1646" w:rsidRDefault="005C3B9D" w:rsidP="008F5FE2">
            <w:pPr>
              <w:jc w:val="both"/>
              <w:rPr>
                <w:sz w:val="20"/>
                <w:szCs w:val="20"/>
              </w:rPr>
            </w:pPr>
          </w:p>
        </w:tc>
        <w:tc>
          <w:tcPr>
            <w:tcW w:w="2330" w:type="pct"/>
          </w:tcPr>
          <w:p w:rsidR="005C3B9D" w:rsidRPr="003A1646" w:rsidRDefault="005C3B9D" w:rsidP="008F5FE2">
            <w:pPr>
              <w:jc w:val="both"/>
              <w:rPr>
                <w:sz w:val="20"/>
                <w:szCs w:val="20"/>
              </w:rPr>
            </w:pPr>
            <w:r w:rsidRPr="003A1646">
              <w:rPr>
                <w:sz w:val="20"/>
                <w:szCs w:val="20"/>
              </w:rPr>
              <w:t>Appeal allowed: Convictions set aside and new trial ordered</w:t>
            </w:r>
          </w:p>
          <w:p w:rsidR="005C3B9D" w:rsidRPr="003A1646" w:rsidRDefault="005C3B9D" w:rsidP="008F5FE2">
            <w:pPr>
              <w:jc w:val="both"/>
              <w:rPr>
                <w:sz w:val="20"/>
                <w:szCs w:val="20"/>
              </w:rPr>
            </w:pPr>
          </w:p>
        </w:tc>
      </w:tr>
      <w:tr w:rsidR="005C3B9D" w:rsidRPr="003A1646" w:rsidTr="008F5FE2">
        <w:tc>
          <w:tcPr>
            <w:tcW w:w="2427" w:type="pct"/>
          </w:tcPr>
          <w:p w:rsidR="005C3B9D" w:rsidRPr="003A1646" w:rsidRDefault="005C3B9D" w:rsidP="008F5FE2">
            <w:pPr>
              <w:jc w:val="both"/>
              <w:rPr>
                <w:sz w:val="20"/>
                <w:szCs w:val="20"/>
              </w:rPr>
            </w:pPr>
            <w:r w:rsidRPr="003A1646">
              <w:rPr>
                <w:sz w:val="20"/>
                <w:szCs w:val="20"/>
              </w:rPr>
              <w:t>August 4, 2015</w:t>
            </w:r>
          </w:p>
          <w:p w:rsidR="005C3B9D" w:rsidRPr="003A1646" w:rsidRDefault="005C3B9D" w:rsidP="008F5FE2">
            <w:pPr>
              <w:jc w:val="both"/>
              <w:rPr>
                <w:sz w:val="20"/>
                <w:szCs w:val="20"/>
              </w:rPr>
            </w:pPr>
            <w:r w:rsidRPr="003A1646">
              <w:rPr>
                <w:sz w:val="20"/>
                <w:szCs w:val="20"/>
              </w:rPr>
              <w:t>Supreme Court of Canada</w:t>
            </w:r>
          </w:p>
        </w:tc>
        <w:tc>
          <w:tcPr>
            <w:tcW w:w="243" w:type="pct"/>
          </w:tcPr>
          <w:p w:rsidR="005C3B9D" w:rsidRPr="003A1646" w:rsidRDefault="005C3B9D" w:rsidP="008F5FE2">
            <w:pPr>
              <w:jc w:val="both"/>
              <w:rPr>
                <w:sz w:val="20"/>
                <w:szCs w:val="20"/>
              </w:rPr>
            </w:pPr>
          </w:p>
        </w:tc>
        <w:tc>
          <w:tcPr>
            <w:tcW w:w="2330" w:type="pct"/>
          </w:tcPr>
          <w:p w:rsidR="005C3B9D" w:rsidRPr="003A1646" w:rsidRDefault="005C3B9D" w:rsidP="008F5FE2">
            <w:pPr>
              <w:jc w:val="both"/>
              <w:rPr>
                <w:sz w:val="20"/>
                <w:szCs w:val="20"/>
              </w:rPr>
            </w:pPr>
            <w:r w:rsidRPr="003A1646">
              <w:rPr>
                <w:sz w:val="20"/>
                <w:szCs w:val="20"/>
              </w:rPr>
              <w:t>Application for leave to appeal filed</w:t>
            </w:r>
          </w:p>
        </w:tc>
      </w:tr>
    </w:tbl>
    <w:p w:rsidR="005C3B9D" w:rsidRPr="0033473D" w:rsidRDefault="005C3B9D" w:rsidP="005C3B9D">
      <w:pPr>
        <w:rPr>
          <w:sz w:val="20"/>
          <w:szCs w:val="20"/>
        </w:rPr>
      </w:pPr>
    </w:p>
    <w:p w:rsidR="005C3B9D" w:rsidRPr="00C50A5C" w:rsidRDefault="00CD76E4" w:rsidP="005C3B9D">
      <w:pPr>
        <w:rPr>
          <w:sz w:val="20"/>
          <w:szCs w:val="20"/>
        </w:rPr>
      </w:pPr>
      <w:r>
        <w:rPr>
          <w:sz w:val="20"/>
          <w:szCs w:val="20"/>
          <w:lang w:val="fr-CA"/>
        </w:rPr>
        <w:pict>
          <v:rect id="_x0000_i1044"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B25A54" w:rsidRDefault="005C3B9D" w:rsidP="008F5FE2">
            <w:pPr>
              <w:jc w:val="both"/>
              <w:rPr>
                <w:smallCaps/>
                <w:sz w:val="20"/>
                <w:szCs w:val="20"/>
                <w:lang w:val="fr-CA"/>
              </w:rPr>
            </w:pPr>
            <w:r w:rsidRPr="00B25A54">
              <w:rPr>
                <w:smallCaps/>
                <w:sz w:val="20"/>
                <w:szCs w:val="20"/>
                <w:lang w:val="fr-CA"/>
              </w:rPr>
              <w:t>(Ordonnance de non-publication dans le dossier)</w:t>
            </w:r>
          </w:p>
          <w:p w:rsidR="005C3B9D" w:rsidRPr="00B25A54" w:rsidRDefault="005C3B9D" w:rsidP="008F5FE2">
            <w:pPr>
              <w:jc w:val="both"/>
              <w:rPr>
                <w:sz w:val="20"/>
                <w:szCs w:val="20"/>
                <w:lang w:val="fr-CA"/>
              </w:rPr>
            </w:pPr>
          </w:p>
          <w:p w:rsidR="005C3B9D" w:rsidRDefault="005C3B9D" w:rsidP="008F5FE2">
            <w:pPr>
              <w:jc w:val="both"/>
              <w:rPr>
                <w:sz w:val="20"/>
                <w:szCs w:val="20"/>
                <w:lang w:val="fr-CA"/>
              </w:rPr>
            </w:pPr>
            <w:r w:rsidRPr="00B25A54">
              <w:rPr>
                <w:sz w:val="20"/>
                <w:szCs w:val="20"/>
                <w:lang w:val="fr-CA"/>
              </w:rPr>
              <w:t>Droit criminel – Preuve – Ouï-dire – Seuil de fiabilité – Admissibilité de la déclaration relatée d’un ancien coaccusé – La Cour d’appel a-t-elle commis une erreur en haussant le critère du seuil de fiabilité? – Utilisation d’une preuve extrinsèque dans l’appréciation du seuil de fiabilité – Analyse contextuelle appropriée dans l’appréciation du seuil de fiabilité.</w:t>
            </w:r>
          </w:p>
          <w:p w:rsidR="005C3B9D" w:rsidRPr="00B25A54" w:rsidRDefault="005C3B9D" w:rsidP="008F5FE2">
            <w:pPr>
              <w:jc w:val="both"/>
              <w:rPr>
                <w:sz w:val="20"/>
                <w:szCs w:val="20"/>
                <w:lang w:val="fr-CA"/>
              </w:rPr>
            </w:pPr>
          </w:p>
        </w:tc>
      </w:tr>
      <w:tr w:rsidR="005C3B9D" w:rsidRPr="00B26F8D" w:rsidTr="008F5FE2">
        <w:tc>
          <w:tcPr>
            <w:tcW w:w="5000" w:type="pct"/>
            <w:gridSpan w:val="3"/>
          </w:tcPr>
          <w:p w:rsidR="005C3B9D" w:rsidRDefault="005C3B9D" w:rsidP="008F5FE2">
            <w:pPr>
              <w:jc w:val="both"/>
              <w:rPr>
                <w:rFonts w:ascii="Arial (W1)" w:hAnsi="Arial (W1)"/>
                <w:sz w:val="20"/>
                <w:szCs w:val="20"/>
                <w:lang w:val="fr-CA"/>
              </w:rPr>
            </w:pPr>
            <w:r w:rsidRPr="00B25A54">
              <w:rPr>
                <w:rFonts w:ascii="Arial (W1)" w:hAnsi="Arial (W1)"/>
                <w:sz w:val="20"/>
                <w:szCs w:val="20"/>
                <w:lang w:val="fr-CA"/>
              </w:rPr>
              <w:t>Deux personnes ont été tuées par balles à cinq jours d’intervalle. Un coaccusé a été soumis à une opération Monsieur Big, au cours de laquelle il a confié à un agent d’infiltration que lui seul avait abattu les deux victimes. Lorsqu’il a rencontré Monsieur Big, il a affirmé que l’intimé avait tué l’une d’elles et avait aidé à tuer l’autre. Le coaccusé a été arrêté et accusé de deux chefs de meurtre au premier degré. Lors d’interrogatoires menés par la police, il a tout d’abord nié toute participation, pour ensuite décrire les meurtres</w:t>
            </w:r>
            <w:r w:rsidRPr="00B25A54">
              <w:rPr>
                <w:sz w:val="20"/>
                <w:szCs w:val="20"/>
                <w:lang w:val="fr-CA"/>
              </w:rPr>
              <w:t xml:space="preserve"> et mettre en cause d’autres personnes sans toutefois donner de noms, et puis passer aux aveux, reconstituer les meurtres et affirmer que l’intimé avait tué la deuxième victime et avait aidé à commettre le premier meurtre. Au procès de l’intimé, le coaccusé a refusé d’être assermenté</w:t>
            </w:r>
            <w:r w:rsidRPr="00B25A54">
              <w:rPr>
                <w:rFonts w:ascii="Arial (W1)" w:hAnsi="Arial (W1)"/>
                <w:sz w:val="20"/>
                <w:szCs w:val="20"/>
                <w:lang w:val="fr-CA"/>
              </w:rPr>
              <w:t>. Le ministère public a tenté de faire admettre un enregistrement de sa reconstitution des crimes comme preuve de la véracité de son contenu. Le juge du procès a admis l’enregistrement, conformément à l’exception raisonnée à la règle du ouï-dire. Un jury a déclaré l’intimé coupable de deux chefs de meurtre au premier degré. La Cour d’appel a conclu que l’enregistrement en question n’aurait pas dû être admis. Elle a annulé les déclarations de culpabilité et ordonné un nouveau procès relativement aux deux chefs d’accusation.</w:t>
            </w:r>
          </w:p>
          <w:p w:rsidR="005C3B9D" w:rsidRPr="00B25A54" w:rsidRDefault="005C3B9D" w:rsidP="008F5FE2">
            <w:pPr>
              <w:jc w:val="both"/>
              <w:rPr>
                <w:sz w:val="20"/>
                <w:szCs w:val="20"/>
                <w:lang w:val="fr-CA"/>
              </w:rPr>
            </w:pPr>
          </w:p>
        </w:tc>
      </w:tr>
      <w:tr w:rsidR="005C3B9D" w:rsidRPr="00B26F8D" w:rsidTr="008F5FE2">
        <w:tc>
          <w:tcPr>
            <w:tcW w:w="2427" w:type="pct"/>
          </w:tcPr>
          <w:p w:rsidR="005C3B9D" w:rsidRPr="00B25A54" w:rsidRDefault="005C3B9D" w:rsidP="008F5FE2">
            <w:pPr>
              <w:jc w:val="both"/>
              <w:rPr>
                <w:sz w:val="20"/>
                <w:szCs w:val="20"/>
                <w:lang w:val="fr-CA"/>
              </w:rPr>
            </w:pPr>
            <w:r w:rsidRPr="00B25A54">
              <w:rPr>
                <w:sz w:val="20"/>
                <w:szCs w:val="20"/>
                <w:lang w:val="fr-CA"/>
              </w:rPr>
              <w:t>10 octobre 2012</w:t>
            </w:r>
          </w:p>
          <w:p w:rsidR="005C3B9D" w:rsidRPr="00B25A54" w:rsidRDefault="005C3B9D" w:rsidP="008F5FE2">
            <w:pPr>
              <w:jc w:val="both"/>
              <w:rPr>
                <w:sz w:val="20"/>
                <w:szCs w:val="20"/>
                <w:lang w:val="fr-CA"/>
              </w:rPr>
            </w:pPr>
            <w:r w:rsidRPr="00B25A54">
              <w:rPr>
                <w:sz w:val="20"/>
                <w:szCs w:val="20"/>
                <w:lang w:val="fr-CA"/>
              </w:rPr>
              <w:t xml:space="preserve">Cour suprême de la Colombie-Britannique </w:t>
            </w:r>
          </w:p>
          <w:p w:rsidR="005C3B9D" w:rsidRPr="00B25A54" w:rsidRDefault="005C3B9D" w:rsidP="008F5FE2">
            <w:pPr>
              <w:jc w:val="both"/>
              <w:rPr>
                <w:sz w:val="20"/>
                <w:szCs w:val="20"/>
                <w:lang w:val="fr-CA"/>
              </w:rPr>
            </w:pPr>
            <w:r w:rsidRPr="00B25A54">
              <w:rPr>
                <w:sz w:val="20"/>
                <w:szCs w:val="20"/>
                <w:lang w:val="fr-CA"/>
              </w:rPr>
              <w:t>(Juge Greyell)</w:t>
            </w:r>
          </w:p>
          <w:p w:rsidR="005C3B9D" w:rsidRPr="00B25A54" w:rsidRDefault="00CD76E4" w:rsidP="008F5FE2">
            <w:pPr>
              <w:jc w:val="both"/>
              <w:rPr>
                <w:sz w:val="20"/>
                <w:szCs w:val="20"/>
                <w:lang w:val="fr-CA"/>
              </w:rPr>
            </w:pPr>
            <w:hyperlink r:id="rId41" w:history="1">
              <w:r w:rsidR="005C3B9D" w:rsidRPr="00B25A54">
                <w:rPr>
                  <w:color w:val="0000FF" w:themeColor="hyperlink"/>
                  <w:sz w:val="20"/>
                  <w:szCs w:val="20"/>
                  <w:u w:val="single"/>
                  <w:lang w:val="fr-CA"/>
                </w:rPr>
                <w:t>2012 BCSC 2025</w:t>
              </w:r>
            </w:hyperlink>
          </w:p>
          <w:p w:rsidR="005C3B9D" w:rsidRPr="00B25A54" w:rsidRDefault="005C3B9D" w:rsidP="008F5FE2">
            <w:pPr>
              <w:jc w:val="both"/>
              <w:rPr>
                <w:sz w:val="20"/>
                <w:szCs w:val="20"/>
                <w:lang w:val="fr-CA"/>
              </w:rPr>
            </w:pPr>
          </w:p>
        </w:tc>
        <w:tc>
          <w:tcPr>
            <w:tcW w:w="243" w:type="pct"/>
          </w:tcPr>
          <w:p w:rsidR="005C3B9D" w:rsidRPr="00B25A54" w:rsidRDefault="005C3B9D" w:rsidP="008F5FE2">
            <w:pPr>
              <w:jc w:val="both"/>
              <w:rPr>
                <w:sz w:val="20"/>
                <w:szCs w:val="20"/>
                <w:lang w:val="fr-CA"/>
              </w:rPr>
            </w:pPr>
          </w:p>
        </w:tc>
        <w:tc>
          <w:tcPr>
            <w:tcW w:w="2330" w:type="pct"/>
          </w:tcPr>
          <w:p w:rsidR="005C3B9D" w:rsidRPr="00B25A54" w:rsidRDefault="005C3B9D" w:rsidP="008F5FE2">
            <w:pPr>
              <w:jc w:val="both"/>
              <w:rPr>
                <w:sz w:val="20"/>
                <w:szCs w:val="20"/>
                <w:lang w:val="fr-CA"/>
              </w:rPr>
            </w:pPr>
            <w:r w:rsidRPr="00B25A54">
              <w:rPr>
                <w:sz w:val="20"/>
                <w:szCs w:val="20"/>
                <w:lang w:val="fr-CA"/>
              </w:rPr>
              <w:t>Voir-dire : preuve admise au procès</w:t>
            </w:r>
          </w:p>
        </w:tc>
      </w:tr>
      <w:tr w:rsidR="005C3B9D" w:rsidRPr="00B26F8D" w:rsidTr="008F5FE2">
        <w:tc>
          <w:tcPr>
            <w:tcW w:w="2427" w:type="pct"/>
          </w:tcPr>
          <w:p w:rsidR="005C3B9D" w:rsidRPr="00B25A54" w:rsidRDefault="005C3B9D" w:rsidP="008F5FE2">
            <w:pPr>
              <w:jc w:val="both"/>
              <w:rPr>
                <w:sz w:val="20"/>
                <w:szCs w:val="20"/>
                <w:lang w:val="fr-CA"/>
              </w:rPr>
            </w:pPr>
            <w:r w:rsidRPr="00B25A54">
              <w:rPr>
                <w:sz w:val="20"/>
                <w:szCs w:val="20"/>
                <w:lang w:val="fr-CA"/>
              </w:rPr>
              <w:t>26 octobre 2012</w:t>
            </w:r>
          </w:p>
          <w:p w:rsidR="005C3B9D" w:rsidRPr="00B25A54" w:rsidRDefault="005C3B9D" w:rsidP="008F5FE2">
            <w:pPr>
              <w:jc w:val="both"/>
              <w:rPr>
                <w:sz w:val="20"/>
                <w:szCs w:val="20"/>
                <w:lang w:val="fr-CA"/>
              </w:rPr>
            </w:pPr>
            <w:r w:rsidRPr="00B25A54">
              <w:rPr>
                <w:sz w:val="20"/>
                <w:szCs w:val="20"/>
                <w:lang w:val="fr-CA"/>
              </w:rPr>
              <w:t xml:space="preserve">Cour suprême de la Colombie-Britannique </w:t>
            </w:r>
          </w:p>
          <w:p w:rsidR="005C3B9D" w:rsidRPr="00B25A54" w:rsidRDefault="005C3B9D" w:rsidP="008F5FE2">
            <w:pPr>
              <w:jc w:val="both"/>
              <w:rPr>
                <w:sz w:val="20"/>
                <w:szCs w:val="20"/>
                <w:lang w:val="fr-CA"/>
              </w:rPr>
            </w:pPr>
            <w:r w:rsidRPr="00B25A54">
              <w:rPr>
                <w:sz w:val="20"/>
                <w:szCs w:val="20"/>
                <w:lang w:val="fr-CA"/>
              </w:rPr>
              <w:t>(Juge Greyell)</w:t>
            </w:r>
          </w:p>
          <w:p w:rsidR="005C3B9D" w:rsidRPr="00B25A54" w:rsidRDefault="005C3B9D" w:rsidP="008F5FE2">
            <w:pPr>
              <w:jc w:val="both"/>
              <w:rPr>
                <w:sz w:val="20"/>
                <w:szCs w:val="20"/>
                <w:lang w:val="fr-CA"/>
              </w:rPr>
            </w:pPr>
          </w:p>
        </w:tc>
        <w:tc>
          <w:tcPr>
            <w:tcW w:w="243" w:type="pct"/>
          </w:tcPr>
          <w:p w:rsidR="005C3B9D" w:rsidRPr="00B25A54" w:rsidRDefault="005C3B9D" w:rsidP="008F5FE2">
            <w:pPr>
              <w:jc w:val="both"/>
              <w:rPr>
                <w:sz w:val="20"/>
                <w:szCs w:val="20"/>
                <w:lang w:val="fr-CA"/>
              </w:rPr>
            </w:pPr>
          </w:p>
        </w:tc>
        <w:tc>
          <w:tcPr>
            <w:tcW w:w="2330" w:type="pct"/>
          </w:tcPr>
          <w:p w:rsidR="005C3B9D" w:rsidRPr="00B25A54" w:rsidRDefault="005C3B9D" w:rsidP="008F5FE2">
            <w:pPr>
              <w:jc w:val="both"/>
              <w:rPr>
                <w:sz w:val="20"/>
                <w:szCs w:val="20"/>
                <w:lang w:val="fr-CA"/>
              </w:rPr>
            </w:pPr>
            <w:r w:rsidRPr="00B25A54">
              <w:rPr>
                <w:sz w:val="20"/>
                <w:szCs w:val="20"/>
                <w:lang w:val="fr-CA"/>
              </w:rPr>
              <w:t>Déclarations de culpabilité par un jury relativement à deux chefs de meurtre au premier degré</w:t>
            </w:r>
          </w:p>
          <w:p w:rsidR="005C3B9D" w:rsidRPr="00B25A54" w:rsidRDefault="005C3B9D" w:rsidP="008F5FE2">
            <w:pPr>
              <w:jc w:val="both"/>
              <w:rPr>
                <w:sz w:val="20"/>
                <w:szCs w:val="20"/>
                <w:lang w:val="fr-CA"/>
              </w:rPr>
            </w:pPr>
          </w:p>
        </w:tc>
      </w:tr>
      <w:tr w:rsidR="005C3B9D" w:rsidRPr="00B26F8D" w:rsidTr="008F5FE2">
        <w:tc>
          <w:tcPr>
            <w:tcW w:w="2427" w:type="pct"/>
          </w:tcPr>
          <w:p w:rsidR="005C3B9D" w:rsidRPr="00B25A54" w:rsidRDefault="005C3B9D" w:rsidP="008F5FE2">
            <w:pPr>
              <w:jc w:val="both"/>
              <w:rPr>
                <w:sz w:val="20"/>
                <w:szCs w:val="20"/>
                <w:lang w:val="fr-CA"/>
              </w:rPr>
            </w:pPr>
            <w:r w:rsidRPr="00B25A54">
              <w:rPr>
                <w:sz w:val="20"/>
                <w:szCs w:val="20"/>
                <w:lang w:val="fr-CA"/>
              </w:rPr>
              <w:t>5 mai 2015</w:t>
            </w:r>
          </w:p>
          <w:p w:rsidR="005C3B9D" w:rsidRPr="00B25A54" w:rsidRDefault="005C3B9D" w:rsidP="008F5FE2">
            <w:pPr>
              <w:jc w:val="both"/>
              <w:rPr>
                <w:sz w:val="20"/>
                <w:szCs w:val="20"/>
                <w:lang w:val="fr-CA"/>
              </w:rPr>
            </w:pPr>
            <w:r w:rsidRPr="00B25A54">
              <w:rPr>
                <w:sz w:val="20"/>
                <w:szCs w:val="20"/>
                <w:lang w:val="fr-CA"/>
              </w:rPr>
              <w:t xml:space="preserve">Cour d’appel de la Colombie-Britannique </w:t>
            </w:r>
          </w:p>
          <w:p w:rsidR="005C3B9D" w:rsidRPr="00B25A54" w:rsidRDefault="005C3B9D" w:rsidP="008F5FE2">
            <w:pPr>
              <w:jc w:val="both"/>
              <w:rPr>
                <w:sz w:val="20"/>
                <w:szCs w:val="20"/>
                <w:lang w:val="fr-CA"/>
              </w:rPr>
            </w:pPr>
            <w:r w:rsidRPr="00B25A54">
              <w:rPr>
                <w:sz w:val="20"/>
                <w:szCs w:val="20"/>
                <w:lang w:val="fr-CA"/>
              </w:rPr>
              <w:t>(Vancouver)</w:t>
            </w:r>
          </w:p>
          <w:p w:rsidR="005C3B9D" w:rsidRPr="00B25A54" w:rsidRDefault="005C3B9D" w:rsidP="008F5FE2">
            <w:pPr>
              <w:jc w:val="both"/>
              <w:rPr>
                <w:sz w:val="20"/>
                <w:szCs w:val="20"/>
                <w:lang w:val="fr-CA"/>
              </w:rPr>
            </w:pPr>
            <w:r w:rsidRPr="00B25A54">
              <w:rPr>
                <w:sz w:val="20"/>
                <w:szCs w:val="20"/>
                <w:lang w:val="fr-CA"/>
              </w:rPr>
              <w:t>(Juges Bennett, Neilson et Garson)</w:t>
            </w:r>
          </w:p>
          <w:p w:rsidR="005C3B9D" w:rsidRPr="00B25A54" w:rsidRDefault="005C3B9D" w:rsidP="008F5FE2">
            <w:pPr>
              <w:jc w:val="both"/>
              <w:rPr>
                <w:sz w:val="20"/>
                <w:szCs w:val="20"/>
                <w:lang w:val="fr-CA"/>
              </w:rPr>
            </w:pPr>
            <w:r w:rsidRPr="00B25A54">
              <w:rPr>
                <w:sz w:val="20"/>
                <w:szCs w:val="20"/>
                <w:lang w:val="fr-CA"/>
              </w:rPr>
              <w:t xml:space="preserve">C040718; </w:t>
            </w:r>
            <w:hyperlink r:id="rId42" w:history="1">
              <w:r w:rsidRPr="00B25A54">
                <w:rPr>
                  <w:color w:val="0000FF" w:themeColor="hyperlink"/>
                  <w:sz w:val="20"/>
                  <w:szCs w:val="20"/>
                  <w:u w:val="single"/>
                  <w:lang w:val="fr-CA"/>
                </w:rPr>
                <w:t>2015 BCCA 195</w:t>
              </w:r>
            </w:hyperlink>
          </w:p>
          <w:p w:rsidR="005C3B9D" w:rsidRPr="00B25A54" w:rsidRDefault="005C3B9D" w:rsidP="008F5FE2">
            <w:pPr>
              <w:jc w:val="both"/>
              <w:rPr>
                <w:sz w:val="20"/>
                <w:szCs w:val="20"/>
                <w:lang w:val="fr-CA"/>
              </w:rPr>
            </w:pPr>
          </w:p>
        </w:tc>
        <w:tc>
          <w:tcPr>
            <w:tcW w:w="243" w:type="pct"/>
          </w:tcPr>
          <w:p w:rsidR="005C3B9D" w:rsidRPr="00B25A54" w:rsidRDefault="005C3B9D" w:rsidP="008F5FE2">
            <w:pPr>
              <w:jc w:val="both"/>
              <w:rPr>
                <w:sz w:val="20"/>
                <w:szCs w:val="20"/>
                <w:lang w:val="fr-CA"/>
              </w:rPr>
            </w:pPr>
          </w:p>
        </w:tc>
        <w:tc>
          <w:tcPr>
            <w:tcW w:w="2330" w:type="pct"/>
          </w:tcPr>
          <w:p w:rsidR="005C3B9D" w:rsidRPr="00B25A54" w:rsidRDefault="005C3B9D" w:rsidP="008F5FE2">
            <w:pPr>
              <w:jc w:val="both"/>
              <w:rPr>
                <w:sz w:val="20"/>
                <w:szCs w:val="20"/>
                <w:lang w:val="fr-CA"/>
              </w:rPr>
            </w:pPr>
            <w:r w:rsidRPr="00B25A54">
              <w:rPr>
                <w:sz w:val="20"/>
                <w:szCs w:val="20"/>
                <w:lang w:val="fr-CA"/>
              </w:rPr>
              <w:t>Arrêt accueillant l’appel, annulant les déclarations de culpabilité et ordonnant un nouveau procès</w:t>
            </w:r>
          </w:p>
          <w:p w:rsidR="005C3B9D" w:rsidRPr="00B25A54" w:rsidRDefault="005C3B9D" w:rsidP="008F5FE2">
            <w:pPr>
              <w:jc w:val="both"/>
              <w:rPr>
                <w:sz w:val="20"/>
                <w:szCs w:val="20"/>
                <w:lang w:val="fr-CA"/>
              </w:rPr>
            </w:pPr>
          </w:p>
        </w:tc>
      </w:tr>
      <w:tr w:rsidR="005C3B9D" w:rsidRPr="00B26F8D" w:rsidTr="008F5FE2">
        <w:tc>
          <w:tcPr>
            <w:tcW w:w="2427" w:type="pct"/>
          </w:tcPr>
          <w:p w:rsidR="005C3B9D" w:rsidRPr="00B25A54" w:rsidRDefault="005C3B9D" w:rsidP="008F5FE2">
            <w:pPr>
              <w:jc w:val="both"/>
              <w:rPr>
                <w:sz w:val="20"/>
                <w:szCs w:val="20"/>
                <w:lang w:val="fr-CA"/>
              </w:rPr>
            </w:pPr>
            <w:r w:rsidRPr="00B25A54">
              <w:rPr>
                <w:sz w:val="20"/>
                <w:szCs w:val="20"/>
                <w:lang w:val="fr-CA"/>
              </w:rPr>
              <w:lastRenderedPageBreak/>
              <w:t>4 août 2015</w:t>
            </w:r>
          </w:p>
          <w:p w:rsidR="005C3B9D" w:rsidRPr="00B25A54" w:rsidRDefault="005C3B9D" w:rsidP="008F5FE2">
            <w:pPr>
              <w:jc w:val="both"/>
              <w:rPr>
                <w:sz w:val="20"/>
                <w:szCs w:val="20"/>
                <w:lang w:val="fr-CA"/>
              </w:rPr>
            </w:pPr>
            <w:r w:rsidRPr="00B25A54">
              <w:rPr>
                <w:sz w:val="20"/>
                <w:szCs w:val="20"/>
                <w:lang w:val="fr-CA"/>
              </w:rPr>
              <w:t>Cour suprême du Canada</w:t>
            </w:r>
          </w:p>
        </w:tc>
        <w:tc>
          <w:tcPr>
            <w:tcW w:w="243" w:type="pct"/>
          </w:tcPr>
          <w:p w:rsidR="005C3B9D" w:rsidRPr="00B25A54" w:rsidRDefault="005C3B9D" w:rsidP="008F5FE2">
            <w:pPr>
              <w:jc w:val="both"/>
              <w:rPr>
                <w:sz w:val="20"/>
                <w:szCs w:val="20"/>
                <w:lang w:val="fr-CA"/>
              </w:rPr>
            </w:pPr>
          </w:p>
        </w:tc>
        <w:tc>
          <w:tcPr>
            <w:tcW w:w="2330" w:type="pct"/>
          </w:tcPr>
          <w:p w:rsidR="005C3B9D" w:rsidRPr="00B25A54" w:rsidRDefault="005C3B9D" w:rsidP="008F5FE2">
            <w:pPr>
              <w:jc w:val="both"/>
              <w:rPr>
                <w:sz w:val="20"/>
                <w:szCs w:val="20"/>
                <w:lang w:val="fr-CA"/>
              </w:rPr>
            </w:pPr>
            <w:r w:rsidRPr="00B25A54">
              <w:rPr>
                <w:sz w:val="20"/>
                <w:szCs w:val="20"/>
                <w:lang w:val="fr-CA"/>
              </w:rPr>
              <w:t>Dépôt de la demande d’autorisation d’appel</w:t>
            </w: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45"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w:t>
            </w:r>
            <w:r w:rsidRPr="00622B1A">
              <w:rPr>
                <w:rStyle w:val="SCCFileNumberChar"/>
                <w:sz w:val="20"/>
                <w:szCs w:val="20"/>
              </w:rPr>
              <w:t>3</w:t>
            </w:r>
            <w:r>
              <w:rPr>
                <w:rStyle w:val="SCCFileNumberChar"/>
                <w:sz w:val="20"/>
                <w:szCs w:val="20"/>
              </w:rPr>
              <w:t>8</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Apotex Inc. v. Eli Lilly and Company and Eli Lilly Canada Inc.</w:t>
            </w:r>
            <w:r w:rsidRPr="0041388B">
              <w:rPr>
                <w:sz w:val="20"/>
                <w:szCs w:val="24"/>
              </w:rPr>
              <w:t xml:space="preserve"> (Ont.) (Civil)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and Côté</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Court of Appeal for Ontario, Number C58293, 2015 ONCA 305, dated May 5, 2015, is dismissed with costs.</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demande d’autorisation d’appel de l’arrêt de la Cour d’appel de l’Ontario, numéro C58293, 2015 ONCA 305, daté du 5 mai 2015, est rejetée avec dépens.</w:t>
            </w:r>
          </w:p>
        </w:tc>
      </w:tr>
    </w:tbl>
    <w:p w:rsidR="005C3B9D" w:rsidRPr="0016547E" w:rsidRDefault="005C3B9D" w:rsidP="005C3B9D">
      <w:pPr>
        <w:rPr>
          <w:sz w:val="20"/>
          <w:szCs w:val="20"/>
          <w:lang w:val="fr-CA"/>
        </w:rPr>
      </w:pPr>
    </w:p>
    <w:p w:rsidR="005C3B9D" w:rsidRPr="0033473D" w:rsidRDefault="005C3B9D" w:rsidP="005C3B9D">
      <w:pPr>
        <w:rPr>
          <w:sz w:val="20"/>
          <w:szCs w:val="20"/>
          <w:u w:val="single"/>
        </w:rPr>
      </w:pPr>
      <w:r w:rsidRPr="0033473D">
        <w:rPr>
          <w:sz w:val="20"/>
          <w:szCs w:val="20"/>
          <w:u w:val="single"/>
        </w:rPr>
        <w:t>CASE SUMMARY</w:t>
      </w:r>
    </w:p>
    <w:p w:rsidR="005C3B9D" w:rsidRPr="007E5DCF"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7E5DCF" w:rsidTr="008F5FE2">
        <w:tc>
          <w:tcPr>
            <w:tcW w:w="5000" w:type="pct"/>
            <w:gridSpan w:val="3"/>
          </w:tcPr>
          <w:p w:rsidR="005C3B9D" w:rsidRPr="007E5DCF" w:rsidRDefault="005C3B9D" w:rsidP="008F5FE2">
            <w:pPr>
              <w:jc w:val="both"/>
              <w:rPr>
                <w:sz w:val="20"/>
                <w:szCs w:val="20"/>
              </w:rPr>
            </w:pPr>
            <w:r w:rsidRPr="007E5DCF">
              <w:rPr>
                <w:sz w:val="20"/>
                <w:szCs w:val="20"/>
              </w:rPr>
              <w:t xml:space="preserve">Intellectual property – Patents – Medicines – Civil procedure – Pleadings – Motion to strike – Respondents seeking to strike portions of applicant’s statement of claim pertaining to claims for unjust enrichment and disgorgement of respondents’ profits as remedy for wrongful market exclusion – </w:t>
            </w:r>
            <w:r w:rsidRPr="007E5DCF">
              <w:rPr>
                <w:sz w:val="20"/>
                <w:szCs w:val="20"/>
                <w:lang w:val="en-US"/>
              </w:rPr>
              <w:t>Whether there is a single cause of action for unjust enrichment that encompasses “restitution for wrongs” line of cases, or is that cause of action confined to “subtraction” cases involving “transfer of wealth” from plaintiff to defendant – Whether decision also raises issue of extent to which tripartite conceptualization of "unjust enrichment' should be applied to profit from wrongdoing cases, and if so how.</w:t>
            </w:r>
          </w:p>
          <w:p w:rsidR="005C3B9D" w:rsidRPr="007E5DCF" w:rsidRDefault="005C3B9D" w:rsidP="008F5FE2">
            <w:pPr>
              <w:jc w:val="both"/>
              <w:rPr>
                <w:sz w:val="20"/>
                <w:szCs w:val="20"/>
              </w:rPr>
            </w:pPr>
          </w:p>
        </w:tc>
      </w:tr>
      <w:tr w:rsidR="005C3B9D" w:rsidRPr="007E5DCF" w:rsidTr="008F5FE2">
        <w:tc>
          <w:tcPr>
            <w:tcW w:w="5000" w:type="pct"/>
            <w:gridSpan w:val="3"/>
          </w:tcPr>
          <w:p w:rsidR="005C3B9D" w:rsidRPr="007E5DCF" w:rsidRDefault="005C3B9D" w:rsidP="008F5FE2">
            <w:pPr>
              <w:jc w:val="both"/>
              <w:rPr>
                <w:sz w:val="20"/>
                <w:szCs w:val="20"/>
                <w:lang w:val="en-US"/>
              </w:rPr>
            </w:pPr>
            <w:r w:rsidRPr="007E5DCF">
              <w:rPr>
                <w:sz w:val="20"/>
                <w:szCs w:val="20"/>
              </w:rPr>
              <w:t xml:space="preserve">The Respondents (collectively, “Eli Lilly”) owned the ‘735 patent relating to the use of atomexetine hydrochloride in the treatment of Attention Deficit Hyperactivity Disorder. Eli Lilly received its Notice of Compliance (“NOC”) in 2004 and entered the market as sole supplier of the medicine. In 2008 Apotex Inc. (“Apotex”) developed its generic version of the drug and sought to obtain a NOC to also enter the market. It served Eli Lilly with a Notice of Allegation under the </w:t>
            </w:r>
            <w:r w:rsidRPr="007E5DCF">
              <w:rPr>
                <w:i/>
                <w:sz w:val="20"/>
                <w:szCs w:val="20"/>
              </w:rPr>
              <w:t>Patented Medicines (Notice of Compliance) Regulations</w:t>
            </w:r>
            <w:r w:rsidRPr="007E5DCF">
              <w:rPr>
                <w:sz w:val="20"/>
                <w:szCs w:val="20"/>
              </w:rPr>
              <w:t>, SOR/93-133 (“</w:t>
            </w:r>
            <w:r w:rsidRPr="007E5DCF">
              <w:rPr>
                <w:i/>
                <w:sz w:val="20"/>
                <w:szCs w:val="20"/>
              </w:rPr>
              <w:t>Regulations</w:t>
            </w:r>
            <w:r w:rsidRPr="007E5DCF">
              <w:rPr>
                <w:sz w:val="20"/>
                <w:szCs w:val="20"/>
              </w:rPr>
              <w:t xml:space="preserve">”), claiming that the ‘735 patent was invalid on the grounds of anticipation, obviousness and inutility. Eli Lilly commenced a proceeding under the </w:t>
            </w:r>
            <w:r w:rsidRPr="007E5DCF">
              <w:rPr>
                <w:i/>
                <w:sz w:val="20"/>
                <w:szCs w:val="20"/>
              </w:rPr>
              <w:t>Regulations</w:t>
            </w:r>
            <w:r w:rsidRPr="007E5DCF">
              <w:rPr>
                <w:sz w:val="20"/>
                <w:szCs w:val="20"/>
              </w:rPr>
              <w:t xml:space="preserve">, seeking an order to prohibit the issuance of a NOC to Apotex, triggering the statutory stay and effectively keeping Apotex from gaining market entry for a period of two years. Meanwhile, in another proceeding, the ‘735 patent was declared to be invalid for want of disclosure. As a result, Eli Lilly’s prohibition application in the within action was dismissed. Apotex claimed damages against Eli Lilly under s. 8 of the </w:t>
            </w:r>
            <w:r w:rsidRPr="007E5DCF">
              <w:rPr>
                <w:i/>
                <w:sz w:val="20"/>
                <w:szCs w:val="20"/>
              </w:rPr>
              <w:t>Regulations</w:t>
            </w:r>
            <w:r w:rsidRPr="007E5DCF">
              <w:rPr>
                <w:sz w:val="20"/>
                <w:szCs w:val="20"/>
              </w:rPr>
              <w:t xml:space="preserve"> for losses suffered as a result of its exclusion from the market during the prohibition period from October 10, 2008 to September 21, 2010. Apotex </w:t>
            </w:r>
            <w:r w:rsidRPr="007E5DCF">
              <w:rPr>
                <w:sz w:val="20"/>
                <w:szCs w:val="20"/>
                <w:lang w:val="en-US"/>
              </w:rPr>
              <w:t xml:space="preserve">sought relief, inter alia, pursuant to unjust enrichment principles, for disgorgement of Eli Lilly’s profits earned during the period of market exclusion. </w:t>
            </w:r>
          </w:p>
          <w:p w:rsidR="005C3B9D" w:rsidRPr="007E5DCF" w:rsidRDefault="005C3B9D" w:rsidP="008F5FE2">
            <w:pPr>
              <w:jc w:val="both"/>
              <w:rPr>
                <w:sz w:val="20"/>
                <w:szCs w:val="20"/>
                <w:lang w:val="en-US"/>
              </w:rPr>
            </w:pPr>
          </w:p>
        </w:tc>
      </w:tr>
      <w:tr w:rsidR="005C3B9D" w:rsidRPr="007E5DCF" w:rsidTr="008F5FE2">
        <w:tc>
          <w:tcPr>
            <w:tcW w:w="2427" w:type="pct"/>
          </w:tcPr>
          <w:p w:rsidR="005C3B9D" w:rsidRPr="007E5DCF" w:rsidRDefault="005C3B9D" w:rsidP="008F5FE2">
            <w:pPr>
              <w:jc w:val="both"/>
              <w:rPr>
                <w:sz w:val="20"/>
                <w:szCs w:val="20"/>
              </w:rPr>
            </w:pPr>
            <w:r w:rsidRPr="007E5DCF">
              <w:rPr>
                <w:sz w:val="20"/>
                <w:szCs w:val="20"/>
              </w:rPr>
              <w:t>July 25, 2012</w:t>
            </w:r>
          </w:p>
          <w:p w:rsidR="005C3B9D" w:rsidRPr="007E5DCF" w:rsidRDefault="005C3B9D" w:rsidP="008F5FE2">
            <w:pPr>
              <w:jc w:val="both"/>
              <w:rPr>
                <w:sz w:val="20"/>
                <w:szCs w:val="20"/>
              </w:rPr>
            </w:pPr>
            <w:r w:rsidRPr="007E5DCF">
              <w:rPr>
                <w:sz w:val="20"/>
                <w:szCs w:val="20"/>
              </w:rPr>
              <w:t>Ontario Superior Court of Justice</w:t>
            </w:r>
          </w:p>
          <w:p w:rsidR="005C3B9D" w:rsidRPr="007E5DCF" w:rsidRDefault="005C3B9D" w:rsidP="008F5FE2">
            <w:pPr>
              <w:jc w:val="both"/>
              <w:rPr>
                <w:sz w:val="20"/>
                <w:szCs w:val="20"/>
              </w:rPr>
            </w:pPr>
            <w:r w:rsidRPr="007E5DCF">
              <w:rPr>
                <w:sz w:val="20"/>
                <w:szCs w:val="20"/>
              </w:rPr>
              <w:t>(Macdonald J.)</w:t>
            </w:r>
          </w:p>
          <w:p w:rsidR="005C3B9D" w:rsidRPr="007E5DCF" w:rsidRDefault="00CD76E4" w:rsidP="008F5FE2">
            <w:pPr>
              <w:jc w:val="both"/>
              <w:rPr>
                <w:sz w:val="20"/>
                <w:szCs w:val="20"/>
              </w:rPr>
            </w:pPr>
            <w:hyperlink r:id="rId43" w:history="1">
              <w:r w:rsidR="005C3B9D" w:rsidRPr="007E5DCF">
                <w:rPr>
                  <w:color w:val="0000FF" w:themeColor="hyperlink"/>
                  <w:sz w:val="20"/>
                  <w:szCs w:val="20"/>
                  <w:u w:val="single"/>
                </w:rPr>
                <w:t>2012 ONSC 3808</w:t>
              </w:r>
            </w:hyperlink>
          </w:p>
          <w:p w:rsidR="005C3B9D" w:rsidRPr="007E5DCF" w:rsidRDefault="005C3B9D" w:rsidP="008F5FE2">
            <w:pPr>
              <w:jc w:val="both"/>
              <w:rPr>
                <w:sz w:val="20"/>
                <w:szCs w:val="20"/>
              </w:rPr>
            </w:pPr>
          </w:p>
        </w:tc>
        <w:tc>
          <w:tcPr>
            <w:tcW w:w="243" w:type="pct"/>
          </w:tcPr>
          <w:p w:rsidR="005C3B9D" w:rsidRPr="007E5DCF" w:rsidRDefault="005C3B9D" w:rsidP="008F5FE2">
            <w:pPr>
              <w:jc w:val="both"/>
              <w:rPr>
                <w:sz w:val="20"/>
                <w:szCs w:val="20"/>
              </w:rPr>
            </w:pPr>
          </w:p>
        </w:tc>
        <w:tc>
          <w:tcPr>
            <w:tcW w:w="2330" w:type="pct"/>
          </w:tcPr>
          <w:p w:rsidR="005C3B9D" w:rsidRPr="007E5DCF" w:rsidRDefault="005C3B9D" w:rsidP="008F5FE2">
            <w:pPr>
              <w:jc w:val="both"/>
              <w:rPr>
                <w:sz w:val="20"/>
                <w:szCs w:val="20"/>
              </w:rPr>
            </w:pPr>
            <w:r w:rsidRPr="007E5DCF">
              <w:rPr>
                <w:sz w:val="20"/>
                <w:szCs w:val="20"/>
              </w:rPr>
              <w:t>Respondents’ motion to strike allowed in part; Apotex’s claims pertaining to unjust enrichment and statutory damages allowed to proceed</w:t>
            </w:r>
          </w:p>
          <w:p w:rsidR="005C3B9D" w:rsidRPr="007E5DCF" w:rsidRDefault="005C3B9D" w:rsidP="008F5FE2">
            <w:pPr>
              <w:jc w:val="both"/>
              <w:rPr>
                <w:sz w:val="20"/>
                <w:szCs w:val="20"/>
              </w:rPr>
            </w:pPr>
          </w:p>
        </w:tc>
      </w:tr>
      <w:tr w:rsidR="005C3B9D" w:rsidRPr="007E5DCF" w:rsidTr="008F5FE2">
        <w:tc>
          <w:tcPr>
            <w:tcW w:w="2427" w:type="pct"/>
          </w:tcPr>
          <w:p w:rsidR="005C3B9D" w:rsidRPr="007E5DCF" w:rsidRDefault="005C3B9D" w:rsidP="008F5FE2">
            <w:pPr>
              <w:jc w:val="both"/>
              <w:rPr>
                <w:sz w:val="20"/>
                <w:szCs w:val="20"/>
              </w:rPr>
            </w:pPr>
            <w:r w:rsidRPr="007E5DCF">
              <w:rPr>
                <w:sz w:val="20"/>
                <w:szCs w:val="20"/>
              </w:rPr>
              <w:t>February 22, 2013</w:t>
            </w:r>
          </w:p>
          <w:p w:rsidR="005C3B9D" w:rsidRPr="007E5DCF" w:rsidRDefault="005C3B9D" w:rsidP="008F5FE2">
            <w:pPr>
              <w:jc w:val="both"/>
              <w:rPr>
                <w:sz w:val="20"/>
                <w:szCs w:val="20"/>
              </w:rPr>
            </w:pPr>
            <w:r w:rsidRPr="007E5DCF">
              <w:rPr>
                <w:sz w:val="20"/>
                <w:szCs w:val="20"/>
              </w:rPr>
              <w:t>Ontario Superior Court of Justice</w:t>
            </w:r>
          </w:p>
          <w:p w:rsidR="005C3B9D" w:rsidRPr="007E5DCF" w:rsidRDefault="005C3B9D" w:rsidP="008F5FE2">
            <w:pPr>
              <w:jc w:val="both"/>
              <w:rPr>
                <w:sz w:val="20"/>
                <w:szCs w:val="20"/>
              </w:rPr>
            </w:pPr>
            <w:r w:rsidRPr="007E5DCF">
              <w:rPr>
                <w:sz w:val="20"/>
                <w:szCs w:val="20"/>
              </w:rPr>
              <w:t>Divisional Court</w:t>
            </w:r>
          </w:p>
          <w:p w:rsidR="005C3B9D" w:rsidRPr="007E5DCF" w:rsidRDefault="005C3B9D" w:rsidP="008F5FE2">
            <w:pPr>
              <w:jc w:val="both"/>
              <w:rPr>
                <w:sz w:val="20"/>
                <w:szCs w:val="20"/>
              </w:rPr>
            </w:pPr>
            <w:r w:rsidRPr="007E5DCF">
              <w:rPr>
                <w:sz w:val="20"/>
                <w:szCs w:val="20"/>
              </w:rPr>
              <w:t>(Ducharme J.)</w:t>
            </w:r>
          </w:p>
          <w:p w:rsidR="005C3B9D" w:rsidRPr="007E5DCF" w:rsidRDefault="00CD76E4" w:rsidP="008F5FE2">
            <w:pPr>
              <w:jc w:val="both"/>
              <w:rPr>
                <w:sz w:val="20"/>
                <w:szCs w:val="20"/>
              </w:rPr>
            </w:pPr>
            <w:hyperlink r:id="rId44" w:history="1">
              <w:r w:rsidR="005C3B9D" w:rsidRPr="007E5DCF">
                <w:rPr>
                  <w:color w:val="0000FF" w:themeColor="hyperlink"/>
                  <w:sz w:val="20"/>
                  <w:szCs w:val="20"/>
                  <w:u w:val="single"/>
                </w:rPr>
                <w:t>2013 ONSC 1135</w:t>
              </w:r>
            </w:hyperlink>
          </w:p>
          <w:p w:rsidR="005C3B9D" w:rsidRPr="007E5DCF" w:rsidRDefault="005C3B9D" w:rsidP="008F5FE2">
            <w:pPr>
              <w:jc w:val="both"/>
              <w:rPr>
                <w:sz w:val="20"/>
                <w:szCs w:val="20"/>
              </w:rPr>
            </w:pPr>
          </w:p>
        </w:tc>
        <w:tc>
          <w:tcPr>
            <w:tcW w:w="243" w:type="pct"/>
          </w:tcPr>
          <w:p w:rsidR="005C3B9D" w:rsidRPr="007E5DCF" w:rsidRDefault="005C3B9D" w:rsidP="008F5FE2">
            <w:pPr>
              <w:jc w:val="both"/>
              <w:rPr>
                <w:sz w:val="20"/>
                <w:szCs w:val="20"/>
              </w:rPr>
            </w:pPr>
          </w:p>
        </w:tc>
        <w:tc>
          <w:tcPr>
            <w:tcW w:w="2330" w:type="pct"/>
          </w:tcPr>
          <w:p w:rsidR="005C3B9D" w:rsidRPr="007E5DCF" w:rsidRDefault="005C3B9D" w:rsidP="008F5FE2">
            <w:pPr>
              <w:jc w:val="both"/>
              <w:rPr>
                <w:sz w:val="20"/>
                <w:szCs w:val="20"/>
              </w:rPr>
            </w:pPr>
            <w:r w:rsidRPr="007E5DCF">
              <w:rPr>
                <w:sz w:val="20"/>
                <w:szCs w:val="20"/>
              </w:rPr>
              <w:t>Respondents’ application for leave to appeal order regarding claim for unjust enrichment granted</w:t>
            </w:r>
          </w:p>
        </w:tc>
      </w:tr>
      <w:tr w:rsidR="005C3B9D" w:rsidRPr="007E5DCF" w:rsidTr="008F5FE2">
        <w:tc>
          <w:tcPr>
            <w:tcW w:w="2427" w:type="pct"/>
          </w:tcPr>
          <w:p w:rsidR="005C3B9D" w:rsidRPr="007E5DCF" w:rsidRDefault="005C3B9D" w:rsidP="008F5FE2">
            <w:pPr>
              <w:jc w:val="both"/>
              <w:rPr>
                <w:sz w:val="20"/>
                <w:szCs w:val="20"/>
              </w:rPr>
            </w:pPr>
            <w:r w:rsidRPr="007E5DCF">
              <w:rPr>
                <w:sz w:val="20"/>
                <w:szCs w:val="20"/>
              </w:rPr>
              <w:lastRenderedPageBreak/>
              <w:t>September 19, 2013</w:t>
            </w:r>
          </w:p>
          <w:p w:rsidR="005C3B9D" w:rsidRPr="007E5DCF" w:rsidRDefault="005C3B9D" w:rsidP="008F5FE2">
            <w:pPr>
              <w:jc w:val="both"/>
              <w:rPr>
                <w:sz w:val="20"/>
                <w:szCs w:val="20"/>
              </w:rPr>
            </w:pPr>
            <w:r w:rsidRPr="007E5DCF">
              <w:rPr>
                <w:sz w:val="20"/>
                <w:szCs w:val="20"/>
              </w:rPr>
              <w:t>Ontario Superior Court of Justice</w:t>
            </w:r>
          </w:p>
          <w:p w:rsidR="005C3B9D" w:rsidRPr="007E5DCF" w:rsidRDefault="005C3B9D" w:rsidP="008F5FE2">
            <w:pPr>
              <w:jc w:val="both"/>
              <w:rPr>
                <w:sz w:val="20"/>
                <w:szCs w:val="20"/>
              </w:rPr>
            </w:pPr>
            <w:r w:rsidRPr="007E5DCF">
              <w:rPr>
                <w:sz w:val="20"/>
                <w:szCs w:val="20"/>
              </w:rPr>
              <w:t>(Lax, Sachs and Grace JJ.)</w:t>
            </w:r>
          </w:p>
          <w:p w:rsidR="005C3B9D" w:rsidRPr="007E5DCF" w:rsidRDefault="00CD76E4" w:rsidP="008F5FE2">
            <w:pPr>
              <w:jc w:val="both"/>
              <w:rPr>
                <w:color w:val="0000FF" w:themeColor="hyperlink"/>
                <w:sz w:val="20"/>
                <w:szCs w:val="20"/>
                <w:u w:val="single"/>
              </w:rPr>
            </w:pPr>
            <w:hyperlink r:id="rId45" w:history="1">
              <w:r w:rsidR="005C3B9D" w:rsidRPr="007E5DCF">
                <w:rPr>
                  <w:color w:val="0000FF" w:themeColor="hyperlink"/>
                  <w:sz w:val="20"/>
                  <w:szCs w:val="20"/>
                  <w:u w:val="single"/>
                </w:rPr>
                <w:t>2013 ONSC 5937</w:t>
              </w:r>
            </w:hyperlink>
          </w:p>
          <w:p w:rsidR="005C3B9D" w:rsidRPr="007E5DCF" w:rsidRDefault="005C3B9D" w:rsidP="008F5FE2">
            <w:pPr>
              <w:jc w:val="both"/>
              <w:rPr>
                <w:sz w:val="20"/>
                <w:szCs w:val="20"/>
              </w:rPr>
            </w:pPr>
          </w:p>
        </w:tc>
        <w:tc>
          <w:tcPr>
            <w:tcW w:w="243" w:type="pct"/>
          </w:tcPr>
          <w:p w:rsidR="005C3B9D" w:rsidRPr="007E5DCF" w:rsidRDefault="005C3B9D" w:rsidP="008F5FE2">
            <w:pPr>
              <w:jc w:val="both"/>
              <w:rPr>
                <w:sz w:val="20"/>
                <w:szCs w:val="20"/>
              </w:rPr>
            </w:pPr>
          </w:p>
        </w:tc>
        <w:tc>
          <w:tcPr>
            <w:tcW w:w="2330" w:type="pct"/>
          </w:tcPr>
          <w:p w:rsidR="005C3B9D" w:rsidRPr="007E5DCF" w:rsidRDefault="005C3B9D" w:rsidP="008F5FE2">
            <w:pPr>
              <w:jc w:val="both"/>
              <w:rPr>
                <w:sz w:val="20"/>
                <w:szCs w:val="20"/>
              </w:rPr>
            </w:pPr>
            <w:r w:rsidRPr="007E5DCF">
              <w:rPr>
                <w:sz w:val="20"/>
                <w:szCs w:val="20"/>
              </w:rPr>
              <w:t>Respondents’ appeal allowed; Apotex’s claim for unjust enrichment struck from statement of claim</w:t>
            </w:r>
          </w:p>
          <w:p w:rsidR="005C3B9D" w:rsidRPr="007E5DCF" w:rsidRDefault="005C3B9D" w:rsidP="008F5FE2">
            <w:pPr>
              <w:jc w:val="both"/>
              <w:rPr>
                <w:sz w:val="20"/>
                <w:szCs w:val="20"/>
              </w:rPr>
            </w:pPr>
          </w:p>
        </w:tc>
      </w:tr>
      <w:tr w:rsidR="005C3B9D" w:rsidRPr="007E5DCF" w:rsidTr="008F5FE2">
        <w:tc>
          <w:tcPr>
            <w:tcW w:w="2427" w:type="pct"/>
          </w:tcPr>
          <w:p w:rsidR="005C3B9D" w:rsidRPr="007E5DCF" w:rsidRDefault="005C3B9D" w:rsidP="008F5FE2">
            <w:pPr>
              <w:jc w:val="both"/>
              <w:rPr>
                <w:sz w:val="20"/>
                <w:szCs w:val="20"/>
              </w:rPr>
            </w:pPr>
            <w:r w:rsidRPr="007E5DCF">
              <w:rPr>
                <w:sz w:val="20"/>
                <w:szCs w:val="20"/>
              </w:rPr>
              <w:t>May 5, 2015</w:t>
            </w:r>
          </w:p>
          <w:p w:rsidR="005C3B9D" w:rsidRPr="007E5DCF" w:rsidRDefault="005C3B9D" w:rsidP="008F5FE2">
            <w:pPr>
              <w:jc w:val="both"/>
              <w:rPr>
                <w:sz w:val="20"/>
                <w:szCs w:val="20"/>
              </w:rPr>
            </w:pPr>
            <w:r w:rsidRPr="007E5DCF">
              <w:rPr>
                <w:sz w:val="20"/>
                <w:szCs w:val="20"/>
              </w:rPr>
              <w:t>Court of Appeal for Ontario</w:t>
            </w:r>
          </w:p>
          <w:p w:rsidR="005C3B9D" w:rsidRPr="007E5DCF" w:rsidRDefault="005C3B9D" w:rsidP="008F5FE2">
            <w:pPr>
              <w:jc w:val="both"/>
              <w:rPr>
                <w:sz w:val="20"/>
                <w:szCs w:val="20"/>
              </w:rPr>
            </w:pPr>
            <w:r w:rsidRPr="007E5DCF">
              <w:rPr>
                <w:sz w:val="20"/>
                <w:szCs w:val="20"/>
              </w:rPr>
              <w:t>(Doherty, Feldman and Blair JJ.A.)</w:t>
            </w:r>
          </w:p>
          <w:p w:rsidR="005C3B9D" w:rsidRPr="007E5DCF" w:rsidRDefault="00CD76E4" w:rsidP="008F5FE2">
            <w:pPr>
              <w:jc w:val="both"/>
              <w:rPr>
                <w:sz w:val="20"/>
                <w:szCs w:val="20"/>
              </w:rPr>
            </w:pPr>
            <w:hyperlink r:id="rId46" w:history="1">
              <w:r w:rsidR="005C3B9D" w:rsidRPr="007E5DCF">
                <w:rPr>
                  <w:color w:val="0000FF" w:themeColor="hyperlink"/>
                  <w:sz w:val="20"/>
                  <w:szCs w:val="20"/>
                  <w:u w:val="single"/>
                </w:rPr>
                <w:t>2015 ONCA 305</w:t>
              </w:r>
            </w:hyperlink>
          </w:p>
          <w:p w:rsidR="005C3B9D" w:rsidRPr="007E5DCF" w:rsidRDefault="005C3B9D" w:rsidP="008F5FE2">
            <w:pPr>
              <w:jc w:val="both"/>
              <w:rPr>
                <w:sz w:val="20"/>
                <w:szCs w:val="20"/>
              </w:rPr>
            </w:pPr>
          </w:p>
        </w:tc>
        <w:tc>
          <w:tcPr>
            <w:tcW w:w="243" w:type="pct"/>
          </w:tcPr>
          <w:p w:rsidR="005C3B9D" w:rsidRPr="007E5DCF" w:rsidRDefault="005C3B9D" w:rsidP="008F5FE2">
            <w:pPr>
              <w:jc w:val="both"/>
              <w:rPr>
                <w:sz w:val="20"/>
                <w:szCs w:val="20"/>
              </w:rPr>
            </w:pPr>
          </w:p>
        </w:tc>
        <w:tc>
          <w:tcPr>
            <w:tcW w:w="2330" w:type="pct"/>
          </w:tcPr>
          <w:p w:rsidR="005C3B9D" w:rsidRPr="007E5DCF" w:rsidRDefault="005C3B9D" w:rsidP="008F5FE2">
            <w:pPr>
              <w:jc w:val="both"/>
              <w:rPr>
                <w:sz w:val="20"/>
                <w:szCs w:val="20"/>
              </w:rPr>
            </w:pPr>
            <w:r w:rsidRPr="007E5DCF">
              <w:rPr>
                <w:sz w:val="20"/>
                <w:szCs w:val="20"/>
              </w:rPr>
              <w:t>Apotex’s appeal dismissed</w:t>
            </w:r>
          </w:p>
          <w:p w:rsidR="005C3B9D" w:rsidRPr="007E5DCF" w:rsidRDefault="005C3B9D" w:rsidP="008F5FE2">
            <w:pPr>
              <w:jc w:val="both"/>
              <w:rPr>
                <w:sz w:val="20"/>
                <w:szCs w:val="20"/>
              </w:rPr>
            </w:pPr>
          </w:p>
          <w:p w:rsidR="005C3B9D" w:rsidRPr="007E5DCF" w:rsidRDefault="005C3B9D" w:rsidP="008F5FE2">
            <w:pPr>
              <w:jc w:val="both"/>
              <w:rPr>
                <w:sz w:val="20"/>
                <w:szCs w:val="20"/>
              </w:rPr>
            </w:pPr>
          </w:p>
        </w:tc>
      </w:tr>
      <w:tr w:rsidR="005C3B9D" w:rsidRPr="007E5DCF" w:rsidTr="008F5FE2">
        <w:tc>
          <w:tcPr>
            <w:tcW w:w="2427" w:type="pct"/>
          </w:tcPr>
          <w:p w:rsidR="005C3B9D" w:rsidRPr="007E5DCF" w:rsidRDefault="005C3B9D" w:rsidP="008F5FE2">
            <w:pPr>
              <w:jc w:val="both"/>
              <w:rPr>
                <w:sz w:val="20"/>
                <w:szCs w:val="20"/>
              </w:rPr>
            </w:pPr>
            <w:r w:rsidRPr="007E5DCF">
              <w:rPr>
                <w:sz w:val="20"/>
                <w:szCs w:val="20"/>
              </w:rPr>
              <w:t>August 4, 2015</w:t>
            </w:r>
          </w:p>
          <w:p w:rsidR="005C3B9D" w:rsidRPr="007E5DCF" w:rsidRDefault="005C3B9D" w:rsidP="008F5FE2">
            <w:pPr>
              <w:jc w:val="both"/>
              <w:rPr>
                <w:sz w:val="20"/>
                <w:szCs w:val="20"/>
              </w:rPr>
            </w:pPr>
            <w:r w:rsidRPr="007E5DCF">
              <w:rPr>
                <w:sz w:val="20"/>
                <w:szCs w:val="20"/>
              </w:rPr>
              <w:t>Supreme Court of Canada</w:t>
            </w:r>
          </w:p>
        </w:tc>
        <w:tc>
          <w:tcPr>
            <w:tcW w:w="243" w:type="pct"/>
          </w:tcPr>
          <w:p w:rsidR="005C3B9D" w:rsidRPr="007E5DCF" w:rsidRDefault="005C3B9D" w:rsidP="008F5FE2">
            <w:pPr>
              <w:jc w:val="both"/>
              <w:rPr>
                <w:sz w:val="20"/>
                <w:szCs w:val="20"/>
              </w:rPr>
            </w:pPr>
          </w:p>
        </w:tc>
        <w:tc>
          <w:tcPr>
            <w:tcW w:w="2330" w:type="pct"/>
          </w:tcPr>
          <w:p w:rsidR="005C3B9D" w:rsidRPr="007E5DCF" w:rsidRDefault="005C3B9D" w:rsidP="008F5FE2">
            <w:pPr>
              <w:jc w:val="both"/>
              <w:rPr>
                <w:sz w:val="20"/>
                <w:szCs w:val="20"/>
              </w:rPr>
            </w:pPr>
            <w:r w:rsidRPr="007E5DCF">
              <w:rPr>
                <w:sz w:val="20"/>
                <w:szCs w:val="20"/>
              </w:rPr>
              <w:t>Application for leave to appeal filed</w:t>
            </w: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46" style="width:2in;height:1pt" o:hrpct="0" o:hralign="center" o:hrstd="t" o:hrnoshade="t" o:hr="t" fillcolor="black [3213]" stroked="f"/>
        </w:pict>
      </w:r>
    </w:p>
    <w:p w:rsidR="005C3B9D" w:rsidRPr="00972874" w:rsidRDefault="005C3B9D" w:rsidP="005C3B9D">
      <w:pPr>
        <w:rPr>
          <w:sz w:val="20"/>
          <w:szCs w:val="20"/>
        </w:rPr>
      </w:pPr>
    </w:p>
    <w:p w:rsidR="005C3B9D" w:rsidRPr="00972874" w:rsidRDefault="005C3B9D" w:rsidP="005C3B9D">
      <w:pPr>
        <w:rPr>
          <w:sz w:val="20"/>
          <w:szCs w:val="20"/>
          <w:u w:val="single"/>
          <w:lang w:val="fr-CA"/>
        </w:rPr>
      </w:pPr>
      <w:r w:rsidRPr="00972874">
        <w:rPr>
          <w:sz w:val="20"/>
          <w:szCs w:val="20"/>
          <w:u w:val="single"/>
          <w:lang w:val="fr-CA"/>
        </w:rPr>
        <w:t>RÉSUMÉ DE L’AFFAIRE</w:t>
      </w:r>
    </w:p>
    <w:p w:rsidR="005C3B9D" w:rsidRPr="00972874"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972874" w:rsidRDefault="005C3B9D" w:rsidP="008F5FE2">
            <w:pPr>
              <w:jc w:val="both"/>
              <w:rPr>
                <w:sz w:val="20"/>
                <w:szCs w:val="20"/>
                <w:lang w:val="fr-CA"/>
              </w:rPr>
            </w:pPr>
            <w:r w:rsidRPr="00972874">
              <w:rPr>
                <w:sz w:val="20"/>
                <w:szCs w:val="20"/>
                <w:lang w:val="fr-CA"/>
              </w:rPr>
              <w:t>Propriété intellectuelle – Brevets – Médicaments – Procédure civile – Actes de procédure – Motion en radiation – Les intimées demandent la radiation de certaines parties de la déclaration de la demanderesse relatives à une action en enrichissement injustifié et restitution des profits des intimées comme réparation pour exclusion délictueuse du marché – Y a-t-il une seule cause d’action pour enrichissement injustifié qui englobe le courant jurisprudentiel dit du « redressement des torts » ou bien est-ce que cette cause d’action se limite aux affaires de « soustraction » qui impliquent le « transfert de la richesse » du demandeur au défendeur? – La décision soulève-t-elle aussi la question de savoir dans quelle mesure la conceptualisation tripartite de l’« enrichissement injustifié » doit être appliquée aux affaires où le profit est dérivé d’actes fautifs et la manière de le faire, le cas échéant?</w:t>
            </w:r>
          </w:p>
          <w:p w:rsidR="005C3B9D" w:rsidRPr="00972874" w:rsidRDefault="005C3B9D" w:rsidP="008F5FE2">
            <w:pPr>
              <w:jc w:val="both"/>
              <w:rPr>
                <w:sz w:val="20"/>
                <w:szCs w:val="20"/>
                <w:lang w:val="fr-CA"/>
              </w:rPr>
            </w:pPr>
          </w:p>
        </w:tc>
      </w:tr>
      <w:tr w:rsidR="005C3B9D" w:rsidRPr="00B26F8D" w:rsidTr="008F5FE2">
        <w:tc>
          <w:tcPr>
            <w:tcW w:w="5000" w:type="pct"/>
            <w:gridSpan w:val="3"/>
          </w:tcPr>
          <w:p w:rsidR="005C3B9D" w:rsidRPr="00972874" w:rsidRDefault="005C3B9D" w:rsidP="008F5FE2">
            <w:pPr>
              <w:jc w:val="both"/>
              <w:rPr>
                <w:sz w:val="20"/>
                <w:szCs w:val="20"/>
                <w:lang w:val="fr-CA"/>
              </w:rPr>
            </w:pPr>
            <w:r w:rsidRPr="00972874">
              <w:rPr>
                <w:sz w:val="20"/>
                <w:szCs w:val="20"/>
                <w:lang w:val="fr-CA"/>
              </w:rPr>
              <w:t xml:space="preserve">Les intimées (collectivement, « Eli Lilly ») étaient titulaires du brevet 735 relatif à l’utilisation du chlorhydrate d’atomoxétine dans le traitement du trouble déficitaire de l’attention avec hyperactivité. Eli Lilly a reçu son avis de conformité (« AC ») en 2004 et est entrée sur le marché comme seul fournisseur du médicament. En 2008, Apotex Inc. (« Apotex ») a mis au point sa version générique du médicament et a tenté d’obtenir un AC pour entrer sur le marché elle aussi. Elle a signifié un avis d’allégation à Eli Lilly en application du </w:t>
            </w:r>
            <w:r w:rsidRPr="00972874">
              <w:rPr>
                <w:i/>
                <w:sz w:val="20"/>
                <w:szCs w:val="20"/>
                <w:lang w:val="fr-CA"/>
              </w:rPr>
              <w:t>Règlement sur les médicaments brevetés (avis de conformité)</w:t>
            </w:r>
            <w:r w:rsidRPr="00972874">
              <w:rPr>
                <w:sz w:val="20"/>
                <w:szCs w:val="20"/>
                <w:lang w:val="fr-CA"/>
              </w:rPr>
              <w:t>, DORS/93-133 (le « </w:t>
            </w:r>
            <w:r w:rsidRPr="00972874">
              <w:rPr>
                <w:i/>
                <w:sz w:val="20"/>
                <w:szCs w:val="20"/>
                <w:lang w:val="fr-CA"/>
              </w:rPr>
              <w:t>Règlement</w:t>
            </w:r>
            <w:r w:rsidRPr="00972874">
              <w:rPr>
                <w:sz w:val="20"/>
                <w:szCs w:val="20"/>
                <w:lang w:val="fr-CA"/>
              </w:rPr>
              <w:t xml:space="preserve"> »), alléguant l’invalidité du brevet 735 pour cause d’antériorité, d’évidence et d’inutilité. Eli Lilly a introduit une instance fondée sur le </w:t>
            </w:r>
            <w:r w:rsidRPr="00972874">
              <w:rPr>
                <w:i/>
                <w:sz w:val="20"/>
                <w:szCs w:val="20"/>
                <w:lang w:val="fr-CA"/>
              </w:rPr>
              <w:t>Règlement</w:t>
            </w:r>
            <w:r w:rsidRPr="00972874">
              <w:rPr>
                <w:sz w:val="20"/>
                <w:szCs w:val="20"/>
                <w:lang w:val="fr-CA"/>
              </w:rPr>
              <w:t xml:space="preserve">, sollicitant une ordonnance pour interdire la délivrance d’un AC à Apotex, entraînant le sursis règlementaire et empêchant effectivement Apotex d’entrer sur le marché pendant une période de deux ans. Entre temps, dans une autre instance, le brevet 735 a été déclaré invalide, faute de divulgation. En conséquence, la demande d’interdiction présentée par Eli Lilly dans l’action a été rejetée. Apotex a poursuivi Eli Lilly en dommages-intérêts sous le régime de l’art. 8 du </w:t>
            </w:r>
            <w:r w:rsidRPr="00972874">
              <w:rPr>
                <w:i/>
                <w:sz w:val="20"/>
                <w:szCs w:val="20"/>
                <w:lang w:val="fr-CA"/>
              </w:rPr>
              <w:t>Règlement</w:t>
            </w:r>
            <w:r w:rsidRPr="00972874">
              <w:rPr>
                <w:sz w:val="20"/>
                <w:szCs w:val="20"/>
                <w:lang w:val="fr-CA"/>
              </w:rPr>
              <w:t xml:space="preserve"> pour les pertes subies en raison de son exclusion du marché pendant la période d’interdiction du 10 octobre 2008 au 21 septembre 2010. Comme mesure de redressement, Apotex a notamment demandé la restitution des profits réalisés par Eli Lilly pendant la période d’exclusion, s’appuyant sur les principes de l’enrichissement injustifié. </w:t>
            </w:r>
          </w:p>
          <w:p w:rsidR="005C3B9D" w:rsidRPr="00972874" w:rsidRDefault="005C3B9D" w:rsidP="008F5FE2">
            <w:pPr>
              <w:jc w:val="both"/>
              <w:rPr>
                <w:sz w:val="20"/>
                <w:szCs w:val="20"/>
                <w:lang w:val="fr-CA"/>
              </w:rPr>
            </w:pPr>
          </w:p>
        </w:tc>
      </w:tr>
      <w:tr w:rsidR="005C3B9D" w:rsidRPr="00B26F8D" w:rsidTr="008F5FE2">
        <w:tc>
          <w:tcPr>
            <w:tcW w:w="2427" w:type="pct"/>
          </w:tcPr>
          <w:p w:rsidR="005C3B9D" w:rsidRPr="00972874" w:rsidRDefault="005C3B9D" w:rsidP="008F5FE2">
            <w:pPr>
              <w:jc w:val="both"/>
              <w:rPr>
                <w:sz w:val="20"/>
                <w:szCs w:val="20"/>
                <w:lang w:val="fr-CA"/>
              </w:rPr>
            </w:pPr>
            <w:r w:rsidRPr="00972874">
              <w:rPr>
                <w:sz w:val="20"/>
                <w:szCs w:val="20"/>
                <w:lang w:val="fr-CA"/>
              </w:rPr>
              <w:t>25 juillet 2012</w:t>
            </w:r>
          </w:p>
          <w:p w:rsidR="005C3B9D" w:rsidRPr="00972874" w:rsidRDefault="005C3B9D" w:rsidP="008F5FE2">
            <w:pPr>
              <w:jc w:val="both"/>
              <w:rPr>
                <w:sz w:val="20"/>
                <w:szCs w:val="20"/>
                <w:lang w:val="fr-CA"/>
              </w:rPr>
            </w:pPr>
            <w:r w:rsidRPr="00972874">
              <w:rPr>
                <w:sz w:val="20"/>
                <w:szCs w:val="20"/>
                <w:lang w:val="fr-CA"/>
              </w:rPr>
              <w:t>Cour supérieure de justice de l’Ontario</w:t>
            </w:r>
          </w:p>
          <w:p w:rsidR="005C3B9D" w:rsidRPr="00972874" w:rsidRDefault="005C3B9D" w:rsidP="008F5FE2">
            <w:pPr>
              <w:jc w:val="both"/>
              <w:rPr>
                <w:sz w:val="20"/>
                <w:szCs w:val="20"/>
                <w:lang w:val="fr-CA"/>
              </w:rPr>
            </w:pPr>
            <w:r w:rsidRPr="00972874">
              <w:rPr>
                <w:sz w:val="20"/>
                <w:szCs w:val="20"/>
                <w:lang w:val="fr-CA"/>
              </w:rPr>
              <w:t>(Juge Macdonald)</w:t>
            </w:r>
          </w:p>
          <w:p w:rsidR="005C3B9D" w:rsidRPr="00972874" w:rsidRDefault="00CD76E4" w:rsidP="008F5FE2">
            <w:pPr>
              <w:jc w:val="both"/>
              <w:rPr>
                <w:sz w:val="20"/>
                <w:szCs w:val="20"/>
                <w:lang w:val="fr-CA"/>
              </w:rPr>
            </w:pPr>
            <w:hyperlink r:id="rId47" w:history="1">
              <w:r w:rsidR="005C3B9D" w:rsidRPr="00972874">
                <w:rPr>
                  <w:color w:val="0000FF" w:themeColor="hyperlink"/>
                  <w:sz w:val="20"/>
                  <w:szCs w:val="20"/>
                  <w:u w:val="single"/>
                  <w:lang w:val="fr-CA"/>
                </w:rPr>
                <w:t>2012 ONSC 3808</w:t>
              </w:r>
            </w:hyperlink>
          </w:p>
          <w:p w:rsidR="005C3B9D" w:rsidRPr="00972874" w:rsidRDefault="005C3B9D" w:rsidP="008F5FE2">
            <w:pPr>
              <w:jc w:val="both"/>
              <w:rPr>
                <w:sz w:val="20"/>
                <w:szCs w:val="20"/>
                <w:lang w:val="fr-CA"/>
              </w:rPr>
            </w:pPr>
          </w:p>
        </w:tc>
        <w:tc>
          <w:tcPr>
            <w:tcW w:w="243" w:type="pct"/>
          </w:tcPr>
          <w:p w:rsidR="005C3B9D" w:rsidRPr="00972874" w:rsidRDefault="005C3B9D" w:rsidP="008F5FE2">
            <w:pPr>
              <w:jc w:val="both"/>
              <w:rPr>
                <w:sz w:val="20"/>
                <w:szCs w:val="20"/>
                <w:lang w:val="fr-CA"/>
              </w:rPr>
            </w:pPr>
          </w:p>
        </w:tc>
        <w:tc>
          <w:tcPr>
            <w:tcW w:w="2330" w:type="pct"/>
          </w:tcPr>
          <w:p w:rsidR="005C3B9D" w:rsidRPr="00972874" w:rsidRDefault="005C3B9D" w:rsidP="008F5FE2">
            <w:pPr>
              <w:jc w:val="both"/>
              <w:rPr>
                <w:sz w:val="20"/>
                <w:szCs w:val="20"/>
                <w:lang w:val="fr-CA"/>
              </w:rPr>
            </w:pPr>
            <w:r w:rsidRPr="00972874">
              <w:rPr>
                <w:sz w:val="20"/>
                <w:szCs w:val="20"/>
                <w:lang w:val="fr-CA"/>
              </w:rPr>
              <w:t>Jugement accueillant en partie la motion en radiation des intimées et autorisant Apotex à poursuivre son action en enrichissement injustifié et en dommages-intérêts d’origine législative</w:t>
            </w:r>
          </w:p>
          <w:p w:rsidR="005C3B9D" w:rsidRPr="00972874" w:rsidRDefault="005C3B9D" w:rsidP="008F5FE2">
            <w:pPr>
              <w:jc w:val="both"/>
              <w:rPr>
                <w:sz w:val="20"/>
                <w:szCs w:val="20"/>
                <w:lang w:val="fr-CA"/>
              </w:rPr>
            </w:pPr>
          </w:p>
        </w:tc>
      </w:tr>
      <w:tr w:rsidR="005C3B9D" w:rsidRPr="00B26F8D" w:rsidTr="008F5FE2">
        <w:tc>
          <w:tcPr>
            <w:tcW w:w="2427" w:type="pct"/>
          </w:tcPr>
          <w:p w:rsidR="005C3B9D" w:rsidRPr="00972874" w:rsidRDefault="005C3B9D" w:rsidP="008F5FE2">
            <w:pPr>
              <w:jc w:val="both"/>
              <w:rPr>
                <w:sz w:val="20"/>
                <w:szCs w:val="20"/>
                <w:lang w:val="fr-CA"/>
              </w:rPr>
            </w:pPr>
            <w:r w:rsidRPr="00972874">
              <w:rPr>
                <w:sz w:val="20"/>
                <w:szCs w:val="20"/>
                <w:lang w:val="fr-CA"/>
              </w:rPr>
              <w:t>22 février 2013</w:t>
            </w:r>
          </w:p>
          <w:p w:rsidR="005C3B9D" w:rsidRPr="00972874" w:rsidRDefault="005C3B9D" w:rsidP="008F5FE2">
            <w:pPr>
              <w:jc w:val="both"/>
              <w:rPr>
                <w:sz w:val="20"/>
                <w:szCs w:val="20"/>
                <w:lang w:val="fr-CA"/>
              </w:rPr>
            </w:pPr>
            <w:r w:rsidRPr="00972874">
              <w:rPr>
                <w:sz w:val="20"/>
                <w:szCs w:val="20"/>
                <w:lang w:val="fr-CA"/>
              </w:rPr>
              <w:t>Cour supérieure de justice de l’Ontario</w:t>
            </w:r>
          </w:p>
          <w:p w:rsidR="005C3B9D" w:rsidRPr="00972874" w:rsidRDefault="005C3B9D" w:rsidP="008F5FE2">
            <w:pPr>
              <w:jc w:val="both"/>
              <w:rPr>
                <w:sz w:val="20"/>
                <w:szCs w:val="20"/>
                <w:lang w:val="fr-CA"/>
              </w:rPr>
            </w:pPr>
            <w:r w:rsidRPr="00972874">
              <w:rPr>
                <w:sz w:val="20"/>
                <w:szCs w:val="20"/>
                <w:lang w:val="fr-CA"/>
              </w:rPr>
              <w:t>Cour divisionnaire</w:t>
            </w:r>
          </w:p>
          <w:p w:rsidR="005C3B9D" w:rsidRPr="00972874" w:rsidRDefault="005C3B9D" w:rsidP="008F5FE2">
            <w:pPr>
              <w:jc w:val="both"/>
              <w:rPr>
                <w:sz w:val="20"/>
                <w:szCs w:val="20"/>
                <w:lang w:val="fr-CA"/>
              </w:rPr>
            </w:pPr>
            <w:r w:rsidRPr="00972874">
              <w:rPr>
                <w:sz w:val="20"/>
                <w:szCs w:val="20"/>
                <w:lang w:val="fr-CA"/>
              </w:rPr>
              <w:t>(Juge Ducharme)</w:t>
            </w:r>
          </w:p>
          <w:p w:rsidR="005C3B9D" w:rsidRPr="00972874" w:rsidRDefault="00CD76E4" w:rsidP="008F5FE2">
            <w:pPr>
              <w:jc w:val="both"/>
              <w:rPr>
                <w:sz w:val="20"/>
                <w:szCs w:val="20"/>
                <w:lang w:val="fr-CA"/>
              </w:rPr>
            </w:pPr>
            <w:hyperlink r:id="rId48" w:history="1">
              <w:r w:rsidR="005C3B9D" w:rsidRPr="00972874">
                <w:rPr>
                  <w:color w:val="0000FF" w:themeColor="hyperlink"/>
                  <w:sz w:val="20"/>
                  <w:szCs w:val="20"/>
                  <w:u w:val="single"/>
                  <w:lang w:val="fr-CA"/>
                </w:rPr>
                <w:t>2013 ONSC 1135</w:t>
              </w:r>
            </w:hyperlink>
          </w:p>
          <w:p w:rsidR="005C3B9D" w:rsidRPr="00972874" w:rsidRDefault="005C3B9D" w:rsidP="008F5FE2">
            <w:pPr>
              <w:jc w:val="both"/>
              <w:rPr>
                <w:sz w:val="20"/>
                <w:szCs w:val="20"/>
                <w:lang w:val="fr-CA"/>
              </w:rPr>
            </w:pPr>
          </w:p>
        </w:tc>
        <w:tc>
          <w:tcPr>
            <w:tcW w:w="243" w:type="pct"/>
          </w:tcPr>
          <w:p w:rsidR="005C3B9D" w:rsidRPr="00972874" w:rsidRDefault="005C3B9D" w:rsidP="008F5FE2">
            <w:pPr>
              <w:jc w:val="both"/>
              <w:rPr>
                <w:sz w:val="20"/>
                <w:szCs w:val="20"/>
                <w:lang w:val="fr-CA"/>
              </w:rPr>
            </w:pPr>
          </w:p>
        </w:tc>
        <w:tc>
          <w:tcPr>
            <w:tcW w:w="2330" w:type="pct"/>
          </w:tcPr>
          <w:p w:rsidR="005C3B9D" w:rsidRPr="00972874" w:rsidRDefault="005C3B9D" w:rsidP="008F5FE2">
            <w:pPr>
              <w:jc w:val="both"/>
              <w:rPr>
                <w:sz w:val="20"/>
                <w:szCs w:val="20"/>
                <w:lang w:val="fr-CA"/>
              </w:rPr>
            </w:pPr>
            <w:r w:rsidRPr="00972874">
              <w:rPr>
                <w:sz w:val="20"/>
                <w:szCs w:val="20"/>
                <w:lang w:val="fr-CA"/>
              </w:rPr>
              <w:t>Jugement accueillant la demande des intimées en autorisation d’appel de l’ordonnance relative à l’action en enrichissement injustifié</w:t>
            </w:r>
          </w:p>
        </w:tc>
      </w:tr>
      <w:tr w:rsidR="005C3B9D" w:rsidRPr="00B26F8D" w:rsidTr="008F5FE2">
        <w:tc>
          <w:tcPr>
            <w:tcW w:w="2427" w:type="pct"/>
          </w:tcPr>
          <w:p w:rsidR="005C3B9D" w:rsidRPr="00972874" w:rsidRDefault="005C3B9D" w:rsidP="008F5FE2">
            <w:pPr>
              <w:jc w:val="both"/>
              <w:rPr>
                <w:sz w:val="20"/>
                <w:szCs w:val="20"/>
                <w:lang w:val="fr-CA"/>
              </w:rPr>
            </w:pPr>
            <w:r w:rsidRPr="00972874">
              <w:rPr>
                <w:sz w:val="20"/>
                <w:szCs w:val="20"/>
                <w:lang w:val="fr-CA"/>
              </w:rPr>
              <w:lastRenderedPageBreak/>
              <w:t>19 septembre 2013</w:t>
            </w:r>
          </w:p>
          <w:p w:rsidR="005C3B9D" w:rsidRPr="00972874" w:rsidRDefault="005C3B9D" w:rsidP="008F5FE2">
            <w:pPr>
              <w:jc w:val="both"/>
              <w:rPr>
                <w:sz w:val="20"/>
                <w:szCs w:val="20"/>
                <w:lang w:val="fr-CA"/>
              </w:rPr>
            </w:pPr>
            <w:r w:rsidRPr="00972874">
              <w:rPr>
                <w:sz w:val="20"/>
                <w:szCs w:val="20"/>
                <w:lang w:val="fr-CA"/>
              </w:rPr>
              <w:t>Cour supérieure de justice de l’Ontario</w:t>
            </w:r>
          </w:p>
          <w:p w:rsidR="005C3B9D" w:rsidRPr="00972874" w:rsidRDefault="005C3B9D" w:rsidP="008F5FE2">
            <w:pPr>
              <w:jc w:val="both"/>
              <w:rPr>
                <w:sz w:val="20"/>
                <w:szCs w:val="20"/>
                <w:lang w:val="fr-CA"/>
              </w:rPr>
            </w:pPr>
            <w:r w:rsidRPr="00972874">
              <w:rPr>
                <w:sz w:val="20"/>
                <w:szCs w:val="20"/>
                <w:lang w:val="fr-CA"/>
              </w:rPr>
              <w:t>(Juges Lax, Sachs et Grace)</w:t>
            </w:r>
          </w:p>
          <w:p w:rsidR="005C3B9D" w:rsidRPr="00972874" w:rsidRDefault="00CD76E4" w:rsidP="008F5FE2">
            <w:pPr>
              <w:jc w:val="both"/>
              <w:rPr>
                <w:color w:val="0000FF" w:themeColor="hyperlink"/>
                <w:sz w:val="20"/>
                <w:szCs w:val="20"/>
                <w:u w:val="single"/>
                <w:lang w:val="fr-CA"/>
              </w:rPr>
            </w:pPr>
            <w:hyperlink r:id="rId49" w:history="1">
              <w:r w:rsidR="005C3B9D" w:rsidRPr="00972874">
                <w:rPr>
                  <w:color w:val="0000FF" w:themeColor="hyperlink"/>
                  <w:sz w:val="20"/>
                  <w:szCs w:val="20"/>
                  <w:u w:val="single"/>
                  <w:lang w:val="fr-CA"/>
                </w:rPr>
                <w:t>2013 ONSC 5937</w:t>
              </w:r>
            </w:hyperlink>
          </w:p>
          <w:p w:rsidR="005C3B9D" w:rsidRPr="00972874" w:rsidRDefault="005C3B9D" w:rsidP="008F5FE2">
            <w:pPr>
              <w:jc w:val="both"/>
              <w:rPr>
                <w:sz w:val="20"/>
                <w:szCs w:val="20"/>
                <w:lang w:val="fr-CA"/>
              </w:rPr>
            </w:pPr>
          </w:p>
        </w:tc>
        <w:tc>
          <w:tcPr>
            <w:tcW w:w="243" w:type="pct"/>
          </w:tcPr>
          <w:p w:rsidR="005C3B9D" w:rsidRPr="00972874" w:rsidRDefault="005C3B9D" w:rsidP="008F5FE2">
            <w:pPr>
              <w:jc w:val="both"/>
              <w:rPr>
                <w:sz w:val="20"/>
                <w:szCs w:val="20"/>
                <w:lang w:val="fr-CA"/>
              </w:rPr>
            </w:pPr>
          </w:p>
        </w:tc>
        <w:tc>
          <w:tcPr>
            <w:tcW w:w="2330" w:type="pct"/>
          </w:tcPr>
          <w:p w:rsidR="005C3B9D" w:rsidRPr="00972874" w:rsidRDefault="005C3B9D" w:rsidP="008F5FE2">
            <w:pPr>
              <w:jc w:val="both"/>
              <w:rPr>
                <w:sz w:val="20"/>
                <w:szCs w:val="20"/>
                <w:lang w:val="fr-CA"/>
              </w:rPr>
            </w:pPr>
            <w:r w:rsidRPr="00972874">
              <w:rPr>
                <w:sz w:val="20"/>
                <w:szCs w:val="20"/>
                <w:lang w:val="fr-CA"/>
              </w:rPr>
              <w:t>Jugement accueillant l’appel des intimées; radiation de l’action en enrichissement injustifié qui se trouvait dans la déclaration d’Apotex</w:t>
            </w:r>
          </w:p>
          <w:p w:rsidR="005C3B9D" w:rsidRPr="00972874" w:rsidRDefault="005C3B9D" w:rsidP="008F5FE2">
            <w:pPr>
              <w:jc w:val="both"/>
              <w:rPr>
                <w:sz w:val="20"/>
                <w:szCs w:val="20"/>
                <w:lang w:val="fr-CA"/>
              </w:rPr>
            </w:pPr>
          </w:p>
        </w:tc>
      </w:tr>
      <w:tr w:rsidR="005C3B9D" w:rsidRPr="00972874" w:rsidTr="008F5FE2">
        <w:tc>
          <w:tcPr>
            <w:tcW w:w="2427" w:type="pct"/>
          </w:tcPr>
          <w:p w:rsidR="005C3B9D" w:rsidRPr="00972874" w:rsidRDefault="005C3B9D" w:rsidP="008F5FE2">
            <w:pPr>
              <w:jc w:val="both"/>
              <w:rPr>
                <w:sz w:val="20"/>
                <w:szCs w:val="20"/>
                <w:lang w:val="fr-CA"/>
              </w:rPr>
            </w:pPr>
            <w:r w:rsidRPr="00972874">
              <w:rPr>
                <w:sz w:val="20"/>
                <w:szCs w:val="20"/>
                <w:lang w:val="fr-CA"/>
              </w:rPr>
              <w:t>5 mai 2015</w:t>
            </w:r>
          </w:p>
          <w:p w:rsidR="005C3B9D" w:rsidRPr="00972874" w:rsidRDefault="005C3B9D" w:rsidP="008F5FE2">
            <w:pPr>
              <w:jc w:val="both"/>
              <w:rPr>
                <w:sz w:val="20"/>
                <w:szCs w:val="20"/>
                <w:lang w:val="fr-CA"/>
              </w:rPr>
            </w:pPr>
            <w:r w:rsidRPr="00972874">
              <w:rPr>
                <w:sz w:val="20"/>
                <w:szCs w:val="20"/>
                <w:lang w:val="fr-CA"/>
              </w:rPr>
              <w:t>Cour d’appel de l’Ontario</w:t>
            </w:r>
          </w:p>
          <w:p w:rsidR="005C3B9D" w:rsidRPr="00972874" w:rsidRDefault="005C3B9D" w:rsidP="008F5FE2">
            <w:pPr>
              <w:jc w:val="both"/>
              <w:rPr>
                <w:sz w:val="20"/>
                <w:szCs w:val="20"/>
                <w:lang w:val="fr-CA"/>
              </w:rPr>
            </w:pPr>
            <w:r w:rsidRPr="00972874">
              <w:rPr>
                <w:sz w:val="20"/>
                <w:szCs w:val="20"/>
                <w:lang w:val="fr-CA"/>
              </w:rPr>
              <w:t>(Juges Doherty, Feldman et Blair)</w:t>
            </w:r>
          </w:p>
          <w:p w:rsidR="005C3B9D" w:rsidRPr="00972874" w:rsidRDefault="00CD76E4" w:rsidP="008F5FE2">
            <w:pPr>
              <w:jc w:val="both"/>
              <w:rPr>
                <w:sz w:val="20"/>
                <w:szCs w:val="20"/>
                <w:lang w:val="fr-CA"/>
              </w:rPr>
            </w:pPr>
            <w:hyperlink r:id="rId50" w:history="1">
              <w:r w:rsidR="005C3B9D" w:rsidRPr="00972874">
                <w:rPr>
                  <w:color w:val="0000FF" w:themeColor="hyperlink"/>
                  <w:sz w:val="20"/>
                  <w:szCs w:val="20"/>
                  <w:u w:val="single"/>
                  <w:lang w:val="fr-CA"/>
                </w:rPr>
                <w:t>2015 ONCA 305</w:t>
              </w:r>
            </w:hyperlink>
          </w:p>
          <w:p w:rsidR="005C3B9D" w:rsidRPr="00972874" w:rsidRDefault="005C3B9D" w:rsidP="008F5FE2">
            <w:pPr>
              <w:jc w:val="both"/>
              <w:rPr>
                <w:sz w:val="20"/>
                <w:szCs w:val="20"/>
                <w:lang w:val="fr-CA"/>
              </w:rPr>
            </w:pPr>
          </w:p>
        </w:tc>
        <w:tc>
          <w:tcPr>
            <w:tcW w:w="243" w:type="pct"/>
          </w:tcPr>
          <w:p w:rsidR="005C3B9D" w:rsidRPr="00972874" w:rsidRDefault="005C3B9D" w:rsidP="008F5FE2">
            <w:pPr>
              <w:jc w:val="both"/>
              <w:rPr>
                <w:sz w:val="20"/>
                <w:szCs w:val="20"/>
                <w:lang w:val="fr-CA"/>
              </w:rPr>
            </w:pPr>
          </w:p>
        </w:tc>
        <w:tc>
          <w:tcPr>
            <w:tcW w:w="2330" w:type="pct"/>
          </w:tcPr>
          <w:p w:rsidR="005C3B9D" w:rsidRPr="00972874" w:rsidRDefault="005C3B9D" w:rsidP="008F5FE2">
            <w:pPr>
              <w:jc w:val="both"/>
              <w:rPr>
                <w:sz w:val="20"/>
                <w:szCs w:val="20"/>
                <w:lang w:val="fr-CA"/>
              </w:rPr>
            </w:pPr>
            <w:r w:rsidRPr="00972874">
              <w:rPr>
                <w:sz w:val="20"/>
                <w:szCs w:val="20"/>
                <w:lang w:val="fr-CA"/>
              </w:rPr>
              <w:t>Rejet de l’appel d’Apotex</w:t>
            </w:r>
          </w:p>
          <w:p w:rsidR="005C3B9D" w:rsidRPr="00972874" w:rsidRDefault="005C3B9D" w:rsidP="008F5FE2">
            <w:pPr>
              <w:jc w:val="both"/>
              <w:rPr>
                <w:sz w:val="20"/>
                <w:szCs w:val="20"/>
                <w:lang w:val="fr-CA"/>
              </w:rPr>
            </w:pPr>
          </w:p>
          <w:p w:rsidR="005C3B9D" w:rsidRPr="00972874" w:rsidRDefault="005C3B9D" w:rsidP="008F5FE2">
            <w:pPr>
              <w:jc w:val="both"/>
              <w:rPr>
                <w:sz w:val="20"/>
                <w:szCs w:val="20"/>
                <w:lang w:val="fr-CA"/>
              </w:rPr>
            </w:pPr>
          </w:p>
        </w:tc>
      </w:tr>
      <w:tr w:rsidR="005C3B9D" w:rsidRPr="00B26F8D" w:rsidTr="008F5FE2">
        <w:tc>
          <w:tcPr>
            <w:tcW w:w="2427" w:type="pct"/>
          </w:tcPr>
          <w:p w:rsidR="005C3B9D" w:rsidRPr="00972874" w:rsidRDefault="005C3B9D" w:rsidP="008F5FE2">
            <w:pPr>
              <w:jc w:val="both"/>
              <w:rPr>
                <w:sz w:val="20"/>
                <w:szCs w:val="20"/>
                <w:lang w:val="fr-CA"/>
              </w:rPr>
            </w:pPr>
            <w:r w:rsidRPr="00972874">
              <w:rPr>
                <w:sz w:val="20"/>
                <w:szCs w:val="20"/>
                <w:lang w:val="fr-CA"/>
              </w:rPr>
              <w:t>4 août 2015</w:t>
            </w:r>
          </w:p>
          <w:p w:rsidR="005C3B9D" w:rsidRPr="00972874" w:rsidRDefault="005C3B9D" w:rsidP="008F5FE2">
            <w:pPr>
              <w:jc w:val="both"/>
              <w:rPr>
                <w:sz w:val="20"/>
                <w:szCs w:val="20"/>
                <w:lang w:val="fr-CA"/>
              </w:rPr>
            </w:pPr>
            <w:r w:rsidRPr="00972874">
              <w:rPr>
                <w:sz w:val="20"/>
                <w:szCs w:val="20"/>
                <w:lang w:val="fr-CA"/>
              </w:rPr>
              <w:t>Cour suprême du Canada</w:t>
            </w:r>
          </w:p>
        </w:tc>
        <w:tc>
          <w:tcPr>
            <w:tcW w:w="243" w:type="pct"/>
          </w:tcPr>
          <w:p w:rsidR="005C3B9D" w:rsidRPr="00972874" w:rsidRDefault="005C3B9D" w:rsidP="008F5FE2">
            <w:pPr>
              <w:jc w:val="both"/>
              <w:rPr>
                <w:sz w:val="20"/>
                <w:szCs w:val="20"/>
                <w:lang w:val="fr-CA"/>
              </w:rPr>
            </w:pPr>
          </w:p>
        </w:tc>
        <w:tc>
          <w:tcPr>
            <w:tcW w:w="2330" w:type="pct"/>
          </w:tcPr>
          <w:p w:rsidR="005C3B9D" w:rsidRPr="00972874" w:rsidRDefault="005C3B9D" w:rsidP="008F5FE2">
            <w:pPr>
              <w:jc w:val="both"/>
              <w:rPr>
                <w:sz w:val="20"/>
                <w:szCs w:val="20"/>
                <w:lang w:val="fr-CA"/>
              </w:rPr>
            </w:pPr>
            <w:r w:rsidRPr="00972874">
              <w:rPr>
                <w:sz w:val="20"/>
                <w:szCs w:val="20"/>
                <w:lang w:val="fr-CA"/>
              </w:rPr>
              <w:t>Dépôt de la demande d’autorisation d’appel</w:t>
            </w: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47"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542</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 xml:space="preserve">1284897 Alberta </w:t>
            </w:r>
            <w:r w:rsidR="00C45171">
              <w:rPr>
                <w:b/>
                <w:sz w:val="20"/>
                <w:szCs w:val="24"/>
                <w:u w:val="single"/>
                <w:lang w:val="en-US"/>
              </w:rPr>
              <w:t>Ltd. v. Zero Spill Systems (Int’</w:t>
            </w:r>
            <w:r w:rsidRPr="0041388B">
              <w:rPr>
                <w:b/>
                <w:sz w:val="20"/>
                <w:szCs w:val="24"/>
                <w:u w:val="single"/>
                <w:lang w:val="en-US"/>
              </w:rPr>
              <w:t>l) Inc., Katch Kan Holdings Ltd., Quinn Holtby, Katch Kan Rentals Ltd., Bill Heide, Central Alberta Plastic Products and Rat Plastic Ltd.</w:t>
            </w:r>
            <w:r w:rsidRPr="0041388B">
              <w:rPr>
                <w:sz w:val="20"/>
                <w:szCs w:val="24"/>
              </w:rPr>
              <w:t xml:space="preserve"> (FC) (Civil)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and Côté</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Federal Court of Appeal, Number A-293-13, 2015 FCA 115, dated May 4, 2015, is dismissed with costs to the respondents Zero Spill Systems (Int’l) Inc., Katch Kan Holdings Ltd., Quinn Holtby and Katch Kan Rentals Ltd.</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demande d’autorisation d’appel de l’arrêt de la Cour d’appel fédérale, numéro A-293-13, 2015 CAF 115, daté du 4 mai 2015, est rejetée avec dépens en faveur des intimées Zero Spill Systems (Int’l) Inc., Katch Kan Holdings Ltd., Quinn Holtby et Katch Kan Rentals Ltd.</w:t>
            </w:r>
          </w:p>
        </w:tc>
      </w:tr>
    </w:tbl>
    <w:p w:rsidR="005C3B9D" w:rsidRPr="0016547E" w:rsidRDefault="005C3B9D" w:rsidP="005C3B9D">
      <w:pPr>
        <w:rPr>
          <w:sz w:val="20"/>
          <w:szCs w:val="20"/>
          <w:lang w:val="fr-CA"/>
        </w:rPr>
      </w:pPr>
    </w:p>
    <w:p w:rsidR="005C3B9D" w:rsidRPr="0033473D" w:rsidRDefault="005C3B9D" w:rsidP="005C3B9D">
      <w:pPr>
        <w:rPr>
          <w:sz w:val="20"/>
          <w:szCs w:val="20"/>
          <w:u w:val="single"/>
        </w:rPr>
      </w:pPr>
      <w:r w:rsidRPr="0033473D">
        <w:rPr>
          <w:sz w:val="20"/>
          <w:szCs w:val="20"/>
          <w:u w:val="single"/>
        </w:rPr>
        <w:t>CASE SUMMARY</w:t>
      </w:r>
    </w:p>
    <w:p w:rsidR="005C3B9D" w:rsidRPr="00A33957"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A33957" w:rsidTr="008F5FE2">
        <w:tc>
          <w:tcPr>
            <w:tcW w:w="5000" w:type="pct"/>
            <w:gridSpan w:val="3"/>
          </w:tcPr>
          <w:p w:rsidR="005C3B9D" w:rsidRPr="00A33957" w:rsidRDefault="005C3B9D" w:rsidP="008F5FE2">
            <w:pPr>
              <w:jc w:val="both"/>
              <w:rPr>
                <w:smallCaps/>
                <w:sz w:val="20"/>
                <w:szCs w:val="20"/>
              </w:rPr>
            </w:pPr>
            <w:r w:rsidRPr="00A33957">
              <w:rPr>
                <w:smallCaps/>
                <w:sz w:val="20"/>
                <w:szCs w:val="20"/>
              </w:rPr>
              <w:t>(Sealing order)</w:t>
            </w:r>
          </w:p>
          <w:p w:rsidR="005C3B9D" w:rsidRPr="00A33957" w:rsidRDefault="005C3B9D" w:rsidP="008F5FE2">
            <w:pPr>
              <w:jc w:val="both"/>
              <w:rPr>
                <w:sz w:val="20"/>
                <w:szCs w:val="20"/>
              </w:rPr>
            </w:pPr>
          </w:p>
          <w:p w:rsidR="005C3B9D" w:rsidRDefault="005C3B9D" w:rsidP="008F5FE2">
            <w:pPr>
              <w:jc w:val="both"/>
              <w:rPr>
                <w:sz w:val="20"/>
                <w:szCs w:val="20"/>
                <w:lang w:val="en-US"/>
              </w:rPr>
            </w:pPr>
            <w:r w:rsidRPr="00A33957">
              <w:rPr>
                <w:sz w:val="20"/>
                <w:szCs w:val="20"/>
              </w:rPr>
              <w:t xml:space="preserve">Intellectual property – Patents – Industrial design – Civil procedure – Costs – Patent and Design owner alleging that Patents and Design infringed by the manufacturing and sale of other oil field fluid containment products produced and sold by competitors in the market – Whether Federal Court of Appeal erred on issues of </w:t>
            </w:r>
            <w:r w:rsidRPr="00A33957">
              <w:rPr>
                <w:sz w:val="20"/>
                <w:szCs w:val="20"/>
                <w:lang w:val="en-US"/>
              </w:rPr>
              <w:t xml:space="preserve">patent validity and infringement </w:t>
            </w:r>
            <w:r w:rsidRPr="00A33957">
              <w:rPr>
                <w:sz w:val="20"/>
                <w:szCs w:val="20"/>
              </w:rPr>
              <w:t xml:space="preserve">– </w:t>
            </w:r>
            <w:r w:rsidRPr="00A33957">
              <w:rPr>
                <w:sz w:val="20"/>
                <w:szCs w:val="20"/>
                <w:lang w:val="en-US"/>
              </w:rPr>
              <w:t>Whether Federal Court of Appeal erred in costs award.</w:t>
            </w:r>
          </w:p>
          <w:p w:rsidR="005C3B9D" w:rsidRPr="00A33957" w:rsidRDefault="005C3B9D" w:rsidP="008F5FE2">
            <w:pPr>
              <w:jc w:val="both"/>
              <w:rPr>
                <w:sz w:val="20"/>
                <w:szCs w:val="20"/>
                <w:lang w:val="en-US"/>
              </w:rPr>
            </w:pPr>
          </w:p>
        </w:tc>
      </w:tr>
      <w:tr w:rsidR="005C3B9D" w:rsidRPr="00A33957" w:rsidTr="008F5FE2">
        <w:tc>
          <w:tcPr>
            <w:tcW w:w="5000" w:type="pct"/>
            <w:gridSpan w:val="3"/>
          </w:tcPr>
          <w:p w:rsidR="005C3B9D" w:rsidRPr="00A33957" w:rsidRDefault="005C3B9D" w:rsidP="008F5FE2">
            <w:pPr>
              <w:jc w:val="both"/>
              <w:rPr>
                <w:sz w:val="20"/>
                <w:szCs w:val="20"/>
              </w:rPr>
            </w:pPr>
            <w:r w:rsidRPr="00A33957">
              <w:rPr>
                <w:sz w:val="20"/>
                <w:szCs w:val="20"/>
              </w:rPr>
              <w:t xml:space="preserve">The respondent, Quinton Holtby, was the inventor of oil field fluid containment products and the owner of the 265, 064 and 375 Patents and the 793 Design, either personally or through his companies. Mr. Holtby controlled the respondent companies Zero Spill Systems (Int'l) Inc., Katch Kan Holdings Ltd. and Katch Kan Rentals Ltd. (collectively, “Zero Spill”). Zero Spill brought an infringement action against the defendants, 1284897 Alberta Ltd. (“Lea-Der”) and Bill Heide, doing business as Central Alberta Plastic Products and Rat Plastic Ltd. (collectively, “the Heide respondents”). The defendants were alleged to have infringed the 064 and 375 Patents by manufacturing and/or selling competing oil field fluid containment products. The Heide respondents were also alleged to have infringed the 793 Design. The products in dispute were all designed to capture fluids that either leaked or were spilled during oil field operations, particularly during pipe disconnection procedures. </w:t>
            </w:r>
            <w:r w:rsidRPr="00A33957">
              <w:rPr>
                <w:sz w:val="20"/>
                <w:szCs w:val="20"/>
                <w:lang w:val="en-US"/>
              </w:rPr>
              <w:t>The Heide respondents produced upper and lower containment trays for use on well heads and drilling rigs. Lea-Der resold lines of upper and lower trays.</w:t>
            </w:r>
            <w:r w:rsidRPr="00A33957">
              <w:rPr>
                <w:sz w:val="20"/>
                <w:szCs w:val="20"/>
              </w:rPr>
              <w:t xml:space="preserve"> The Heide respondents maintained </w:t>
            </w:r>
            <w:r w:rsidRPr="00A33957">
              <w:rPr>
                <w:sz w:val="20"/>
                <w:szCs w:val="20"/>
              </w:rPr>
              <w:lastRenderedPageBreak/>
              <w:t>that their products were non-infringing. The applicant, Lea-Der, asserted non-infringement and also claimed that the patents were invalid.</w:t>
            </w:r>
          </w:p>
          <w:p w:rsidR="005C3B9D" w:rsidRPr="00A33957" w:rsidRDefault="005C3B9D" w:rsidP="008F5FE2">
            <w:pPr>
              <w:jc w:val="both"/>
              <w:rPr>
                <w:sz w:val="20"/>
                <w:szCs w:val="20"/>
              </w:rPr>
            </w:pPr>
          </w:p>
        </w:tc>
      </w:tr>
      <w:tr w:rsidR="005C3B9D" w:rsidRPr="00A33957" w:rsidTr="008F5FE2">
        <w:tc>
          <w:tcPr>
            <w:tcW w:w="2427" w:type="pct"/>
          </w:tcPr>
          <w:p w:rsidR="005C3B9D" w:rsidRPr="00A33957" w:rsidRDefault="005C3B9D" w:rsidP="008F5FE2">
            <w:pPr>
              <w:jc w:val="both"/>
              <w:rPr>
                <w:sz w:val="20"/>
                <w:szCs w:val="20"/>
              </w:rPr>
            </w:pPr>
            <w:r w:rsidRPr="00A33957">
              <w:rPr>
                <w:sz w:val="20"/>
                <w:szCs w:val="20"/>
              </w:rPr>
              <w:lastRenderedPageBreak/>
              <w:t>July 18, 2013</w:t>
            </w:r>
          </w:p>
          <w:p w:rsidR="005C3B9D" w:rsidRPr="00A33957" w:rsidRDefault="005C3B9D" w:rsidP="008F5FE2">
            <w:pPr>
              <w:jc w:val="both"/>
              <w:rPr>
                <w:sz w:val="20"/>
                <w:szCs w:val="20"/>
              </w:rPr>
            </w:pPr>
            <w:r w:rsidRPr="00A33957">
              <w:rPr>
                <w:sz w:val="20"/>
                <w:szCs w:val="20"/>
              </w:rPr>
              <w:t>Federal Court</w:t>
            </w:r>
          </w:p>
          <w:p w:rsidR="005C3B9D" w:rsidRPr="00A33957" w:rsidRDefault="005C3B9D" w:rsidP="008F5FE2">
            <w:pPr>
              <w:jc w:val="both"/>
              <w:rPr>
                <w:sz w:val="20"/>
                <w:szCs w:val="20"/>
              </w:rPr>
            </w:pPr>
            <w:r w:rsidRPr="00A33957">
              <w:rPr>
                <w:sz w:val="20"/>
                <w:szCs w:val="20"/>
              </w:rPr>
              <w:t>(Barnes J.)</w:t>
            </w:r>
          </w:p>
          <w:p w:rsidR="005C3B9D" w:rsidRPr="00A33957" w:rsidRDefault="00CD76E4" w:rsidP="008F5FE2">
            <w:pPr>
              <w:jc w:val="both"/>
              <w:rPr>
                <w:sz w:val="20"/>
                <w:szCs w:val="20"/>
              </w:rPr>
            </w:pPr>
            <w:hyperlink r:id="rId51" w:history="1">
              <w:r w:rsidR="005C3B9D" w:rsidRPr="00A33957">
                <w:rPr>
                  <w:color w:val="0000FF" w:themeColor="hyperlink"/>
                  <w:sz w:val="20"/>
                  <w:szCs w:val="20"/>
                  <w:u w:val="single"/>
                </w:rPr>
                <w:t>2013 FC 616</w:t>
              </w:r>
            </w:hyperlink>
          </w:p>
          <w:p w:rsidR="005C3B9D" w:rsidRPr="00A33957" w:rsidRDefault="005C3B9D" w:rsidP="008F5FE2">
            <w:pPr>
              <w:jc w:val="both"/>
              <w:rPr>
                <w:sz w:val="20"/>
                <w:szCs w:val="20"/>
              </w:rPr>
            </w:pPr>
          </w:p>
        </w:tc>
        <w:tc>
          <w:tcPr>
            <w:tcW w:w="243" w:type="pct"/>
          </w:tcPr>
          <w:p w:rsidR="005C3B9D" w:rsidRPr="00A33957" w:rsidRDefault="005C3B9D" w:rsidP="008F5FE2">
            <w:pPr>
              <w:jc w:val="both"/>
              <w:rPr>
                <w:sz w:val="20"/>
                <w:szCs w:val="20"/>
              </w:rPr>
            </w:pPr>
          </w:p>
        </w:tc>
        <w:tc>
          <w:tcPr>
            <w:tcW w:w="2330" w:type="pct"/>
          </w:tcPr>
          <w:p w:rsidR="005C3B9D" w:rsidRPr="00A33957" w:rsidRDefault="005C3B9D" w:rsidP="008F5FE2">
            <w:pPr>
              <w:jc w:val="both"/>
              <w:rPr>
                <w:sz w:val="20"/>
                <w:szCs w:val="20"/>
              </w:rPr>
            </w:pPr>
            <w:r w:rsidRPr="00A33957">
              <w:rPr>
                <w:sz w:val="20"/>
                <w:szCs w:val="20"/>
              </w:rPr>
              <w:t>Zero Spill’s infringement action dismissed with respect to 375 and 064 Patents and 793 Design; Lea-Der’s counterclaim allowed in part: 375 Patent valid; 064 and 265 Patents invalid.</w:t>
            </w:r>
          </w:p>
          <w:p w:rsidR="005C3B9D" w:rsidRPr="00A33957" w:rsidRDefault="005C3B9D" w:rsidP="008F5FE2">
            <w:pPr>
              <w:jc w:val="both"/>
              <w:rPr>
                <w:sz w:val="20"/>
                <w:szCs w:val="20"/>
              </w:rPr>
            </w:pPr>
          </w:p>
        </w:tc>
      </w:tr>
      <w:tr w:rsidR="005C3B9D" w:rsidRPr="00A33957" w:rsidTr="008F5FE2">
        <w:tc>
          <w:tcPr>
            <w:tcW w:w="2427" w:type="pct"/>
          </w:tcPr>
          <w:p w:rsidR="005C3B9D" w:rsidRPr="00A33957" w:rsidRDefault="005C3B9D" w:rsidP="008F5FE2">
            <w:pPr>
              <w:jc w:val="both"/>
              <w:rPr>
                <w:sz w:val="20"/>
                <w:szCs w:val="20"/>
              </w:rPr>
            </w:pPr>
            <w:r w:rsidRPr="00A33957">
              <w:rPr>
                <w:sz w:val="20"/>
                <w:szCs w:val="20"/>
              </w:rPr>
              <w:t>May 4, 2015</w:t>
            </w:r>
          </w:p>
          <w:p w:rsidR="005C3B9D" w:rsidRPr="00A33957" w:rsidRDefault="005C3B9D" w:rsidP="008F5FE2">
            <w:pPr>
              <w:jc w:val="both"/>
              <w:rPr>
                <w:sz w:val="20"/>
                <w:szCs w:val="20"/>
              </w:rPr>
            </w:pPr>
            <w:r w:rsidRPr="00A33957">
              <w:rPr>
                <w:sz w:val="20"/>
                <w:szCs w:val="20"/>
              </w:rPr>
              <w:t>Federal Court of Appeal</w:t>
            </w:r>
          </w:p>
          <w:p w:rsidR="005C3B9D" w:rsidRPr="00A33957" w:rsidRDefault="005C3B9D" w:rsidP="008F5FE2">
            <w:pPr>
              <w:jc w:val="both"/>
              <w:rPr>
                <w:sz w:val="20"/>
                <w:szCs w:val="20"/>
              </w:rPr>
            </w:pPr>
            <w:r w:rsidRPr="00A33957">
              <w:rPr>
                <w:sz w:val="20"/>
                <w:szCs w:val="20"/>
              </w:rPr>
              <w:t>(Dawson, Stratas and Near JJ.A.)</w:t>
            </w:r>
          </w:p>
          <w:p w:rsidR="005C3B9D" w:rsidRPr="00A33957" w:rsidRDefault="00CD76E4" w:rsidP="008F5FE2">
            <w:pPr>
              <w:jc w:val="both"/>
              <w:rPr>
                <w:sz w:val="20"/>
                <w:szCs w:val="20"/>
              </w:rPr>
            </w:pPr>
            <w:hyperlink r:id="rId52" w:history="1">
              <w:r w:rsidR="005C3B9D" w:rsidRPr="00A33957">
                <w:rPr>
                  <w:color w:val="0000FF" w:themeColor="hyperlink"/>
                  <w:sz w:val="20"/>
                  <w:szCs w:val="20"/>
                  <w:u w:val="single"/>
                </w:rPr>
                <w:t>2015 FCA 115</w:t>
              </w:r>
            </w:hyperlink>
          </w:p>
          <w:p w:rsidR="005C3B9D" w:rsidRPr="00A33957" w:rsidRDefault="005C3B9D" w:rsidP="008F5FE2">
            <w:pPr>
              <w:jc w:val="both"/>
              <w:rPr>
                <w:sz w:val="20"/>
                <w:szCs w:val="20"/>
              </w:rPr>
            </w:pPr>
          </w:p>
        </w:tc>
        <w:tc>
          <w:tcPr>
            <w:tcW w:w="243" w:type="pct"/>
          </w:tcPr>
          <w:p w:rsidR="005C3B9D" w:rsidRPr="00A33957" w:rsidRDefault="005C3B9D" w:rsidP="008F5FE2">
            <w:pPr>
              <w:jc w:val="both"/>
              <w:rPr>
                <w:sz w:val="20"/>
                <w:szCs w:val="20"/>
              </w:rPr>
            </w:pPr>
          </w:p>
        </w:tc>
        <w:tc>
          <w:tcPr>
            <w:tcW w:w="2330" w:type="pct"/>
          </w:tcPr>
          <w:p w:rsidR="005C3B9D" w:rsidRPr="00A33957" w:rsidRDefault="005C3B9D" w:rsidP="008F5FE2">
            <w:pPr>
              <w:jc w:val="both"/>
              <w:rPr>
                <w:sz w:val="20"/>
                <w:szCs w:val="20"/>
              </w:rPr>
            </w:pPr>
            <w:r w:rsidRPr="00A33957">
              <w:rPr>
                <w:sz w:val="20"/>
                <w:szCs w:val="20"/>
              </w:rPr>
              <w:t>Zero Spill’s appeal allowed in part; Validity of 064 and 265 Patents and infringement of 793 Design by Heide respondents remitted to trial judge for redetermination; Zero Spill awarded 70 percent of costs at trial and on appeal</w:t>
            </w:r>
          </w:p>
          <w:p w:rsidR="005C3B9D" w:rsidRPr="00A33957" w:rsidRDefault="005C3B9D" w:rsidP="008F5FE2">
            <w:pPr>
              <w:jc w:val="both"/>
              <w:rPr>
                <w:sz w:val="20"/>
                <w:szCs w:val="20"/>
              </w:rPr>
            </w:pPr>
          </w:p>
        </w:tc>
      </w:tr>
      <w:tr w:rsidR="005C3B9D" w:rsidRPr="00A33957" w:rsidTr="008F5FE2">
        <w:tc>
          <w:tcPr>
            <w:tcW w:w="2427" w:type="pct"/>
          </w:tcPr>
          <w:p w:rsidR="005C3B9D" w:rsidRPr="00A33957" w:rsidRDefault="005C3B9D" w:rsidP="008F5FE2">
            <w:pPr>
              <w:jc w:val="both"/>
              <w:rPr>
                <w:sz w:val="20"/>
                <w:szCs w:val="20"/>
              </w:rPr>
            </w:pPr>
            <w:r w:rsidRPr="00A33957">
              <w:rPr>
                <w:sz w:val="20"/>
                <w:szCs w:val="20"/>
              </w:rPr>
              <w:t>August 4, 2015</w:t>
            </w:r>
          </w:p>
          <w:p w:rsidR="005C3B9D" w:rsidRPr="00A33957" w:rsidRDefault="005C3B9D" w:rsidP="008F5FE2">
            <w:pPr>
              <w:jc w:val="both"/>
              <w:rPr>
                <w:sz w:val="20"/>
                <w:szCs w:val="20"/>
              </w:rPr>
            </w:pPr>
            <w:r w:rsidRPr="00A33957">
              <w:rPr>
                <w:sz w:val="20"/>
                <w:szCs w:val="20"/>
              </w:rPr>
              <w:t>Supreme Court of Canada</w:t>
            </w:r>
          </w:p>
          <w:p w:rsidR="005C3B9D" w:rsidRPr="00A33957" w:rsidRDefault="005C3B9D" w:rsidP="008F5FE2">
            <w:pPr>
              <w:jc w:val="both"/>
              <w:rPr>
                <w:sz w:val="20"/>
                <w:szCs w:val="20"/>
              </w:rPr>
            </w:pPr>
          </w:p>
        </w:tc>
        <w:tc>
          <w:tcPr>
            <w:tcW w:w="243" w:type="pct"/>
          </w:tcPr>
          <w:p w:rsidR="005C3B9D" w:rsidRPr="00A33957" w:rsidRDefault="005C3B9D" w:rsidP="008F5FE2">
            <w:pPr>
              <w:jc w:val="both"/>
              <w:rPr>
                <w:sz w:val="20"/>
                <w:szCs w:val="20"/>
              </w:rPr>
            </w:pPr>
          </w:p>
        </w:tc>
        <w:tc>
          <w:tcPr>
            <w:tcW w:w="2330" w:type="pct"/>
          </w:tcPr>
          <w:p w:rsidR="005C3B9D" w:rsidRPr="00A33957" w:rsidRDefault="005C3B9D" w:rsidP="008F5FE2">
            <w:pPr>
              <w:jc w:val="both"/>
              <w:rPr>
                <w:sz w:val="20"/>
                <w:szCs w:val="20"/>
              </w:rPr>
            </w:pPr>
            <w:r w:rsidRPr="00A33957">
              <w:rPr>
                <w:sz w:val="20"/>
                <w:szCs w:val="20"/>
              </w:rPr>
              <w:t>Application for leave to appeal filed</w:t>
            </w:r>
          </w:p>
          <w:p w:rsidR="005C3B9D" w:rsidRPr="00A33957" w:rsidRDefault="005C3B9D" w:rsidP="008F5FE2">
            <w:pPr>
              <w:jc w:val="both"/>
              <w:rPr>
                <w:sz w:val="20"/>
                <w:szCs w:val="20"/>
              </w:rPr>
            </w:pPr>
          </w:p>
        </w:tc>
      </w:tr>
      <w:tr w:rsidR="005C3B9D" w:rsidRPr="00A33957" w:rsidTr="008F5FE2">
        <w:tc>
          <w:tcPr>
            <w:tcW w:w="2427" w:type="pct"/>
          </w:tcPr>
          <w:p w:rsidR="005C3B9D" w:rsidRPr="00A33957" w:rsidRDefault="005C3B9D" w:rsidP="008F5FE2">
            <w:pPr>
              <w:jc w:val="both"/>
              <w:rPr>
                <w:sz w:val="20"/>
                <w:szCs w:val="20"/>
              </w:rPr>
            </w:pPr>
            <w:r w:rsidRPr="00A33957">
              <w:rPr>
                <w:sz w:val="20"/>
                <w:szCs w:val="20"/>
              </w:rPr>
              <w:t>September 1, 2015</w:t>
            </w:r>
          </w:p>
          <w:p w:rsidR="005C3B9D" w:rsidRPr="00A33957" w:rsidRDefault="005C3B9D" w:rsidP="008F5FE2">
            <w:pPr>
              <w:jc w:val="both"/>
              <w:rPr>
                <w:sz w:val="20"/>
                <w:szCs w:val="20"/>
              </w:rPr>
            </w:pPr>
            <w:r w:rsidRPr="00A33957">
              <w:rPr>
                <w:sz w:val="20"/>
                <w:szCs w:val="20"/>
              </w:rPr>
              <w:t>Supreme Court of Canada</w:t>
            </w:r>
          </w:p>
        </w:tc>
        <w:tc>
          <w:tcPr>
            <w:tcW w:w="243" w:type="pct"/>
          </w:tcPr>
          <w:p w:rsidR="005C3B9D" w:rsidRPr="00A33957" w:rsidRDefault="005C3B9D" w:rsidP="008F5FE2">
            <w:pPr>
              <w:jc w:val="both"/>
              <w:rPr>
                <w:sz w:val="20"/>
                <w:szCs w:val="20"/>
              </w:rPr>
            </w:pPr>
          </w:p>
        </w:tc>
        <w:tc>
          <w:tcPr>
            <w:tcW w:w="2330" w:type="pct"/>
          </w:tcPr>
          <w:p w:rsidR="005C3B9D" w:rsidRPr="00A33957" w:rsidRDefault="005C3B9D" w:rsidP="008F5FE2">
            <w:pPr>
              <w:jc w:val="both"/>
              <w:rPr>
                <w:sz w:val="20"/>
                <w:szCs w:val="20"/>
              </w:rPr>
            </w:pPr>
            <w:r w:rsidRPr="00A33957">
              <w:rPr>
                <w:sz w:val="20"/>
                <w:szCs w:val="20"/>
              </w:rPr>
              <w:t>Conditional application for leave to cross-appeal filed by Zero Spill respondents</w:t>
            </w:r>
          </w:p>
        </w:tc>
      </w:tr>
    </w:tbl>
    <w:p w:rsidR="005C3B9D" w:rsidRPr="00A33957" w:rsidRDefault="005C3B9D" w:rsidP="005C3B9D">
      <w:pPr>
        <w:rPr>
          <w:sz w:val="20"/>
          <w:szCs w:val="20"/>
        </w:rPr>
      </w:pPr>
    </w:p>
    <w:p w:rsidR="005C3B9D" w:rsidRPr="00C50A5C" w:rsidRDefault="00CD76E4" w:rsidP="005C3B9D">
      <w:pPr>
        <w:rPr>
          <w:sz w:val="20"/>
          <w:szCs w:val="20"/>
        </w:rPr>
      </w:pPr>
      <w:r>
        <w:rPr>
          <w:sz w:val="20"/>
          <w:szCs w:val="20"/>
          <w:lang w:val="fr-CA"/>
        </w:rPr>
        <w:pict>
          <v:rect id="_x0000_i1048" style="width:2in;height:1pt" o:hrpct="0" o:hralign="center" o:hrstd="t" o:hrnoshade="t" o:hr="t" fillcolor="black [3213]" stroked="f"/>
        </w:pict>
      </w:r>
    </w:p>
    <w:p w:rsidR="005C3B9D" w:rsidRPr="00972874" w:rsidRDefault="005C3B9D" w:rsidP="005C3B9D">
      <w:pPr>
        <w:rPr>
          <w:sz w:val="20"/>
          <w:szCs w:val="20"/>
        </w:rPr>
      </w:pPr>
    </w:p>
    <w:p w:rsidR="005C3B9D" w:rsidRPr="00972874" w:rsidRDefault="005C3B9D" w:rsidP="005C3B9D">
      <w:pPr>
        <w:rPr>
          <w:sz w:val="20"/>
          <w:szCs w:val="20"/>
          <w:u w:val="single"/>
          <w:lang w:val="fr-CA"/>
        </w:rPr>
      </w:pPr>
      <w:r w:rsidRPr="00972874">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C3B9D" w:rsidRPr="00B26F8D" w:rsidTr="008F5FE2">
        <w:tc>
          <w:tcPr>
            <w:tcW w:w="5000" w:type="pct"/>
          </w:tcPr>
          <w:p w:rsidR="005C3B9D" w:rsidRPr="003B77B4" w:rsidRDefault="005C3B9D" w:rsidP="008F5FE2">
            <w:pPr>
              <w:jc w:val="both"/>
              <w:rPr>
                <w:smallCaps/>
                <w:sz w:val="20"/>
                <w:szCs w:val="20"/>
                <w:lang w:val="fr-CA"/>
              </w:rPr>
            </w:pPr>
            <w:r w:rsidRPr="003B77B4">
              <w:rPr>
                <w:smallCaps/>
                <w:sz w:val="20"/>
                <w:szCs w:val="20"/>
                <w:lang w:val="fr-CA"/>
              </w:rPr>
              <w:t>(Ordonnance de mise sous scellés)</w:t>
            </w:r>
          </w:p>
          <w:p w:rsidR="005C3B9D" w:rsidRPr="003B77B4" w:rsidRDefault="005C3B9D" w:rsidP="008F5FE2">
            <w:pPr>
              <w:jc w:val="both"/>
              <w:rPr>
                <w:sz w:val="20"/>
                <w:szCs w:val="20"/>
                <w:lang w:val="fr-CA"/>
              </w:rPr>
            </w:pPr>
          </w:p>
          <w:p w:rsidR="005C3B9D" w:rsidRDefault="005C3B9D" w:rsidP="008F5FE2">
            <w:pPr>
              <w:jc w:val="both"/>
              <w:rPr>
                <w:sz w:val="20"/>
                <w:szCs w:val="20"/>
                <w:lang w:val="fr-CA"/>
              </w:rPr>
            </w:pPr>
            <w:r w:rsidRPr="003B77B4">
              <w:rPr>
                <w:sz w:val="20"/>
                <w:szCs w:val="20"/>
                <w:lang w:val="fr-CA"/>
              </w:rPr>
              <w:t>Propriété intellectuelle – Brevets – Dessins industriels – Procédure civile – Dépens – Le propriétaire des brevets et du dessin allègue que les brevets et le dessin en cause ont été contrefaits par la fabrication et la vente d’autres produits de confinement de fluides de gisement pétrolifère produits et vendus par des concurrents – La Cour d’appel fédérale a-t-elle commis des erreurs sur les questions de validité et de contrefaçon des brevets? – La Cour d’appel fédérale a-t-elle commis une erreur dans son arrêt portant sur les dépens?</w:t>
            </w:r>
          </w:p>
          <w:p w:rsidR="005C3B9D" w:rsidRPr="003B77B4" w:rsidRDefault="005C3B9D" w:rsidP="008F5FE2">
            <w:pPr>
              <w:jc w:val="both"/>
              <w:rPr>
                <w:sz w:val="20"/>
                <w:szCs w:val="20"/>
                <w:lang w:val="fr-CA"/>
              </w:rPr>
            </w:pPr>
          </w:p>
        </w:tc>
      </w:tr>
      <w:tr w:rsidR="005C3B9D" w:rsidRPr="00B26F8D" w:rsidTr="008F5FE2">
        <w:tc>
          <w:tcPr>
            <w:tcW w:w="5000" w:type="pct"/>
          </w:tcPr>
          <w:p w:rsidR="005C3B9D" w:rsidRPr="003B77B4" w:rsidRDefault="005C3B9D" w:rsidP="008F5FE2">
            <w:pPr>
              <w:jc w:val="both"/>
              <w:rPr>
                <w:sz w:val="20"/>
                <w:szCs w:val="20"/>
                <w:lang w:val="fr-CA"/>
              </w:rPr>
            </w:pPr>
            <w:r w:rsidRPr="003B77B4">
              <w:rPr>
                <w:sz w:val="20"/>
                <w:szCs w:val="20"/>
                <w:lang w:val="fr-CA"/>
              </w:rPr>
              <w:t xml:space="preserve">L’intimé, Quinton </w:t>
            </w:r>
            <w:proofErr w:type="spellStart"/>
            <w:r w:rsidRPr="003B77B4">
              <w:rPr>
                <w:sz w:val="20"/>
                <w:szCs w:val="20"/>
                <w:lang w:val="fr-CA"/>
              </w:rPr>
              <w:t>Holtby</w:t>
            </w:r>
            <w:proofErr w:type="spellEnd"/>
            <w:r w:rsidRPr="003B77B4">
              <w:rPr>
                <w:sz w:val="20"/>
                <w:szCs w:val="20"/>
                <w:lang w:val="fr-CA"/>
              </w:rPr>
              <w:t>, est l’inventeur de produits de confinement de fluides de gisement pétrolifère et le propriétaire des brevets 265, 064 et 375 et du dessin 793, soit personnellement, soit par l’entremise de ses compagnies. Monsieur Holtby contrôlait les compagnies intimées Zero Spill Systems (Int'l) Inc., Katch Kan Holdings Ltd. et Katch Kan Rentals Ltd. (collectivement, « Zero Spill »). Zero Spill a intenté une action en contrefaçon contre les défendeurs, 1284897 Alberta Ltd. (« Lea-Der ») et Bill Heide, faisant affaire sous les raisons sociales « Central Alberta Plastic Products » et « Rat Plastic Ltd. » (collectivement appelés « les intimés Heide »). On allègue que les défendeurs auraient contrefait les brevets 064 et 375 en fabricant ou en vendant des produits de confinement de fluides de gisement pétrolifère concurrentiels. On allègue également que les intimés Heide auraient contrefait le dessin 793. Les produits en cause étaient tous conçus pour capter des fluides qui coulent ou qui sont renversés lors de l'extraction de pétrole, particulièrement lors des opérations de désassemblage des tuyaux. Les intimés Heide produisaient des plateaux supérieur et inférieur de confinement de fluides destinés à un usage sur les têtes de puits et les appareils de forage. Lea-Der revendait une gamme de plateaux supérieur et inférieur. Les intimés Heide ont soutenu que leurs produits n’étaient pas des contrefaçons. La demanderesse, Lea-Der, a allégué la non-contrefaçon et a également fait valoir que les brevets étaient invalides.</w:t>
            </w:r>
          </w:p>
          <w:p w:rsidR="005C3B9D" w:rsidRPr="003B77B4" w:rsidRDefault="005C3B9D" w:rsidP="008F5FE2">
            <w:pPr>
              <w:jc w:val="both"/>
              <w:rPr>
                <w:sz w:val="20"/>
                <w:szCs w:val="20"/>
                <w:lang w:val="fr-CA"/>
              </w:rPr>
            </w:pPr>
          </w:p>
        </w:tc>
      </w:tr>
    </w:tbl>
    <w:p w:rsidR="005C3B9D" w:rsidRPr="005C3B9D" w:rsidRDefault="005C3B9D" w:rsidP="005C3B9D">
      <w:pPr>
        <w:rPr>
          <w:lang w:val="fr-CA"/>
        </w:rPr>
      </w:pPr>
    </w:p>
    <w:p w:rsidR="005C3B9D" w:rsidRPr="005C3B9D" w:rsidRDefault="005C3B9D" w:rsidP="005C3B9D">
      <w:pPr>
        <w:rPr>
          <w:lang w:val="fr-CA"/>
        </w:rPr>
      </w:pPr>
      <w:r w:rsidRPr="005C3B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2427" w:type="pct"/>
          </w:tcPr>
          <w:p w:rsidR="005C3B9D" w:rsidRPr="003B77B4" w:rsidRDefault="005C3B9D" w:rsidP="008F5FE2">
            <w:pPr>
              <w:jc w:val="both"/>
              <w:rPr>
                <w:sz w:val="20"/>
                <w:szCs w:val="20"/>
                <w:lang w:val="fr-CA"/>
              </w:rPr>
            </w:pPr>
            <w:r w:rsidRPr="003B77B4">
              <w:rPr>
                <w:sz w:val="20"/>
                <w:szCs w:val="20"/>
                <w:lang w:val="fr-CA"/>
              </w:rPr>
              <w:lastRenderedPageBreak/>
              <w:t>18 juillet 2013</w:t>
            </w:r>
          </w:p>
          <w:p w:rsidR="005C3B9D" w:rsidRPr="003B77B4" w:rsidRDefault="005C3B9D" w:rsidP="008F5FE2">
            <w:pPr>
              <w:jc w:val="both"/>
              <w:rPr>
                <w:sz w:val="20"/>
                <w:szCs w:val="20"/>
                <w:lang w:val="fr-CA"/>
              </w:rPr>
            </w:pPr>
            <w:r w:rsidRPr="003B77B4">
              <w:rPr>
                <w:sz w:val="20"/>
                <w:szCs w:val="20"/>
                <w:lang w:val="fr-CA"/>
              </w:rPr>
              <w:t>Cour fédérale</w:t>
            </w:r>
          </w:p>
          <w:p w:rsidR="005C3B9D" w:rsidRPr="003B77B4" w:rsidRDefault="005C3B9D" w:rsidP="008F5FE2">
            <w:pPr>
              <w:jc w:val="both"/>
              <w:rPr>
                <w:sz w:val="20"/>
                <w:szCs w:val="20"/>
                <w:lang w:val="fr-CA"/>
              </w:rPr>
            </w:pPr>
            <w:r w:rsidRPr="003B77B4">
              <w:rPr>
                <w:sz w:val="20"/>
                <w:szCs w:val="20"/>
                <w:lang w:val="fr-CA"/>
              </w:rPr>
              <w:t>(Juge Barnes)</w:t>
            </w:r>
          </w:p>
          <w:p w:rsidR="005C3B9D" w:rsidRPr="003B77B4" w:rsidRDefault="00CD76E4" w:rsidP="008F5FE2">
            <w:pPr>
              <w:jc w:val="both"/>
              <w:rPr>
                <w:sz w:val="20"/>
                <w:szCs w:val="20"/>
                <w:lang w:val="fr-CA"/>
              </w:rPr>
            </w:pPr>
            <w:hyperlink r:id="rId53" w:history="1">
              <w:r w:rsidR="005C3B9D" w:rsidRPr="003B77B4">
                <w:rPr>
                  <w:color w:val="0000FF" w:themeColor="hyperlink"/>
                  <w:sz w:val="20"/>
                  <w:szCs w:val="20"/>
                  <w:u w:val="single"/>
                  <w:lang w:val="fr-CA"/>
                </w:rPr>
                <w:t>2013 FC 616</w:t>
              </w:r>
            </w:hyperlink>
          </w:p>
          <w:p w:rsidR="005C3B9D" w:rsidRPr="003B77B4" w:rsidRDefault="005C3B9D" w:rsidP="008F5FE2">
            <w:pPr>
              <w:jc w:val="both"/>
              <w:rPr>
                <w:sz w:val="20"/>
                <w:szCs w:val="20"/>
                <w:lang w:val="fr-CA"/>
              </w:rPr>
            </w:pPr>
          </w:p>
        </w:tc>
        <w:tc>
          <w:tcPr>
            <w:tcW w:w="243" w:type="pct"/>
          </w:tcPr>
          <w:p w:rsidR="005C3B9D" w:rsidRPr="003B77B4" w:rsidRDefault="005C3B9D" w:rsidP="008F5FE2">
            <w:pPr>
              <w:jc w:val="both"/>
              <w:rPr>
                <w:sz w:val="20"/>
                <w:szCs w:val="20"/>
                <w:lang w:val="fr-CA"/>
              </w:rPr>
            </w:pPr>
          </w:p>
        </w:tc>
        <w:tc>
          <w:tcPr>
            <w:tcW w:w="2330" w:type="pct"/>
          </w:tcPr>
          <w:p w:rsidR="005C3B9D" w:rsidRPr="003B77B4" w:rsidRDefault="005C3B9D" w:rsidP="008F5FE2">
            <w:pPr>
              <w:jc w:val="both"/>
              <w:rPr>
                <w:sz w:val="20"/>
                <w:szCs w:val="20"/>
                <w:lang w:val="fr-CA"/>
              </w:rPr>
            </w:pPr>
            <w:r w:rsidRPr="003B77B4">
              <w:rPr>
                <w:sz w:val="20"/>
                <w:szCs w:val="20"/>
                <w:lang w:val="fr-CA"/>
              </w:rPr>
              <w:t>Rejet de l’action en contrefaçon de Zero Spill quant aux brevets 375 et 064 et quant au dessin 793; jugement accueillant en partie la demande reconventionnelle de Lea-Der, déclarant valide le brevet 375 et invalides les brevets 064 et 265.</w:t>
            </w:r>
          </w:p>
          <w:p w:rsidR="005C3B9D" w:rsidRPr="003B77B4" w:rsidRDefault="005C3B9D" w:rsidP="008F5FE2">
            <w:pPr>
              <w:jc w:val="both"/>
              <w:rPr>
                <w:sz w:val="20"/>
                <w:szCs w:val="20"/>
                <w:lang w:val="fr-CA"/>
              </w:rPr>
            </w:pPr>
          </w:p>
        </w:tc>
      </w:tr>
      <w:tr w:rsidR="005C3B9D" w:rsidRPr="00B26F8D" w:rsidTr="008F5FE2">
        <w:tc>
          <w:tcPr>
            <w:tcW w:w="2427" w:type="pct"/>
          </w:tcPr>
          <w:p w:rsidR="005C3B9D" w:rsidRPr="003B77B4" w:rsidRDefault="005C3B9D" w:rsidP="008F5FE2">
            <w:pPr>
              <w:jc w:val="both"/>
              <w:rPr>
                <w:sz w:val="20"/>
                <w:szCs w:val="20"/>
                <w:lang w:val="fr-CA"/>
              </w:rPr>
            </w:pPr>
            <w:r w:rsidRPr="003B77B4">
              <w:rPr>
                <w:sz w:val="20"/>
                <w:szCs w:val="20"/>
                <w:lang w:val="fr-CA"/>
              </w:rPr>
              <w:t>4 mai 2015</w:t>
            </w:r>
          </w:p>
          <w:p w:rsidR="005C3B9D" w:rsidRPr="003B77B4" w:rsidRDefault="005C3B9D" w:rsidP="008F5FE2">
            <w:pPr>
              <w:jc w:val="both"/>
              <w:rPr>
                <w:sz w:val="20"/>
                <w:szCs w:val="20"/>
                <w:lang w:val="fr-CA"/>
              </w:rPr>
            </w:pPr>
            <w:r w:rsidRPr="003B77B4">
              <w:rPr>
                <w:sz w:val="20"/>
                <w:szCs w:val="20"/>
                <w:lang w:val="fr-CA"/>
              </w:rPr>
              <w:t>Cour d’appel fédérale</w:t>
            </w:r>
          </w:p>
          <w:p w:rsidR="005C3B9D" w:rsidRPr="003B77B4" w:rsidRDefault="005C3B9D" w:rsidP="008F5FE2">
            <w:pPr>
              <w:jc w:val="both"/>
              <w:rPr>
                <w:sz w:val="20"/>
                <w:szCs w:val="20"/>
                <w:lang w:val="fr-CA"/>
              </w:rPr>
            </w:pPr>
            <w:r w:rsidRPr="003B77B4">
              <w:rPr>
                <w:sz w:val="20"/>
                <w:szCs w:val="20"/>
                <w:lang w:val="fr-CA"/>
              </w:rPr>
              <w:t>(Juges Dawson, Stratas et Near)</w:t>
            </w:r>
          </w:p>
          <w:p w:rsidR="005C3B9D" w:rsidRPr="003B77B4" w:rsidRDefault="00CD76E4" w:rsidP="008F5FE2">
            <w:pPr>
              <w:jc w:val="both"/>
              <w:rPr>
                <w:sz w:val="20"/>
                <w:szCs w:val="20"/>
                <w:lang w:val="fr-CA"/>
              </w:rPr>
            </w:pPr>
            <w:hyperlink r:id="rId54" w:history="1">
              <w:r w:rsidR="005C3B9D" w:rsidRPr="003B77B4">
                <w:rPr>
                  <w:color w:val="0000FF" w:themeColor="hyperlink"/>
                  <w:sz w:val="20"/>
                  <w:szCs w:val="20"/>
                  <w:u w:val="single"/>
                  <w:lang w:val="fr-CA"/>
                </w:rPr>
                <w:t>2015 FCA 115</w:t>
              </w:r>
            </w:hyperlink>
          </w:p>
          <w:p w:rsidR="005C3B9D" w:rsidRPr="003B77B4" w:rsidRDefault="005C3B9D" w:rsidP="008F5FE2">
            <w:pPr>
              <w:jc w:val="both"/>
              <w:rPr>
                <w:sz w:val="20"/>
                <w:szCs w:val="20"/>
                <w:lang w:val="fr-CA"/>
              </w:rPr>
            </w:pPr>
          </w:p>
        </w:tc>
        <w:tc>
          <w:tcPr>
            <w:tcW w:w="243" w:type="pct"/>
          </w:tcPr>
          <w:p w:rsidR="005C3B9D" w:rsidRPr="003B77B4" w:rsidRDefault="005C3B9D" w:rsidP="008F5FE2">
            <w:pPr>
              <w:jc w:val="both"/>
              <w:rPr>
                <w:sz w:val="20"/>
                <w:szCs w:val="20"/>
                <w:lang w:val="fr-CA"/>
              </w:rPr>
            </w:pPr>
          </w:p>
        </w:tc>
        <w:tc>
          <w:tcPr>
            <w:tcW w:w="2330" w:type="pct"/>
          </w:tcPr>
          <w:p w:rsidR="005C3B9D" w:rsidRPr="003B77B4" w:rsidRDefault="005C3B9D" w:rsidP="008F5FE2">
            <w:pPr>
              <w:jc w:val="both"/>
              <w:rPr>
                <w:sz w:val="20"/>
                <w:szCs w:val="20"/>
                <w:lang w:val="fr-CA"/>
              </w:rPr>
            </w:pPr>
            <w:r w:rsidRPr="003B77B4">
              <w:rPr>
                <w:sz w:val="20"/>
                <w:szCs w:val="20"/>
                <w:lang w:val="fr-CA"/>
              </w:rPr>
              <w:t>Arrêt accueillant en partie l’appel de Zero Spill, renvoyant la question de la validité des brevets 064 et 265 et de la contrefaçon du dessin 793 par les intimés Heide au juge de première instance pour nouvelle décision et accordant à Zero Spill 70 pour cent de ses dépens en première instance et en appel</w:t>
            </w:r>
          </w:p>
          <w:p w:rsidR="005C3B9D" w:rsidRPr="003B77B4" w:rsidRDefault="005C3B9D" w:rsidP="008F5FE2">
            <w:pPr>
              <w:jc w:val="both"/>
              <w:rPr>
                <w:sz w:val="20"/>
                <w:szCs w:val="20"/>
                <w:lang w:val="fr-CA"/>
              </w:rPr>
            </w:pPr>
          </w:p>
        </w:tc>
      </w:tr>
      <w:tr w:rsidR="005C3B9D" w:rsidRPr="00B26F8D" w:rsidTr="008F5FE2">
        <w:tc>
          <w:tcPr>
            <w:tcW w:w="2427" w:type="pct"/>
          </w:tcPr>
          <w:p w:rsidR="005C3B9D" w:rsidRPr="003B77B4" w:rsidRDefault="005C3B9D" w:rsidP="008F5FE2">
            <w:pPr>
              <w:jc w:val="both"/>
              <w:rPr>
                <w:sz w:val="20"/>
                <w:szCs w:val="20"/>
                <w:lang w:val="fr-CA"/>
              </w:rPr>
            </w:pPr>
            <w:r w:rsidRPr="003B77B4">
              <w:rPr>
                <w:sz w:val="20"/>
                <w:szCs w:val="20"/>
                <w:lang w:val="fr-CA"/>
              </w:rPr>
              <w:t>4 août 2015</w:t>
            </w:r>
          </w:p>
          <w:p w:rsidR="005C3B9D" w:rsidRPr="003B77B4" w:rsidRDefault="005C3B9D" w:rsidP="008F5FE2">
            <w:pPr>
              <w:jc w:val="both"/>
              <w:rPr>
                <w:sz w:val="20"/>
                <w:szCs w:val="20"/>
                <w:lang w:val="fr-CA"/>
              </w:rPr>
            </w:pPr>
            <w:r w:rsidRPr="003B77B4">
              <w:rPr>
                <w:sz w:val="20"/>
                <w:szCs w:val="20"/>
                <w:lang w:val="fr-CA"/>
              </w:rPr>
              <w:t>Cour suprême du Canada</w:t>
            </w:r>
          </w:p>
          <w:p w:rsidR="005C3B9D" w:rsidRPr="003B77B4" w:rsidRDefault="005C3B9D" w:rsidP="008F5FE2">
            <w:pPr>
              <w:jc w:val="both"/>
              <w:rPr>
                <w:sz w:val="20"/>
                <w:szCs w:val="20"/>
                <w:lang w:val="fr-CA"/>
              </w:rPr>
            </w:pPr>
          </w:p>
        </w:tc>
        <w:tc>
          <w:tcPr>
            <w:tcW w:w="243" w:type="pct"/>
          </w:tcPr>
          <w:p w:rsidR="005C3B9D" w:rsidRPr="003B77B4" w:rsidRDefault="005C3B9D" w:rsidP="008F5FE2">
            <w:pPr>
              <w:jc w:val="both"/>
              <w:rPr>
                <w:sz w:val="20"/>
                <w:szCs w:val="20"/>
                <w:lang w:val="fr-CA"/>
              </w:rPr>
            </w:pPr>
          </w:p>
        </w:tc>
        <w:tc>
          <w:tcPr>
            <w:tcW w:w="2330" w:type="pct"/>
          </w:tcPr>
          <w:p w:rsidR="005C3B9D" w:rsidRPr="003B77B4" w:rsidRDefault="005C3B9D" w:rsidP="008F5FE2">
            <w:pPr>
              <w:jc w:val="both"/>
              <w:rPr>
                <w:sz w:val="20"/>
                <w:szCs w:val="20"/>
                <w:lang w:val="fr-CA"/>
              </w:rPr>
            </w:pPr>
            <w:r w:rsidRPr="003B77B4">
              <w:rPr>
                <w:sz w:val="20"/>
                <w:szCs w:val="20"/>
                <w:lang w:val="fr-CA"/>
              </w:rPr>
              <w:t>Dépôt de la demande d’autorisation d’appel</w:t>
            </w:r>
          </w:p>
          <w:p w:rsidR="005C3B9D" w:rsidRPr="003B77B4" w:rsidRDefault="005C3B9D" w:rsidP="008F5FE2">
            <w:pPr>
              <w:jc w:val="both"/>
              <w:rPr>
                <w:sz w:val="20"/>
                <w:szCs w:val="20"/>
                <w:lang w:val="fr-CA"/>
              </w:rPr>
            </w:pPr>
          </w:p>
        </w:tc>
      </w:tr>
      <w:tr w:rsidR="005C3B9D" w:rsidRPr="00B26F8D" w:rsidTr="008F5FE2">
        <w:tc>
          <w:tcPr>
            <w:tcW w:w="2427" w:type="pct"/>
          </w:tcPr>
          <w:p w:rsidR="005C3B9D" w:rsidRPr="003B77B4" w:rsidRDefault="005C3B9D" w:rsidP="008F5FE2">
            <w:pPr>
              <w:jc w:val="both"/>
              <w:rPr>
                <w:sz w:val="20"/>
                <w:szCs w:val="20"/>
                <w:lang w:val="fr-CA"/>
              </w:rPr>
            </w:pPr>
            <w:r w:rsidRPr="003B77B4">
              <w:rPr>
                <w:sz w:val="20"/>
                <w:szCs w:val="20"/>
                <w:lang w:val="fr-CA"/>
              </w:rPr>
              <w:t>1</w:t>
            </w:r>
            <w:r w:rsidRPr="003B77B4">
              <w:rPr>
                <w:sz w:val="20"/>
                <w:szCs w:val="20"/>
                <w:vertAlign w:val="superscript"/>
                <w:lang w:val="fr-CA"/>
              </w:rPr>
              <w:t>er</w:t>
            </w:r>
            <w:r w:rsidRPr="003B77B4">
              <w:rPr>
                <w:sz w:val="20"/>
                <w:szCs w:val="20"/>
                <w:lang w:val="fr-CA"/>
              </w:rPr>
              <w:t xml:space="preserve"> septembre 2015</w:t>
            </w:r>
          </w:p>
          <w:p w:rsidR="005C3B9D" w:rsidRPr="003B77B4" w:rsidRDefault="005C3B9D" w:rsidP="008F5FE2">
            <w:pPr>
              <w:jc w:val="both"/>
              <w:rPr>
                <w:sz w:val="20"/>
                <w:szCs w:val="20"/>
                <w:lang w:val="fr-CA"/>
              </w:rPr>
            </w:pPr>
            <w:r w:rsidRPr="003B77B4">
              <w:rPr>
                <w:sz w:val="20"/>
                <w:szCs w:val="20"/>
                <w:lang w:val="fr-CA"/>
              </w:rPr>
              <w:t>Cour suprême du Canada</w:t>
            </w:r>
          </w:p>
        </w:tc>
        <w:tc>
          <w:tcPr>
            <w:tcW w:w="243" w:type="pct"/>
          </w:tcPr>
          <w:p w:rsidR="005C3B9D" w:rsidRPr="003B77B4" w:rsidRDefault="005C3B9D" w:rsidP="008F5FE2">
            <w:pPr>
              <w:jc w:val="both"/>
              <w:rPr>
                <w:sz w:val="20"/>
                <w:szCs w:val="20"/>
                <w:lang w:val="fr-CA"/>
              </w:rPr>
            </w:pPr>
          </w:p>
        </w:tc>
        <w:tc>
          <w:tcPr>
            <w:tcW w:w="2330" w:type="pct"/>
          </w:tcPr>
          <w:p w:rsidR="005C3B9D" w:rsidRPr="003B77B4" w:rsidRDefault="005C3B9D" w:rsidP="008F5FE2">
            <w:pPr>
              <w:jc w:val="both"/>
              <w:rPr>
                <w:sz w:val="20"/>
                <w:szCs w:val="20"/>
                <w:lang w:val="fr-CA"/>
              </w:rPr>
            </w:pPr>
            <w:r w:rsidRPr="003B77B4">
              <w:rPr>
                <w:sz w:val="20"/>
                <w:szCs w:val="20"/>
                <w:lang w:val="fr-CA"/>
              </w:rPr>
              <w:t>Dépôt par les intimés Zero Spill de la demande conditionnelle d’autorisation d’appel incident</w:t>
            </w: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49"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B26F8D"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547</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lang w:val="fr-CA"/>
              </w:rPr>
            </w:pPr>
            <w:r w:rsidRPr="0041388B">
              <w:rPr>
                <w:b/>
                <w:sz w:val="20"/>
                <w:szCs w:val="24"/>
                <w:u w:val="single"/>
                <w:lang w:val="fr-CA"/>
              </w:rPr>
              <w:t>Ville de Thetford Mines c. Association des policiers de Thetford Mines</w:t>
            </w:r>
            <w:r w:rsidRPr="0041388B">
              <w:rPr>
                <w:sz w:val="20"/>
                <w:szCs w:val="24"/>
                <w:lang w:val="fr-CA"/>
              </w:rPr>
              <w:t xml:space="preserve"> (Qc) (Civile) (Autorisation)</w:t>
            </w:r>
          </w:p>
          <w:p w:rsidR="005C3B9D" w:rsidRPr="003824D3" w:rsidRDefault="005C3B9D" w:rsidP="008F5FE2">
            <w:pPr>
              <w:rPr>
                <w:sz w:val="20"/>
                <w:szCs w:val="20"/>
                <w:lang w:val="fr-CA"/>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et Côté</w:t>
            </w:r>
          </w:p>
          <w:p w:rsidR="005C3B9D" w:rsidRPr="00A73D2C" w:rsidRDefault="005C3B9D" w:rsidP="008F5FE2">
            <w:pPr>
              <w:rPr>
                <w:sz w:val="20"/>
                <w:szCs w:val="20"/>
                <w:u w:val="single"/>
              </w:rPr>
            </w:pPr>
          </w:p>
        </w:tc>
      </w:tr>
      <w:tr w:rsidR="005C3B9D" w:rsidRPr="00FB4A2E" w:rsidTr="008F5FE2">
        <w:trPr>
          <w:cantSplit/>
        </w:trPr>
        <w:tc>
          <w:tcPr>
            <w:tcW w:w="9576" w:type="dxa"/>
            <w:gridSpan w:val="2"/>
          </w:tcPr>
          <w:p w:rsidR="005C3B9D" w:rsidRPr="001E7626" w:rsidRDefault="005C3B9D" w:rsidP="008F5FE2">
            <w:pPr>
              <w:pStyle w:val="SCCShortJudgment"/>
              <w:rPr>
                <w:lang w:val="fr-CA"/>
              </w:rPr>
            </w:pPr>
            <w:r w:rsidRPr="001E7626">
              <w:rPr>
                <w:lang w:val="fr-CA"/>
              </w:rPr>
              <w:t>La demande d’autorisation d’appel de l’arrêt de la Cour d’appel du Québec (Québec), numéro 200-09-008269-141, 2015 QCCA 915, daté du 15 mai 2015, est rejetée avec dépens.</w:t>
            </w:r>
          </w:p>
          <w:p w:rsidR="005C3B9D" w:rsidRPr="001E7626" w:rsidRDefault="005C3B9D" w:rsidP="008F5FE2">
            <w:pPr>
              <w:pStyle w:val="SCCShortJudgment"/>
              <w:ind w:firstLine="0"/>
              <w:rPr>
                <w:lang w:val="fr-CA"/>
              </w:rPr>
            </w:pPr>
          </w:p>
          <w:p w:rsidR="005C3B9D" w:rsidRPr="0041388B" w:rsidRDefault="005C3B9D" w:rsidP="008F5FE2">
            <w:pPr>
              <w:pStyle w:val="SCCShortJudgment"/>
            </w:pPr>
            <w:r>
              <w:t>The application for leave to appeal from the judgment of the Court of Appeal of Quebec (Québec), Number 200-09-008269-141, 2015 QCCA 915, dated May 15, 2015, is dismissed with costs.</w:t>
            </w:r>
          </w:p>
        </w:tc>
      </w:tr>
    </w:tbl>
    <w:p w:rsidR="005C3B9D" w:rsidRPr="003824D3" w:rsidRDefault="005C3B9D" w:rsidP="005C3B9D">
      <w:pPr>
        <w:rPr>
          <w:sz w:val="20"/>
          <w:szCs w:val="20"/>
          <w:lang w:val="en-US"/>
        </w:rPr>
      </w:pPr>
    </w:p>
    <w:p w:rsidR="005C3B9D" w:rsidRPr="0033473D" w:rsidRDefault="005C3B9D" w:rsidP="005C3B9D">
      <w:pPr>
        <w:rPr>
          <w:sz w:val="20"/>
          <w:szCs w:val="20"/>
          <w:u w:val="single"/>
        </w:rPr>
      </w:pPr>
      <w:r w:rsidRPr="0033473D">
        <w:rPr>
          <w:sz w:val="20"/>
          <w:szCs w:val="20"/>
          <w:u w:val="single"/>
        </w:rPr>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814A80" w:rsidTr="008F5FE2">
        <w:tc>
          <w:tcPr>
            <w:tcW w:w="5000" w:type="pct"/>
            <w:gridSpan w:val="3"/>
          </w:tcPr>
          <w:p w:rsidR="005C3B9D" w:rsidRDefault="005C3B9D" w:rsidP="008F5FE2">
            <w:pPr>
              <w:jc w:val="both"/>
              <w:rPr>
                <w:sz w:val="20"/>
                <w:szCs w:val="20"/>
              </w:rPr>
            </w:pPr>
            <w:r w:rsidRPr="00814A80">
              <w:rPr>
                <w:sz w:val="20"/>
                <w:szCs w:val="20"/>
              </w:rPr>
              <w:t xml:space="preserve">Administrative law – Judicial review – Boards and tribunals – Jurisdiction – Commission des relations du travail – Complaints filed by employees for breach of union’s duty of representation – Available remedies – Whether Commission can refer employees’ claims to arbitration, as in case of grievance, in situation other than ones expressly provided for in </w:t>
            </w:r>
            <w:r w:rsidRPr="00814A80">
              <w:rPr>
                <w:i/>
                <w:sz w:val="20"/>
                <w:szCs w:val="20"/>
              </w:rPr>
              <w:t>Labour Code</w:t>
            </w:r>
            <w:r w:rsidRPr="00814A80">
              <w:rPr>
                <w:sz w:val="20"/>
                <w:szCs w:val="20"/>
              </w:rPr>
              <w:t xml:space="preserve"> – </w:t>
            </w:r>
            <w:r w:rsidRPr="00814A80">
              <w:rPr>
                <w:i/>
                <w:sz w:val="20"/>
                <w:szCs w:val="20"/>
              </w:rPr>
              <w:t>Labour Code</w:t>
            </w:r>
            <w:r w:rsidRPr="00814A80">
              <w:rPr>
                <w:sz w:val="20"/>
                <w:szCs w:val="20"/>
              </w:rPr>
              <w:t>, R.S.Q., c. C</w:t>
            </w:r>
            <w:r w:rsidRPr="00814A80">
              <w:rPr>
                <w:sz w:val="20"/>
                <w:szCs w:val="20"/>
              </w:rPr>
              <w:noBreakHyphen/>
              <w:t>25, ss. 47.2 to 47.6, 114, 118 and 119.</w:t>
            </w:r>
          </w:p>
          <w:p w:rsidR="005C3B9D" w:rsidRPr="00814A80" w:rsidRDefault="005C3B9D" w:rsidP="008F5FE2">
            <w:pPr>
              <w:jc w:val="both"/>
              <w:rPr>
                <w:smallCaps/>
                <w:sz w:val="20"/>
                <w:szCs w:val="20"/>
              </w:rPr>
            </w:pPr>
          </w:p>
        </w:tc>
      </w:tr>
      <w:tr w:rsidR="005C3B9D" w:rsidRPr="00814A80" w:rsidTr="008F5FE2">
        <w:tc>
          <w:tcPr>
            <w:tcW w:w="5000" w:type="pct"/>
            <w:gridSpan w:val="3"/>
          </w:tcPr>
          <w:p w:rsidR="005C3B9D" w:rsidRPr="00814A80" w:rsidRDefault="005C3B9D" w:rsidP="008F5FE2">
            <w:pPr>
              <w:jc w:val="both"/>
              <w:rPr>
                <w:sz w:val="20"/>
                <w:szCs w:val="20"/>
              </w:rPr>
            </w:pPr>
            <w:r w:rsidRPr="00814A80">
              <w:rPr>
                <w:sz w:val="20"/>
                <w:szCs w:val="20"/>
              </w:rPr>
              <w:t>The mis</w:t>
            </w:r>
            <w:r w:rsidRPr="00814A80">
              <w:rPr>
                <w:sz w:val="20"/>
                <w:szCs w:val="20"/>
              </w:rPr>
              <w:noBreakHyphen/>
              <w:t>en</w:t>
            </w:r>
            <w:r w:rsidRPr="00814A80">
              <w:rPr>
                <w:sz w:val="20"/>
                <w:szCs w:val="20"/>
              </w:rPr>
              <w:noBreakHyphen/>
              <w:t xml:space="preserve">cause, Anne Bilodeau and Sylvie Fontaine, filed a grievance under their collective agreement seeking retroactive payment of additional indemnities for parental leave. That grievance was dismissed because the prescription periods had not been met. Following that decision, they filed a complaint against the respondent under s. 47.2 of the </w:t>
            </w:r>
            <w:r w:rsidRPr="00814A80">
              <w:rPr>
                <w:i/>
                <w:sz w:val="20"/>
                <w:szCs w:val="20"/>
              </w:rPr>
              <w:t>Labour Code</w:t>
            </w:r>
            <w:r w:rsidRPr="00814A80">
              <w:rPr>
                <w:sz w:val="20"/>
                <w:szCs w:val="20"/>
              </w:rPr>
              <w:t xml:space="preserve"> for breach of its duty of representation before the Commission des relations du travail. The complaint was allowed on the ground that the respondent had been seriously negligent by making an unjustified error in computing the prescription periods. The Commission ordered that the claims be referred to arbitration, as in the case of a grievance, under ss. 47.3 </w:t>
            </w:r>
            <w:r w:rsidRPr="00814A80">
              <w:rPr>
                <w:i/>
                <w:sz w:val="20"/>
                <w:szCs w:val="20"/>
              </w:rPr>
              <w:t>et seq.</w:t>
            </w:r>
            <w:r w:rsidRPr="00814A80">
              <w:rPr>
                <w:sz w:val="20"/>
                <w:szCs w:val="20"/>
              </w:rPr>
              <w:t xml:space="preserve"> of the </w:t>
            </w:r>
            <w:r w:rsidRPr="00814A80">
              <w:rPr>
                <w:i/>
                <w:sz w:val="20"/>
                <w:szCs w:val="20"/>
              </w:rPr>
              <w:t>Code</w:t>
            </w:r>
            <w:r w:rsidRPr="00814A80">
              <w:rPr>
                <w:sz w:val="20"/>
                <w:szCs w:val="20"/>
              </w:rPr>
              <w:t xml:space="preserve">. In response to that decision, the applicant filed a motion for judicial review in the Superior Court. The motion was allowed. In the Court’s view, the decision was unreasonable because the commissioner had exceeded the powers conferred on him by ss. 118 and 119 of the </w:t>
            </w:r>
            <w:r w:rsidRPr="00814A80">
              <w:rPr>
                <w:i/>
                <w:sz w:val="20"/>
                <w:szCs w:val="20"/>
              </w:rPr>
              <w:t>Code</w:t>
            </w:r>
            <w:r w:rsidRPr="00814A80">
              <w:rPr>
                <w:sz w:val="20"/>
                <w:szCs w:val="20"/>
              </w:rPr>
              <w:t xml:space="preserve"> by ordering that the claims be referred to arbitration in a situation other than the ones provided for in s. 47.3 of the </w:t>
            </w:r>
            <w:r w:rsidRPr="00814A80">
              <w:rPr>
                <w:i/>
                <w:sz w:val="20"/>
                <w:szCs w:val="20"/>
              </w:rPr>
              <w:t>Code</w:t>
            </w:r>
            <w:r w:rsidRPr="00814A80">
              <w:rPr>
                <w:sz w:val="20"/>
                <w:szCs w:val="20"/>
              </w:rPr>
              <w:t>. The Court of Appeal allowed the respondent’s appeal.</w:t>
            </w:r>
          </w:p>
          <w:p w:rsidR="005C3B9D" w:rsidRPr="00814A80" w:rsidRDefault="005C3B9D" w:rsidP="008F5FE2">
            <w:pPr>
              <w:jc w:val="both"/>
              <w:rPr>
                <w:sz w:val="20"/>
                <w:szCs w:val="20"/>
              </w:rPr>
            </w:pPr>
          </w:p>
        </w:tc>
      </w:tr>
      <w:tr w:rsidR="005C3B9D" w:rsidRPr="00814A80" w:rsidTr="008F5FE2">
        <w:tc>
          <w:tcPr>
            <w:tcW w:w="2427" w:type="pct"/>
          </w:tcPr>
          <w:p w:rsidR="005C3B9D" w:rsidRPr="00814A80" w:rsidRDefault="005C3B9D" w:rsidP="008F5FE2">
            <w:pPr>
              <w:jc w:val="both"/>
              <w:rPr>
                <w:sz w:val="20"/>
                <w:szCs w:val="20"/>
                <w:lang w:val="fr-CA"/>
              </w:rPr>
            </w:pPr>
            <w:r w:rsidRPr="00814A80">
              <w:rPr>
                <w:sz w:val="20"/>
                <w:szCs w:val="20"/>
                <w:lang w:val="fr-CA"/>
              </w:rPr>
              <w:lastRenderedPageBreak/>
              <w:t>May 2, 2013</w:t>
            </w:r>
          </w:p>
          <w:p w:rsidR="005C3B9D" w:rsidRPr="00814A80" w:rsidRDefault="005C3B9D" w:rsidP="008F5FE2">
            <w:pPr>
              <w:jc w:val="both"/>
              <w:rPr>
                <w:sz w:val="20"/>
                <w:szCs w:val="20"/>
                <w:lang w:val="fr-CA"/>
              </w:rPr>
            </w:pPr>
            <w:r w:rsidRPr="00814A80">
              <w:rPr>
                <w:sz w:val="20"/>
                <w:szCs w:val="20"/>
                <w:lang w:val="fr-CA"/>
              </w:rPr>
              <w:t>Commission des relations du travail</w:t>
            </w:r>
          </w:p>
          <w:p w:rsidR="005C3B9D" w:rsidRPr="00814A80" w:rsidRDefault="005C3B9D" w:rsidP="008F5FE2">
            <w:pPr>
              <w:jc w:val="both"/>
              <w:rPr>
                <w:sz w:val="20"/>
                <w:szCs w:val="20"/>
              </w:rPr>
            </w:pPr>
            <w:r w:rsidRPr="00814A80">
              <w:rPr>
                <w:sz w:val="20"/>
                <w:szCs w:val="20"/>
              </w:rPr>
              <w:t>(Commissioner Allard)</w:t>
            </w:r>
          </w:p>
          <w:p w:rsidR="005C3B9D" w:rsidRPr="00814A80" w:rsidRDefault="005C3B9D" w:rsidP="008F5FE2">
            <w:pPr>
              <w:jc w:val="both"/>
              <w:rPr>
                <w:sz w:val="20"/>
                <w:szCs w:val="20"/>
              </w:rPr>
            </w:pPr>
            <w:r w:rsidRPr="00814A80">
              <w:rPr>
                <w:sz w:val="20"/>
                <w:szCs w:val="20"/>
              </w:rPr>
              <w:t>2013 QCCRT 0212</w:t>
            </w:r>
          </w:p>
          <w:p w:rsidR="005C3B9D" w:rsidRPr="00814A80" w:rsidRDefault="005C3B9D" w:rsidP="008F5FE2">
            <w:pPr>
              <w:jc w:val="both"/>
              <w:rPr>
                <w:sz w:val="20"/>
                <w:szCs w:val="20"/>
              </w:rPr>
            </w:pPr>
          </w:p>
        </w:tc>
        <w:tc>
          <w:tcPr>
            <w:tcW w:w="243" w:type="pct"/>
          </w:tcPr>
          <w:p w:rsidR="005C3B9D" w:rsidRPr="00814A80" w:rsidRDefault="005C3B9D" w:rsidP="008F5FE2">
            <w:pPr>
              <w:jc w:val="both"/>
              <w:rPr>
                <w:sz w:val="20"/>
                <w:szCs w:val="20"/>
              </w:rPr>
            </w:pPr>
          </w:p>
        </w:tc>
        <w:tc>
          <w:tcPr>
            <w:tcW w:w="2330" w:type="pct"/>
          </w:tcPr>
          <w:p w:rsidR="005C3B9D" w:rsidRPr="00814A80" w:rsidRDefault="005C3B9D" w:rsidP="008F5FE2">
            <w:pPr>
              <w:jc w:val="both"/>
              <w:rPr>
                <w:sz w:val="20"/>
                <w:szCs w:val="20"/>
              </w:rPr>
            </w:pPr>
            <w:r w:rsidRPr="00814A80">
              <w:rPr>
                <w:sz w:val="20"/>
                <w:szCs w:val="20"/>
              </w:rPr>
              <w:t>Complaints allowed; authorization granted to submit claims to arbitrator appointed by Minister of Labour for decision in manner provided for in collective agreement, as in case of grievance</w:t>
            </w:r>
          </w:p>
          <w:p w:rsidR="005C3B9D" w:rsidRPr="00814A80" w:rsidRDefault="005C3B9D" w:rsidP="008F5FE2">
            <w:pPr>
              <w:jc w:val="both"/>
              <w:rPr>
                <w:sz w:val="20"/>
                <w:szCs w:val="20"/>
              </w:rPr>
            </w:pPr>
            <w:r w:rsidRPr="00814A80">
              <w:rPr>
                <w:sz w:val="20"/>
                <w:szCs w:val="20"/>
              </w:rPr>
              <w:t xml:space="preserve"> </w:t>
            </w:r>
          </w:p>
        </w:tc>
      </w:tr>
      <w:tr w:rsidR="005C3B9D" w:rsidRPr="00814A80" w:rsidTr="008F5FE2">
        <w:tc>
          <w:tcPr>
            <w:tcW w:w="2427" w:type="pct"/>
          </w:tcPr>
          <w:p w:rsidR="005C3B9D" w:rsidRPr="00814A80" w:rsidRDefault="005C3B9D" w:rsidP="008F5FE2">
            <w:pPr>
              <w:jc w:val="both"/>
              <w:rPr>
                <w:sz w:val="20"/>
                <w:szCs w:val="20"/>
              </w:rPr>
            </w:pPr>
            <w:r w:rsidRPr="00814A80">
              <w:rPr>
                <w:sz w:val="20"/>
                <w:szCs w:val="20"/>
              </w:rPr>
              <w:t>January 29, 2014</w:t>
            </w:r>
          </w:p>
          <w:p w:rsidR="005C3B9D" w:rsidRPr="00814A80" w:rsidRDefault="005C3B9D" w:rsidP="008F5FE2">
            <w:pPr>
              <w:jc w:val="both"/>
              <w:rPr>
                <w:sz w:val="20"/>
                <w:szCs w:val="20"/>
              </w:rPr>
            </w:pPr>
            <w:r w:rsidRPr="00814A80">
              <w:rPr>
                <w:sz w:val="20"/>
                <w:szCs w:val="20"/>
              </w:rPr>
              <w:t>Quebec Superior Court</w:t>
            </w:r>
          </w:p>
          <w:p w:rsidR="005C3B9D" w:rsidRPr="00814A80" w:rsidRDefault="005C3B9D" w:rsidP="008F5FE2">
            <w:pPr>
              <w:jc w:val="both"/>
              <w:rPr>
                <w:sz w:val="20"/>
                <w:szCs w:val="20"/>
              </w:rPr>
            </w:pPr>
            <w:r w:rsidRPr="00814A80">
              <w:rPr>
                <w:sz w:val="20"/>
                <w:szCs w:val="20"/>
              </w:rPr>
              <w:t>(Jacques J.)</w:t>
            </w:r>
          </w:p>
          <w:p w:rsidR="005C3B9D" w:rsidRPr="00814A80" w:rsidRDefault="005C3B9D" w:rsidP="008F5FE2">
            <w:pPr>
              <w:jc w:val="both"/>
              <w:rPr>
                <w:sz w:val="20"/>
                <w:szCs w:val="20"/>
              </w:rPr>
            </w:pPr>
            <w:r w:rsidRPr="00814A80">
              <w:rPr>
                <w:sz w:val="20"/>
                <w:szCs w:val="20"/>
              </w:rPr>
              <w:t>2014 QCCS 220</w:t>
            </w:r>
          </w:p>
          <w:p w:rsidR="005C3B9D" w:rsidRPr="00814A80" w:rsidRDefault="005C3B9D" w:rsidP="008F5FE2">
            <w:pPr>
              <w:jc w:val="both"/>
              <w:rPr>
                <w:sz w:val="20"/>
                <w:szCs w:val="20"/>
              </w:rPr>
            </w:pPr>
          </w:p>
        </w:tc>
        <w:tc>
          <w:tcPr>
            <w:tcW w:w="243" w:type="pct"/>
          </w:tcPr>
          <w:p w:rsidR="005C3B9D" w:rsidRPr="00814A80" w:rsidRDefault="005C3B9D" w:rsidP="008F5FE2">
            <w:pPr>
              <w:jc w:val="both"/>
              <w:rPr>
                <w:sz w:val="20"/>
                <w:szCs w:val="20"/>
              </w:rPr>
            </w:pPr>
          </w:p>
        </w:tc>
        <w:tc>
          <w:tcPr>
            <w:tcW w:w="2330" w:type="pct"/>
          </w:tcPr>
          <w:p w:rsidR="005C3B9D" w:rsidRPr="00814A80" w:rsidRDefault="005C3B9D" w:rsidP="008F5FE2">
            <w:pPr>
              <w:jc w:val="both"/>
              <w:rPr>
                <w:sz w:val="20"/>
                <w:szCs w:val="20"/>
              </w:rPr>
            </w:pPr>
            <w:r w:rsidRPr="00814A80">
              <w:rPr>
                <w:sz w:val="20"/>
                <w:szCs w:val="20"/>
              </w:rPr>
              <w:t xml:space="preserve">Motion for judicial review allowed with costs </w:t>
            </w:r>
          </w:p>
          <w:p w:rsidR="005C3B9D" w:rsidRPr="00814A80" w:rsidRDefault="005C3B9D" w:rsidP="008F5FE2">
            <w:pPr>
              <w:jc w:val="both"/>
              <w:rPr>
                <w:sz w:val="20"/>
                <w:szCs w:val="20"/>
              </w:rPr>
            </w:pPr>
          </w:p>
        </w:tc>
      </w:tr>
      <w:tr w:rsidR="005C3B9D" w:rsidRPr="00814A80" w:rsidTr="008F5FE2">
        <w:tc>
          <w:tcPr>
            <w:tcW w:w="2427" w:type="pct"/>
          </w:tcPr>
          <w:p w:rsidR="005C3B9D" w:rsidRPr="00814A80" w:rsidRDefault="005C3B9D" w:rsidP="008F5FE2">
            <w:pPr>
              <w:jc w:val="both"/>
              <w:rPr>
                <w:sz w:val="20"/>
                <w:szCs w:val="20"/>
              </w:rPr>
            </w:pPr>
            <w:r w:rsidRPr="00814A80">
              <w:rPr>
                <w:sz w:val="20"/>
                <w:szCs w:val="20"/>
              </w:rPr>
              <w:t>May 15, 2015</w:t>
            </w:r>
          </w:p>
          <w:p w:rsidR="005C3B9D" w:rsidRPr="00814A80" w:rsidRDefault="005C3B9D" w:rsidP="008F5FE2">
            <w:pPr>
              <w:jc w:val="both"/>
              <w:rPr>
                <w:sz w:val="20"/>
                <w:szCs w:val="20"/>
              </w:rPr>
            </w:pPr>
            <w:r w:rsidRPr="00814A80">
              <w:rPr>
                <w:sz w:val="20"/>
                <w:szCs w:val="20"/>
              </w:rPr>
              <w:t xml:space="preserve">Quebec Court of Appeal </w:t>
            </w:r>
          </w:p>
          <w:p w:rsidR="005C3B9D" w:rsidRPr="00814A80" w:rsidRDefault="005C3B9D" w:rsidP="008F5FE2">
            <w:pPr>
              <w:jc w:val="both"/>
              <w:rPr>
                <w:sz w:val="20"/>
                <w:szCs w:val="20"/>
              </w:rPr>
            </w:pPr>
            <w:r w:rsidRPr="00814A80">
              <w:rPr>
                <w:sz w:val="20"/>
                <w:szCs w:val="20"/>
              </w:rPr>
              <w:t>(Thibault, Kasirer and Gagnon JJ.A.)</w:t>
            </w:r>
          </w:p>
          <w:p w:rsidR="005C3B9D" w:rsidRPr="00814A80" w:rsidRDefault="005C3B9D" w:rsidP="008F5FE2">
            <w:pPr>
              <w:jc w:val="both"/>
              <w:rPr>
                <w:sz w:val="20"/>
                <w:szCs w:val="20"/>
              </w:rPr>
            </w:pPr>
            <w:r w:rsidRPr="00814A80">
              <w:rPr>
                <w:sz w:val="20"/>
                <w:szCs w:val="20"/>
              </w:rPr>
              <w:t>2015 QCCA 915</w:t>
            </w:r>
          </w:p>
          <w:p w:rsidR="005C3B9D" w:rsidRPr="00814A80" w:rsidRDefault="005C3B9D" w:rsidP="008F5FE2">
            <w:pPr>
              <w:jc w:val="both"/>
              <w:rPr>
                <w:sz w:val="20"/>
                <w:szCs w:val="20"/>
              </w:rPr>
            </w:pPr>
          </w:p>
        </w:tc>
        <w:tc>
          <w:tcPr>
            <w:tcW w:w="243" w:type="pct"/>
          </w:tcPr>
          <w:p w:rsidR="005C3B9D" w:rsidRPr="00814A80" w:rsidRDefault="005C3B9D" w:rsidP="008F5FE2">
            <w:pPr>
              <w:jc w:val="both"/>
              <w:rPr>
                <w:sz w:val="20"/>
                <w:szCs w:val="20"/>
              </w:rPr>
            </w:pPr>
          </w:p>
        </w:tc>
        <w:tc>
          <w:tcPr>
            <w:tcW w:w="2330" w:type="pct"/>
          </w:tcPr>
          <w:p w:rsidR="005C3B9D" w:rsidRPr="00814A80" w:rsidRDefault="005C3B9D" w:rsidP="008F5FE2">
            <w:pPr>
              <w:jc w:val="both"/>
              <w:rPr>
                <w:sz w:val="20"/>
                <w:szCs w:val="20"/>
              </w:rPr>
            </w:pPr>
            <w:r w:rsidRPr="00814A80">
              <w:rPr>
                <w:sz w:val="20"/>
                <w:szCs w:val="20"/>
              </w:rPr>
              <w:t>Appeal allowed with costs</w:t>
            </w:r>
          </w:p>
          <w:p w:rsidR="005C3B9D" w:rsidRPr="00814A80" w:rsidRDefault="005C3B9D" w:rsidP="008F5FE2">
            <w:pPr>
              <w:jc w:val="both"/>
              <w:rPr>
                <w:sz w:val="20"/>
                <w:szCs w:val="20"/>
              </w:rPr>
            </w:pPr>
          </w:p>
        </w:tc>
      </w:tr>
      <w:tr w:rsidR="005C3B9D" w:rsidRPr="00814A80" w:rsidTr="008F5FE2">
        <w:tc>
          <w:tcPr>
            <w:tcW w:w="2427" w:type="pct"/>
          </w:tcPr>
          <w:p w:rsidR="005C3B9D" w:rsidRPr="00814A80" w:rsidRDefault="005C3B9D" w:rsidP="008F5FE2">
            <w:pPr>
              <w:jc w:val="both"/>
              <w:rPr>
                <w:sz w:val="20"/>
                <w:szCs w:val="20"/>
              </w:rPr>
            </w:pPr>
            <w:r w:rsidRPr="00814A80">
              <w:rPr>
                <w:sz w:val="20"/>
                <w:szCs w:val="20"/>
              </w:rPr>
              <w:t>August 7, 2015</w:t>
            </w:r>
          </w:p>
          <w:p w:rsidR="005C3B9D" w:rsidRPr="00814A80" w:rsidRDefault="005C3B9D" w:rsidP="008F5FE2">
            <w:pPr>
              <w:jc w:val="both"/>
              <w:rPr>
                <w:sz w:val="20"/>
                <w:szCs w:val="20"/>
              </w:rPr>
            </w:pPr>
            <w:r w:rsidRPr="00814A80">
              <w:rPr>
                <w:sz w:val="20"/>
                <w:szCs w:val="20"/>
              </w:rPr>
              <w:t>Supreme Court of Canada</w:t>
            </w:r>
          </w:p>
        </w:tc>
        <w:tc>
          <w:tcPr>
            <w:tcW w:w="243" w:type="pct"/>
          </w:tcPr>
          <w:p w:rsidR="005C3B9D" w:rsidRPr="00814A80" w:rsidRDefault="005C3B9D" w:rsidP="008F5FE2">
            <w:pPr>
              <w:jc w:val="both"/>
              <w:rPr>
                <w:sz w:val="20"/>
                <w:szCs w:val="20"/>
              </w:rPr>
            </w:pPr>
          </w:p>
        </w:tc>
        <w:tc>
          <w:tcPr>
            <w:tcW w:w="2330" w:type="pct"/>
          </w:tcPr>
          <w:p w:rsidR="005C3B9D" w:rsidRPr="00814A80" w:rsidRDefault="005C3B9D" w:rsidP="008F5FE2">
            <w:pPr>
              <w:jc w:val="both"/>
              <w:rPr>
                <w:sz w:val="20"/>
                <w:szCs w:val="20"/>
              </w:rPr>
            </w:pPr>
            <w:r w:rsidRPr="00814A80">
              <w:rPr>
                <w:sz w:val="20"/>
                <w:szCs w:val="20"/>
              </w:rPr>
              <w:t>Application for leave to appeal filed</w:t>
            </w:r>
          </w:p>
          <w:p w:rsidR="005C3B9D" w:rsidRPr="00814A80" w:rsidRDefault="005C3B9D" w:rsidP="008F5FE2">
            <w:pPr>
              <w:jc w:val="both"/>
              <w:rPr>
                <w:sz w:val="20"/>
                <w:szCs w:val="20"/>
              </w:rPr>
            </w:pPr>
          </w:p>
        </w:tc>
      </w:tr>
    </w:tbl>
    <w:p w:rsidR="005C3B9D" w:rsidRPr="00814A80" w:rsidRDefault="005C3B9D" w:rsidP="005C3B9D">
      <w:pPr>
        <w:rPr>
          <w:sz w:val="20"/>
          <w:szCs w:val="20"/>
        </w:rPr>
      </w:pPr>
    </w:p>
    <w:p w:rsidR="005C3B9D" w:rsidRPr="00C50A5C" w:rsidRDefault="00CD76E4" w:rsidP="005C3B9D">
      <w:pPr>
        <w:rPr>
          <w:sz w:val="20"/>
          <w:szCs w:val="20"/>
        </w:rPr>
      </w:pPr>
      <w:r>
        <w:rPr>
          <w:sz w:val="20"/>
          <w:szCs w:val="20"/>
          <w:lang w:val="fr-CA"/>
        </w:rPr>
        <w:pict>
          <v:rect id="_x0000_i1050" style="width:2in;height:1pt" o:hrpct="0" o:hralign="center" o:hrstd="t" o:hrnoshade="t" o:hr="t" fillcolor="black [3213]" stroked="f"/>
        </w:pict>
      </w:r>
    </w:p>
    <w:p w:rsidR="005C3B9D" w:rsidRPr="00972874" w:rsidRDefault="005C3B9D" w:rsidP="005C3B9D">
      <w:pPr>
        <w:rPr>
          <w:sz w:val="20"/>
          <w:szCs w:val="20"/>
        </w:rPr>
      </w:pPr>
    </w:p>
    <w:p w:rsidR="005C3B9D" w:rsidRPr="00972874" w:rsidRDefault="005C3B9D" w:rsidP="005C3B9D">
      <w:pPr>
        <w:rPr>
          <w:sz w:val="20"/>
          <w:szCs w:val="20"/>
          <w:u w:val="single"/>
          <w:lang w:val="fr-CA"/>
        </w:rPr>
      </w:pPr>
      <w:r w:rsidRPr="00972874">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mallCaps/>
                <w:sz w:val="20"/>
                <w:szCs w:val="20"/>
                <w:lang w:val="fr-CA"/>
              </w:rPr>
            </w:pPr>
            <w:r w:rsidRPr="001F10ED">
              <w:rPr>
                <w:sz w:val="20"/>
                <w:szCs w:val="20"/>
                <w:lang w:val="fr-CA"/>
              </w:rPr>
              <w:t xml:space="preserve">Droit administratif – Contrôle judiciaire – Organismes et tribunaux administratifs – Compétence – Commission des relations du travail – Plaintes déposées par les salariées pour manquement au devoir de représentation du syndicat – remèdes disponibles – La Commission peut-elle déférer les réclamations des salariées à l’arbitrage comme s’il s’agissait d’un grief dans un cas autre que ceux expressément prévus au </w:t>
            </w:r>
            <w:r w:rsidRPr="001F10ED">
              <w:rPr>
                <w:i/>
                <w:sz w:val="20"/>
                <w:szCs w:val="20"/>
                <w:lang w:val="fr-CA"/>
              </w:rPr>
              <w:t>Code du travail</w:t>
            </w:r>
            <w:r w:rsidRPr="001F10ED">
              <w:rPr>
                <w:sz w:val="20"/>
                <w:szCs w:val="20"/>
                <w:lang w:val="fr-CA"/>
              </w:rPr>
              <w:t xml:space="preserve"> – Art. 47.2 à 47.6, 114, 118 et 119, </w:t>
            </w:r>
            <w:r w:rsidRPr="001F10ED">
              <w:rPr>
                <w:i/>
                <w:sz w:val="20"/>
                <w:szCs w:val="20"/>
                <w:lang w:val="fr-CA"/>
              </w:rPr>
              <w:t>Code du travail</w:t>
            </w:r>
            <w:r w:rsidRPr="001F10ED">
              <w:rPr>
                <w:sz w:val="20"/>
                <w:szCs w:val="20"/>
                <w:lang w:val="fr-CA"/>
              </w:rPr>
              <w:t>, L.R.Q., c. C-25.</w:t>
            </w:r>
          </w:p>
          <w:p w:rsidR="005C3B9D" w:rsidRPr="001F10ED" w:rsidRDefault="005C3B9D" w:rsidP="008F5FE2">
            <w:pPr>
              <w:jc w:val="both"/>
              <w:rPr>
                <w:smallCaps/>
                <w:sz w:val="20"/>
                <w:szCs w:val="20"/>
                <w:lang w:val="fr-CA"/>
              </w:rPr>
            </w:pPr>
          </w:p>
        </w:tc>
      </w:tr>
      <w:tr w:rsidR="005C3B9D" w:rsidRPr="001F10ED" w:rsidTr="008F5FE2">
        <w:tc>
          <w:tcPr>
            <w:tcW w:w="5000" w:type="pct"/>
            <w:gridSpan w:val="3"/>
          </w:tcPr>
          <w:p w:rsidR="005C3B9D" w:rsidRPr="001F10ED" w:rsidRDefault="005C3B9D" w:rsidP="008F5FE2">
            <w:pPr>
              <w:jc w:val="both"/>
              <w:rPr>
                <w:sz w:val="20"/>
                <w:szCs w:val="20"/>
                <w:lang w:val="fr-CA"/>
              </w:rPr>
            </w:pPr>
            <w:r w:rsidRPr="001F10ED">
              <w:rPr>
                <w:sz w:val="20"/>
                <w:szCs w:val="20"/>
                <w:lang w:val="fr-CA"/>
              </w:rPr>
              <w:t xml:space="preserve">Les mises en cause, Anne Bilodeau et Sylvie Fontaine, ont déposé un grief en vertu de leur convention collective afin d’obtenir le paiement rétroactif d’indemnités supplémentaires pour congé parental. Ce grief a été déclaré irrecevable en raison de non-respect des délais de prescriptions. Suite à cette décision, elles ont déposé une plainte en vertu de l’art. 47.2 du </w:t>
            </w:r>
            <w:r w:rsidRPr="001F10ED">
              <w:rPr>
                <w:i/>
                <w:sz w:val="20"/>
                <w:szCs w:val="20"/>
                <w:lang w:val="fr-CA"/>
              </w:rPr>
              <w:t>Code du travail</w:t>
            </w:r>
            <w:r w:rsidRPr="001F10ED">
              <w:rPr>
                <w:sz w:val="20"/>
                <w:szCs w:val="20"/>
                <w:lang w:val="fr-CA"/>
              </w:rPr>
              <w:t xml:space="preserve"> contre l’intimée pour manquement à son devoir de représentation devant la Commission des relations du travail. La plainte est accueillie au motif que l’intimée a été gravement négligente en commentant une erreur injustifiée dans la computation des délais de prescription. La Commission ordonne le renvoi des réclamations à l’arbitrage comme s’il s’agissait d’un grief en vertu des art. 47.3 et suiv. du </w:t>
            </w:r>
            <w:r w:rsidRPr="001F10ED">
              <w:rPr>
                <w:i/>
                <w:sz w:val="20"/>
                <w:szCs w:val="20"/>
                <w:lang w:val="fr-CA"/>
              </w:rPr>
              <w:t>Code</w:t>
            </w:r>
            <w:r w:rsidRPr="001F10ED">
              <w:rPr>
                <w:sz w:val="20"/>
                <w:szCs w:val="20"/>
                <w:lang w:val="fr-CA"/>
              </w:rPr>
              <w:t xml:space="preserve">. En réponse à cette décision, la demanderesse a déposé une requête en révision judiciaire en Cour supérieure. La requête est accueillie. Selon la Cour, la décision est déraisonnable puisque le commissaire a excédé les pouvoirs que lui confèrent les art. 118 et 119 du </w:t>
            </w:r>
            <w:r w:rsidRPr="001F10ED">
              <w:rPr>
                <w:i/>
                <w:sz w:val="20"/>
                <w:szCs w:val="20"/>
                <w:lang w:val="fr-CA"/>
              </w:rPr>
              <w:t>Code</w:t>
            </w:r>
            <w:r w:rsidRPr="001F10ED">
              <w:rPr>
                <w:sz w:val="20"/>
                <w:szCs w:val="20"/>
                <w:lang w:val="fr-CA"/>
              </w:rPr>
              <w:t xml:space="preserve"> en ordonnant le renvoi des réclamations à l’arbitrage dans un cas autre que ceux prévus à l’art. 47.3 du Code. La Cour d’appel a accueilli l’appel de l’intimée.</w:t>
            </w:r>
          </w:p>
          <w:p w:rsidR="005C3B9D" w:rsidRPr="001F10ED" w:rsidRDefault="005C3B9D" w:rsidP="008F5FE2">
            <w:pPr>
              <w:jc w:val="both"/>
              <w:rPr>
                <w:sz w:val="20"/>
                <w:szCs w:val="20"/>
                <w:lang w:val="fr-CA"/>
              </w:rPr>
            </w:pPr>
          </w:p>
        </w:tc>
      </w:tr>
      <w:tr w:rsidR="005C3B9D" w:rsidRPr="00B26F8D" w:rsidTr="008F5FE2">
        <w:tc>
          <w:tcPr>
            <w:tcW w:w="2427" w:type="pct"/>
          </w:tcPr>
          <w:p w:rsidR="005C3B9D" w:rsidRPr="001F10ED" w:rsidRDefault="005C3B9D" w:rsidP="008F5FE2">
            <w:pPr>
              <w:jc w:val="both"/>
              <w:rPr>
                <w:sz w:val="20"/>
                <w:szCs w:val="20"/>
                <w:lang w:val="fr-CA"/>
              </w:rPr>
            </w:pPr>
            <w:r w:rsidRPr="001F10ED">
              <w:rPr>
                <w:sz w:val="20"/>
                <w:szCs w:val="20"/>
                <w:lang w:val="fr-CA"/>
              </w:rPr>
              <w:t>Le 2 mai 2013</w:t>
            </w:r>
          </w:p>
          <w:p w:rsidR="005C3B9D" w:rsidRPr="001F10ED" w:rsidRDefault="005C3B9D" w:rsidP="008F5FE2">
            <w:pPr>
              <w:jc w:val="both"/>
              <w:rPr>
                <w:sz w:val="20"/>
                <w:szCs w:val="20"/>
                <w:lang w:val="fr-CA"/>
              </w:rPr>
            </w:pPr>
            <w:r w:rsidRPr="001F10ED">
              <w:rPr>
                <w:sz w:val="20"/>
                <w:szCs w:val="20"/>
                <w:lang w:val="fr-CA"/>
              </w:rPr>
              <w:t>Commission des relations du travail</w:t>
            </w:r>
          </w:p>
          <w:p w:rsidR="005C3B9D" w:rsidRPr="001F10ED" w:rsidRDefault="005C3B9D" w:rsidP="008F5FE2">
            <w:pPr>
              <w:jc w:val="both"/>
              <w:rPr>
                <w:sz w:val="20"/>
                <w:szCs w:val="20"/>
                <w:lang w:val="fr-CA"/>
              </w:rPr>
            </w:pPr>
            <w:r w:rsidRPr="001F10ED">
              <w:rPr>
                <w:sz w:val="20"/>
                <w:szCs w:val="20"/>
                <w:lang w:val="fr-CA"/>
              </w:rPr>
              <w:t>(Le commissaire Allard)</w:t>
            </w:r>
          </w:p>
          <w:p w:rsidR="005C3B9D" w:rsidRPr="001F10ED" w:rsidRDefault="005C3B9D" w:rsidP="008F5FE2">
            <w:pPr>
              <w:jc w:val="both"/>
              <w:rPr>
                <w:sz w:val="20"/>
                <w:szCs w:val="20"/>
                <w:lang w:val="fr-CA"/>
              </w:rPr>
            </w:pPr>
            <w:r w:rsidRPr="001F10ED">
              <w:rPr>
                <w:sz w:val="20"/>
                <w:szCs w:val="20"/>
                <w:lang w:val="fr-CA"/>
              </w:rPr>
              <w:t>2013 QCCRT 0212</w:t>
            </w:r>
          </w:p>
          <w:p w:rsidR="005C3B9D" w:rsidRPr="001F10ED" w:rsidRDefault="005C3B9D" w:rsidP="008F5FE2">
            <w:pPr>
              <w:jc w:val="both"/>
              <w:rPr>
                <w:sz w:val="20"/>
                <w:szCs w:val="20"/>
                <w:lang w:val="fr-CA"/>
              </w:rPr>
            </w:pPr>
          </w:p>
        </w:tc>
        <w:tc>
          <w:tcPr>
            <w:tcW w:w="243" w:type="pct"/>
          </w:tcPr>
          <w:p w:rsidR="005C3B9D" w:rsidRPr="001F10ED" w:rsidRDefault="005C3B9D" w:rsidP="008F5FE2">
            <w:pPr>
              <w:jc w:val="both"/>
              <w:rPr>
                <w:sz w:val="20"/>
                <w:szCs w:val="20"/>
                <w:lang w:val="fr-CA"/>
              </w:rPr>
            </w:pPr>
          </w:p>
        </w:tc>
        <w:tc>
          <w:tcPr>
            <w:tcW w:w="2330" w:type="pct"/>
          </w:tcPr>
          <w:p w:rsidR="005C3B9D" w:rsidRPr="001F10ED" w:rsidRDefault="005C3B9D" w:rsidP="008F5FE2">
            <w:pPr>
              <w:jc w:val="both"/>
              <w:rPr>
                <w:sz w:val="20"/>
                <w:szCs w:val="20"/>
                <w:lang w:val="fr-CA"/>
              </w:rPr>
            </w:pPr>
            <w:r w:rsidRPr="001F10ED">
              <w:rPr>
                <w:sz w:val="20"/>
                <w:szCs w:val="20"/>
                <w:lang w:val="fr-CA"/>
              </w:rPr>
              <w:t>Plaintes accueillies; Autorisation de soumettre les réclamations à un arbitre nommé par le ministre du Travail pour décision selon la convention collective comme s’il s’agissait d’un grief.</w:t>
            </w:r>
          </w:p>
          <w:p w:rsidR="005C3B9D" w:rsidRPr="001F10ED" w:rsidRDefault="005C3B9D" w:rsidP="008F5FE2">
            <w:pPr>
              <w:jc w:val="both"/>
              <w:rPr>
                <w:sz w:val="20"/>
                <w:szCs w:val="20"/>
                <w:lang w:val="fr-CA"/>
              </w:rPr>
            </w:pPr>
            <w:r w:rsidRPr="001F10ED">
              <w:rPr>
                <w:sz w:val="20"/>
                <w:szCs w:val="20"/>
                <w:lang w:val="fr-CA"/>
              </w:rPr>
              <w:t xml:space="preserve"> </w:t>
            </w:r>
          </w:p>
        </w:tc>
      </w:tr>
      <w:tr w:rsidR="005C3B9D" w:rsidRPr="00B26F8D" w:rsidTr="008F5FE2">
        <w:tc>
          <w:tcPr>
            <w:tcW w:w="2427" w:type="pct"/>
          </w:tcPr>
          <w:p w:rsidR="005C3B9D" w:rsidRPr="001F10ED" w:rsidRDefault="005C3B9D" w:rsidP="008F5FE2">
            <w:pPr>
              <w:jc w:val="both"/>
              <w:rPr>
                <w:sz w:val="20"/>
                <w:szCs w:val="20"/>
                <w:lang w:val="fr-CA"/>
              </w:rPr>
            </w:pPr>
            <w:r w:rsidRPr="001F10ED">
              <w:rPr>
                <w:sz w:val="20"/>
                <w:szCs w:val="20"/>
                <w:lang w:val="fr-CA"/>
              </w:rPr>
              <w:t>Le 29 janvier 2014</w:t>
            </w:r>
          </w:p>
          <w:p w:rsidR="005C3B9D" w:rsidRPr="001F10ED" w:rsidRDefault="005C3B9D" w:rsidP="008F5FE2">
            <w:pPr>
              <w:jc w:val="both"/>
              <w:rPr>
                <w:sz w:val="20"/>
                <w:szCs w:val="20"/>
                <w:lang w:val="fr-CA"/>
              </w:rPr>
            </w:pPr>
            <w:r w:rsidRPr="001F10ED">
              <w:rPr>
                <w:sz w:val="20"/>
                <w:szCs w:val="20"/>
                <w:lang w:val="fr-CA"/>
              </w:rPr>
              <w:t>Cour supérieure du Québec</w:t>
            </w:r>
          </w:p>
          <w:p w:rsidR="005C3B9D" w:rsidRPr="001F10ED" w:rsidRDefault="005C3B9D" w:rsidP="008F5FE2">
            <w:pPr>
              <w:jc w:val="both"/>
              <w:rPr>
                <w:sz w:val="20"/>
                <w:szCs w:val="20"/>
                <w:lang w:val="fr-CA"/>
              </w:rPr>
            </w:pPr>
            <w:r w:rsidRPr="001F10ED">
              <w:rPr>
                <w:sz w:val="20"/>
                <w:szCs w:val="20"/>
                <w:lang w:val="fr-CA"/>
              </w:rPr>
              <w:t>(Le juge Jacques)</w:t>
            </w:r>
          </w:p>
          <w:p w:rsidR="005C3B9D" w:rsidRPr="001F10ED" w:rsidRDefault="005C3B9D" w:rsidP="008F5FE2">
            <w:pPr>
              <w:jc w:val="both"/>
              <w:rPr>
                <w:sz w:val="20"/>
                <w:szCs w:val="20"/>
                <w:lang w:val="fr-CA"/>
              </w:rPr>
            </w:pPr>
            <w:r w:rsidRPr="001F10ED">
              <w:rPr>
                <w:sz w:val="20"/>
                <w:szCs w:val="20"/>
                <w:lang w:val="fr-CA"/>
              </w:rPr>
              <w:t>2014 QCCS 220</w:t>
            </w:r>
          </w:p>
          <w:p w:rsidR="005C3B9D" w:rsidRPr="001F10ED" w:rsidRDefault="005C3B9D" w:rsidP="008F5FE2">
            <w:pPr>
              <w:jc w:val="both"/>
              <w:rPr>
                <w:sz w:val="20"/>
                <w:szCs w:val="20"/>
                <w:lang w:val="fr-CA"/>
              </w:rPr>
            </w:pPr>
          </w:p>
        </w:tc>
        <w:tc>
          <w:tcPr>
            <w:tcW w:w="243" w:type="pct"/>
          </w:tcPr>
          <w:p w:rsidR="005C3B9D" w:rsidRPr="001F10ED" w:rsidRDefault="005C3B9D" w:rsidP="008F5FE2">
            <w:pPr>
              <w:jc w:val="both"/>
              <w:rPr>
                <w:sz w:val="20"/>
                <w:szCs w:val="20"/>
                <w:lang w:val="fr-CA"/>
              </w:rPr>
            </w:pPr>
          </w:p>
        </w:tc>
        <w:tc>
          <w:tcPr>
            <w:tcW w:w="2330" w:type="pct"/>
          </w:tcPr>
          <w:p w:rsidR="005C3B9D" w:rsidRPr="001F10ED" w:rsidRDefault="005C3B9D" w:rsidP="008F5FE2">
            <w:pPr>
              <w:jc w:val="both"/>
              <w:rPr>
                <w:sz w:val="20"/>
                <w:szCs w:val="20"/>
                <w:lang w:val="fr-CA"/>
              </w:rPr>
            </w:pPr>
            <w:r w:rsidRPr="001F10ED">
              <w:rPr>
                <w:sz w:val="20"/>
                <w:szCs w:val="20"/>
                <w:lang w:val="fr-CA"/>
              </w:rPr>
              <w:t xml:space="preserve">Requête en révision judiciaire accueillie avec dépens. </w:t>
            </w:r>
          </w:p>
          <w:p w:rsidR="005C3B9D" w:rsidRPr="001F10ED" w:rsidRDefault="005C3B9D" w:rsidP="008F5FE2">
            <w:pPr>
              <w:jc w:val="both"/>
              <w:rPr>
                <w:sz w:val="20"/>
                <w:szCs w:val="20"/>
                <w:lang w:val="fr-CA"/>
              </w:rPr>
            </w:pPr>
          </w:p>
        </w:tc>
      </w:tr>
      <w:tr w:rsidR="005C3B9D" w:rsidRPr="001F10ED" w:rsidTr="008F5FE2">
        <w:tc>
          <w:tcPr>
            <w:tcW w:w="2427" w:type="pct"/>
          </w:tcPr>
          <w:p w:rsidR="005C3B9D" w:rsidRPr="001F10ED" w:rsidRDefault="005C3B9D" w:rsidP="008F5FE2">
            <w:pPr>
              <w:jc w:val="both"/>
              <w:rPr>
                <w:sz w:val="20"/>
                <w:szCs w:val="20"/>
                <w:lang w:val="fr-CA"/>
              </w:rPr>
            </w:pPr>
            <w:r w:rsidRPr="001F10ED">
              <w:rPr>
                <w:sz w:val="20"/>
                <w:szCs w:val="20"/>
                <w:lang w:val="fr-CA"/>
              </w:rPr>
              <w:lastRenderedPageBreak/>
              <w:t>Le 15 mai 2015</w:t>
            </w:r>
          </w:p>
          <w:p w:rsidR="005C3B9D" w:rsidRPr="001F10ED" w:rsidRDefault="005C3B9D" w:rsidP="008F5FE2">
            <w:pPr>
              <w:jc w:val="both"/>
              <w:rPr>
                <w:sz w:val="20"/>
                <w:szCs w:val="20"/>
                <w:lang w:val="fr-CA"/>
              </w:rPr>
            </w:pPr>
            <w:r w:rsidRPr="001F10ED">
              <w:rPr>
                <w:sz w:val="20"/>
                <w:szCs w:val="20"/>
                <w:lang w:val="fr-CA"/>
              </w:rPr>
              <w:t xml:space="preserve">Cour d’appel du Québec </w:t>
            </w:r>
          </w:p>
          <w:p w:rsidR="005C3B9D" w:rsidRPr="001F10ED" w:rsidRDefault="005C3B9D" w:rsidP="008F5FE2">
            <w:pPr>
              <w:jc w:val="both"/>
              <w:rPr>
                <w:sz w:val="20"/>
                <w:szCs w:val="20"/>
                <w:lang w:val="fr-CA"/>
              </w:rPr>
            </w:pPr>
            <w:r w:rsidRPr="001F10ED">
              <w:rPr>
                <w:sz w:val="20"/>
                <w:szCs w:val="20"/>
                <w:lang w:val="fr-CA"/>
              </w:rPr>
              <w:t>(Les juges Thibault, Kasirer et Gagnon)</w:t>
            </w:r>
          </w:p>
          <w:p w:rsidR="005C3B9D" w:rsidRPr="001F10ED" w:rsidRDefault="005C3B9D" w:rsidP="008F5FE2">
            <w:pPr>
              <w:jc w:val="both"/>
              <w:rPr>
                <w:sz w:val="20"/>
                <w:szCs w:val="20"/>
                <w:lang w:val="en-US"/>
              </w:rPr>
            </w:pPr>
            <w:r w:rsidRPr="001F10ED">
              <w:rPr>
                <w:sz w:val="20"/>
                <w:szCs w:val="20"/>
                <w:lang w:val="fr-CA"/>
              </w:rPr>
              <w:t>2015 QCCA 915</w:t>
            </w:r>
          </w:p>
        </w:tc>
        <w:tc>
          <w:tcPr>
            <w:tcW w:w="243" w:type="pct"/>
          </w:tcPr>
          <w:p w:rsidR="005C3B9D" w:rsidRPr="001F10ED" w:rsidRDefault="005C3B9D" w:rsidP="008F5FE2">
            <w:pPr>
              <w:jc w:val="both"/>
              <w:rPr>
                <w:sz w:val="20"/>
                <w:szCs w:val="20"/>
                <w:lang w:val="en-US"/>
              </w:rPr>
            </w:pPr>
          </w:p>
        </w:tc>
        <w:tc>
          <w:tcPr>
            <w:tcW w:w="2330" w:type="pct"/>
          </w:tcPr>
          <w:p w:rsidR="005C3B9D" w:rsidRPr="001F10ED" w:rsidRDefault="005C3B9D" w:rsidP="008F5FE2">
            <w:pPr>
              <w:jc w:val="both"/>
              <w:rPr>
                <w:sz w:val="20"/>
                <w:szCs w:val="20"/>
                <w:lang w:val="fr-CA"/>
              </w:rPr>
            </w:pPr>
            <w:r w:rsidRPr="001F10ED">
              <w:rPr>
                <w:sz w:val="20"/>
                <w:szCs w:val="20"/>
                <w:lang w:val="fr-CA"/>
              </w:rPr>
              <w:t>Appel accueilli avec dépens.</w:t>
            </w:r>
          </w:p>
          <w:p w:rsidR="005C3B9D" w:rsidRPr="001F10ED" w:rsidRDefault="005C3B9D" w:rsidP="008F5FE2">
            <w:pPr>
              <w:jc w:val="both"/>
              <w:rPr>
                <w:sz w:val="20"/>
                <w:szCs w:val="20"/>
                <w:lang w:val="fr-CA"/>
              </w:rPr>
            </w:pPr>
          </w:p>
        </w:tc>
      </w:tr>
    </w:tbl>
    <w:p w:rsidR="005C3B9D" w:rsidRDefault="005C3B9D" w:rsidP="005C3B9D">
      <w:pPr>
        <w:rPr>
          <w:sz w:val="20"/>
          <w:szCs w:val="20"/>
          <w:lang w:val="fr-CA"/>
        </w:rPr>
      </w:pPr>
    </w:p>
    <w:p w:rsidR="005C3B9D" w:rsidRDefault="00CD76E4" w:rsidP="005C3B9D">
      <w:pPr>
        <w:rPr>
          <w:sz w:val="20"/>
          <w:szCs w:val="20"/>
        </w:rPr>
      </w:pPr>
      <w:r>
        <w:rPr>
          <w:sz w:val="20"/>
          <w:szCs w:val="20"/>
          <w:lang w:val="fr-CA"/>
        </w:rPr>
        <w:pict>
          <v:rect id="_x0000_i1051"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A73D2C" w:rsidRDefault="005C3B9D" w:rsidP="008F5FE2">
            <w:pPr>
              <w:rPr>
                <w:sz w:val="20"/>
                <w:szCs w:val="20"/>
              </w:rPr>
            </w:pPr>
            <w:r w:rsidRPr="00A73D2C">
              <w:rPr>
                <w:rStyle w:val="SCCFileNumberChar"/>
                <w:sz w:val="20"/>
                <w:szCs w:val="20"/>
              </w:rPr>
              <w:t>3</w:t>
            </w:r>
            <w:r>
              <w:rPr>
                <w:rStyle w:val="SCCFileNumberChar"/>
                <w:sz w:val="20"/>
                <w:szCs w:val="20"/>
              </w:rPr>
              <w:t>6</w:t>
            </w:r>
            <w:r w:rsidRPr="00A73D2C">
              <w:rPr>
                <w:rStyle w:val="SCCFileNumberChar"/>
                <w:sz w:val="20"/>
                <w:szCs w:val="20"/>
              </w:rPr>
              <w:t>5</w:t>
            </w:r>
            <w:r>
              <w:rPr>
                <w:rStyle w:val="SCCFileNumberChar"/>
                <w:sz w:val="20"/>
                <w:szCs w:val="20"/>
              </w:rPr>
              <w:t>54</w:t>
            </w:r>
          </w:p>
          <w:p w:rsidR="005C3B9D" w:rsidRPr="00A73D2C"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Rakuten Kobo Inc. v. Commissioner of Competition, Hachette Book Group Canada Ltd., Hachette Book Group, Inc., Hachette Digital Inc., HarperCollins Canada Limited, Holtzbrinck Publishers, LLC</w:t>
            </w:r>
            <w:r>
              <w:rPr>
                <w:b/>
                <w:sz w:val="20"/>
                <w:szCs w:val="24"/>
                <w:u w:val="single"/>
                <w:lang w:val="en-US"/>
              </w:rPr>
              <w:t xml:space="preserve"> and</w:t>
            </w:r>
            <w:r w:rsidRPr="0041388B">
              <w:rPr>
                <w:b/>
                <w:sz w:val="20"/>
                <w:szCs w:val="24"/>
                <w:u w:val="single"/>
                <w:lang w:val="en-US"/>
              </w:rPr>
              <w:t xml:space="preserve"> Simon &amp; Schuster Canada, a division of CBS Canada Holdings Co.</w:t>
            </w:r>
            <w:r w:rsidRPr="0041388B">
              <w:rPr>
                <w:sz w:val="20"/>
                <w:szCs w:val="24"/>
              </w:rPr>
              <w:t xml:space="preserve"> (FC) (Civil) (By Leave)</w:t>
            </w:r>
          </w:p>
          <w:p w:rsidR="005C3B9D" w:rsidRPr="00A73D2C"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Karakatsanis, Wagner and Brown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Federal Court of Appeal, Number A-401-14, 2015 FCA 149, dated June 18, 2015, is dismissed with costs to the respondent, the Commissioner of Competition.</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demande d’autorisation d’appel de l’arrêt de la Cour d’appel fédérale, numéro A-401-14, 2015 CAF 149, daté du 18 juin 2015, est rejetée avec dépens en faveur de l’intimé, le Commissaire de la concurrence.</w:t>
            </w:r>
          </w:p>
        </w:tc>
      </w:tr>
    </w:tbl>
    <w:p w:rsidR="005C3B9D" w:rsidRPr="0016547E" w:rsidRDefault="005C3B9D" w:rsidP="005C3B9D">
      <w:pPr>
        <w:rPr>
          <w:sz w:val="20"/>
          <w:szCs w:val="20"/>
          <w:lang w:val="fr-CA"/>
        </w:rPr>
      </w:pPr>
    </w:p>
    <w:p w:rsidR="005C3B9D" w:rsidRPr="00A73F00" w:rsidRDefault="005C3B9D" w:rsidP="005C3B9D">
      <w:pPr>
        <w:rPr>
          <w:sz w:val="20"/>
          <w:szCs w:val="20"/>
          <w:u w:val="single"/>
        </w:rPr>
      </w:pPr>
      <w:r w:rsidRPr="00A73F00">
        <w:rPr>
          <w:sz w:val="20"/>
          <w:szCs w:val="20"/>
          <w:u w:val="single"/>
        </w:rPr>
        <w:t>CASE SUMMARY</w:t>
      </w:r>
    </w:p>
    <w:p w:rsidR="005C3B9D" w:rsidRPr="008F159E" w:rsidRDefault="005C3B9D" w:rsidP="005C3B9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554"/>
        <w:gridCol w:w="4440"/>
      </w:tblGrid>
      <w:tr w:rsidR="005C3B9D" w:rsidRPr="00523D29" w:rsidTr="008F5FE2">
        <w:tc>
          <w:tcPr>
            <w:tcW w:w="5000" w:type="pct"/>
            <w:gridSpan w:val="3"/>
          </w:tcPr>
          <w:p w:rsidR="005C3B9D" w:rsidRPr="00523D29" w:rsidRDefault="005C3B9D" w:rsidP="008F5FE2">
            <w:pPr>
              <w:jc w:val="both"/>
              <w:rPr>
                <w:sz w:val="20"/>
              </w:rPr>
            </w:pPr>
            <w:r w:rsidRPr="00523D29">
              <w:rPr>
                <w:sz w:val="20"/>
              </w:rPr>
              <w:t xml:space="preserve">Administrative law – Competition Tribunal – Statutory interpretation – Whether a directly affected person is restricted under s. 106(2) of the </w:t>
            </w:r>
            <w:r w:rsidRPr="00523D29">
              <w:rPr>
                <w:i/>
                <w:iCs/>
                <w:sz w:val="20"/>
              </w:rPr>
              <w:t>Competition Act</w:t>
            </w:r>
            <w:r w:rsidRPr="00523D29">
              <w:rPr>
                <w:sz w:val="20"/>
              </w:rPr>
              <w:t xml:space="preserve"> R.S.C. 1985, c. C 34, to only challenging the formalities of a consent agreement – </w:t>
            </w:r>
            <w:r w:rsidRPr="00523D29">
              <w:rPr>
                <w:i/>
                <w:iCs/>
                <w:sz w:val="20"/>
              </w:rPr>
              <w:t>Competition Act</w:t>
            </w:r>
            <w:r w:rsidRPr="00523D29">
              <w:rPr>
                <w:sz w:val="20"/>
              </w:rPr>
              <w:t xml:space="preserve"> R.S.C. 1985, c. C 34, ss. 106(2).</w:t>
            </w:r>
          </w:p>
        </w:tc>
      </w:tr>
      <w:tr w:rsidR="005C3B9D" w:rsidRPr="00523D29" w:rsidTr="008F5FE2">
        <w:tc>
          <w:tcPr>
            <w:tcW w:w="5000" w:type="pct"/>
            <w:gridSpan w:val="3"/>
          </w:tcPr>
          <w:p w:rsidR="005C3B9D" w:rsidRDefault="005C3B9D" w:rsidP="008F5FE2">
            <w:pPr>
              <w:jc w:val="both"/>
              <w:rPr>
                <w:sz w:val="20"/>
              </w:rPr>
            </w:pPr>
          </w:p>
          <w:p w:rsidR="005C3B9D" w:rsidRPr="00523D29" w:rsidRDefault="005C3B9D" w:rsidP="008F5FE2">
            <w:pPr>
              <w:jc w:val="both"/>
              <w:rPr>
                <w:sz w:val="20"/>
              </w:rPr>
            </w:pPr>
            <w:r w:rsidRPr="00523D29">
              <w:rPr>
                <w:sz w:val="20"/>
              </w:rPr>
              <w:t xml:space="preserve">Section 106(2) of the </w:t>
            </w:r>
            <w:r w:rsidRPr="00523D29">
              <w:rPr>
                <w:i/>
                <w:sz w:val="20"/>
              </w:rPr>
              <w:t>Competition Act</w:t>
            </w:r>
            <w:r w:rsidRPr="00523D29">
              <w:rPr>
                <w:sz w:val="20"/>
              </w:rPr>
              <w:t xml:space="preserve"> allows a person directly affected by a consent agreement to apply to the Competition Tribunal to have the consent agreement rescinded or varied. The Tribunal may grant the application if it finds that the applicant establishes that “the terms [of the consent agreement] could not be the subject of an order of the Tribunal”. In 2012, the Commissioner of Competition commenced an investigation into the e-book industry in Canada. The investigation resulted in the Commissioner entering into a Consent Agreement with the four respondent publishers. The Consent Agreement recites that the Commissioner’s concerns that the respondent publishers had engaged in conduct that substantially lessened or prevented competition, were resolved. The applicant, Rakuten Kobo Inc., is an e-book retailer which alleges that it was directly affected by the Consent Agreement because it altered existing contractual relationships between Kobo and the respondent publishers. As such, it applied under s. 106(2) of the Act for an order rescinding or varying the Consent Agreement. One ground asserted by Kobo to justify rescission was that there was no jurisdiction to enter into the Consent Agreement because there had been no violation of the Act. As Kobo's application raised an issue of statutory interpretation, the Commissioner referred the following question of law to the Tribunal for determination: What is the nature and scope of the Tribunal's jurisdiction under s. 106(2) and, in that connection, what is the meaning of the words "the terms could not be the subject of an order of the Tribunal" in s. 106(2) of the Act?</w:t>
            </w:r>
          </w:p>
          <w:p w:rsidR="005C3B9D" w:rsidRPr="00523D29" w:rsidRDefault="005C3B9D" w:rsidP="008F5FE2">
            <w:pPr>
              <w:jc w:val="both"/>
              <w:rPr>
                <w:sz w:val="20"/>
              </w:rPr>
            </w:pPr>
          </w:p>
        </w:tc>
      </w:tr>
      <w:tr w:rsidR="005C3B9D" w:rsidRPr="00523D29" w:rsidTr="008F5FE2">
        <w:trPr>
          <w:trHeight w:val="64"/>
        </w:trPr>
        <w:tc>
          <w:tcPr>
            <w:tcW w:w="2379" w:type="pct"/>
          </w:tcPr>
          <w:p w:rsidR="005C3B9D" w:rsidRPr="00523D29" w:rsidRDefault="005C3B9D" w:rsidP="008F5FE2">
            <w:pPr>
              <w:jc w:val="both"/>
              <w:rPr>
                <w:sz w:val="20"/>
              </w:rPr>
            </w:pPr>
            <w:r w:rsidRPr="00523D29">
              <w:rPr>
                <w:sz w:val="20"/>
              </w:rPr>
              <w:t>September 8, 2014</w:t>
            </w:r>
          </w:p>
          <w:p w:rsidR="005C3B9D" w:rsidRPr="00523D29" w:rsidRDefault="005C3B9D" w:rsidP="008F5FE2">
            <w:pPr>
              <w:jc w:val="both"/>
              <w:rPr>
                <w:sz w:val="20"/>
              </w:rPr>
            </w:pPr>
            <w:r w:rsidRPr="00523D29">
              <w:rPr>
                <w:sz w:val="20"/>
              </w:rPr>
              <w:t>Competition Tribunal</w:t>
            </w:r>
          </w:p>
          <w:p w:rsidR="005C3B9D" w:rsidRPr="00523D29" w:rsidRDefault="005C3B9D" w:rsidP="008F5FE2">
            <w:pPr>
              <w:jc w:val="both"/>
              <w:rPr>
                <w:sz w:val="20"/>
              </w:rPr>
            </w:pPr>
            <w:r w:rsidRPr="00523D29">
              <w:rPr>
                <w:sz w:val="20"/>
              </w:rPr>
              <w:t>(Crampton C.J.F.C.)</w:t>
            </w:r>
          </w:p>
          <w:p w:rsidR="005C3B9D" w:rsidRPr="00523D29" w:rsidRDefault="005C3B9D" w:rsidP="008F5FE2">
            <w:pPr>
              <w:jc w:val="both"/>
              <w:rPr>
                <w:sz w:val="20"/>
              </w:rPr>
            </w:pPr>
            <w:r w:rsidRPr="00523D29">
              <w:rPr>
                <w:sz w:val="20"/>
              </w:rPr>
              <w:t xml:space="preserve">2014 CACT 14 </w:t>
            </w:r>
          </w:p>
          <w:p w:rsidR="005C3B9D" w:rsidRPr="00523D29" w:rsidRDefault="005C3B9D" w:rsidP="008F5FE2">
            <w:pPr>
              <w:jc w:val="both"/>
              <w:rPr>
                <w:sz w:val="20"/>
              </w:rPr>
            </w:pPr>
          </w:p>
          <w:p w:rsidR="005C3B9D" w:rsidRPr="00523D29" w:rsidRDefault="005C3B9D" w:rsidP="008F5FE2">
            <w:pPr>
              <w:jc w:val="both"/>
              <w:rPr>
                <w:sz w:val="20"/>
              </w:rPr>
            </w:pPr>
          </w:p>
        </w:tc>
        <w:tc>
          <w:tcPr>
            <w:tcW w:w="291"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 xml:space="preserve">On reference by Commissioner of Competition, Tribunal concluding s. 106(2) of </w:t>
            </w:r>
            <w:r w:rsidRPr="00523D29">
              <w:rPr>
                <w:i/>
                <w:sz w:val="20"/>
              </w:rPr>
              <w:t>Competition Act</w:t>
            </w:r>
            <w:r w:rsidRPr="00523D29">
              <w:rPr>
                <w:sz w:val="20"/>
              </w:rPr>
              <w:t xml:space="preserve"> allows Tribunal to determine whether terms of consent agreement are within purview of one or more specific types of order that may be made by Tribunal.</w:t>
            </w:r>
          </w:p>
          <w:p w:rsidR="005C3B9D" w:rsidRPr="00523D29" w:rsidRDefault="005C3B9D" w:rsidP="008F5FE2">
            <w:pPr>
              <w:jc w:val="both"/>
              <w:rPr>
                <w:sz w:val="20"/>
              </w:rPr>
            </w:pPr>
          </w:p>
        </w:tc>
      </w:tr>
    </w:tbl>
    <w:p w:rsidR="005C3B9D" w:rsidRDefault="005C3B9D" w:rsidP="005C3B9D"/>
    <w:p w:rsidR="005C3B9D" w:rsidRDefault="005C3B9D" w:rsidP="005C3B9D">
      <w:r>
        <w:br w:type="page"/>
      </w:r>
    </w:p>
    <w:tbl>
      <w:tblPr>
        <w:tblW w:w="4952" w:type="pct"/>
        <w:tblLayout w:type="fixed"/>
        <w:tblCellMar>
          <w:left w:w="0" w:type="dxa"/>
          <w:bottom w:w="99" w:type="dxa"/>
          <w:right w:w="0" w:type="dxa"/>
        </w:tblCellMar>
        <w:tblLook w:val="04A0" w:firstRow="1" w:lastRow="0" w:firstColumn="1" w:lastColumn="0" w:noHBand="0" w:noVBand="1"/>
      </w:tblPr>
      <w:tblGrid>
        <w:gridCol w:w="4533"/>
        <w:gridCol w:w="554"/>
        <w:gridCol w:w="4440"/>
      </w:tblGrid>
      <w:tr w:rsidR="005C3B9D" w:rsidRPr="00523D29" w:rsidTr="008F5FE2">
        <w:trPr>
          <w:trHeight w:val="63"/>
        </w:trPr>
        <w:tc>
          <w:tcPr>
            <w:tcW w:w="2379" w:type="pct"/>
          </w:tcPr>
          <w:p w:rsidR="005C3B9D" w:rsidRPr="00523D29" w:rsidRDefault="005C3B9D" w:rsidP="008F5FE2">
            <w:pPr>
              <w:jc w:val="both"/>
              <w:rPr>
                <w:sz w:val="20"/>
              </w:rPr>
            </w:pPr>
            <w:r w:rsidRPr="00523D29">
              <w:rPr>
                <w:sz w:val="20"/>
              </w:rPr>
              <w:lastRenderedPageBreak/>
              <w:t>June 18, 2015</w:t>
            </w:r>
          </w:p>
          <w:p w:rsidR="005C3B9D" w:rsidRPr="00523D29" w:rsidRDefault="005C3B9D" w:rsidP="008F5FE2">
            <w:pPr>
              <w:jc w:val="both"/>
              <w:rPr>
                <w:sz w:val="20"/>
              </w:rPr>
            </w:pPr>
            <w:r w:rsidRPr="00523D29">
              <w:rPr>
                <w:sz w:val="20"/>
              </w:rPr>
              <w:t>Federal Court of Appeal</w:t>
            </w:r>
          </w:p>
          <w:p w:rsidR="005C3B9D" w:rsidRPr="00523D29" w:rsidRDefault="005C3B9D" w:rsidP="008F5FE2">
            <w:pPr>
              <w:jc w:val="both"/>
              <w:rPr>
                <w:sz w:val="20"/>
              </w:rPr>
            </w:pPr>
            <w:r w:rsidRPr="00523D29">
              <w:rPr>
                <w:sz w:val="20"/>
              </w:rPr>
              <w:t>(Dawson, Ryer and Webb JJ.A.)</w:t>
            </w:r>
          </w:p>
          <w:p w:rsidR="005C3B9D" w:rsidRPr="00523D29" w:rsidRDefault="00CD76E4" w:rsidP="008F5FE2">
            <w:pPr>
              <w:jc w:val="both"/>
              <w:rPr>
                <w:sz w:val="20"/>
              </w:rPr>
            </w:pPr>
            <w:hyperlink r:id="rId55" w:history="1">
              <w:r w:rsidR="005C3B9D" w:rsidRPr="00523D29">
                <w:rPr>
                  <w:rStyle w:val="Hyperlink"/>
                  <w:sz w:val="20"/>
                </w:rPr>
                <w:t>2015 FCA 149</w:t>
              </w:r>
            </w:hyperlink>
          </w:p>
          <w:p w:rsidR="005C3B9D" w:rsidRPr="00523D29" w:rsidRDefault="005C3B9D" w:rsidP="008F5FE2">
            <w:pPr>
              <w:jc w:val="both"/>
              <w:rPr>
                <w:sz w:val="20"/>
              </w:rPr>
            </w:pPr>
          </w:p>
        </w:tc>
        <w:tc>
          <w:tcPr>
            <w:tcW w:w="291"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Applicant’s appeal, dismissed.</w:t>
            </w:r>
          </w:p>
          <w:p w:rsidR="005C3B9D" w:rsidRPr="00523D29" w:rsidRDefault="005C3B9D" w:rsidP="008F5FE2">
            <w:pPr>
              <w:jc w:val="both"/>
              <w:rPr>
                <w:sz w:val="20"/>
              </w:rPr>
            </w:pPr>
          </w:p>
        </w:tc>
      </w:tr>
      <w:tr w:rsidR="005C3B9D" w:rsidRPr="00523D29" w:rsidTr="008F5FE2">
        <w:trPr>
          <w:trHeight w:val="63"/>
        </w:trPr>
        <w:tc>
          <w:tcPr>
            <w:tcW w:w="2379" w:type="pct"/>
          </w:tcPr>
          <w:p w:rsidR="005C3B9D" w:rsidRPr="00523D29" w:rsidRDefault="005C3B9D" w:rsidP="008F5FE2">
            <w:pPr>
              <w:jc w:val="both"/>
              <w:rPr>
                <w:sz w:val="20"/>
              </w:rPr>
            </w:pPr>
            <w:r w:rsidRPr="00523D29">
              <w:rPr>
                <w:sz w:val="20"/>
              </w:rPr>
              <w:t>August 13, 2015</w:t>
            </w:r>
          </w:p>
          <w:p w:rsidR="005C3B9D" w:rsidRPr="00523D29" w:rsidRDefault="005C3B9D" w:rsidP="008F5FE2">
            <w:pPr>
              <w:jc w:val="both"/>
              <w:rPr>
                <w:sz w:val="20"/>
              </w:rPr>
            </w:pPr>
            <w:r w:rsidRPr="00523D29">
              <w:rPr>
                <w:sz w:val="20"/>
              </w:rPr>
              <w:t>Supreme Court of Canada</w:t>
            </w:r>
          </w:p>
        </w:tc>
        <w:tc>
          <w:tcPr>
            <w:tcW w:w="291"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Application for leave to appeal, filed.</w:t>
            </w:r>
          </w:p>
          <w:p w:rsidR="005C3B9D" w:rsidRPr="00523D29" w:rsidRDefault="005C3B9D" w:rsidP="008F5FE2">
            <w:pPr>
              <w:jc w:val="both"/>
              <w:rPr>
                <w:sz w:val="20"/>
              </w:rPr>
            </w:pPr>
          </w:p>
        </w:tc>
      </w:tr>
    </w:tbl>
    <w:p w:rsidR="005C3B9D" w:rsidRPr="005C3B9D" w:rsidRDefault="005C3B9D" w:rsidP="005C3B9D">
      <w:pPr>
        <w:ind w:left="360" w:hanging="360"/>
        <w:jc w:val="both"/>
        <w:rPr>
          <w:sz w:val="20"/>
          <w:lang w:val="en-US"/>
        </w:rPr>
      </w:pPr>
    </w:p>
    <w:p w:rsidR="005C3B9D" w:rsidRPr="00C50A5C" w:rsidRDefault="00CD76E4" w:rsidP="005C3B9D">
      <w:pPr>
        <w:rPr>
          <w:sz w:val="20"/>
          <w:szCs w:val="20"/>
        </w:rPr>
      </w:pPr>
      <w:r>
        <w:rPr>
          <w:sz w:val="20"/>
          <w:szCs w:val="20"/>
          <w:lang w:val="fr-CA"/>
        </w:rPr>
        <w:pict>
          <v:rect id="_x0000_i1052"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440"/>
        <w:gridCol w:w="556"/>
        <w:gridCol w:w="4531"/>
      </w:tblGrid>
      <w:tr w:rsidR="005C3B9D" w:rsidRPr="00523D29" w:rsidTr="008F5FE2">
        <w:tc>
          <w:tcPr>
            <w:tcW w:w="5000" w:type="pct"/>
            <w:gridSpan w:val="3"/>
          </w:tcPr>
          <w:p w:rsidR="005C3B9D" w:rsidRPr="00523D29" w:rsidRDefault="005C3B9D" w:rsidP="008F5FE2">
            <w:pPr>
              <w:jc w:val="both"/>
              <w:rPr>
                <w:sz w:val="20"/>
                <w:lang w:val="fr-CA"/>
              </w:rPr>
            </w:pPr>
            <w:r w:rsidRPr="00523D29">
              <w:rPr>
                <w:sz w:val="20"/>
                <w:lang w:val="fr-CA"/>
              </w:rPr>
              <w:t xml:space="preserve">Droit administratif – Tribunal de la concurrence – Interprétation des lois – En application du par. 106(2) de la </w:t>
            </w:r>
            <w:r w:rsidRPr="00523D29">
              <w:rPr>
                <w:i/>
                <w:iCs/>
                <w:sz w:val="20"/>
                <w:lang w:val="fr-CA"/>
              </w:rPr>
              <w:t>Loi sur la concurrence</w:t>
            </w:r>
            <w:r w:rsidRPr="00523D29">
              <w:rPr>
                <w:sz w:val="20"/>
                <w:lang w:val="fr-CA"/>
              </w:rPr>
              <w:t xml:space="preserve"> L.R.C. 1985, ch. C 34, le recours de la personne directement touchée se limite-t-il à ne contester que les formalités du consentement? – </w:t>
            </w:r>
            <w:r w:rsidRPr="00523D29">
              <w:rPr>
                <w:i/>
                <w:iCs/>
                <w:sz w:val="20"/>
                <w:lang w:val="fr-CA"/>
              </w:rPr>
              <w:t>Loi sur la concurrence</w:t>
            </w:r>
            <w:r w:rsidRPr="00523D29">
              <w:rPr>
                <w:sz w:val="20"/>
                <w:lang w:val="fr-CA"/>
              </w:rPr>
              <w:t xml:space="preserve"> L.R.C. 1985, ch. C 34, par. 106(2).</w:t>
            </w:r>
          </w:p>
        </w:tc>
      </w:tr>
      <w:tr w:rsidR="005C3B9D" w:rsidRPr="00B26F8D" w:rsidTr="008F5FE2">
        <w:tc>
          <w:tcPr>
            <w:tcW w:w="5000" w:type="pct"/>
            <w:gridSpan w:val="3"/>
          </w:tcPr>
          <w:p w:rsidR="005C3B9D" w:rsidRPr="00523D29" w:rsidRDefault="005C3B9D" w:rsidP="008F5FE2">
            <w:pPr>
              <w:jc w:val="both"/>
              <w:rPr>
                <w:sz w:val="20"/>
                <w:lang w:val="fr-CA"/>
              </w:rPr>
            </w:pPr>
            <w:r w:rsidRPr="00523D29">
              <w:rPr>
                <w:sz w:val="20"/>
                <w:lang w:val="fr-CA"/>
              </w:rPr>
              <w:t xml:space="preserve">Le par. 106(2) de la </w:t>
            </w:r>
            <w:r w:rsidRPr="00523D29">
              <w:rPr>
                <w:i/>
                <w:sz w:val="20"/>
                <w:lang w:val="fr-CA"/>
              </w:rPr>
              <w:t>Loi sur la concurrence</w:t>
            </w:r>
            <w:r w:rsidRPr="00523D29">
              <w:rPr>
                <w:sz w:val="20"/>
                <w:lang w:val="fr-CA"/>
              </w:rPr>
              <w:t xml:space="preserve"> permet à une personne directement touchée par un consentement de demander au Tribunal de la concurrence de l’annuler ou de le modifier. Le Tribunal peut accueillir la demande s’il conclut que le demandeur a établi que « les modalités [du consentement] ne pourraient faire l’objet d’une ordonnance du Tribunal ». En 2012, le Commissaire de la concurrence a lancé une enquête sur le secteur des livres numériques au Canada. À la suite de l’enquête, le Commissaire a conclu un consentement avec les quatre éditeurs intimés. Le consentement précise que les inquiétudes du Commissaire selon lesquelles les éditeurs intimés s’étaient livrés à un comportement qui réduisait sensiblement ou empêchait la concurrence étaient levées. La demanderesse, Rakuten Kobo Inc., un détaillant de livres numériques, allègue qu’elle a été directement touchée par le consentement, puisque celui-ci avait pour effet de modifier les relations contractuelles qui existaient entre Kobo et les éditeurs intimés. Pour cette raison, elle a présenté une demande fondée sur le par. 106(2) de la loi pour obtenir une ordonnance annulant ou modifiant le consentement. Au soutien de sa demande d’annulation, Kobo a notamment fait valoir que le Commissaire n’avait pas compétence pour conclure le consentement, puisqu’il n’y avait pas eu de violation de la loi. Parce que la demande de Kobo soulevait une question d’interprétation législative, le Commissaire a soumis la question de droit suivante au Tribunal : [</w:t>
            </w:r>
            <w:r w:rsidRPr="00523D29">
              <w:rPr>
                <w:smallCaps/>
                <w:sz w:val="20"/>
                <w:lang w:val="fr-CA"/>
              </w:rPr>
              <w:t>traduction</w:t>
            </w:r>
            <w:r w:rsidRPr="00523D29">
              <w:rPr>
                <w:sz w:val="20"/>
                <w:lang w:val="fr-CA"/>
              </w:rPr>
              <w:t>] « Quelle  est la nature et l’étendue de la compétence du Tribunal en application du par. 106(2) et, à cet égard, quel est le sens des mots "les modalités ne pourraient faire l’objet d’une ordonnance du Tribunal" au par. 106(2) de la loi? »</w:t>
            </w:r>
          </w:p>
          <w:p w:rsidR="005C3B9D" w:rsidRPr="00523D29" w:rsidRDefault="005C3B9D" w:rsidP="008F5FE2">
            <w:pPr>
              <w:jc w:val="both"/>
              <w:rPr>
                <w:sz w:val="20"/>
                <w:lang w:val="fr-CA"/>
              </w:rPr>
            </w:pPr>
          </w:p>
        </w:tc>
      </w:tr>
      <w:tr w:rsidR="005C3B9D" w:rsidRPr="00B26F8D" w:rsidTr="008F5FE2">
        <w:trPr>
          <w:trHeight w:val="64"/>
        </w:trPr>
        <w:tc>
          <w:tcPr>
            <w:tcW w:w="2330" w:type="pct"/>
          </w:tcPr>
          <w:p w:rsidR="005C3B9D" w:rsidRPr="00523D29" w:rsidRDefault="005C3B9D" w:rsidP="008F5FE2">
            <w:pPr>
              <w:jc w:val="both"/>
              <w:rPr>
                <w:sz w:val="20"/>
                <w:lang w:val="fr-CA"/>
              </w:rPr>
            </w:pPr>
            <w:r w:rsidRPr="00523D29">
              <w:rPr>
                <w:sz w:val="20"/>
                <w:lang w:val="fr-CA"/>
              </w:rPr>
              <w:t>8 septembre 2014</w:t>
            </w:r>
          </w:p>
          <w:p w:rsidR="005C3B9D" w:rsidRPr="00523D29" w:rsidRDefault="005C3B9D" w:rsidP="008F5FE2">
            <w:pPr>
              <w:jc w:val="both"/>
              <w:rPr>
                <w:sz w:val="20"/>
                <w:lang w:val="fr-CA"/>
              </w:rPr>
            </w:pPr>
            <w:r w:rsidRPr="00523D29">
              <w:rPr>
                <w:sz w:val="20"/>
                <w:lang w:val="fr-CA"/>
              </w:rPr>
              <w:t>Tribunal de la concurrence</w:t>
            </w:r>
          </w:p>
          <w:p w:rsidR="005C3B9D" w:rsidRPr="00523D29" w:rsidRDefault="005C3B9D" w:rsidP="008F5FE2">
            <w:pPr>
              <w:jc w:val="both"/>
              <w:rPr>
                <w:sz w:val="20"/>
                <w:lang w:val="fr-CA"/>
              </w:rPr>
            </w:pPr>
            <w:r w:rsidRPr="00523D29">
              <w:rPr>
                <w:sz w:val="20"/>
                <w:lang w:val="fr-CA"/>
              </w:rPr>
              <w:t>(Juge en chef Crampton)</w:t>
            </w:r>
          </w:p>
          <w:p w:rsidR="005C3B9D" w:rsidRPr="00523D29" w:rsidRDefault="005C3B9D" w:rsidP="008F5FE2">
            <w:pPr>
              <w:jc w:val="both"/>
              <w:rPr>
                <w:sz w:val="20"/>
              </w:rPr>
            </w:pPr>
            <w:r w:rsidRPr="00523D29">
              <w:rPr>
                <w:sz w:val="20"/>
              </w:rPr>
              <w:t xml:space="preserve">2014 CACT 14 </w:t>
            </w:r>
          </w:p>
          <w:p w:rsidR="005C3B9D" w:rsidRPr="00523D29" w:rsidRDefault="005C3B9D" w:rsidP="008F5FE2">
            <w:pPr>
              <w:jc w:val="both"/>
              <w:rPr>
                <w:sz w:val="20"/>
                <w:lang w:val="fr-CA"/>
              </w:rPr>
            </w:pPr>
          </w:p>
          <w:p w:rsidR="005C3B9D" w:rsidRPr="00523D29" w:rsidRDefault="005C3B9D" w:rsidP="008F5FE2">
            <w:pPr>
              <w:jc w:val="both"/>
              <w:rPr>
                <w:sz w:val="20"/>
                <w:lang w:val="fr-CA"/>
              </w:rPr>
            </w:pPr>
          </w:p>
        </w:tc>
        <w:tc>
          <w:tcPr>
            <w:tcW w:w="292" w:type="pct"/>
          </w:tcPr>
          <w:p w:rsidR="005C3B9D" w:rsidRPr="00523D29" w:rsidRDefault="005C3B9D" w:rsidP="008F5FE2">
            <w:pPr>
              <w:jc w:val="both"/>
              <w:rPr>
                <w:sz w:val="20"/>
                <w:lang w:val="fr-CA"/>
              </w:rPr>
            </w:pPr>
          </w:p>
        </w:tc>
        <w:tc>
          <w:tcPr>
            <w:tcW w:w="2378" w:type="pct"/>
          </w:tcPr>
          <w:p w:rsidR="005C3B9D" w:rsidRPr="00523D29" w:rsidRDefault="005C3B9D" w:rsidP="008F5FE2">
            <w:pPr>
              <w:jc w:val="both"/>
              <w:rPr>
                <w:sz w:val="20"/>
                <w:lang w:val="fr-CA"/>
              </w:rPr>
            </w:pPr>
            <w:r w:rsidRPr="00523D29">
              <w:rPr>
                <w:sz w:val="20"/>
                <w:lang w:val="fr-CA"/>
              </w:rPr>
              <w:t xml:space="preserve">Sur renvoi du Commissaire de la concurrence, jugement concluant que le par. 106(2) de la </w:t>
            </w:r>
            <w:r w:rsidRPr="00523D29">
              <w:rPr>
                <w:i/>
                <w:sz w:val="20"/>
                <w:lang w:val="fr-CA"/>
              </w:rPr>
              <w:t>Loi sur la concurrence</w:t>
            </w:r>
            <w:r w:rsidRPr="00523D29">
              <w:rPr>
                <w:sz w:val="20"/>
                <w:lang w:val="fr-CA"/>
              </w:rPr>
              <w:t xml:space="preserve"> permet au Tribunal de déterminer si les modalités du consentement relèvent des types particuliers d’ordonnance que peut rendre le Tribunal.</w:t>
            </w:r>
          </w:p>
          <w:p w:rsidR="005C3B9D" w:rsidRPr="00523D29" w:rsidRDefault="005C3B9D" w:rsidP="008F5FE2">
            <w:pPr>
              <w:jc w:val="both"/>
              <w:rPr>
                <w:sz w:val="20"/>
                <w:lang w:val="fr-CA"/>
              </w:rPr>
            </w:pPr>
          </w:p>
        </w:tc>
      </w:tr>
      <w:tr w:rsidR="005C3B9D" w:rsidRPr="00B26F8D" w:rsidTr="008F5FE2">
        <w:trPr>
          <w:trHeight w:val="63"/>
        </w:trPr>
        <w:tc>
          <w:tcPr>
            <w:tcW w:w="2330" w:type="pct"/>
          </w:tcPr>
          <w:p w:rsidR="005C3B9D" w:rsidRPr="00523D29" w:rsidRDefault="005C3B9D" w:rsidP="008F5FE2">
            <w:pPr>
              <w:jc w:val="both"/>
              <w:rPr>
                <w:sz w:val="20"/>
                <w:lang w:val="fr-CA"/>
              </w:rPr>
            </w:pPr>
            <w:r w:rsidRPr="00523D29">
              <w:rPr>
                <w:sz w:val="20"/>
                <w:lang w:val="fr-CA"/>
              </w:rPr>
              <w:t>18 juin 2015</w:t>
            </w:r>
          </w:p>
          <w:p w:rsidR="005C3B9D" w:rsidRPr="00523D29" w:rsidRDefault="005C3B9D" w:rsidP="008F5FE2">
            <w:pPr>
              <w:jc w:val="both"/>
              <w:rPr>
                <w:sz w:val="20"/>
                <w:lang w:val="fr-CA"/>
              </w:rPr>
            </w:pPr>
            <w:r w:rsidRPr="00523D29">
              <w:rPr>
                <w:sz w:val="20"/>
                <w:lang w:val="fr-CA"/>
              </w:rPr>
              <w:t>Cour d’appel fédérale</w:t>
            </w:r>
          </w:p>
          <w:p w:rsidR="005C3B9D" w:rsidRPr="00523D29" w:rsidRDefault="005C3B9D" w:rsidP="008F5FE2">
            <w:pPr>
              <w:jc w:val="both"/>
              <w:rPr>
                <w:sz w:val="20"/>
                <w:lang w:val="fr-CA"/>
              </w:rPr>
            </w:pPr>
            <w:r w:rsidRPr="00523D29">
              <w:rPr>
                <w:sz w:val="20"/>
                <w:lang w:val="fr-CA"/>
              </w:rPr>
              <w:t>(Juges Dawson, Ryer et Webb)</w:t>
            </w:r>
          </w:p>
          <w:p w:rsidR="005C3B9D" w:rsidRPr="00523D29" w:rsidRDefault="00CD76E4" w:rsidP="008F5FE2">
            <w:pPr>
              <w:jc w:val="both"/>
              <w:rPr>
                <w:sz w:val="20"/>
                <w:lang w:val="fr-CA"/>
              </w:rPr>
            </w:pPr>
            <w:hyperlink r:id="rId56" w:history="1">
              <w:r w:rsidR="005C3B9D" w:rsidRPr="00523D29">
                <w:rPr>
                  <w:rStyle w:val="Hyperlink"/>
                  <w:sz w:val="20"/>
                  <w:lang w:val="fr-CA"/>
                </w:rPr>
                <w:t>2015 FCA 149</w:t>
              </w:r>
            </w:hyperlink>
          </w:p>
          <w:p w:rsidR="005C3B9D" w:rsidRPr="00523D29" w:rsidRDefault="005C3B9D" w:rsidP="008F5FE2">
            <w:pPr>
              <w:jc w:val="both"/>
              <w:rPr>
                <w:sz w:val="20"/>
                <w:lang w:val="fr-CA"/>
              </w:rPr>
            </w:pPr>
          </w:p>
        </w:tc>
        <w:tc>
          <w:tcPr>
            <w:tcW w:w="292" w:type="pct"/>
          </w:tcPr>
          <w:p w:rsidR="005C3B9D" w:rsidRPr="00523D29" w:rsidRDefault="005C3B9D" w:rsidP="008F5FE2">
            <w:pPr>
              <w:jc w:val="both"/>
              <w:rPr>
                <w:sz w:val="20"/>
                <w:lang w:val="fr-CA"/>
              </w:rPr>
            </w:pPr>
          </w:p>
        </w:tc>
        <w:tc>
          <w:tcPr>
            <w:tcW w:w="2378" w:type="pct"/>
          </w:tcPr>
          <w:p w:rsidR="005C3B9D" w:rsidRPr="00523D29" w:rsidRDefault="005C3B9D" w:rsidP="008F5FE2">
            <w:pPr>
              <w:jc w:val="both"/>
              <w:rPr>
                <w:sz w:val="20"/>
                <w:lang w:val="fr-CA"/>
              </w:rPr>
            </w:pPr>
            <w:r w:rsidRPr="00523D29">
              <w:rPr>
                <w:sz w:val="20"/>
                <w:lang w:val="fr-CA"/>
              </w:rPr>
              <w:t>Rejet de l’appel de la demanderesse.</w:t>
            </w:r>
          </w:p>
          <w:p w:rsidR="005C3B9D" w:rsidRPr="00523D29" w:rsidRDefault="005C3B9D" w:rsidP="008F5FE2">
            <w:pPr>
              <w:jc w:val="both"/>
              <w:rPr>
                <w:sz w:val="20"/>
                <w:lang w:val="fr-CA"/>
              </w:rPr>
            </w:pPr>
          </w:p>
        </w:tc>
      </w:tr>
      <w:tr w:rsidR="005C3B9D" w:rsidRPr="00B26F8D" w:rsidTr="008F5FE2">
        <w:trPr>
          <w:trHeight w:val="63"/>
        </w:trPr>
        <w:tc>
          <w:tcPr>
            <w:tcW w:w="2330" w:type="pct"/>
          </w:tcPr>
          <w:p w:rsidR="005C3B9D" w:rsidRPr="00523D29" w:rsidRDefault="005C3B9D" w:rsidP="008F5FE2">
            <w:pPr>
              <w:jc w:val="both"/>
              <w:rPr>
                <w:sz w:val="20"/>
                <w:lang w:val="fr-CA"/>
              </w:rPr>
            </w:pPr>
            <w:r w:rsidRPr="00523D29">
              <w:rPr>
                <w:sz w:val="20"/>
                <w:lang w:val="fr-CA"/>
              </w:rPr>
              <w:t>13 août 2015</w:t>
            </w:r>
          </w:p>
          <w:p w:rsidR="005C3B9D" w:rsidRPr="00523D29" w:rsidRDefault="005C3B9D" w:rsidP="008F5FE2">
            <w:pPr>
              <w:jc w:val="both"/>
              <w:rPr>
                <w:sz w:val="20"/>
                <w:lang w:val="fr-CA"/>
              </w:rPr>
            </w:pPr>
            <w:r w:rsidRPr="00523D29">
              <w:rPr>
                <w:sz w:val="20"/>
                <w:lang w:val="fr-CA"/>
              </w:rPr>
              <w:t>Cour suprême du Canada</w:t>
            </w:r>
          </w:p>
        </w:tc>
        <w:tc>
          <w:tcPr>
            <w:tcW w:w="292" w:type="pct"/>
          </w:tcPr>
          <w:p w:rsidR="005C3B9D" w:rsidRPr="00523D29" w:rsidRDefault="005C3B9D" w:rsidP="008F5FE2">
            <w:pPr>
              <w:jc w:val="both"/>
              <w:rPr>
                <w:sz w:val="20"/>
                <w:lang w:val="fr-CA"/>
              </w:rPr>
            </w:pPr>
          </w:p>
        </w:tc>
        <w:tc>
          <w:tcPr>
            <w:tcW w:w="2378" w:type="pct"/>
          </w:tcPr>
          <w:p w:rsidR="005C3B9D" w:rsidRPr="00523D29" w:rsidRDefault="005C3B9D" w:rsidP="008F5FE2">
            <w:pPr>
              <w:jc w:val="both"/>
              <w:rPr>
                <w:sz w:val="20"/>
                <w:lang w:val="fr-CA"/>
              </w:rPr>
            </w:pPr>
            <w:r w:rsidRPr="00523D29">
              <w:rPr>
                <w:sz w:val="20"/>
                <w:lang w:val="fr-CA"/>
              </w:rPr>
              <w:t>Dépôt de la demande d’autorisation d’appel.</w:t>
            </w:r>
          </w:p>
          <w:p w:rsidR="005C3B9D" w:rsidRPr="00523D29" w:rsidRDefault="005C3B9D" w:rsidP="008F5FE2">
            <w:pPr>
              <w:jc w:val="both"/>
              <w:rPr>
                <w:sz w:val="20"/>
                <w:lang w:val="fr-CA"/>
              </w:rPr>
            </w:pPr>
          </w:p>
        </w:tc>
      </w:tr>
    </w:tbl>
    <w:p w:rsidR="005C3B9D" w:rsidRPr="00523D29" w:rsidRDefault="005C3B9D" w:rsidP="005C3B9D">
      <w:pPr>
        <w:ind w:left="360" w:hanging="360"/>
        <w:jc w:val="both"/>
        <w:rPr>
          <w:sz w:val="20"/>
          <w:lang w:val="fr-CA"/>
        </w:rPr>
      </w:pPr>
    </w:p>
    <w:p w:rsidR="005C3B9D" w:rsidRPr="00C50A5C" w:rsidRDefault="00CD76E4" w:rsidP="005C3B9D">
      <w:pPr>
        <w:rPr>
          <w:sz w:val="20"/>
          <w:szCs w:val="20"/>
        </w:rPr>
      </w:pPr>
      <w:r>
        <w:rPr>
          <w:sz w:val="20"/>
          <w:szCs w:val="20"/>
          <w:lang w:val="fr-CA"/>
        </w:rPr>
        <w:pict>
          <v:rect id="_x0000_i1053" style="width:2in;height:1pt" o:hrpct="0" o:hralign="center" o:hrstd="t" o:hrnoshade="t" o:hr="t" fillcolor="black [3213]" stroked="f"/>
        </w:pict>
      </w:r>
    </w:p>
    <w:p w:rsidR="005C3B9D" w:rsidRDefault="005C3B9D" w:rsidP="005C3B9D">
      <w:pPr>
        <w:rPr>
          <w:sz w:val="20"/>
          <w:szCs w:val="20"/>
        </w:rPr>
      </w:pPr>
      <w:r>
        <w:rPr>
          <w:sz w:val="20"/>
          <w:szCs w:val="20"/>
        </w:rPr>
        <w:br w:type="page"/>
      </w: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41388B" w:rsidTr="008F5FE2">
        <w:trPr>
          <w:cantSplit/>
        </w:trPr>
        <w:tc>
          <w:tcPr>
            <w:tcW w:w="1458" w:type="dxa"/>
          </w:tcPr>
          <w:p w:rsidR="005C3B9D" w:rsidRPr="0041388B" w:rsidRDefault="005C3B9D" w:rsidP="008F5FE2">
            <w:pPr>
              <w:rPr>
                <w:sz w:val="20"/>
              </w:rPr>
            </w:pPr>
            <w:r w:rsidRPr="0041388B">
              <w:rPr>
                <w:b/>
                <w:sz w:val="20"/>
                <w:lang w:val="fr-CA"/>
              </w:rPr>
              <w:lastRenderedPageBreak/>
              <w:t>36564</w:t>
            </w:r>
          </w:p>
          <w:p w:rsidR="005C3B9D" w:rsidRPr="0041388B" w:rsidRDefault="005C3B9D" w:rsidP="008F5FE2">
            <w:pPr>
              <w:rPr>
                <w:b/>
                <w:sz w:val="20"/>
                <w:lang w:val="fr-CA"/>
              </w:rPr>
            </w:pPr>
          </w:p>
        </w:tc>
        <w:tc>
          <w:tcPr>
            <w:tcW w:w="8118" w:type="dxa"/>
          </w:tcPr>
          <w:p w:rsidR="005C3B9D" w:rsidRPr="0041388B" w:rsidRDefault="005C3B9D" w:rsidP="008F5FE2">
            <w:pPr>
              <w:rPr>
                <w:sz w:val="20"/>
              </w:rPr>
            </w:pPr>
            <w:r w:rsidRPr="0041388B">
              <w:rPr>
                <w:b/>
                <w:sz w:val="20"/>
                <w:u w:val="single"/>
                <w:lang w:val="en-US"/>
              </w:rPr>
              <w:t>Attorney General of Canada v. Samantha Claire Lewis, Souphin Inlakhana, Juliet Ifeika, Rosa Mukandori, Nazma Murtaza, Debbie Craddock, Desiree Solleveld, Patricia Longley, Candace Branche</w:t>
            </w:r>
            <w:r>
              <w:rPr>
                <w:b/>
                <w:sz w:val="20"/>
                <w:u w:val="single"/>
                <w:lang w:val="en-US"/>
              </w:rPr>
              <w:t xml:space="preserve"> and</w:t>
            </w:r>
            <w:r w:rsidRPr="0041388B">
              <w:rPr>
                <w:b/>
                <w:sz w:val="20"/>
                <w:u w:val="single"/>
                <w:lang w:val="en-US"/>
              </w:rPr>
              <w:t xml:space="preserve"> Carol Williams</w:t>
            </w:r>
            <w:r w:rsidRPr="0041388B">
              <w:rPr>
                <w:sz w:val="20"/>
              </w:rPr>
              <w:t xml:space="preserve"> (Ont.) (Criminal) (By Leave)</w:t>
            </w:r>
          </w:p>
          <w:p w:rsidR="005C3B9D" w:rsidRPr="0041388B" w:rsidRDefault="005C3B9D" w:rsidP="008F5FE2">
            <w:pPr>
              <w:rPr>
                <w:sz w:val="20"/>
              </w:rPr>
            </w:pPr>
          </w:p>
        </w:tc>
      </w:tr>
      <w:tr w:rsidR="005C3B9D" w:rsidRPr="0041388B" w:rsidTr="008F5FE2">
        <w:trPr>
          <w:cantSplit/>
        </w:trPr>
        <w:tc>
          <w:tcPr>
            <w:tcW w:w="1458" w:type="dxa"/>
          </w:tcPr>
          <w:p w:rsidR="005C3B9D" w:rsidRPr="0041388B" w:rsidRDefault="005C3B9D" w:rsidP="008F5FE2">
            <w:pPr>
              <w:rPr>
                <w:sz w:val="20"/>
              </w:rPr>
            </w:pPr>
            <w:r w:rsidRPr="0041388B">
              <w:rPr>
                <w:sz w:val="20"/>
              </w:rPr>
              <w:t>Coram :</w:t>
            </w:r>
          </w:p>
        </w:tc>
        <w:tc>
          <w:tcPr>
            <w:tcW w:w="8118" w:type="dxa"/>
          </w:tcPr>
          <w:p w:rsidR="005C3B9D" w:rsidRPr="0041388B" w:rsidRDefault="005C3B9D" w:rsidP="008F5FE2">
            <w:pPr>
              <w:rPr>
                <w:sz w:val="20"/>
              </w:rPr>
            </w:pPr>
            <w:r w:rsidRPr="0041388B">
              <w:rPr>
                <w:sz w:val="20"/>
                <w:u w:val="single"/>
                <w:lang w:val="en-US"/>
              </w:rPr>
              <w:t>McLachlin C.J. and Moldaver and Gascon JJ.</w:t>
            </w:r>
          </w:p>
          <w:p w:rsidR="005C3B9D" w:rsidRPr="0041388B" w:rsidRDefault="005C3B9D" w:rsidP="008F5FE2">
            <w:pPr>
              <w:rPr>
                <w:sz w:val="20"/>
                <w:u w:val="single"/>
              </w:rPr>
            </w:pPr>
          </w:p>
        </w:tc>
      </w:tr>
      <w:tr w:rsidR="005C3B9D" w:rsidRPr="00B26F8D" w:rsidTr="008F5FE2">
        <w:trPr>
          <w:cantSplit/>
        </w:trPr>
        <w:tc>
          <w:tcPr>
            <w:tcW w:w="9576" w:type="dxa"/>
            <w:gridSpan w:val="2"/>
          </w:tcPr>
          <w:p w:rsidR="005C3B9D" w:rsidRPr="0041388B" w:rsidRDefault="005C3B9D" w:rsidP="008F5FE2">
            <w:pPr>
              <w:ind w:firstLine="720"/>
              <w:jc w:val="both"/>
              <w:rPr>
                <w:sz w:val="20"/>
              </w:rPr>
            </w:pPr>
            <w:r w:rsidRPr="0041388B">
              <w:rPr>
                <w:sz w:val="20"/>
              </w:rPr>
              <w:t>The motion for an extension of time to serve and file the response to the application for leave to appeal is granted. The application for leave to appeal from the judgment of the Court of Appeal for Ontario, Number C59665, 2015 ONCA 379, dated May 29, 2015, is dismissed.</w:t>
            </w:r>
          </w:p>
          <w:p w:rsidR="005C3B9D" w:rsidRPr="0041388B" w:rsidRDefault="005C3B9D" w:rsidP="008F5FE2">
            <w:pPr>
              <w:jc w:val="both"/>
              <w:rPr>
                <w:sz w:val="20"/>
              </w:rPr>
            </w:pPr>
          </w:p>
          <w:p w:rsidR="005C3B9D" w:rsidRPr="0041388B" w:rsidRDefault="005C3B9D" w:rsidP="008F5FE2">
            <w:pPr>
              <w:ind w:firstLine="720"/>
              <w:jc w:val="both"/>
              <w:rPr>
                <w:sz w:val="20"/>
                <w:lang w:val="fr-CA"/>
              </w:rPr>
            </w:pPr>
            <w:r w:rsidRPr="0041388B">
              <w:rPr>
                <w:sz w:val="20"/>
                <w:lang w:val="fr-CA"/>
              </w:rPr>
              <w:t>La requête en prorogation du délai de signification et de dépôt de la réponse à la demande d’autorisation d’appel est accueillie. La demande d’autorisation d’appel de l’arrêt de la Cour d’appel de l’Ontario, numéro C59665, 2015 ONCA 379, daté du 29 mai 2015, est rejetée.</w:t>
            </w:r>
          </w:p>
        </w:tc>
      </w:tr>
    </w:tbl>
    <w:p w:rsidR="005C3B9D" w:rsidRPr="0016547E" w:rsidRDefault="005C3B9D" w:rsidP="005C3B9D">
      <w:pPr>
        <w:rPr>
          <w:sz w:val="20"/>
          <w:szCs w:val="20"/>
          <w:lang w:val="fr-CA"/>
        </w:rPr>
      </w:pPr>
    </w:p>
    <w:p w:rsidR="005C3B9D" w:rsidRPr="00A73F00" w:rsidRDefault="005C3B9D" w:rsidP="005C3B9D">
      <w:pPr>
        <w:rPr>
          <w:sz w:val="20"/>
          <w:szCs w:val="20"/>
          <w:u w:val="single"/>
        </w:rPr>
      </w:pPr>
      <w:r w:rsidRPr="00A73F00">
        <w:rPr>
          <w:sz w:val="20"/>
          <w:szCs w:val="20"/>
          <w:u w:val="single"/>
        </w:rPr>
        <w:t>CASE SUMMARY</w:t>
      </w:r>
    </w:p>
    <w:p w:rsidR="005C3B9D" w:rsidRPr="008F159E" w:rsidRDefault="005C3B9D" w:rsidP="005C3B9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523D29" w:rsidTr="008F5FE2">
        <w:tc>
          <w:tcPr>
            <w:tcW w:w="5000" w:type="pct"/>
            <w:gridSpan w:val="3"/>
          </w:tcPr>
          <w:p w:rsidR="005C3B9D" w:rsidRPr="00523D29" w:rsidRDefault="005C3B9D" w:rsidP="008F5FE2">
            <w:pPr>
              <w:jc w:val="both"/>
              <w:rPr>
                <w:sz w:val="20"/>
              </w:rPr>
            </w:pPr>
            <w:r w:rsidRPr="00523D29">
              <w:rPr>
                <w:i/>
                <w:sz w:val="20"/>
              </w:rPr>
              <w:t>Charter of Rights and Freedoms</w:t>
            </w:r>
            <w:r w:rsidRPr="00523D29">
              <w:rPr>
                <w:sz w:val="20"/>
              </w:rPr>
              <w:t xml:space="preserve"> – Criminal Law – Benefit of lesser punishment – Parole –</w:t>
            </w:r>
            <w:r w:rsidRPr="00523D29">
              <w:rPr>
                <w:i/>
                <w:sz w:val="20"/>
              </w:rPr>
              <w:t>Abolition of Early Parole Act</w:t>
            </w:r>
            <w:r w:rsidRPr="00523D29">
              <w:rPr>
                <w:sz w:val="20"/>
              </w:rPr>
              <w:t>, S.C. 2011, c. 11 – Whether s. 11(i) of the</w:t>
            </w:r>
            <w:r w:rsidRPr="00523D29">
              <w:rPr>
                <w:i/>
                <w:sz w:val="20"/>
              </w:rPr>
              <w:t xml:space="preserve"> Charter</w:t>
            </w:r>
            <w:r w:rsidRPr="00523D29">
              <w:rPr>
                <w:sz w:val="20"/>
              </w:rPr>
              <w:t xml:space="preserve"> guarantees an offender the benefit of the more favourable parole regime where the parole regime varies between the time of the commission of an offence and the time of sentencing?</w:t>
            </w:r>
          </w:p>
        </w:tc>
      </w:tr>
      <w:tr w:rsidR="005C3B9D" w:rsidRPr="00523D29" w:rsidTr="008F5FE2">
        <w:tc>
          <w:tcPr>
            <w:tcW w:w="5000" w:type="pct"/>
            <w:gridSpan w:val="3"/>
          </w:tcPr>
          <w:p w:rsidR="005C3B9D" w:rsidRPr="00523D29" w:rsidRDefault="005C3B9D" w:rsidP="008F5FE2">
            <w:pPr>
              <w:jc w:val="both"/>
              <w:rPr>
                <w:i/>
                <w:sz w:val="20"/>
              </w:rPr>
            </w:pPr>
          </w:p>
        </w:tc>
      </w:tr>
      <w:tr w:rsidR="005C3B9D" w:rsidRPr="00523D29" w:rsidTr="008F5FE2">
        <w:tc>
          <w:tcPr>
            <w:tcW w:w="5000" w:type="pct"/>
            <w:gridSpan w:val="3"/>
          </w:tcPr>
          <w:p w:rsidR="005C3B9D" w:rsidRPr="00523D29" w:rsidRDefault="005C3B9D" w:rsidP="008F5FE2">
            <w:pPr>
              <w:jc w:val="both"/>
              <w:rPr>
                <w:sz w:val="20"/>
              </w:rPr>
            </w:pPr>
            <w:r w:rsidRPr="00523D29">
              <w:rPr>
                <w:sz w:val="20"/>
              </w:rPr>
              <w:t xml:space="preserve">Non-violent, first time federal offenders were entitled to an accelerated parole review (APR) entitling them to apply for day parole after serving the longer of six months or one-sixth of their sentence under the </w:t>
            </w:r>
            <w:r w:rsidRPr="00523D29">
              <w:rPr>
                <w:i/>
                <w:sz w:val="20"/>
              </w:rPr>
              <w:t>Corrections and Conditional Release Act</w:t>
            </w:r>
            <w:r w:rsidRPr="00523D29">
              <w:rPr>
                <w:sz w:val="20"/>
              </w:rPr>
              <w:t xml:space="preserve"> S.C. 1992, c. 20. On March 28, 2011, the APR provisions were repealed when the </w:t>
            </w:r>
            <w:r w:rsidRPr="00523D29">
              <w:rPr>
                <w:i/>
                <w:iCs/>
                <w:sz w:val="20"/>
              </w:rPr>
              <w:t>Abolition of Early Parole Act</w:t>
            </w:r>
            <w:r w:rsidRPr="00523D29">
              <w:rPr>
                <w:sz w:val="20"/>
              </w:rPr>
              <w:t>, S.C. 2011, c. 11 came into force. The respondents were convicted of offences that were committed before March 28, 2011 and were sentenced after the repeal of APR. They applied in the Superior Court of Ontario for a declaration that they were entitled to the benefits of APR. The application for a declaration was granted and an appeal by the applicant to the Court of Appeal for Ontario was dismissed.</w:t>
            </w:r>
          </w:p>
          <w:p w:rsidR="005C3B9D" w:rsidRPr="00523D29" w:rsidRDefault="005C3B9D" w:rsidP="008F5FE2">
            <w:pPr>
              <w:jc w:val="both"/>
              <w:rPr>
                <w:sz w:val="20"/>
              </w:rPr>
            </w:pPr>
          </w:p>
        </w:tc>
      </w:tr>
      <w:tr w:rsidR="005C3B9D" w:rsidRPr="00523D29" w:rsidTr="008F5FE2">
        <w:tc>
          <w:tcPr>
            <w:tcW w:w="2427" w:type="pct"/>
          </w:tcPr>
          <w:p w:rsidR="005C3B9D" w:rsidRPr="00523D29" w:rsidRDefault="005C3B9D" w:rsidP="008F5FE2">
            <w:pPr>
              <w:jc w:val="both"/>
              <w:rPr>
                <w:sz w:val="20"/>
              </w:rPr>
            </w:pPr>
            <w:r w:rsidRPr="00523D29">
              <w:rPr>
                <w:sz w:val="20"/>
              </w:rPr>
              <w:t>November 3, 2014</w:t>
            </w:r>
          </w:p>
          <w:p w:rsidR="005C3B9D" w:rsidRPr="00523D29" w:rsidRDefault="005C3B9D" w:rsidP="008F5FE2">
            <w:pPr>
              <w:jc w:val="both"/>
              <w:rPr>
                <w:sz w:val="20"/>
              </w:rPr>
            </w:pPr>
            <w:r w:rsidRPr="00523D29">
              <w:rPr>
                <w:sz w:val="20"/>
              </w:rPr>
              <w:t>Ontario Superior Court of Justice</w:t>
            </w:r>
          </w:p>
          <w:p w:rsidR="005C3B9D" w:rsidRPr="00523D29" w:rsidRDefault="005C3B9D" w:rsidP="008F5FE2">
            <w:pPr>
              <w:jc w:val="both"/>
              <w:rPr>
                <w:sz w:val="20"/>
              </w:rPr>
            </w:pPr>
            <w:r w:rsidRPr="00523D29">
              <w:rPr>
                <w:sz w:val="20"/>
              </w:rPr>
              <w:t>(Hambly J.)</w:t>
            </w:r>
          </w:p>
          <w:p w:rsidR="005C3B9D" w:rsidRPr="00523D29" w:rsidRDefault="005C3B9D" w:rsidP="008F5FE2">
            <w:pPr>
              <w:jc w:val="both"/>
              <w:rPr>
                <w:sz w:val="20"/>
              </w:rPr>
            </w:pPr>
            <w:r w:rsidRPr="00523D29">
              <w:rPr>
                <w:sz w:val="20"/>
              </w:rPr>
              <w:t xml:space="preserve">Neutral citation: </w:t>
            </w:r>
            <w:hyperlink r:id="rId57" w:history="1">
              <w:r w:rsidRPr="00523D29">
                <w:rPr>
                  <w:rStyle w:val="Hyperlink"/>
                  <w:sz w:val="20"/>
                </w:rPr>
                <w:t>2014 ONSC 6394</w:t>
              </w:r>
            </w:hyperlink>
          </w:p>
          <w:p w:rsidR="005C3B9D" w:rsidRPr="00523D29" w:rsidRDefault="005C3B9D" w:rsidP="008F5FE2">
            <w:pPr>
              <w:jc w:val="both"/>
              <w:rPr>
                <w:sz w:val="20"/>
              </w:rPr>
            </w:pPr>
          </w:p>
        </w:tc>
        <w:tc>
          <w:tcPr>
            <w:tcW w:w="243"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 xml:space="preserve">Application allowed: declaration that respondents were eligible for Accelerated Parole Review </w:t>
            </w:r>
          </w:p>
          <w:p w:rsidR="005C3B9D" w:rsidRPr="00523D29" w:rsidRDefault="005C3B9D" w:rsidP="008F5FE2">
            <w:pPr>
              <w:jc w:val="both"/>
              <w:rPr>
                <w:sz w:val="20"/>
              </w:rPr>
            </w:pPr>
          </w:p>
        </w:tc>
      </w:tr>
      <w:tr w:rsidR="005C3B9D" w:rsidRPr="00523D29" w:rsidTr="008F5FE2">
        <w:tc>
          <w:tcPr>
            <w:tcW w:w="2427" w:type="pct"/>
          </w:tcPr>
          <w:p w:rsidR="005C3B9D" w:rsidRPr="00523D29" w:rsidRDefault="005C3B9D" w:rsidP="008F5FE2">
            <w:pPr>
              <w:jc w:val="both"/>
              <w:rPr>
                <w:sz w:val="20"/>
              </w:rPr>
            </w:pPr>
            <w:r w:rsidRPr="00523D29">
              <w:rPr>
                <w:sz w:val="20"/>
              </w:rPr>
              <w:t>May 29, 2015</w:t>
            </w:r>
          </w:p>
          <w:p w:rsidR="005C3B9D" w:rsidRPr="00523D29" w:rsidRDefault="005C3B9D" w:rsidP="008F5FE2">
            <w:pPr>
              <w:jc w:val="both"/>
              <w:rPr>
                <w:sz w:val="20"/>
              </w:rPr>
            </w:pPr>
            <w:r w:rsidRPr="00523D29">
              <w:rPr>
                <w:sz w:val="20"/>
              </w:rPr>
              <w:t>Court of Appeal for Ontario</w:t>
            </w:r>
          </w:p>
          <w:p w:rsidR="005C3B9D" w:rsidRPr="00523D29" w:rsidRDefault="005C3B9D" w:rsidP="008F5FE2">
            <w:pPr>
              <w:jc w:val="both"/>
              <w:rPr>
                <w:sz w:val="20"/>
              </w:rPr>
            </w:pPr>
            <w:r w:rsidRPr="00523D29">
              <w:rPr>
                <w:sz w:val="20"/>
              </w:rPr>
              <w:t>(Simmons, Juriansz, van Rensburg JJ.A.)</w:t>
            </w:r>
          </w:p>
          <w:p w:rsidR="005C3B9D" w:rsidRPr="00523D29" w:rsidRDefault="005C3B9D" w:rsidP="008F5FE2">
            <w:pPr>
              <w:jc w:val="both"/>
              <w:rPr>
                <w:sz w:val="20"/>
              </w:rPr>
            </w:pPr>
            <w:r w:rsidRPr="00523D29">
              <w:rPr>
                <w:sz w:val="20"/>
              </w:rPr>
              <w:t xml:space="preserve">Neutral citation: </w:t>
            </w:r>
            <w:hyperlink r:id="rId58" w:history="1">
              <w:r w:rsidRPr="00523D29">
                <w:rPr>
                  <w:rStyle w:val="Hyperlink"/>
                  <w:sz w:val="20"/>
                </w:rPr>
                <w:t>2015 ONCA 379</w:t>
              </w:r>
            </w:hyperlink>
          </w:p>
          <w:p w:rsidR="005C3B9D" w:rsidRPr="00523D29" w:rsidRDefault="005C3B9D" w:rsidP="008F5FE2">
            <w:pPr>
              <w:jc w:val="both"/>
              <w:rPr>
                <w:sz w:val="20"/>
              </w:rPr>
            </w:pPr>
          </w:p>
        </w:tc>
        <w:tc>
          <w:tcPr>
            <w:tcW w:w="243"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Appeal dismissed</w:t>
            </w:r>
          </w:p>
          <w:p w:rsidR="005C3B9D" w:rsidRPr="00523D29" w:rsidRDefault="005C3B9D" w:rsidP="008F5FE2">
            <w:pPr>
              <w:jc w:val="both"/>
              <w:rPr>
                <w:sz w:val="20"/>
              </w:rPr>
            </w:pPr>
          </w:p>
        </w:tc>
      </w:tr>
      <w:tr w:rsidR="005C3B9D" w:rsidRPr="00523D29" w:rsidTr="008F5FE2">
        <w:tc>
          <w:tcPr>
            <w:tcW w:w="2427" w:type="pct"/>
          </w:tcPr>
          <w:p w:rsidR="005C3B9D" w:rsidRPr="00523D29" w:rsidRDefault="005C3B9D" w:rsidP="008F5FE2">
            <w:pPr>
              <w:jc w:val="both"/>
              <w:rPr>
                <w:sz w:val="20"/>
              </w:rPr>
            </w:pPr>
            <w:r w:rsidRPr="00523D29">
              <w:rPr>
                <w:sz w:val="20"/>
              </w:rPr>
              <w:t>August 24, 2015</w:t>
            </w:r>
          </w:p>
          <w:p w:rsidR="005C3B9D" w:rsidRPr="00523D29" w:rsidRDefault="005C3B9D" w:rsidP="008F5FE2">
            <w:pPr>
              <w:jc w:val="both"/>
              <w:rPr>
                <w:sz w:val="20"/>
              </w:rPr>
            </w:pPr>
            <w:r w:rsidRPr="00523D29">
              <w:rPr>
                <w:sz w:val="20"/>
              </w:rPr>
              <w:t>Supreme Court of Canada</w:t>
            </w:r>
          </w:p>
        </w:tc>
        <w:tc>
          <w:tcPr>
            <w:tcW w:w="243" w:type="pct"/>
          </w:tcPr>
          <w:p w:rsidR="005C3B9D" w:rsidRPr="00523D29" w:rsidRDefault="005C3B9D" w:rsidP="008F5FE2">
            <w:pPr>
              <w:jc w:val="both"/>
              <w:rPr>
                <w:sz w:val="20"/>
              </w:rPr>
            </w:pPr>
          </w:p>
        </w:tc>
        <w:tc>
          <w:tcPr>
            <w:tcW w:w="2330" w:type="pct"/>
          </w:tcPr>
          <w:p w:rsidR="005C3B9D" w:rsidRPr="00523D29" w:rsidRDefault="005C3B9D" w:rsidP="008F5FE2">
            <w:pPr>
              <w:jc w:val="both"/>
              <w:rPr>
                <w:sz w:val="20"/>
              </w:rPr>
            </w:pPr>
            <w:r w:rsidRPr="00523D29">
              <w:rPr>
                <w:sz w:val="20"/>
              </w:rPr>
              <w:t>Application for leave to appeal filed</w:t>
            </w:r>
          </w:p>
          <w:p w:rsidR="005C3B9D" w:rsidRPr="00523D29" w:rsidRDefault="005C3B9D" w:rsidP="008F5FE2">
            <w:pPr>
              <w:jc w:val="both"/>
              <w:rPr>
                <w:sz w:val="20"/>
              </w:rPr>
            </w:pPr>
          </w:p>
        </w:tc>
      </w:tr>
    </w:tbl>
    <w:p w:rsidR="005C3B9D" w:rsidRPr="005C3B9D" w:rsidRDefault="005C3B9D" w:rsidP="005C3B9D">
      <w:pPr>
        <w:ind w:left="360" w:hanging="360"/>
        <w:jc w:val="both"/>
        <w:rPr>
          <w:sz w:val="20"/>
          <w:lang w:val="en-US"/>
        </w:rPr>
      </w:pPr>
    </w:p>
    <w:p w:rsidR="005C3B9D" w:rsidRPr="00C50A5C" w:rsidRDefault="00CD76E4" w:rsidP="005C3B9D">
      <w:pPr>
        <w:rPr>
          <w:sz w:val="20"/>
          <w:szCs w:val="20"/>
        </w:rPr>
      </w:pPr>
      <w:r>
        <w:rPr>
          <w:sz w:val="20"/>
          <w:szCs w:val="20"/>
          <w:lang w:val="fr-CA"/>
        </w:rPr>
        <w:pict>
          <v:rect id="_x0000_i1054"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523D29" w:rsidRDefault="005C3B9D" w:rsidP="008F5FE2">
            <w:pPr>
              <w:jc w:val="both"/>
              <w:rPr>
                <w:sz w:val="20"/>
                <w:lang w:val="fr-CA"/>
              </w:rPr>
            </w:pPr>
            <w:r w:rsidRPr="00523D29">
              <w:rPr>
                <w:i/>
                <w:sz w:val="20"/>
                <w:lang w:val="fr-CA"/>
              </w:rPr>
              <w:t>Charte des droits et libertés</w:t>
            </w:r>
            <w:r w:rsidRPr="00523D29">
              <w:rPr>
                <w:sz w:val="20"/>
                <w:lang w:val="fr-CA"/>
              </w:rPr>
              <w:t xml:space="preserve"> – Droit criminel – Droit de bénéficier de la peine la moins sévère – Libération conditionnelle – </w:t>
            </w:r>
            <w:r w:rsidRPr="00523D29">
              <w:rPr>
                <w:i/>
                <w:sz w:val="20"/>
                <w:lang w:val="fr-CA"/>
              </w:rPr>
              <w:t>Loi sur la libération anticipée des criminels</w:t>
            </w:r>
            <w:r w:rsidRPr="00523D29">
              <w:rPr>
                <w:sz w:val="20"/>
                <w:lang w:val="fr-CA"/>
              </w:rPr>
              <w:t>, L.C. 2011, ch. 11 – L’alinéa 11</w:t>
            </w:r>
            <w:r w:rsidRPr="00523D29">
              <w:rPr>
                <w:i/>
                <w:sz w:val="20"/>
                <w:lang w:val="fr-CA"/>
              </w:rPr>
              <w:t>i</w:t>
            </w:r>
            <w:r w:rsidRPr="00523D29">
              <w:rPr>
                <w:sz w:val="20"/>
                <w:lang w:val="fr-CA"/>
              </w:rPr>
              <w:t>) de la</w:t>
            </w:r>
            <w:r w:rsidRPr="00523D29">
              <w:rPr>
                <w:i/>
                <w:sz w:val="20"/>
                <w:lang w:val="fr-CA"/>
              </w:rPr>
              <w:t xml:space="preserve"> Charte</w:t>
            </w:r>
            <w:r w:rsidRPr="00523D29">
              <w:rPr>
                <w:sz w:val="20"/>
                <w:lang w:val="fr-CA"/>
              </w:rPr>
              <w:t xml:space="preserve"> garantit-il au délinquant le droit de bénéficier du régime de libération conditionnelle le plus favorable lorsque le régime est modifié entre le moment de la perpétration de l’infraction et celui de la sentence?</w:t>
            </w:r>
          </w:p>
        </w:tc>
      </w:tr>
      <w:tr w:rsidR="005C3B9D" w:rsidRPr="00B26F8D" w:rsidTr="008F5FE2">
        <w:tc>
          <w:tcPr>
            <w:tcW w:w="5000" w:type="pct"/>
            <w:gridSpan w:val="3"/>
          </w:tcPr>
          <w:p w:rsidR="005C3B9D" w:rsidRPr="00523D29" w:rsidRDefault="005C3B9D" w:rsidP="008F5FE2">
            <w:pPr>
              <w:jc w:val="both"/>
              <w:rPr>
                <w:i/>
                <w:sz w:val="20"/>
                <w:lang w:val="fr-CA"/>
              </w:rPr>
            </w:pPr>
          </w:p>
        </w:tc>
      </w:tr>
      <w:tr w:rsidR="005C3B9D" w:rsidRPr="00B26F8D" w:rsidTr="008F5FE2">
        <w:tc>
          <w:tcPr>
            <w:tcW w:w="5000" w:type="pct"/>
            <w:gridSpan w:val="3"/>
          </w:tcPr>
          <w:p w:rsidR="005C3B9D" w:rsidRPr="00523D29" w:rsidRDefault="005C3B9D" w:rsidP="008F5FE2">
            <w:pPr>
              <w:jc w:val="both"/>
              <w:rPr>
                <w:sz w:val="20"/>
                <w:lang w:val="fr-CA"/>
              </w:rPr>
            </w:pPr>
            <w:r w:rsidRPr="00523D29">
              <w:rPr>
                <w:sz w:val="20"/>
                <w:lang w:val="fr-CA"/>
              </w:rPr>
              <w:t xml:space="preserve">Les délinquants non violents qui en étaient à leur première infraction fédérale pouvaient se prévaloir d’une procédure d’examen expéditif (PEÉ) qui leur donnait le droit de demander la semi-liberté après avoir purgé six mois ou, si elle était supérieure, la période qui équivalait au sixième de la peine, en application de la </w:t>
            </w:r>
            <w:r w:rsidRPr="00523D29">
              <w:rPr>
                <w:i/>
                <w:sz w:val="20"/>
                <w:lang w:val="fr-CA"/>
              </w:rPr>
              <w:t>Loi sur le système correctionnel et la mise en liberté sous condition</w:t>
            </w:r>
            <w:r w:rsidRPr="00523D29">
              <w:rPr>
                <w:sz w:val="20"/>
                <w:lang w:val="fr-CA"/>
              </w:rPr>
              <w:t xml:space="preserve">, L.C. 1992, ch. 20. Le 28 mars 2011, les dispositions en matière de PEÉ ont été abrogées lorsque la </w:t>
            </w:r>
            <w:r w:rsidRPr="00523D29">
              <w:rPr>
                <w:i/>
                <w:iCs/>
                <w:sz w:val="20"/>
                <w:lang w:val="fr-CA"/>
              </w:rPr>
              <w:t>Loi sur la libération anticipée des criminels</w:t>
            </w:r>
            <w:r w:rsidRPr="00523D29">
              <w:rPr>
                <w:sz w:val="20"/>
                <w:lang w:val="fr-CA"/>
              </w:rPr>
              <w:t>, L.C. 2011, ch. 11 est entrée en vigueur. Les intimées ont été déclarées coupables d’infractions qui avaient été perpétrées avant le 28 mars 2011 et leurs peines ont été prononcées après l’abrogation de la PEÉ. Elles ont demandé à la Cour supérieure de justice de l’Ontario de rendre un jugement déclarant qu’elles avaient le droit de bénéficier de la PEÉ. La demande de jugement déclaratoire a été accueillie et un appel du demandeur à la Cour d’appel de l’Ontario a été rejeté.</w:t>
            </w:r>
          </w:p>
          <w:p w:rsidR="005C3B9D" w:rsidRPr="00523D29" w:rsidRDefault="005C3B9D" w:rsidP="008F5FE2">
            <w:pPr>
              <w:jc w:val="both"/>
              <w:rPr>
                <w:sz w:val="20"/>
                <w:lang w:val="fr-CA"/>
              </w:rPr>
            </w:pPr>
          </w:p>
        </w:tc>
      </w:tr>
      <w:tr w:rsidR="005C3B9D" w:rsidRPr="00B26F8D" w:rsidTr="008F5FE2">
        <w:tc>
          <w:tcPr>
            <w:tcW w:w="2427" w:type="pct"/>
          </w:tcPr>
          <w:p w:rsidR="005C3B9D" w:rsidRPr="00523D29" w:rsidRDefault="005C3B9D" w:rsidP="008F5FE2">
            <w:pPr>
              <w:jc w:val="both"/>
              <w:rPr>
                <w:sz w:val="20"/>
                <w:lang w:val="fr-CA"/>
              </w:rPr>
            </w:pPr>
            <w:r w:rsidRPr="00523D29">
              <w:rPr>
                <w:sz w:val="20"/>
                <w:lang w:val="fr-CA"/>
              </w:rPr>
              <w:t>3 novembre 2014</w:t>
            </w:r>
          </w:p>
          <w:p w:rsidR="005C3B9D" w:rsidRPr="00523D29" w:rsidRDefault="005C3B9D" w:rsidP="008F5FE2">
            <w:pPr>
              <w:jc w:val="both"/>
              <w:rPr>
                <w:sz w:val="20"/>
                <w:lang w:val="fr-CA"/>
              </w:rPr>
            </w:pPr>
            <w:r w:rsidRPr="00523D29">
              <w:rPr>
                <w:sz w:val="20"/>
                <w:lang w:val="fr-CA"/>
              </w:rPr>
              <w:t>Cour supérieure de justice de l’Ontario</w:t>
            </w:r>
          </w:p>
          <w:p w:rsidR="005C3B9D" w:rsidRPr="00523D29" w:rsidRDefault="005C3B9D" w:rsidP="008F5FE2">
            <w:pPr>
              <w:jc w:val="both"/>
              <w:rPr>
                <w:sz w:val="20"/>
                <w:lang w:val="fr-CA"/>
              </w:rPr>
            </w:pPr>
            <w:r w:rsidRPr="00523D29">
              <w:rPr>
                <w:sz w:val="20"/>
                <w:lang w:val="fr-CA"/>
              </w:rPr>
              <w:t>(Juge Hambly)</w:t>
            </w:r>
          </w:p>
          <w:p w:rsidR="005C3B9D" w:rsidRPr="00523D29" w:rsidRDefault="005C3B9D" w:rsidP="008F5FE2">
            <w:pPr>
              <w:jc w:val="both"/>
              <w:rPr>
                <w:sz w:val="20"/>
                <w:lang w:val="fr-CA"/>
              </w:rPr>
            </w:pPr>
            <w:r w:rsidRPr="00523D29">
              <w:rPr>
                <w:sz w:val="20"/>
                <w:lang w:val="fr-CA"/>
              </w:rPr>
              <w:t xml:space="preserve">Référence neutre : </w:t>
            </w:r>
            <w:hyperlink r:id="rId59" w:history="1">
              <w:r w:rsidRPr="00523D29">
                <w:rPr>
                  <w:rStyle w:val="Hyperlink"/>
                  <w:sz w:val="20"/>
                  <w:lang w:val="fr-CA"/>
                </w:rPr>
                <w:t>2014 ONSC 6394</w:t>
              </w:r>
            </w:hyperlink>
          </w:p>
          <w:p w:rsidR="005C3B9D" w:rsidRPr="00523D29" w:rsidRDefault="005C3B9D" w:rsidP="008F5FE2">
            <w:pPr>
              <w:jc w:val="both"/>
              <w:rPr>
                <w:sz w:val="20"/>
                <w:lang w:val="fr-CA"/>
              </w:rPr>
            </w:pPr>
          </w:p>
        </w:tc>
        <w:tc>
          <w:tcPr>
            <w:tcW w:w="243" w:type="pct"/>
          </w:tcPr>
          <w:p w:rsidR="005C3B9D" w:rsidRPr="00523D29" w:rsidRDefault="005C3B9D" w:rsidP="008F5FE2">
            <w:pPr>
              <w:jc w:val="both"/>
              <w:rPr>
                <w:sz w:val="20"/>
                <w:lang w:val="fr-CA"/>
              </w:rPr>
            </w:pPr>
          </w:p>
        </w:tc>
        <w:tc>
          <w:tcPr>
            <w:tcW w:w="2330" w:type="pct"/>
          </w:tcPr>
          <w:p w:rsidR="005C3B9D" w:rsidRPr="00523D29" w:rsidRDefault="005C3B9D" w:rsidP="008F5FE2">
            <w:pPr>
              <w:jc w:val="both"/>
              <w:rPr>
                <w:sz w:val="20"/>
                <w:lang w:val="fr-CA"/>
              </w:rPr>
            </w:pPr>
            <w:r w:rsidRPr="00523D29">
              <w:rPr>
                <w:sz w:val="20"/>
                <w:lang w:val="fr-CA"/>
              </w:rPr>
              <w:t xml:space="preserve">Jugement accueillant la demande et déclarant que les intimées avaient le droit à la procédure d’examen expéditif </w:t>
            </w:r>
          </w:p>
          <w:p w:rsidR="005C3B9D" w:rsidRPr="00523D29" w:rsidRDefault="005C3B9D" w:rsidP="008F5FE2">
            <w:pPr>
              <w:jc w:val="both"/>
              <w:rPr>
                <w:sz w:val="20"/>
                <w:lang w:val="fr-CA"/>
              </w:rPr>
            </w:pPr>
          </w:p>
        </w:tc>
      </w:tr>
      <w:tr w:rsidR="005C3B9D" w:rsidRPr="00523D29" w:rsidTr="008F5FE2">
        <w:tc>
          <w:tcPr>
            <w:tcW w:w="2427" w:type="pct"/>
          </w:tcPr>
          <w:p w:rsidR="005C3B9D" w:rsidRPr="00523D29" w:rsidRDefault="005C3B9D" w:rsidP="008F5FE2">
            <w:pPr>
              <w:jc w:val="both"/>
              <w:rPr>
                <w:sz w:val="20"/>
                <w:lang w:val="fr-CA"/>
              </w:rPr>
            </w:pPr>
            <w:r w:rsidRPr="00523D29">
              <w:rPr>
                <w:sz w:val="20"/>
                <w:lang w:val="fr-CA"/>
              </w:rPr>
              <w:t>29 mai 2015</w:t>
            </w:r>
          </w:p>
          <w:p w:rsidR="005C3B9D" w:rsidRPr="00523D29" w:rsidRDefault="005C3B9D" w:rsidP="008F5FE2">
            <w:pPr>
              <w:jc w:val="both"/>
              <w:rPr>
                <w:sz w:val="20"/>
                <w:lang w:val="fr-CA"/>
              </w:rPr>
            </w:pPr>
            <w:r w:rsidRPr="00523D29">
              <w:rPr>
                <w:sz w:val="20"/>
                <w:lang w:val="fr-CA"/>
              </w:rPr>
              <w:t>Cour d’appel de l’Ontario</w:t>
            </w:r>
          </w:p>
          <w:p w:rsidR="005C3B9D" w:rsidRPr="00523D29" w:rsidRDefault="005C3B9D" w:rsidP="008F5FE2">
            <w:pPr>
              <w:jc w:val="both"/>
              <w:rPr>
                <w:sz w:val="20"/>
                <w:lang w:val="fr-CA"/>
              </w:rPr>
            </w:pPr>
            <w:r w:rsidRPr="00523D29">
              <w:rPr>
                <w:sz w:val="20"/>
                <w:lang w:val="fr-CA"/>
              </w:rPr>
              <w:t>(Juges Simmons, Juriansz et van Rensburg)</w:t>
            </w:r>
          </w:p>
          <w:p w:rsidR="005C3B9D" w:rsidRPr="00523D29" w:rsidRDefault="005C3B9D" w:rsidP="008F5FE2">
            <w:pPr>
              <w:jc w:val="both"/>
              <w:rPr>
                <w:sz w:val="20"/>
                <w:lang w:val="fr-CA"/>
              </w:rPr>
            </w:pPr>
            <w:r w:rsidRPr="00523D29">
              <w:rPr>
                <w:sz w:val="20"/>
                <w:lang w:val="fr-CA"/>
              </w:rPr>
              <w:t xml:space="preserve">Référence neutre : </w:t>
            </w:r>
            <w:hyperlink r:id="rId60" w:history="1">
              <w:r w:rsidRPr="00523D29">
                <w:rPr>
                  <w:rStyle w:val="Hyperlink"/>
                  <w:sz w:val="20"/>
                  <w:lang w:val="fr-CA"/>
                </w:rPr>
                <w:t>2015 ONCA 379</w:t>
              </w:r>
            </w:hyperlink>
          </w:p>
          <w:p w:rsidR="005C3B9D" w:rsidRPr="00523D29" w:rsidRDefault="005C3B9D" w:rsidP="008F5FE2">
            <w:pPr>
              <w:jc w:val="both"/>
              <w:rPr>
                <w:sz w:val="20"/>
                <w:lang w:val="fr-CA"/>
              </w:rPr>
            </w:pPr>
          </w:p>
        </w:tc>
        <w:tc>
          <w:tcPr>
            <w:tcW w:w="243" w:type="pct"/>
          </w:tcPr>
          <w:p w:rsidR="005C3B9D" w:rsidRPr="00523D29" w:rsidRDefault="005C3B9D" w:rsidP="008F5FE2">
            <w:pPr>
              <w:jc w:val="both"/>
              <w:rPr>
                <w:sz w:val="20"/>
                <w:lang w:val="fr-CA"/>
              </w:rPr>
            </w:pPr>
          </w:p>
        </w:tc>
        <w:tc>
          <w:tcPr>
            <w:tcW w:w="2330" w:type="pct"/>
          </w:tcPr>
          <w:p w:rsidR="005C3B9D" w:rsidRPr="00523D29" w:rsidRDefault="005C3B9D" w:rsidP="008F5FE2">
            <w:pPr>
              <w:jc w:val="both"/>
              <w:rPr>
                <w:sz w:val="20"/>
                <w:lang w:val="fr-CA"/>
              </w:rPr>
            </w:pPr>
            <w:r w:rsidRPr="00523D29">
              <w:rPr>
                <w:sz w:val="20"/>
                <w:lang w:val="fr-CA"/>
              </w:rPr>
              <w:t>Rejet de l’appel</w:t>
            </w:r>
          </w:p>
          <w:p w:rsidR="005C3B9D" w:rsidRPr="00523D29" w:rsidRDefault="005C3B9D" w:rsidP="008F5FE2">
            <w:pPr>
              <w:jc w:val="both"/>
              <w:rPr>
                <w:sz w:val="20"/>
                <w:lang w:val="fr-CA"/>
              </w:rPr>
            </w:pPr>
          </w:p>
        </w:tc>
      </w:tr>
      <w:tr w:rsidR="005C3B9D" w:rsidRPr="00B26F8D" w:rsidTr="008F5FE2">
        <w:tc>
          <w:tcPr>
            <w:tcW w:w="2427" w:type="pct"/>
          </w:tcPr>
          <w:p w:rsidR="005C3B9D" w:rsidRPr="00523D29" w:rsidRDefault="005C3B9D" w:rsidP="008F5FE2">
            <w:pPr>
              <w:jc w:val="both"/>
              <w:rPr>
                <w:sz w:val="20"/>
                <w:lang w:val="fr-CA"/>
              </w:rPr>
            </w:pPr>
            <w:r w:rsidRPr="00523D29">
              <w:rPr>
                <w:sz w:val="20"/>
                <w:lang w:val="fr-CA"/>
              </w:rPr>
              <w:t>24 août 2015</w:t>
            </w:r>
          </w:p>
          <w:p w:rsidR="005C3B9D" w:rsidRPr="00523D29" w:rsidRDefault="005C3B9D" w:rsidP="008F5FE2">
            <w:pPr>
              <w:jc w:val="both"/>
              <w:rPr>
                <w:sz w:val="20"/>
                <w:lang w:val="fr-CA"/>
              </w:rPr>
            </w:pPr>
            <w:r w:rsidRPr="00523D29">
              <w:rPr>
                <w:sz w:val="20"/>
                <w:lang w:val="fr-CA"/>
              </w:rPr>
              <w:t>Cour suprême du Canada</w:t>
            </w:r>
          </w:p>
        </w:tc>
        <w:tc>
          <w:tcPr>
            <w:tcW w:w="243" w:type="pct"/>
          </w:tcPr>
          <w:p w:rsidR="005C3B9D" w:rsidRPr="00523D29" w:rsidRDefault="005C3B9D" w:rsidP="008F5FE2">
            <w:pPr>
              <w:jc w:val="both"/>
              <w:rPr>
                <w:sz w:val="20"/>
                <w:lang w:val="fr-CA"/>
              </w:rPr>
            </w:pPr>
          </w:p>
        </w:tc>
        <w:tc>
          <w:tcPr>
            <w:tcW w:w="2330" w:type="pct"/>
          </w:tcPr>
          <w:p w:rsidR="005C3B9D" w:rsidRPr="00523D29" w:rsidRDefault="005C3B9D" w:rsidP="008F5FE2">
            <w:pPr>
              <w:jc w:val="both"/>
              <w:rPr>
                <w:sz w:val="20"/>
                <w:lang w:val="fr-CA"/>
              </w:rPr>
            </w:pPr>
            <w:r w:rsidRPr="00523D29">
              <w:rPr>
                <w:sz w:val="20"/>
                <w:lang w:val="fr-CA"/>
              </w:rPr>
              <w:t>Dépôt de la demande d’autorisation d’appel</w:t>
            </w:r>
          </w:p>
          <w:p w:rsidR="005C3B9D" w:rsidRPr="00523D29" w:rsidRDefault="005C3B9D" w:rsidP="008F5FE2">
            <w:pPr>
              <w:jc w:val="both"/>
              <w:rPr>
                <w:sz w:val="20"/>
                <w:lang w:val="fr-CA"/>
              </w:rPr>
            </w:pPr>
          </w:p>
        </w:tc>
      </w:tr>
    </w:tbl>
    <w:p w:rsidR="005C3B9D" w:rsidRPr="0016547E" w:rsidRDefault="005C3B9D" w:rsidP="005C3B9D">
      <w:pPr>
        <w:rPr>
          <w:sz w:val="20"/>
          <w:szCs w:val="20"/>
          <w:lang w:val="fr-CA"/>
        </w:rPr>
      </w:pPr>
    </w:p>
    <w:p w:rsidR="005C3B9D" w:rsidRPr="00C50A5C" w:rsidRDefault="00CD76E4" w:rsidP="005C3B9D">
      <w:pPr>
        <w:rPr>
          <w:sz w:val="20"/>
          <w:szCs w:val="20"/>
        </w:rPr>
      </w:pPr>
      <w:r>
        <w:rPr>
          <w:sz w:val="20"/>
          <w:szCs w:val="20"/>
          <w:lang w:val="fr-CA"/>
        </w:rPr>
        <w:pict>
          <v:rect id="_x0000_i1055" style="width:2in;height:1pt" o:hrpct="0" o:hralign="center" o:hrstd="t" o:hrnoshade="t" o:hr="t" fillcolor="black [3213]" stroked="f"/>
        </w:pict>
      </w:r>
    </w:p>
    <w:p w:rsidR="005C3B9D" w:rsidRDefault="005C3B9D" w:rsidP="005C3B9D">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41388B" w:rsidTr="008F5FE2">
        <w:trPr>
          <w:cantSplit/>
        </w:trPr>
        <w:tc>
          <w:tcPr>
            <w:tcW w:w="1458" w:type="dxa"/>
          </w:tcPr>
          <w:p w:rsidR="005C3B9D" w:rsidRPr="0041388B" w:rsidRDefault="005C3B9D" w:rsidP="008F5FE2">
            <w:pPr>
              <w:rPr>
                <w:sz w:val="20"/>
              </w:rPr>
            </w:pPr>
            <w:r w:rsidRPr="0041388B">
              <w:rPr>
                <w:b/>
                <w:sz w:val="20"/>
                <w:lang w:val="fr-CA"/>
              </w:rPr>
              <w:t>36570</w:t>
            </w:r>
          </w:p>
          <w:p w:rsidR="005C3B9D" w:rsidRPr="0041388B" w:rsidRDefault="005C3B9D" w:rsidP="008F5FE2">
            <w:pPr>
              <w:rPr>
                <w:b/>
                <w:sz w:val="20"/>
                <w:lang w:val="fr-CA"/>
              </w:rPr>
            </w:pPr>
          </w:p>
        </w:tc>
        <w:tc>
          <w:tcPr>
            <w:tcW w:w="8118" w:type="dxa"/>
          </w:tcPr>
          <w:p w:rsidR="005C3B9D" w:rsidRPr="0041388B" w:rsidRDefault="005C3B9D" w:rsidP="008F5FE2">
            <w:pPr>
              <w:rPr>
                <w:sz w:val="20"/>
              </w:rPr>
            </w:pPr>
            <w:r w:rsidRPr="0041388B">
              <w:rPr>
                <w:b/>
                <w:sz w:val="20"/>
                <w:u w:val="single"/>
                <w:lang w:val="en-US"/>
              </w:rPr>
              <w:t>Romeo Constantine v. Her Majesty the Queen</w:t>
            </w:r>
            <w:r w:rsidRPr="0041388B">
              <w:rPr>
                <w:sz w:val="20"/>
              </w:rPr>
              <w:t xml:space="preserve"> (Ont.) (Criminal) (By Leave)</w:t>
            </w:r>
          </w:p>
          <w:p w:rsidR="005C3B9D" w:rsidRPr="0041388B" w:rsidRDefault="005C3B9D" w:rsidP="008F5FE2">
            <w:pPr>
              <w:rPr>
                <w:sz w:val="20"/>
              </w:rPr>
            </w:pPr>
          </w:p>
        </w:tc>
      </w:tr>
      <w:tr w:rsidR="005C3B9D" w:rsidRPr="0041388B" w:rsidTr="008F5FE2">
        <w:trPr>
          <w:cantSplit/>
        </w:trPr>
        <w:tc>
          <w:tcPr>
            <w:tcW w:w="1458" w:type="dxa"/>
          </w:tcPr>
          <w:p w:rsidR="005C3B9D" w:rsidRPr="0041388B" w:rsidRDefault="005C3B9D" w:rsidP="008F5FE2">
            <w:pPr>
              <w:rPr>
                <w:sz w:val="20"/>
              </w:rPr>
            </w:pPr>
            <w:r w:rsidRPr="0041388B">
              <w:rPr>
                <w:sz w:val="20"/>
              </w:rPr>
              <w:t>Coram :</w:t>
            </w:r>
          </w:p>
        </w:tc>
        <w:tc>
          <w:tcPr>
            <w:tcW w:w="8118" w:type="dxa"/>
          </w:tcPr>
          <w:p w:rsidR="005C3B9D" w:rsidRPr="0041388B" w:rsidRDefault="005C3B9D" w:rsidP="008F5FE2">
            <w:pPr>
              <w:rPr>
                <w:sz w:val="20"/>
              </w:rPr>
            </w:pPr>
            <w:r w:rsidRPr="0041388B">
              <w:rPr>
                <w:sz w:val="20"/>
                <w:u w:val="single"/>
                <w:lang w:val="en-US"/>
              </w:rPr>
              <w:t>Cromwell, Wagner and Côté JJ.</w:t>
            </w:r>
          </w:p>
          <w:p w:rsidR="005C3B9D" w:rsidRPr="0041388B" w:rsidRDefault="005C3B9D" w:rsidP="008F5FE2">
            <w:pPr>
              <w:rPr>
                <w:sz w:val="20"/>
                <w:u w:val="single"/>
              </w:rPr>
            </w:pPr>
          </w:p>
        </w:tc>
      </w:tr>
      <w:tr w:rsidR="005C3B9D" w:rsidRPr="00B26F8D" w:rsidTr="008F5FE2">
        <w:trPr>
          <w:cantSplit/>
        </w:trPr>
        <w:tc>
          <w:tcPr>
            <w:tcW w:w="9576" w:type="dxa"/>
            <w:gridSpan w:val="2"/>
          </w:tcPr>
          <w:p w:rsidR="005C3B9D" w:rsidRPr="0041388B" w:rsidRDefault="005C3B9D" w:rsidP="008F5FE2">
            <w:pPr>
              <w:ind w:firstLine="720"/>
              <w:jc w:val="both"/>
              <w:rPr>
                <w:sz w:val="20"/>
              </w:rPr>
            </w:pPr>
            <w:r w:rsidRPr="0041388B">
              <w:rPr>
                <w:sz w:val="20"/>
              </w:rPr>
              <w:t>The motion for an extension of time to serve and file the application for leave to appeal is granted. The application for leave to appeal from the judgment of the Court of Appeal for Ontario, Number C53658, 2015 ONCA 330, dated May 12, 2015, is dismissed.</w:t>
            </w:r>
          </w:p>
          <w:p w:rsidR="005C3B9D" w:rsidRPr="0041388B" w:rsidRDefault="005C3B9D" w:rsidP="008F5FE2">
            <w:pPr>
              <w:jc w:val="both"/>
              <w:rPr>
                <w:sz w:val="20"/>
              </w:rPr>
            </w:pPr>
          </w:p>
          <w:p w:rsidR="005C3B9D" w:rsidRPr="0041388B" w:rsidRDefault="005C3B9D" w:rsidP="008F5FE2">
            <w:pPr>
              <w:ind w:firstLine="720"/>
              <w:jc w:val="both"/>
              <w:rPr>
                <w:sz w:val="20"/>
                <w:lang w:val="fr-CA"/>
              </w:rPr>
            </w:pPr>
            <w:r w:rsidRPr="0041388B">
              <w:rPr>
                <w:sz w:val="20"/>
                <w:lang w:val="fr-CA"/>
              </w:rPr>
              <w:t>La requête en prorogation du délai de signification et de dépôt de la demande d’autorisation d’appel est accueillie. La demande d’autorisation d’appel de l’arrêt de la Cour d’appel de l’Ontario, numéro C53658, 2015 ONCA 330, daté du 12 mai 2015, est rejetée.</w:t>
            </w:r>
          </w:p>
        </w:tc>
      </w:tr>
    </w:tbl>
    <w:p w:rsidR="005C3B9D" w:rsidRPr="0016547E" w:rsidRDefault="005C3B9D" w:rsidP="005C3B9D">
      <w:pPr>
        <w:rPr>
          <w:sz w:val="20"/>
          <w:szCs w:val="20"/>
          <w:lang w:val="fr-CA"/>
        </w:rPr>
      </w:pPr>
    </w:p>
    <w:p w:rsidR="005C3B9D" w:rsidRPr="0033473D" w:rsidRDefault="005C3B9D" w:rsidP="005C3B9D">
      <w:pPr>
        <w:rPr>
          <w:sz w:val="20"/>
          <w:szCs w:val="20"/>
          <w:u w:val="single"/>
        </w:rPr>
      </w:pPr>
      <w:r w:rsidRPr="0033473D">
        <w:rPr>
          <w:sz w:val="20"/>
          <w:szCs w:val="20"/>
          <w:u w:val="single"/>
        </w:rPr>
        <w:t>CASE SUMMARY</w:t>
      </w:r>
    </w:p>
    <w:p w:rsidR="005C3B9D" w:rsidRPr="0033473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E50D16" w:rsidTr="008F5FE2">
        <w:tc>
          <w:tcPr>
            <w:tcW w:w="5000" w:type="pct"/>
            <w:gridSpan w:val="3"/>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Criminal law – Jurors – Question from the jury – How does a trial judge respond to a question from the jury that raises a defence that has been determined to have no air of reality on the facts of the case – Whether a jury charge must make clear the need to consider the effect of evidence of self-defence, or defence of a person, on the requisite intent for murder.</w:t>
            </w:r>
          </w:p>
        </w:tc>
      </w:tr>
      <w:tr w:rsidR="005C3B9D" w:rsidRPr="00E50D16" w:rsidTr="008F5FE2">
        <w:tc>
          <w:tcPr>
            <w:tcW w:w="5000" w:type="pct"/>
            <w:gridSpan w:val="3"/>
          </w:tcPr>
          <w:p w:rsidR="005C3B9D" w:rsidRPr="00E50D16" w:rsidRDefault="005C3B9D" w:rsidP="008F5FE2">
            <w:pPr>
              <w:jc w:val="both"/>
              <w:rPr>
                <w:rFonts w:eastAsia="Times New Roman" w:cs="Times New Roman"/>
                <w:sz w:val="20"/>
                <w:szCs w:val="20"/>
                <w:lang w:val="en-US"/>
              </w:rPr>
            </w:pPr>
          </w:p>
        </w:tc>
      </w:tr>
      <w:tr w:rsidR="005C3B9D" w:rsidRPr="00E50D16" w:rsidTr="008F5FE2">
        <w:tc>
          <w:tcPr>
            <w:tcW w:w="5000" w:type="pct"/>
            <w:gridSpan w:val="3"/>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The applicant and Mr. Creighton went to an apartment with the ostensible purpose of purchasing two pounds of marijuana from Mr. Johnson. The theory of the applicant’s defence was that Mr. Johnson was accidentally shot by his own gun during a struggle. The theory of the Crown’s case was that Mr. Johnson was shot in the course of a robbery/home invasion by the applicant and Mr. Creighton. The applicant was convicted of second degree murder. His conviction appeal was dismissed.</w:t>
            </w:r>
          </w:p>
          <w:p w:rsidR="005C3B9D" w:rsidRPr="00E50D16" w:rsidRDefault="005C3B9D" w:rsidP="008F5FE2">
            <w:pPr>
              <w:jc w:val="both"/>
              <w:rPr>
                <w:rFonts w:eastAsia="Times New Roman" w:cs="Times New Roman"/>
                <w:sz w:val="20"/>
                <w:szCs w:val="20"/>
                <w:lang w:val="en-US"/>
              </w:rPr>
            </w:pPr>
          </w:p>
        </w:tc>
      </w:tr>
      <w:tr w:rsidR="005C3B9D" w:rsidRPr="00E50D16" w:rsidTr="008F5FE2">
        <w:tc>
          <w:tcPr>
            <w:tcW w:w="2427"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lastRenderedPageBreak/>
              <w:t>January 30, 2009</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Ontario Superior Court of Justice</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(Sproat J.)</w:t>
            </w:r>
          </w:p>
          <w:p w:rsidR="005C3B9D" w:rsidRPr="00E50D16" w:rsidRDefault="005C3B9D" w:rsidP="008F5FE2">
            <w:pPr>
              <w:jc w:val="both"/>
              <w:rPr>
                <w:rFonts w:eastAsia="Times New Roman" w:cs="Times New Roman"/>
                <w:sz w:val="20"/>
                <w:szCs w:val="20"/>
                <w:lang w:val="en-US"/>
              </w:rPr>
            </w:pPr>
          </w:p>
        </w:tc>
        <w:tc>
          <w:tcPr>
            <w:tcW w:w="243" w:type="pct"/>
          </w:tcPr>
          <w:p w:rsidR="005C3B9D" w:rsidRPr="00E50D16" w:rsidRDefault="005C3B9D" w:rsidP="008F5FE2">
            <w:pPr>
              <w:jc w:val="both"/>
              <w:rPr>
                <w:rFonts w:eastAsia="Times New Roman" w:cs="Times New Roman"/>
                <w:sz w:val="20"/>
                <w:szCs w:val="20"/>
                <w:lang w:val="en-US"/>
              </w:rPr>
            </w:pPr>
          </w:p>
        </w:tc>
        <w:tc>
          <w:tcPr>
            <w:tcW w:w="2330"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Conviction for second degree murder</w:t>
            </w:r>
          </w:p>
          <w:p w:rsidR="005C3B9D" w:rsidRPr="00E50D16" w:rsidRDefault="005C3B9D" w:rsidP="008F5FE2">
            <w:pPr>
              <w:jc w:val="both"/>
              <w:rPr>
                <w:rFonts w:eastAsia="Times New Roman" w:cs="Times New Roman"/>
                <w:sz w:val="20"/>
                <w:szCs w:val="20"/>
                <w:lang w:val="en-US"/>
              </w:rPr>
            </w:pPr>
          </w:p>
          <w:p w:rsidR="005C3B9D" w:rsidRPr="00E50D16" w:rsidRDefault="005C3B9D" w:rsidP="008F5FE2">
            <w:pPr>
              <w:jc w:val="both"/>
              <w:rPr>
                <w:rFonts w:eastAsia="Times New Roman" w:cs="Times New Roman"/>
                <w:sz w:val="20"/>
                <w:szCs w:val="20"/>
                <w:lang w:val="en-US"/>
              </w:rPr>
            </w:pPr>
          </w:p>
        </w:tc>
      </w:tr>
      <w:tr w:rsidR="005C3B9D" w:rsidRPr="00E50D16" w:rsidTr="008F5FE2">
        <w:tc>
          <w:tcPr>
            <w:tcW w:w="2427"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May 12, 2015</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Court of Appeal for Ontario</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(Hoy A.C.J.O., Feldman and Rouleau JJ.A.)</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2015 ONCA 330; C53658</w:t>
            </w:r>
          </w:p>
          <w:p w:rsidR="005C3B9D" w:rsidRPr="00E50D16" w:rsidRDefault="00CD76E4" w:rsidP="008F5FE2">
            <w:pPr>
              <w:jc w:val="both"/>
              <w:rPr>
                <w:rFonts w:eastAsia="Times New Roman" w:cs="Times New Roman"/>
                <w:sz w:val="20"/>
                <w:szCs w:val="20"/>
                <w:lang w:val="en-US"/>
              </w:rPr>
            </w:pPr>
            <w:hyperlink r:id="rId61" w:history="1">
              <w:r w:rsidR="005C3B9D" w:rsidRPr="00E50D16">
                <w:rPr>
                  <w:rFonts w:eastAsiaTheme="majorEastAsia" w:cs="Times New Roman"/>
                  <w:color w:val="0000FF"/>
                  <w:sz w:val="20"/>
                  <w:szCs w:val="20"/>
                  <w:u w:val="single"/>
                  <w:lang w:val="en-US"/>
                </w:rPr>
                <w:t>http://canlii.ca/t/ghk5x</w:t>
              </w:r>
            </w:hyperlink>
          </w:p>
          <w:p w:rsidR="005C3B9D" w:rsidRPr="00E50D16" w:rsidRDefault="005C3B9D" w:rsidP="008F5FE2">
            <w:pPr>
              <w:jc w:val="both"/>
              <w:rPr>
                <w:rFonts w:eastAsia="Times New Roman" w:cs="Times New Roman"/>
                <w:sz w:val="20"/>
                <w:szCs w:val="20"/>
                <w:lang w:val="en-US"/>
              </w:rPr>
            </w:pPr>
          </w:p>
        </w:tc>
        <w:tc>
          <w:tcPr>
            <w:tcW w:w="243" w:type="pct"/>
          </w:tcPr>
          <w:p w:rsidR="005C3B9D" w:rsidRPr="00E50D16" w:rsidRDefault="005C3B9D" w:rsidP="008F5FE2">
            <w:pPr>
              <w:jc w:val="both"/>
              <w:rPr>
                <w:rFonts w:eastAsia="Times New Roman" w:cs="Times New Roman"/>
                <w:sz w:val="20"/>
                <w:szCs w:val="20"/>
                <w:lang w:val="en-US"/>
              </w:rPr>
            </w:pPr>
          </w:p>
        </w:tc>
        <w:tc>
          <w:tcPr>
            <w:tcW w:w="2330"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Appeal dismissed</w:t>
            </w:r>
          </w:p>
          <w:p w:rsidR="005C3B9D" w:rsidRPr="00E50D16" w:rsidRDefault="005C3B9D" w:rsidP="008F5FE2">
            <w:pPr>
              <w:jc w:val="both"/>
              <w:rPr>
                <w:rFonts w:eastAsia="Times New Roman" w:cs="Times New Roman"/>
                <w:sz w:val="20"/>
                <w:szCs w:val="20"/>
                <w:lang w:val="en-US"/>
              </w:rPr>
            </w:pPr>
          </w:p>
          <w:p w:rsidR="005C3B9D" w:rsidRPr="00E50D16" w:rsidRDefault="005C3B9D" w:rsidP="008F5FE2">
            <w:pPr>
              <w:jc w:val="both"/>
              <w:rPr>
                <w:rFonts w:eastAsia="Times New Roman" w:cs="Times New Roman"/>
                <w:sz w:val="20"/>
                <w:szCs w:val="20"/>
                <w:lang w:val="en-US"/>
              </w:rPr>
            </w:pPr>
          </w:p>
        </w:tc>
      </w:tr>
      <w:tr w:rsidR="005C3B9D" w:rsidRPr="00E50D16" w:rsidTr="008F5FE2">
        <w:tc>
          <w:tcPr>
            <w:tcW w:w="2427"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August 24, 2015</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Supreme Court of Canada</w:t>
            </w:r>
          </w:p>
          <w:p w:rsidR="005C3B9D" w:rsidRPr="00E50D16" w:rsidRDefault="005C3B9D" w:rsidP="008F5FE2">
            <w:pPr>
              <w:jc w:val="both"/>
              <w:rPr>
                <w:rFonts w:eastAsia="Times New Roman" w:cs="Times New Roman"/>
                <w:sz w:val="20"/>
                <w:szCs w:val="20"/>
                <w:lang w:val="en-US"/>
              </w:rPr>
            </w:pPr>
          </w:p>
        </w:tc>
        <w:tc>
          <w:tcPr>
            <w:tcW w:w="243" w:type="pct"/>
          </w:tcPr>
          <w:p w:rsidR="005C3B9D" w:rsidRPr="00E50D16" w:rsidRDefault="005C3B9D" w:rsidP="008F5FE2">
            <w:pPr>
              <w:jc w:val="both"/>
              <w:rPr>
                <w:rFonts w:eastAsia="Times New Roman" w:cs="Times New Roman"/>
                <w:sz w:val="20"/>
                <w:szCs w:val="20"/>
                <w:lang w:val="en-US"/>
              </w:rPr>
            </w:pPr>
          </w:p>
        </w:tc>
        <w:tc>
          <w:tcPr>
            <w:tcW w:w="2330" w:type="pct"/>
          </w:tcPr>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Motion for an extension of time to serve and file the application for leave to appeal and application for leave to appeal filed</w:t>
            </w:r>
          </w:p>
        </w:tc>
      </w:tr>
    </w:tbl>
    <w:p w:rsidR="005C3B9D" w:rsidRPr="005C3B9D" w:rsidRDefault="005C3B9D" w:rsidP="005C3B9D">
      <w:pPr>
        <w:rPr>
          <w:sz w:val="20"/>
          <w:szCs w:val="20"/>
          <w:lang w:val="en-US"/>
        </w:rPr>
      </w:pPr>
    </w:p>
    <w:p w:rsidR="005C3B9D" w:rsidRDefault="00CD76E4" w:rsidP="005C3B9D">
      <w:pPr>
        <w:rPr>
          <w:sz w:val="20"/>
          <w:szCs w:val="20"/>
        </w:rPr>
      </w:pPr>
      <w:r>
        <w:rPr>
          <w:sz w:val="20"/>
          <w:szCs w:val="20"/>
          <w:lang w:val="fr-CA"/>
        </w:rPr>
        <w:pict>
          <v:rect id="_x0000_i1056"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Pr="00D8460F"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Droit criminel – Jurés – Question du jury – Comment le juge du procès répond-il à une question du jury qui soulève un moyen de défense qui a été jugé invraisemblable eu égard aux faits? – L’exposé au jury doit-il clairement indiquer le besoin de s’interroger sur l’effet de la preuve de légitime défense, ou de la défense d’une personne, sur l’intention requise pour commettre un meurtre?</w:t>
            </w:r>
          </w:p>
        </w:tc>
      </w:tr>
      <w:tr w:rsidR="005C3B9D" w:rsidRPr="00B26F8D" w:rsidTr="008F5FE2">
        <w:tc>
          <w:tcPr>
            <w:tcW w:w="5000" w:type="pct"/>
            <w:gridSpan w:val="3"/>
          </w:tcPr>
          <w:p w:rsidR="005C3B9D" w:rsidRPr="00E50D16" w:rsidRDefault="005C3B9D" w:rsidP="008F5FE2">
            <w:pPr>
              <w:jc w:val="both"/>
              <w:rPr>
                <w:rFonts w:eastAsia="Times New Roman" w:cs="Times New Roman"/>
                <w:sz w:val="20"/>
                <w:szCs w:val="20"/>
                <w:lang w:val="fr-CA"/>
              </w:rPr>
            </w:pPr>
          </w:p>
        </w:tc>
      </w:tr>
      <w:tr w:rsidR="005C3B9D" w:rsidRPr="00E50D16" w:rsidTr="008F5FE2">
        <w:tc>
          <w:tcPr>
            <w:tcW w:w="5000" w:type="pct"/>
            <w:gridSpan w:val="3"/>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Le demandeur et M. Creighton se sont rendus à un appartement sous le prétexte d’y acheter deux livres de marijuana de M. Johnson. Pour sa défense, le demandeur soutient que M. Johnson aurait été accidentellement atteint par balle de sa propre arme à feu lors d’une bagarre. Le ministère public soutient que M. Johnson aurait été abattu pendant un vol qualifié ou un cambriolage de domicile perpétré par le demandeur et M. Creighton. Le demandeur a été déclaré coupable de meurtre au deuxième degré. Son appel de la déclaration de culpabilité a été rejeté</w:t>
            </w:r>
          </w:p>
          <w:p w:rsidR="005C3B9D" w:rsidRPr="00E50D16" w:rsidRDefault="005C3B9D" w:rsidP="008F5FE2">
            <w:pPr>
              <w:jc w:val="both"/>
              <w:rPr>
                <w:rFonts w:eastAsia="Times New Roman" w:cs="Times New Roman"/>
                <w:sz w:val="20"/>
                <w:szCs w:val="20"/>
                <w:lang w:val="fr-CA"/>
              </w:rPr>
            </w:pPr>
          </w:p>
        </w:tc>
      </w:tr>
      <w:tr w:rsidR="005C3B9D" w:rsidRPr="00B26F8D" w:rsidTr="008F5FE2">
        <w:tc>
          <w:tcPr>
            <w:tcW w:w="2427"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30 janvier 2009</w:t>
            </w:r>
          </w:p>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Cour supérieure de justice de l’Ontario</w:t>
            </w:r>
          </w:p>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(Juge Sproat)</w:t>
            </w:r>
          </w:p>
          <w:p w:rsidR="005C3B9D" w:rsidRPr="00E50D16" w:rsidRDefault="005C3B9D" w:rsidP="008F5FE2">
            <w:pPr>
              <w:jc w:val="both"/>
              <w:rPr>
                <w:rFonts w:eastAsia="Times New Roman" w:cs="Times New Roman"/>
                <w:sz w:val="20"/>
                <w:szCs w:val="20"/>
                <w:lang w:val="fr-CA"/>
              </w:rPr>
            </w:pPr>
          </w:p>
        </w:tc>
        <w:tc>
          <w:tcPr>
            <w:tcW w:w="243" w:type="pct"/>
          </w:tcPr>
          <w:p w:rsidR="005C3B9D" w:rsidRPr="00E50D16" w:rsidRDefault="005C3B9D" w:rsidP="008F5FE2">
            <w:pPr>
              <w:jc w:val="both"/>
              <w:rPr>
                <w:rFonts w:eastAsia="Times New Roman" w:cs="Times New Roman"/>
                <w:sz w:val="20"/>
                <w:szCs w:val="20"/>
                <w:lang w:val="fr-CA"/>
              </w:rPr>
            </w:pPr>
          </w:p>
        </w:tc>
        <w:tc>
          <w:tcPr>
            <w:tcW w:w="2330"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Déclaration de culpabilité de meurtre au deuxième degré</w:t>
            </w:r>
          </w:p>
          <w:p w:rsidR="005C3B9D" w:rsidRPr="00E50D16" w:rsidRDefault="005C3B9D" w:rsidP="008F5FE2">
            <w:pPr>
              <w:jc w:val="both"/>
              <w:rPr>
                <w:rFonts w:eastAsia="Times New Roman" w:cs="Times New Roman"/>
                <w:sz w:val="20"/>
                <w:szCs w:val="20"/>
                <w:lang w:val="fr-CA"/>
              </w:rPr>
            </w:pPr>
          </w:p>
          <w:p w:rsidR="005C3B9D" w:rsidRPr="00E50D16" w:rsidRDefault="005C3B9D" w:rsidP="008F5FE2">
            <w:pPr>
              <w:jc w:val="both"/>
              <w:rPr>
                <w:rFonts w:eastAsia="Times New Roman" w:cs="Times New Roman"/>
                <w:sz w:val="20"/>
                <w:szCs w:val="20"/>
                <w:lang w:val="fr-CA"/>
              </w:rPr>
            </w:pPr>
          </w:p>
        </w:tc>
      </w:tr>
      <w:tr w:rsidR="005C3B9D" w:rsidRPr="00E50D16" w:rsidTr="008F5FE2">
        <w:tc>
          <w:tcPr>
            <w:tcW w:w="2427"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12 mai 2015</w:t>
            </w:r>
          </w:p>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Cour d’appel de l’Ontario</w:t>
            </w:r>
          </w:p>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(Juge en chef Hoy, juges Feldman et Rouleau)</w:t>
            </w:r>
          </w:p>
          <w:p w:rsidR="005C3B9D" w:rsidRPr="00E50D16" w:rsidRDefault="005C3B9D" w:rsidP="008F5FE2">
            <w:pPr>
              <w:jc w:val="both"/>
              <w:rPr>
                <w:rFonts w:eastAsia="Times New Roman" w:cs="Times New Roman"/>
                <w:sz w:val="20"/>
                <w:szCs w:val="20"/>
                <w:lang w:val="en-US"/>
              </w:rPr>
            </w:pPr>
            <w:r w:rsidRPr="00E50D16">
              <w:rPr>
                <w:rFonts w:eastAsia="Times New Roman" w:cs="Times New Roman"/>
                <w:sz w:val="20"/>
                <w:szCs w:val="20"/>
                <w:lang w:val="en-US"/>
              </w:rPr>
              <w:t>2015 ONCA 330; C53658</w:t>
            </w:r>
          </w:p>
          <w:p w:rsidR="005C3B9D" w:rsidRPr="00E50D16" w:rsidRDefault="00CD76E4" w:rsidP="008F5FE2">
            <w:pPr>
              <w:jc w:val="both"/>
              <w:rPr>
                <w:rFonts w:eastAsia="Times New Roman" w:cs="Times New Roman"/>
                <w:sz w:val="20"/>
                <w:szCs w:val="20"/>
                <w:lang w:val="en-US"/>
              </w:rPr>
            </w:pPr>
            <w:hyperlink r:id="rId62" w:history="1">
              <w:r w:rsidR="005C3B9D" w:rsidRPr="00E50D16">
                <w:rPr>
                  <w:rFonts w:eastAsiaTheme="majorEastAsia" w:cs="Times New Roman"/>
                  <w:color w:val="0000FF"/>
                  <w:sz w:val="20"/>
                  <w:szCs w:val="20"/>
                  <w:u w:val="single"/>
                  <w:lang w:val="en-US"/>
                </w:rPr>
                <w:t>http://canlii.ca/t/ghk5x</w:t>
              </w:r>
            </w:hyperlink>
          </w:p>
          <w:p w:rsidR="005C3B9D" w:rsidRPr="00E50D16" w:rsidRDefault="005C3B9D" w:rsidP="008F5FE2">
            <w:pPr>
              <w:jc w:val="both"/>
              <w:rPr>
                <w:rFonts w:eastAsia="Times New Roman" w:cs="Times New Roman"/>
                <w:sz w:val="20"/>
                <w:szCs w:val="20"/>
                <w:lang w:val="en-US"/>
              </w:rPr>
            </w:pPr>
          </w:p>
        </w:tc>
        <w:tc>
          <w:tcPr>
            <w:tcW w:w="243" w:type="pct"/>
          </w:tcPr>
          <w:p w:rsidR="005C3B9D" w:rsidRPr="00E50D16" w:rsidRDefault="005C3B9D" w:rsidP="008F5FE2">
            <w:pPr>
              <w:jc w:val="both"/>
              <w:rPr>
                <w:rFonts w:eastAsia="Times New Roman" w:cs="Times New Roman"/>
                <w:sz w:val="20"/>
                <w:szCs w:val="20"/>
                <w:lang w:val="en-US"/>
              </w:rPr>
            </w:pPr>
          </w:p>
        </w:tc>
        <w:tc>
          <w:tcPr>
            <w:tcW w:w="2330"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Rejet de l’appel</w:t>
            </w:r>
          </w:p>
          <w:p w:rsidR="005C3B9D" w:rsidRPr="00E50D16" w:rsidRDefault="005C3B9D" w:rsidP="008F5FE2">
            <w:pPr>
              <w:jc w:val="both"/>
              <w:rPr>
                <w:rFonts w:eastAsia="Times New Roman" w:cs="Times New Roman"/>
                <w:sz w:val="20"/>
                <w:szCs w:val="20"/>
                <w:lang w:val="fr-CA"/>
              </w:rPr>
            </w:pPr>
          </w:p>
          <w:p w:rsidR="005C3B9D" w:rsidRPr="00E50D16" w:rsidRDefault="005C3B9D" w:rsidP="008F5FE2">
            <w:pPr>
              <w:jc w:val="both"/>
              <w:rPr>
                <w:rFonts w:eastAsia="Times New Roman" w:cs="Times New Roman"/>
                <w:sz w:val="20"/>
                <w:szCs w:val="20"/>
                <w:lang w:val="fr-CA"/>
              </w:rPr>
            </w:pPr>
          </w:p>
        </w:tc>
      </w:tr>
      <w:tr w:rsidR="005C3B9D" w:rsidRPr="00B26F8D" w:rsidTr="008F5FE2">
        <w:tc>
          <w:tcPr>
            <w:tcW w:w="2427"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24 août 2015</w:t>
            </w:r>
          </w:p>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Cour suprême du Canada</w:t>
            </w:r>
          </w:p>
          <w:p w:rsidR="005C3B9D" w:rsidRPr="00E50D16" w:rsidRDefault="005C3B9D" w:rsidP="008F5FE2">
            <w:pPr>
              <w:jc w:val="both"/>
              <w:rPr>
                <w:rFonts w:eastAsia="Times New Roman" w:cs="Times New Roman"/>
                <w:sz w:val="20"/>
                <w:szCs w:val="20"/>
                <w:lang w:val="fr-CA"/>
              </w:rPr>
            </w:pPr>
          </w:p>
        </w:tc>
        <w:tc>
          <w:tcPr>
            <w:tcW w:w="243" w:type="pct"/>
          </w:tcPr>
          <w:p w:rsidR="005C3B9D" w:rsidRPr="00E50D16" w:rsidRDefault="005C3B9D" w:rsidP="008F5FE2">
            <w:pPr>
              <w:jc w:val="both"/>
              <w:rPr>
                <w:rFonts w:eastAsia="Times New Roman" w:cs="Times New Roman"/>
                <w:sz w:val="20"/>
                <w:szCs w:val="20"/>
                <w:lang w:val="fr-CA"/>
              </w:rPr>
            </w:pPr>
          </w:p>
        </w:tc>
        <w:tc>
          <w:tcPr>
            <w:tcW w:w="2330" w:type="pct"/>
          </w:tcPr>
          <w:p w:rsidR="005C3B9D" w:rsidRPr="00E50D16" w:rsidRDefault="005C3B9D" w:rsidP="008F5FE2">
            <w:pPr>
              <w:jc w:val="both"/>
              <w:rPr>
                <w:rFonts w:eastAsia="Times New Roman" w:cs="Times New Roman"/>
                <w:sz w:val="20"/>
                <w:szCs w:val="20"/>
                <w:lang w:val="fr-CA"/>
              </w:rPr>
            </w:pPr>
            <w:r w:rsidRPr="00E50D16">
              <w:rPr>
                <w:rFonts w:eastAsia="Times New Roman" w:cs="Times New Roman"/>
                <w:sz w:val="20"/>
                <w:szCs w:val="20"/>
                <w:lang w:val="fr-CA"/>
              </w:rPr>
              <w:t>Dépôt de la requête en prorogation du délai de signification et de dépôt de la demande d’autorisation d’appel et de la demande d’autorisation d’appel</w:t>
            </w:r>
          </w:p>
        </w:tc>
      </w:tr>
    </w:tbl>
    <w:p w:rsidR="005C3B9D" w:rsidRPr="005C3B9D" w:rsidRDefault="005C3B9D" w:rsidP="005C3B9D">
      <w:pPr>
        <w:rPr>
          <w:sz w:val="20"/>
          <w:szCs w:val="20"/>
          <w:lang w:val="fr-CA"/>
        </w:rPr>
      </w:pPr>
    </w:p>
    <w:p w:rsidR="005C3B9D" w:rsidRDefault="00CD76E4" w:rsidP="005C3B9D">
      <w:pPr>
        <w:rPr>
          <w:sz w:val="20"/>
          <w:szCs w:val="20"/>
        </w:rPr>
      </w:pPr>
      <w:r>
        <w:rPr>
          <w:sz w:val="20"/>
          <w:szCs w:val="20"/>
          <w:lang w:val="fr-CA"/>
        </w:rPr>
        <w:pict>
          <v:rect id="_x0000_i1057" style="width:2in;height:1pt" o:hrpct="0" o:hralign="center" o:hrstd="t" o:hrnoshade="t" o:hr="t" fillcolor="black [3213]" stroked="f"/>
        </w:pict>
      </w:r>
    </w:p>
    <w:p w:rsidR="005C3B9D" w:rsidRDefault="005C3B9D" w:rsidP="005C3B9D">
      <w:pPr>
        <w:rPr>
          <w:sz w:val="20"/>
          <w:szCs w:val="20"/>
        </w:rPr>
      </w:pPr>
      <w:r>
        <w:rPr>
          <w:sz w:val="20"/>
          <w:szCs w:val="20"/>
        </w:rPr>
        <w:br w:type="page"/>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571</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Attorney General of Canada v. James Frost</w:t>
            </w:r>
            <w:r w:rsidRPr="0041388B">
              <w:rPr>
                <w:sz w:val="20"/>
                <w:szCs w:val="24"/>
              </w:rPr>
              <w:t xml:space="preserve"> (Ont.) (Criminal)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motion for an extension of time to serve and file the response to the application for leave to appeal is granted.  The application for leave to appeal from the judgment of the Court of Appeal for Ontario, Number C59684, 2015 ONCA 386, dated May 29, 2015, is dismissed.</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requête en prorogation du délai de signification et de dépôt de la réponse à la demande d’autorisation d’appel est accueillie. La demande d’autorisation d’appel de l’arrêt de la Cour d’appel de l’Ontario, numéro C59684, 2015 ONCA 386, daté du 29 mai 2015, est rejetée.</w:t>
            </w:r>
          </w:p>
        </w:tc>
      </w:tr>
    </w:tbl>
    <w:p w:rsidR="005C3B9D" w:rsidRPr="0016547E" w:rsidRDefault="005C3B9D" w:rsidP="005C3B9D">
      <w:pPr>
        <w:rPr>
          <w:sz w:val="20"/>
          <w:szCs w:val="20"/>
          <w:lang w:val="fr-CA"/>
        </w:rPr>
      </w:pPr>
    </w:p>
    <w:p w:rsidR="005C3B9D" w:rsidRPr="00EB28AB" w:rsidRDefault="005C3B9D" w:rsidP="005C3B9D">
      <w:pPr>
        <w:rPr>
          <w:sz w:val="20"/>
          <w:szCs w:val="20"/>
          <w:u w:val="single"/>
        </w:rPr>
      </w:pPr>
      <w:r w:rsidRPr="00EB28AB">
        <w:rPr>
          <w:sz w:val="20"/>
          <w:szCs w:val="20"/>
          <w:u w:val="single"/>
        </w:rPr>
        <w:t>CASE SUMMARY</w:t>
      </w:r>
    </w:p>
    <w:p w:rsidR="005C3B9D" w:rsidRPr="007143FE"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7143FE" w:rsidTr="008F5FE2">
        <w:tc>
          <w:tcPr>
            <w:tcW w:w="5000" w:type="pct"/>
            <w:gridSpan w:val="3"/>
          </w:tcPr>
          <w:p w:rsidR="005C3B9D" w:rsidRDefault="005C3B9D" w:rsidP="008F5FE2">
            <w:pPr>
              <w:jc w:val="both"/>
              <w:rPr>
                <w:sz w:val="20"/>
                <w:szCs w:val="20"/>
              </w:rPr>
            </w:pPr>
            <w:r w:rsidRPr="007143FE">
              <w:rPr>
                <w:i/>
                <w:sz w:val="20"/>
                <w:szCs w:val="20"/>
              </w:rPr>
              <w:t>Charter of Rights and Freedoms</w:t>
            </w:r>
            <w:r w:rsidRPr="007143FE">
              <w:rPr>
                <w:sz w:val="20"/>
                <w:szCs w:val="20"/>
              </w:rPr>
              <w:t xml:space="preserve"> – Criminal Law – Benefit of lesser punishment – Parole –</w:t>
            </w:r>
            <w:r w:rsidRPr="007143FE">
              <w:rPr>
                <w:i/>
                <w:sz w:val="20"/>
                <w:szCs w:val="20"/>
              </w:rPr>
              <w:t>Abolition of Early Parole Act</w:t>
            </w:r>
            <w:r w:rsidRPr="007143FE">
              <w:rPr>
                <w:sz w:val="20"/>
                <w:szCs w:val="20"/>
              </w:rPr>
              <w:t>, S.C. 2011, c. 11 – Whether s. 11(i) of the Charter guarantees an offender the benefit of the more favourable parole regime where the parole regime varies between the time of the commission of an offence and the time of sentencing?</w:t>
            </w:r>
          </w:p>
          <w:p w:rsidR="005C3B9D" w:rsidRPr="007143FE" w:rsidRDefault="005C3B9D" w:rsidP="008F5FE2">
            <w:pPr>
              <w:jc w:val="both"/>
              <w:rPr>
                <w:sz w:val="20"/>
                <w:szCs w:val="20"/>
              </w:rPr>
            </w:pPr>
          </w:p>
        </w:tc>
      </w:tr>
      <w:tr w:rsidR="005C3B9D" w:rsidRPr="007143FE" w:rsidTr="008F5FE2">
        <w:tc>
          <w:tcPr>
            <w:tcW w:w="5000" w:type="pct"/>
            <w:gridSpan w:val="3"/>
          </w:tcPr>
          <w:p w:rsidR="005C3B9D" w:rsidRPr="007143FE" w:rsidRDefault="005C3B9D" w:rsidP="008F5FE2">
            <w:pPr>
              <w:jc w:val="both"/>
              <w:rPr>
                <w:sz w:val="20"/>
                <w:szCs w:val="20"/>
              </w:rPr>
            </w:pPr>
            <w:r w:rsidRPr="007143FE">
              <w:rPr>
                <w:sz w:val="20"/>
                <w:szCs w:val="20"/>
              </w:rPr>
              <w:t xml:space="preserve">The Respondent was a first-time, non-violent federal offenders who was sentenced after the repeal of accelerated parole review (“APR”) for conspiracy to import cocaine, an offence that was committed before APR was repealed. He applied for </w:t>
            </w:r>
            <w:r w:rsidRPr="007143FE">
              <w:rPr>
                <w:i/>
                <w:sz w:val="20"/>
                <w:szCs w:val="20"/>
              </w:rPr>
              <w:t>habeas corpus</w:t>
            </w:r>
            <w:r w:rsidRPr="007143FE">
              <w:rPr>
                <w:sz w:val="20"/>
                <w:szCs w:val="20"/>
              </w:rPr>
              <w:t xml:space="preserve"> seeking a declaration that he was entitled to the benefits of the APR regime. MacKinnon J. denied the motion on the basis that the respondent had no legitimate or settled expectation of liberty with respect to his sentence, and could not benefit from the APR regime since it had been repealed when he was sentenced. The Court of Appeal allowed his appeal on the basis of its decision in </w:t>
            </w:r>
            <w:r w:rsidRPr="007143FE">
              <w:rPr>
                <w:i/>
                <w:sz w:val="20"/>
                <w:szCs w:val="20"/>
              </w:rPr>
              <w:t>Canada (Attorney General) v. Lewis</w:t>
            </w:r>
            <w:r w:rsidRPr="007143FE">
              <w:rPr>
                <w:sz w:val="20"/>
                <w:szCs w:val="20"/>
              </w:rPr>
              <w:t xml:space="preserve"> 2015 ONCA 379.</w:t>
            </w:r>
          </w:p>
          <w:p w:rsidR="005C3B9D" w:rsidRPr="007143FE" w:rsidRDefault="005C3B9D" w:rsidP="008F5FE2">
            <w:pPr>
              <w:jc w:val="both"/>
              <w:rPr>
                <w:sz w:val="20"/>
                <w:szCs w:val="20"/>
              </w:rPr>
            </w:pPr>
          </w:p>
        </w:tc>
      </w:tr>
      <w:tr w:rsidR="005C3B9D" w:rsidRPr="007143FE" w:rsidTr="008F5FE2">
        <w:tc>
          <w:tcPr>
            <w:tcW w:w="2427" w:type="pct"/>
          </w:tcPr>
          <w:p w:rsidR="005C3B9D" w:rsidRPr="007143FE" w:rsidRDefault="005C3B9D" w:rsidP="008F5FE2">
            <w:pPr>
              <w:jc w:val="both"/>
              <w:rPr>
                <w:sz w:val="20"/>
                <w:szCs w:val="20"/>
              </w:rPr>
            </w:pPr>
            <w:r w:rsidRPr="007143FE">
              <w:rPr>
                <w:sz w:val="20"/>
                <w:szCs w:val="20"/>
              </w:rPr>
              <w:t>September 29, 2014</w:t>
            </w:r>
          </w:p>
          <w:p w:rsidR="005C3B9D" w:rsidRPr="007143FE" w:rsidRDefault="005C3B9D" w:rsidP="008F5FE2">
            <w:pPr>
              <w:jc w:val="both"/>
              <w:rPr>
                <w:sz w:val="20"/>
                <w:szCs w:val="20"/>
              </w:rPr>
            </w:pPr>
            <w:r w:rsidRPr="007143FE">
              <w:rPr>
                <w:sz w:val="20"/>
                <w:szCs w:val="20"/>
              </w:rPr>
              <w:t>Ontario Superior Court of Justice</w:t>
            </w:r>
          </w:p>
          <w:p w:rsidR="005C3B9D" w:rsidRPr="007143FE" w:rsidRDefault="005C3B9D" w:rsidP="008F5FE2">
            <w:pPr>
              <w:jc w:val="both"/>
              <w:rPr>
                <w:sz w:val="20"/>
                <w:szCs w:val="20"/>
              </w:rPr>
            </w:pPr>
            <w:r w:rsidRPr="007143FE">
              <w:rPr>
                <w:sz w:val="20"/>
                <w:szCs w:val="20"/>
              </w:rPr>
              <w:t>(MacKinnon J.)</w:t>
            </w:r>
          </w:p>
          <w:p w:rsidR="005C3B9D" w:rsidRPr="007143FE" w:rsidRDefault="005C3B9D" w:rsidP="008F5FE2">
            <w:pPr>
              <w:jc w:val="both"/>
              <w:rPr>
                <w:color w:val="0000FF" w:themeColor="hyperlink"/>
                <w:sz w:val="20"/>
                <w:szCs w:val="20"/>
                <w:u w:val="single"/>
              </w:rPr>
            </w:pPr>
            <w:r w:rsidRPr="007143FE">
              <w:rPr>
                <w:sz w:val="20"/>
                <w:szCs w:val="20"/>
              </w:rPr>
              <w:t xml:space="preserve">Neutral citation: </w:t>
            </w:r>
            <w:hyperlink r:id="rId63" w:history="1">
              <w:r w:rsidRPr="007143FE">
                <w:rPr>
                  <w:color w:val="0000FF" w:themeColor="hyperlink"/>
                  <w:sz w:val="20"/>
                  <w:szCs w:val="20"/>
                  <w:u w:val="single"/>
                </w:rPr>
                <w:t>2014 ONSC 5666</w:t>
              </w:r>
            </w:hyperlink>
          </w:p>
          <w:p w:rsidR="005C3B9D" w:rsidRPr="007143FE" w:rsidRDefault="005C3B9D" w:rsidP="008F5FE2">
            <w:pPr>
              <w:jc w:val="both"/>
              <w:rPr>
                <w:sz w:val="20"/>
                <w:szCs w:val="20"/>
              </w:rPr>
            </w:pPr>
          </w:p>
        </w:tc>
        <w:tc>
          <w:tcPr>
            <w:tcW w:w="243" w:type="pct"/>
          </w:tcPr>
          <w:p w:rsidR="005C3B9D" w:rsidRPr="007143FE" w:rsidRDefault="005C3B9D" w:rsidP="008F5FE2">
            <w:pPr>
              <w:jc w:val="both"/>
              <w:rPr>
                <w:sz w:val="20"/>
                <w:szCs w:val="20"/>
              </w:rPr>
            </w:pPr>
          </w:p>
        </w:tc>
        <w:tc>
          <w:tcPr>
            <w:tcW w:w="2330" w:type="pct"/>
          </w:tcPr>
          <w:p w:rsidR="005C3B9D" w:rsidRPr="007143FE" w:rsidRDefault="005C3B9D" w:rsidP="008F5FE2">
            <w:pPr>
              <w:jc w:val="both"/>
              <w:rPr>
                <w:sz w:val="20"/>
                <w:szCs w:val="20"/>
              </w:rPr>
            </w:pPr>
            <w:r w:rsidRPr="007143FE">
              <w:rPr>
                <w:sz w:val="20"/>
                <w:szCs w:val="20"/>
              </w:rPr>
              <w:t xml:space="preserve">Application for a writ of </w:t>
            </w:r>
            <w:r w:rsidRPr="007143FE">
              <w:rPr>
                <w:i/>
                <w:sz w:val="20"/>
                <w:szCs w:val="20"/>
              </w:rPr>
              <w:t>habeas corpus</w:t>
            </w:r>
            <w:r w:rsidRPr="007143FE">
              <w:rPr>
                <w:sz w:val="20"/>
                <w:szCs w:val="20"/>
              </w:rPr>
              <w:t xml:space="preserve"> with </w:t>
            </w:r>
            <w:r w:rsidRPr="007143FE">
              <w:rPr>
                <w:i/>
                <w:sz w:val="20"/>
                <w:szCs w:val="20"/>
              </w:rPr>
              <w:t xml:space="preserve">certiorari </w:t>
            </w:r>
            <w:r w:rsidRPr="007143FE">
              <w:rPr>
                <w:sz w:val="20"/>
                <w:szCs w:val="20"/>
              </w:rPr>
              <w:t>in aid dismissed</w:t>
            </w:r>
          </w:p>
          <w:p w:rsidR="005C3B9D" w:rsidRPr="007143FE" w:rsidRDefault="005C3B9D" w:rsidP="008F5FE2">
            <w:pPr>
              <w:jc w:val="both"/>
              <w:rPr>
                <w:sz w:val="20"/>
                <w:szCs w:val="20"/>
              </w:rPr>
            </w:pPr>
          </w:p>
        </w:tc>
      </w:tr>
      <w:tr w:rsidR="005C3B9D" w:rsidRPr="007143FE" w:rsidTr="008F5FE2">
        <w:tc>
          <w:tcPr>
            <w:tcW w:w="2427" w:type="pct"/>
          </w:tcPr>
          <w:p w:rsidR="005C3B9D" w:rsidRPr="007143FE" w:rsidRDefault="005C3B9D" w:rsidP="008F5FE2">
            <w:pPr>
              <w:jc w:val="both"/>
              <w:rPr>
                <w:sz w:val="20"/>
                <w:szCs w:val="20"/>
              </w:rPr>
            </w:pPr>
            <w:r w:rsidRPr="007143FE">
              <w:rPr>
                <w:sz w:val="20"/>
                <w:szCs w:val="20"/>
              </w:rPr>
              <w:t>May 29, 2015</w:t>
            </w:r>
          </w:p>
          <w:p w:rsidR="005C3B9D" w:rsidRPr="007143FE" w:rsidRDefault="005C3B9D" w:rsidP="008F5FE2">
            <w:pPr>
              <w:jc w:val="both"/>
              <w:rPr>
                <w:sz w:val="20"/>
                <w:szCs w:val="20"/>
              </w:rPr>
            </w:pPr>
            <w:r w:rsidRPr="007143FE">
              <w:rPr>
                <w:sz w:val="20"/>
                <w:szCs w:val="20"/>
              </w:rPr>
              <w:t>Court of Appeal for Ontario</w:t>
            </w:r>
          </w:p>
          <w:p w:rsidR="005C3B9D" w:rsidRPr="007143FE" w:rsidRDefault="005C3B9D" w:rsidP="008F5FE2">
            <w:pPr>
              <w:jc w:val="both"/>
              <w:rPr>
                <w:sz w:val="20"/>
                <w:szCs w:val="20"/>
              </w:rPr>
            </w:pPr>
            <w:r w:rsidRPr="007143FE">
              <w:rPr>
                <w:sz w:val="20"/>
                <w:szCs w:val="20"/>
              </w:rPr>
              <w:t>(Simmons, Juriansz, and van Rensburg JJ.A.)</w:t>
            </w:r>
          </w:p>
          <w:p w:rsidR="005C3B9D" w:rsidRPr="007143FE" w:rsidRDefault="005C3B9D" w:rsidP="008F5FE2">
            <w:pPr>
              <w:jc w:val="both"/>
              <w:rPr>
                <w:sz w:val="20"/>
                <w:szCs w:val="20"/>
              </w:rPr>
            </w:pPr>
            <w:r w:rsidRPr="007143FE">
              <w:rPr>
                <w:sz w:val="20"/>
                <w:szCs w:val="20"/>
              </w:rPr>
              <w:t xml:space="preserve">Neutral citation: </w:t>
            </w:r>
            <w:hyperlink r:id="rId64" w:history="1">
              <w:r w:rsidRPr="007143FE">
                <w:rPr>
                  <w:color w:val="0000FF" w:themeColor="hyperlink"/>
                  <w:sz w:val="20"/>
                  <w:szCs w:val="20"/>
                  <w:u w:val="single"/>
                </w:rPr>
                <w:t>2015 ONCA 386</w:t>
              </w:r>
            </w:hyperlink>
          </w:p>
          <w:p w:rsidR="005C3B9D" w:rsidRPr="007143FE" w:rsidRDefault="005C3B9D" w:rsidP="008F5FE2">
            <w:pPr>
              <w:jc w:val="both"/>
              <w:rPr>
                <w:sz w:val="20"/>
                <w:szCs w:val="20"/>
              </w:rPr>
            </w:pPr>
          </w:p>
        </w:tc>
        <w:tc>
          <w:tcPr>
            <w:tcW w:w="243" w:type="pct"/>
          </w:tcPr>
          <w:p w:rsidR="005C3B9D" w:rsidRPr="007143FE" w:rsidRDefault="005C3B9D" w:rsidP="008F5FE2">
            <w:pPr>
              <w:jc w:val="both"/>
              <w:rPr>
                <w:sz w:val="20"/>
                <w:szCs w:val="20"/>
              </w:rPr>
            </w:pPr>
          </w:p>
        </w:tc>
        <w:tc>
          <w:tcPr>
            <w:tcW w:w="2330" w:type="pct"/>
          </w:tcPr>
          <w:p w:rsidR="005C3B9D" w:rsidRPr="007143FE" w:rsidRDefault="005C3B9D" w:rsidP="008F5FE2">
            <w:pPr>
              <w:jc w:val="both"/>
              <w:rPr>
                <w:sz w:val="20"/>
                <w:szCs w:val="20"/>
              </w:rPr>
            </w:pPr>
            <w:r w:rsidRPr="007143FE">
              <w:rPr>
                <w:sz w:val="20"/>
                <w:szCs w:val="20"/>
              </w:rPr>
              <w:t>Appeal allowed</w:t>
            </w:r>
          </w:p>
          <w:p w:rsidR="005C3B9D" w:rsidRPr="007143FE" w:rsidRDefault="005C3B9D" w:rsidP="008F5FE2">
            <w:pPr>
              <w:jc w:val="both"/>
              <w:rPr>
                <w:sz w:val="20"/>
                <w:szCs w:val="20"/>
              </w:rPr>
            </w:pPr>
          </w:p>
        </w:tc>
      </w:tr>
      <w:tr w:rsidR="005C3B9D" w:rsidRPr="007143FE" w:rsidTr="008F5FE2">
        <w:tc>
          <w:tcPr>
            <w:tcW w:w="2427" w:type="pct"/>
          </w:tcPr>
          <w:p w:rsidR="005C3B9D" w:rsidRPr="007143FE" w:rsidRDefault="005C3B9D" w:rsidP="008F5FE2">
            <w:pPr>
              <w:jc w:val="both"/>
              <w:rPr>
                <w:sz w:val="20"/>
                <w:szCs w:val="20"/>
              </w:rPr>
            </w:pPr>
            <w:r w:rsidRPr="007143FE">
              <w:rPr>
                <w:sz w:val="20"/>
                <w:szCs w:val="20"/>
              </w:rPr>
              <w:t>August 24, 2015</w:t>
            </w:r>
          </w:p>
          <w:p w:rsidR="005C3B9D" w:rsidRPr="007143FE" w:rsidRDefault="005C3B9D" w:rsidP="008F5FE2">
            <w:pPr>
              <w:jc w:val="both"/>
              <w:rPr>
                <w:sz w:val="20"/>
                <w:szCs w:val="20"/>
              </w:rPr>
            </w:pPr>
            <w:r w:rsidRPr="007143FE">
              <w:rPr>
                <w:sz w:val="20"/>
                <w:szCs w:val="20"/>
              </w:rPr>
              <w:t>Supreme Court of Canada</w:t>
            </w:r>
          </w:p>
        </w:tc>
        <w:tc>
          <w:tcPr>
            <w:tcW w:w="243" w:type="pct"/>
          </w:tcPr>
          <w:p w:rsidR="005C3B9D" w:rsidRPr="007143FE" w:rsidRDefault="005C3B9D" w:rsidP="008F5FE2">
            <w:pPr>
              <w:jc w:val="both"/>
              <w:rPr>
                <w:sz w:val="20"/>
                <w:szCs w:val="20"/>
              </w:rPr>
            </w:pPr>
          </w:p>
        </w:tc>
        <w:tc>
          <w:tcPr>
            <w:tcW w:w="2330" w:type="pct"/>
          </w:tcPr>
          <w:p w:rsidR="005C3B9D" w:rsidRPr="007143FE" w:rsidRDefault="005C3B9D" w:rsidP="008F5FE2">
            <w:pPr>
              <w:jc w:val="both"/>
              <w:rPr>
                <w:sz w:val="20"/>
                <w:szCs w:val="20"/>
              </w:rPr>
            </w:pPr>
            <w:r w:rsidRPr="007143FE">
              <w:rPr>
                <w:sz w:val="20"/>
                <w:szCs w:val="20"/>
              </w:rPr>
              <w:t>Application for leave to appeal filed</w:t>
            </w:r>
          </w:p>
          <w:p w:rsidR="005C3B9D" w:rsidRPr="007143FE" w:rsidRDefault="005C3B9D" w:rsidP="008F5FE2">
            <w:pPr>
              <w:jc w:val="both"/>
              <w:rPr>
                <w:sz w:val="20"/>
                <w:szCs w:val="20"/>
              </w:rPr>
            </w:pP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58" style="width:2in;height:1pt" o:hrpct="0" o:hralign="center" o:hrstd="t" o:hrnoshade="t" o:hr="t" fillcolor="black [3213]" stroked="f"/>
        </w:pict>
      </w:r>
    </w:p>
    <w:p w:rsidR="005C3B9D" w:rsidRDefault="005C3B9D" w:rsidP="005C3B9D">
      <w:pPr>
        <w:rPr>
          <w:sz w:val="20"/>
          <w:szCs w:val="20"/>
        </w:rPr>
      </w:pPr>
    </w:p>
    <w:p w:rsidR="005C3B9D" w:rsidRPr="0017762D" w:rsidRDefault="005C3B9D" w:rsidP="005C3B9D">
      <w:pPr>
        <w:rPr>
          <w:sz w:val="20"/>
          <w:szCs w:val="20"/>
          <w:u w:val="single"/>
          <w:lang w:val="fr-CA"/>
        </w:rPr>
      </w:pPr>
      <w:r w:rsidRPr="0017762D">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47208D">
              <w:rPr>
                <w:i/>
                <w:sz w:val="20"/>
                <w:szCs w:val="20"/>
                <w:lang w:val="fr-CA"/>
              </w:rPr>
              <w:t>Charte des droits et libertés</w:t>
            </w:r>
            <w:r w:rsidRPr="0047208D">
              <w:rPr>
                <w:sz w:val="20"/>
                <w:szCs w:val="20"/>
                <w:lang w:val="fr-CA"/>
              </w:rPr>
              <w:t xml:space="preserve"> – Droit criminel – Droit de bénéficier de la peine la moins sévère – Libération conditionnelle – </w:t>
            </w:r>
            <w:r w:rsidRPr="0047208D">
              <w:rPr>
                <w:i/>
                <w:sz w:val="20"/>
                <w:szCs w:val="20"/>
                <w:lang w:val="fr-CA"/>
              </w:rPr>
              <w:t>Loi sur la libération anticipée des criminels</w:t>
            </w:r>
            <w:r w:rsidRPr="0047208D">
              <w:rPr>
                <w:sz w:val="20"/>
                <w:szCs w:val="20"/>
                <w:lang w:val="fr-CA"/>
              </w:rPr>
              <w:t>, L.C. 2011, ch. 11 – L’alinéa 11</w:t>
            </w:r>
            <w:r w:rsidRPr="0047208D">
              <w:rPr>
                <w:i/>
                <w:sz w:val="20"/>
                <w:szCs w:val="20"/>
                <w:lang w:val="fr-CA"/>
              </w:rPr>
              <w:t>i</w:t>
            </w:r>
            <w:r w:rsidRPr="0047208D">
              <w:rPr>
                <w:sz w:val="20"/>
                <w:szCs w:val="20"/>
                <w:lang w:val="fr-CA"/>
              </w:rPr>
              <w:t>) de la</w:t>
            </w:r>
            <w:r w:rsidRPr="0047208D">
              <w:rPr>
                <w:i/>
                <w:sz w:val="20"/>
                <w:szCs w:val="20"/>
                <w:lang w:val="fr-CA"/>
              </w:rPr>
              <w:t xml:space="preserve"> Charte</w:t>
            </w:r>
            <w:r w:rsidRPr="0047208D">
              <w:rPr>
                <w:sz w:val="20"/>
                <w:szCs w:val="20"/>
                <w:lang w:val="fr-CA"/>
              </w:rPr>
              <w:t xml:space="preserve"> garantit-il au délinquant le droit de bénéficier du régime de libération conditionnelle le plus favorable lorsque le régime est modifié entre le moment de la perpétration de l’infraction et celui de la sentence?</w:t>
            </w:r>
          </w:p>
          <w:p w:rsidR="005C3B9D" w:rsidRPr="0047208D" w:rsidRDefault="005C3B9D" w:rsidP="008F5FE2">
            <w:pPr>
              <w:jc w:val="both"/>
              <w:rPr>
                <w:sz w:val="20"/>
                <w:szCs w:val="20"/>
                <w:lang w:val="fr-CA"/>
              </w:rPr>
            </w:pPr>
          </w:p>
        </w:tc>
      </w:tr>
      <w:tr w:rsidR="005C3B9D" w:rsidRPr="00B26F8D" w:rsidTr="008F5FE2">
        <w:tc>
          <w:tcPr>
            <w:tcW w:w="5000" w:type="pct"/>
            <w:gridSpan w:val="3"/>
          </w:tcPr>
          <w:p w:rsidR="005C3B9D" w:rsidRPr="0047208D" w:rsidRDefault="005C3B9D" w:rsidP="008F5FE2">
            <w:pPr>
              <w:jc w:val="both"/>
              <w:rPr>
                <w:sz w:val="20"/>
                <w:szCs w:val="20"/>
                <w:lang w:val="fr-CA"/>
              </w:rPr>
            </w:pPr>
            <w:r w:rsidRPr="0047208D">
              <w:rPr>
                <w:sz w:val="20"/>
                <w:szCs w:val="20"/>
                <w:lang w:val="fr-CA"/>
              </w:rPr>
              <w:t xml:space="preserve">L’intimé, un délinquant qui en était à sa première infraction fédérale, a été condamné à une peine, après l’abrogation de la procédure d’examen expéditif (« PEÉ »), pour complot en vue d’importer de la cocaïne, une infraction perpétrée avant </w:t>
            </w:r>
            <w:r w:rsidRPr="0047208D">
              <w:rPr>
                <w:sz w:val="20"/>
                <w:szCs w:val="20"/>
                <w:lang w:val="fr-CA"/>
              </w:rPr>
              <w:lastRenderedPageBreak/>
              <w:t>l’abrogation de la PEÉ. Il a demandé l’</w:t>
            </w:r>
            <w:r w:rsidRPr="0047208D">
              <w:rPr>
                <w:i/>
                <w:sz w:val="20"/>
                <w:szCs w:val="20"/>
                <w:lang w:val="fr-CA"/>
              </w:rPr>
              <w:t>habeas corpus</w:t>
            </w:r>
            <w:r w:rsidRPr="0047208D">
              <w:rPr>
                <w:sz w:val="20"/>
                <w:szCs w:val="20"/>
                <w:lang w:val="fr-CA"/>
              </w:rPr>
              <w:t xml:space="preserve">, sollicitant un jugement déclarant qu’il avait le droit de bénéficier du régime de la PEÉ. Le juge MacKinnon a rejeté la motion au motif que l’intimé n’avait aucune attente légitime en matière de liberté quant à sa peine et qu’il ne pouvait pas bénéficier du régime de la PEÉ, puisqu’elle avait été abrogée au moment de sa sentence. La Cour d’appel a accueilli son appel, s’appuyant sur son arrêt dans l’affaire </w:t>
            </w:r>
            <w:r w:rsidRPr="0047208D">
              <w:rPr>
                <w:i/>
                <w:sz w:val="20"/>
                <w:szCs w:val="20"/>
                <w:lang w:val="fr-CA"/>
              </w:rPr>
              <w:t>Canada (Attorney General) c. Lewis</w:t>
            </w:r>
            <w:r w:rsidRPr="0047208D">
              <w:rPr>
                <w:sz w:val="20"/>
                <w:szCs w:val="20"/>
                <w:lang w:val="fr-CA"/>
              </w:rPr>
              <w:t xml:space="preserve"> 2015 ONCA 379.</w:t>
            </w:r>
          </w:p>
          <w:p w:rsidR="005C3B9D" w:rsidRPr="0047208D" w:rsidRDefault="005C3B9D" w:rsidP="008F5FE2">
            <w:pPr>
              <w:jc w:val="both"/>
              <w:rPr>
                <w:sz w:val="20"/>
                <w:szCs w:val="20"/>
                <w:lang w:val="fr-CA"/>
              </w:rPr>
            </w:pPr>
          </w:p>
        </w:tc>
      </w:tr>
      <w:tr w:rsidR="005C3B9D" w:rsidRPr="00B26F8D" w:rsidTr="008F5FE2">
        <w:tc>
          <w:tcPr>
            <w:tcW w:w="2427" w:type="pct"/>
          </w:tcPr>
          <w:p w:rsidR="005C3B9D" w:rsidRPr="0047208D" w:rsidRDefault="005C3B9D" w:rsidP="008F5FE2">
            <w:pPr>
              <w:jc w:val="both"/>
              <w:rPr>
                <w:sz w:val="20"/>
                <w:szCs w:val="20"/>
                <w:lang w:val="fr-CA"/>
              </w:rPr>
            </w:pPr>
            <w:r w:rsidRPr="0047208D">
              <w:rPr>
                <w:sz w:val="20"/>
                <w:szCs w:val="20"/>
                <w:lang w:val="fr-CA"/>
              </w:rPr>
              <w:lastRenderedPageBreak/>
              <w:t>29 septembre 2014</w:t>
            </w:r>
          </w:p>
          <w:p w:rsidR="005C3B9D" w:rsidRPr="0047208D" w:rsidRDefault="005C3B9D" w:rsidP="008F5FE2">
            <w:pPr>
              <w:jc w:val="both"/>
              <w:rPr>
                <w:sz w:val="20"/>
                <w:szCs w:val="20"/>
                <w:lang w:val="fr-CA"/>
              </w:rPr>
            </w:pPr>
            <w:r w:rsidRPr="0047208D">
              <w:rPr>
                <w:sz w:val="20"/>
                <w:szCs w:val="20"/>
                <w:lang w:val="fr-CA"/>
              </w:rPr>
              <w:t>Cour supérieure de justice de l’Ontario</w:t>
            </w:r>
          </w:p>
          <w:p w:rsidR="005C3B9D" w:rsidRPr="0047208D" w:rsidRDefault="005C3B9D" w:rsidP="008F5FE2">
            <w:pPr>
              <w:jc w:val="both"/>
              <w:rPr>
                <w:sz w:val="20"/>
                <w:szCs w:val="20"/>
                <w:lang w:val="fr-CA"/>
              </w:rPr>
            </w:pPr>
            <w:r w:rsidRPr="0047208D">
              <w:rPr>
                <w:sz w:val="20"/>
                <w:szCs w:val="20"/>
                <w:lang w:val="fr-CA"/>
              </w:rPr>
              <w:t>(Juge MacKinnon)</w:t>
            </w:r>
          </w:p>
          <w:p w:rsidR="005C3B9D" w:rsidRPr="0047208D" w:rsidRDefault="005C3B9D" w:rsidP="008F5FE2">
            <w:pPr>
              <w:jc w:val="both"/>
              <w:rPr>
                <w:sz w:val="20"/>
                <w:szCs w:val="20"/>
                <w:u w:val="single"/>
                <w:lang w:val="fr-CA"/>
              </w:rPr>
            </w:pPr>
            <w:r w:rsidRPr="0047208D">
              <w:rPr>
                <w:sz w:val="20"/>
                <w:szCs w:val="20"/>
                <w:lang w:val="fr-CA"/>
              </w:rPr>
              <w:t xml:space="preserve">Référence neutre : </w:t>
            </w:r>
            <w:hyperlink r:id="rId65" w:history="1">
              <w:r w:rsidRPr="003824D3">
                <w:rPr>
                  <w:color w:val="0000FF" w:themeColor="hyperlink"/>
                  <w:sz w:val="20"/>
                  <w:szCs w:val="20"/>
                  <w:u w:val="single"/>
                  <w:lang w:val="fr-CA"/>
                </w:rPr>
                <w:t>2014 ONSC 5666</w:t>
              </w:r>
            </w:hyperlink>
          </w:p>
          <w:p w:rsidR="005C3B9D" w:rsidRPr="0047208D" w:rsidRDefault="005C3B9D" w:rsidP="008F5FE2">
            <w:pPr>
              <w:jc w:val="both"/>
              <w:rPr>
                <w:sz w:val="20"/>
                <w:szCs w:val="20"/>
                <w:lang w:val="fr-CA"/>
              </w:rPr>
            </w:pPr>
          </w:p>
        </w:tc>
        <w:tc>
          <w:tcPr>
            <w:tcW w:w="243" w:type="pct"/>
          </w:tcPr>
          <w:p w:rsidR="005C3B9D" w:rsidRPr="0047208D" w:rsidRDefault="005C3B9D" w:rsidP="008F5FE2">
            <w:pPr>
              <w:jc w:val="both"/>
              <w:rPr>
                <w:sz w:val="20"/>
                <w:szCs w:val="20"/>
                <w:lang w:val="fr-CA"/>
              </w:rPr>
            </w:pPr>
          </w:p>
        </w:tc>
        <w:tc>
          <w:tcPr>
            <w:tcW w:w="2330" w:type="pct"/>
          </w:tcPr>
          <w:p w:rsidR="005C3B9D" w:rsidRPr="0047208D" w:rsidRDefault="005C3B9D" w:rsidP="008F5FE2">
            <w:pPr>
              <w:jc w:val="both"/>
              <w:rPr>
                <w:sz w:val="20"/>
                <w:szCs w:val="20"/>
                <w:lang w:val="fr-CA"/>
              </w:rPr>
            </w:pPr>
            <w:r w:rsidRPr="0047208D">
              <w:rPr>
                <w:sz w:val="20"/>
                <w:szCs w:val="20"/>
                <w:lang w:val="fr-CA"/>
              </w:rPr>
              <w:t>Rejet de la demande d’</w:t>
            </w:r>
            <w:r w:rsidRPr="0047208D">
              <w:rPr>
                <w:i/>
                <w:sz w:val="20"/>
                <w:szCs w:val="20"/>
                <w:lang w:val="fr-CA"/>
              </w:rPr>
              <w:t>habeas corpus</w:t>
            </w:r>
            <w:r w:rsidRPr="0047208D">
              <w:rPr>
                <w:sz w:val="20"/>
                <w:szCs w:val="20"/>
                <w:lang w:val="fr-CA"/>
              </w:rPr>
              <w:t xml:space="preserve"> avec </w:t>
            </w:r>
            <w:r w:rsidRPr="0047208D">
              <w:rPr>
                <w:i/>
                <w:sz w:val="20"/>
                <w:szCs w:val="20"/>
                <w:lang w:val="fr-CA"/>
              </w:rPr>
              <w:t xml:space="preserve">certiorari </w:t>
            </w:r>
            <w:r w:rsidRPr="0047208D">
              <w:rPr>
                <w:sz w:val="20"/>
                <w:szCs w:val="20"/>
                <w:lang w:val="fr-CA"/>
              </w:rPr>
              <w:t>auxiliaire</w:t>
            </w:r>
          </w:p>
          <w:p w:rsidR="005C3B9D" w:rsidRPr="0047208D" w:rsidRDefault="005C3B9D" w:rsidP="008F5FE2">
            <w:pPr>
              <w:jc w:val="both"/>
              <w:rPr>
                <w:sz w:val="20"/>
                <w:szCs w:val="20"/>
                <w:lang w:val="fr-CA"/>
              </w:rPr>
            </w:pPr>
          </w:p>
        </w:tc>
      </w:tr>
      <w:tr w:rsidR="005C3B9D" w:rsidRPr="0047208D" w:rsidTr="008F5FE2">
        <w:tc>
          <w:tcPr>
            <w:tcW w:w="2427" w:type="pct"/>
          </w:tcPr>
          <w:p w:rsidR="005C3B9D" w:rsidRPr="0047208D" w:rsidRDefault="005C3B9D" w:rsidP="008F5FE2">
            <w:pPr>
              <w:jc w:val="both"/>
              <w:rPr>
                <w:sz w:val="20"/>
                <w:szCs w:val="20"/>
                <w:lang w:val="fr-CA"/>
              </w:rPr>
            </w:pPr>
            <w:r w:rsidRPr="0047208D">
              <w:rPr>
                <w:sz w:val="20"/>
                <w:szCs w:val="20"/>
                <w:lang w:val="fr-CA"/>
              </w:rPr>
              <w:t>29 mai 2015</w:t>
            </w:r>
          </w:p>
          <w:p w:rsidR="005C3B9D" w:rsidRPr="0047208D" w:rsidRDefault="005C3B9D" w:rsidP="008F5FE2">
            <w:pPr>
              <w:jc w:val="both"/>
              <w:rPr>
                <w:sz w:val="20"/>
                <w:szCs w:val="20"/>
                <w:lang w:val="fr-CA"/>
              </w:rPr>
            </w:pPr>
            <w:r w:rsidRPr="0047208D">
              <w:rPr>
                <w:sz w:val="20"/>
                <w:szCs w:val="20"/>
                <w:lang w:val="fr-CA"/>
              </w:rPr>
              <w:t>Cour d’appel de l’Ontario</w:t>
            </w:r>
          </w:p>
          <w:p w:rsidR="005C3B9D" w:rsidRPr="0047208D" w:rsidRDefault="005C3B9D" w:rsidP="008F5FE2">
            <w:pPr>
              <w:jc w:val="both"/>
              <w:rPr>
                <w:sz w:val="20"/>
                <w:szCs w:val="20"/>
                <w:lang w:val="fr-CA"/>
              </w:rPr>
            </w:pPr>
            <w:r w:rsidRPr="0047208D">
              <w:rPr>
                <w:sz w:val="20"/>
                <w:szCs w:val="20"/>
                <w:lang w:val="fr-CA"/>
              </w:rPr>
              <w:t>(Juges Simmons, Juriansz  et van Rensburg)</w:t>
            </w:r>
          </w:p>
          <w:p w:rsidR="005C3B9D" w:rsidRPr="0047208D" w:rsidRDefault="005C3B9D" w:rsidP="008F5FE2">
            <w:pPr>
              <w:jc w:val="both"/>
              <w:rPr>
                <w:sz w:val="20"/>
                <w:szCs w:val="20"/>
                <w:lang w:val="fr-CA"/>
              </w:rPr>
            </w:pPr>
            <w:r w:rsidRPr="0047208D">
              <w:rPr>
                <w:sz w:val="20"/>
                <w:szCs w:val="20"/>
                <w:lang w:val="fr-CA"/>
              </w:rPr>
              <w:t xml:space="preserve">Référence neutre : </w:t>
            </w:r>
            <w:hyperlink r:id="rId66" w:history="1">
              <w:r w:rsidRPr="0047208D">
                <w:rPr>
                  <w:color w:val="0000FF" w:themeColor="hyperlink"/>
                  <w:sz w:val="20"/>
                  <w:szCs w:val="20"/>
                  <w:u w:val="single"/>
                </w:rPr>
                <w:t>2015 ONCA 386</w:t>
              </w:r>
            </w:hyperlink>
          </w:p>
          <w:p w:rsidR="005C3B9D" w:rsidRPr="0047208D" w:rsidRDefault="005C3B9D" w:rsidP="008F5FE2">
            <w:pPr>
              <w:jc w:val="both"/>
              <w:rPr>
                <w:sz w:val="20"/>
                <w:szCs w:val="20"/>
                <w:lang w:val="fr-CA"/>
              </w:rPr>
            </w:pPr>
          </w:p>
        </w:tc>
        <w:tc>
          <w:tcPr>
            <w:tcW w:w="243" w:type="pct"/>
          </w:tcPr>
          <w:p w:rsidR="005C3B9D" w:rsidRPr="0047208D" w:rsidRDefault="005C3B9D" w:rsidP="008F5FE2">
            <w:pPr>
              <w:jc w:val="both"/>
              <w:rPr>
                <w:sz w:val="20"/>
                <w:szCs w:val="20"/>
                <w:lang w:val="fr-CA"/>
              </w:rPr>
            </w:pPr>
          </w:p>
        </w:tc>
        <w:tc>
          <w:tcPr>
            <w:tcW w:w="2330" w:type="pct"/>
          </w:tcPr>
          <w:p w:rsidR="005C3B9D" w:rsidRPr="0047208D" w:rsidRDefault="005C3B9D" w:rsidP="008F5FE2">
            <w:pPr>
              <w:jc w:val="both"/>
              <w:rPr>
                <w:sz w:val="20"/>
                <w:szCs w:val="20"/>
                <w:lang w:val="fr-CA"/>
              </w:rPr>
            </w:pPr>
            <w:r w:rsidRPr="0047208D">
              <w:rPr>
                <w:sz w:val="20"/>
                <w:szCs w:val="20"/>
                <w:lang w:val="fr-CA"/>
              </w:rPr>
              <w:t>Arrêt accueillant l’appel</w:t>
            </w:r>
          </w:p>
          <w:p w:rsidR="005C3B9D" w:rsidRPr="0047208D" w:rsidRDefault="005C3B9D" w:rsidP="008F5FE2">
            <w:pPr>
              <w:jc w:val="both"/>
              <w:rPr>
                <w:sz w:val="20"/>
                <w:szCs w:val="20"/>
                <w:lang w:val="fr-CA"/>
              </w:rPr>
            </w:pPr>
          </w:p>
        </w:tc>
      </w:tr>
      <w:tr w:rsidR="005C3B9D" w:rsidRPr="00B26F8D" w:rsidTr="008F5FE2">
        <w:tc>
          <w:tcPr>
            <w:tcW w:w="2427" w:type="pct"/>
          </w:tcPr>
          <w:p w:rsidR="005C3B9D" w:rsidRPr="0047208D" w:rsidRDefault="005C3B9D" w:rsidP="008F5FE2">
            <w:pPr>
              <w:jc w:val="both"/>
              <w:rPr>
                <w:sz w:val="20"/>
                <w:szCs w:val="20"/>
                <w:lang w:val="fr-CA"/>
              </w:rPr>
            </w:pPr>
            <w:r w:rsidRPr="0047208D">
              <w:rPr>
                <w:sz w:val="20"/>
                <w:szCs w:val="20"/>
                <w:lang w:val="fr-CA"/>
              </w:rPr>
              <w:t>24 août 2015</w:t>
            </w:r>
          </w:p>
          <w:p w:rsidR="005C3B9D" w:rsidRPr="0047208D" w:rsidRDefault="005C3B9D" w:rsidP="008F5FE2">
            <w:pPr>
              <w:jc w:val="both"/>
              <w:rPr>
                <w:sz w:val="20"/>
                <w:szCs w:val="20"/>
                <w:lang w:val="fr-CA"/>
              </w:rPr>
            </w:pPr>
            <w:r w:rsidRPr="0047208D">
              <w:rPr>
                <w:sz w:val="20"/>
                <w:szCs w:val="20"/>
                <w:lang w:val="fr-CA"/>
              </w:rPr>
              <w:t>Cour suprême du Canada</w:t>
            </w:r>
          </w:p>
        </w:tc>
        <w:tc>
          <w:tcPr>
            <w:tcW w:w="243" w:type="pct"/>
          </w:tcPr>
          <w:p w:rsidR="005C3B9D" w:rsidRPr="0047208D" w:rsidRDefault="005C3B9D" w:rsidP="008F5FE2">
            <w:pPr>
              <w:jc w:val="both"/>
              <w:rPr>
                <w:sz w:val="20"/>
                <w:szCs w:val="20"/>
                <w:lang w:val="fr-CA"/>
              </w:rPr>
            </w:pPr>
          </w:p>
        </w:tc>
        <w:tc>
          <w:tcPr>
            <w:tcW w:w="2330" w:type="pct"/>
          </w:tcPr>
          <w:p w:rsidR="005C3B9D" w:rsidRPr="0047208D" w:rsidRDefault="005C3B9D" w:rsidP="008F5FE2">
            <w:pPr>
              <w:jc w:val="both"/>
              <w:rPr>
                <w:sz w:val="20"/>
                <w:szCs w:val="20"/>
                <w:lang w:val="fr-CA"/>
              </w:rPr>
            </w:pPr>
            <w:r w:rsidRPr="0047208D">
              <w:rPr>
                <w:sz w:val="20"/>
                <w:szCs w:val="20"/>
                <w:lang w:val="fr-CA"/>
              </w:rPr>
              <w:t>Dépôt de la demande d’autorisation d’appel</w:t>
            </w:r>
          </w:p>
          <w:p w:rsidR="005C3B9D" w:rsidRPr="0047208D" w:rsidRDefault="005C3B9D" w:rsidP="008F5FE2">
            <w:pPr>
              <w:jc w:val="both"/>
              <w:rPr>
                <w:sz w:val="20"/>
                <w:szCs w:val="20"/>
                <w:lang w:val="fr-CA"/>
              </w:rPr>
            </w:pP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59"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574</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Attorney General of Canada v. Raymond Lapple</w:t>
            </w:r>
            <w:r w:rsidRPr="0041388B">
              <w:rPr>
                <w:sz w:val="20"/>
                <w:szCs w:val="24"/>
              </w:rPr>
              <w:t xml:space="preserve"> (Ont.) (Criminal)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motion for an extension of time to serve and file the response to the application for leave to appeal is granted. The application for leave to appeal from the judgment of the Court of Appeal for Ontario, Number C59618, 2015 ONCA 385, dated May 29, 2015, is dismissed.</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La requête en prorogation du délai de signification et de dépôt de la réponse à la demande d’autorisation d’appel est accueillie. La demande d’autorisation d’appel de l’arrêt de la Cour d’appel de l’Ontario, numéro C59618, 2015 ONCA 385, daté du 29 mai 2015, est rejetée.</w:t>
            </w:r>
          </w:p>
        </w:tc>
      </w:tr>
    </w:tbl>
    <w:p w:rsidR="005C3B9D" w:rsidRPr="0016547E" w:rsidRDefault="005C3B9D" w:rsidP="005C3B9D">
      <w:pPr>
        <w:rPr>
          <w:sz w:val="20"/>
          <w:szCs w:val="20"/>
          <w:lang w:val="fr-CA"/>
        </w:rPr>
      </w:pPr>
    </w:p>
    <w:p w:rsidR="005C3B9D" w:rsidRPr="00EB28AB" w:rsidRDefault="005C3B9D" w:rsidP="005C3B9D">
      <w:pPr>
        <w:rPr>
          <w:sz w:val="20"/>
          <w:szCs w:val="20"/>
          <w:u w:val="single"/>
        </w:rPr>
      </w:pPr>
      <w:r w:rsidRPr="00EB28AB">
        <w:rPr>
          <w:sz w:val="20"/>
          <w:szCs w:val="20"/>
          <w:u w:val="single"/>
        </w:rPr>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FB0EBB" w:rsidTr="008F5FE2">
        <w:tc>
          <w:tcPr>
            <w:tcW w:w="5000" w:type="pct"/>
            <w:gridSpan w:val="3"/>
          </w:tcPr>
          <w:p w:rsidR="005C3B9D" w:rsidRDefault="005C3B9D" w:rsidP="008F5FE2">
            <w:pPr>
              <w:jc w:val="both"/>
              <w:rPr>
                <w:sz w:val="20"/>
                <w:szCs w:val="20"/>
              </w:rPr>
            </w:pPr>
            <w:r w:rsidRPr="00FB0EBB">
              <w:rPr>
                <w:i/>
                <w:sz w:val="20"/>
                <w:szCs w:val="20"/>
              </w:rPr>
              <w:t>Charter of Rights and Freedoms</w:t>
            </w:r>
            <w:r w:rsidRPr="00FB0EBB">
              <w:rPr>
                <w:sz w:val="20"/>
                <w:szCs w:val="20"/>
              </w:rPr>
              <w:t xml:space="preserve"> – Criminal Law – Benefit of lesser punishment – Parole –</w:t>
            </w:r>
            <w:r w:rsidRPr="00FB0EBB">
              <w:rPr>
                <w:i/>
                <w:sz w:val="20"/>
                <w:szCs w:val="20"/>
              </w:rPr>
              <w:t>Abolition of Early Parole Act</w:t>
            </w:r>
            <w:r w:rsidRPr="00FB0EBB">
              <w:rPr>
                <w:sz w:val="20"/>
                <w:szCs w:val="20"/>
              </w:rPr>
              <w:t>, S.C. 2011, c. 11 – Whether s. 11(i) of the Charter guarantees an offender the benefit of the more favourable parole regime where the parole regime varies between the time of the commission of an offence and the time of sentencing?</w:t>
            </w:r>
          </w:p>
          <w:p w:rsidR="005C3B9D" w:rsidRPr="00FB0EBB" w:rsidRDefault="005C3B9D" w:rsidP="008F5FE2">
            <w:pPr>
              <w:jc w:val="both"/>
              <w:rPr>
                <w:sz w:val="20"/>
                <w:szCs w:val="20"/>
              </w:rPr>
            </w:pPr>
          </w:p>
        </w:tc>
      </w:tr>
      <w:tr w:rsidR="005C3B9D" w:rsidRPr="00FB0EBB" w:rsidTr="008F5FE2">
        <w:tc>
          <w:tcPr>
            <w:tcW w:w="5000" w:type="pct"/>
            <w:gridSpan w:val="3"/>
          </w:tcPr>
          <w:p w:rsidR="005C3B9D" w:rsidRDefault="005C3B9D" w:rsidP="008F5FE2">
            <w:pPr>
              <w:jc w:val="both"/>
              <w:rPr>
                <w:sz w:val="20"/>
                <w:szCs w:val="20"/>
              </w:rPr>
            </w:pPr>
            <w:r w:rsidRPr="00FB0EBB">
              <w:rPr>
                <w:sz w:val="20"/>
                <w:szCs w:val="20"/>
              </w:rPr>
              <w:t xml:space="preserve">The respondent was a first-time, non-violent federal offender who was sentenced after the repeal of accelerated parole review (“APR”) for offences that were committed before it was repealed. He applied for </w:t>
            </w:r>
            <w:r w:rsidRPr="00FB0EBB">
              <w:rPr>
                <w:i/>
                <w:sz w:val="20"/>
                <w:szCs w:val="20"/>
              </w:rPr>
              <w:t>habeas corpus</w:t>
            </w:r>
            <w:r w:rsidRPr="00FB0EBB">
              <w:rPr>
                <w:sz w:val="20"/>
                <w:szCs w:val="20"/>
              </w:rPr>
              <w:t xml:space="preserve"> seeking, among other things, a declaration that he was entitled to the benefits of the APR regime. This was denied. He appealed, and his appeal was allowed.</w:t>
            </w:r>
          </w:p>
          <w:p w:rsidR="005C3B9D" w:rsidRPr="00FB0EBB" w:rsidRDefault="005C3B9D" w:rsidP="008F5FE2">
            <w:pPr>
              <w:jc w:val="both"/>
              <w:rPr>
                <w:sz w:val="20"/>
                <w:szCs w:val="20"/>
              </w:rPr>
            </w:pPr>
          </w:p>
        </w:tc>
      </w:tr>
      <w:tr w:rsidR="005C3B9D" w:rsidRPr="00FB0EBB" w:rsidTr="008F5FE2">
        <w:tc>
          <w:tcPr>
            <w:tcW w:w="2427" w:type="pct"/>
          </w:tcPr>
          <w:p w:rsidR="005C3B9D" w:rsidRPr="00FB0EBB" w:rsidRDefault="005C3B9D" w:rsidP="008F5FE2">
            <w:pPr>
              <w:jc w:val="both"/>
              <w:rPr>
                <w:sz w:val="20"/>
                <w:szCs w:val="20"/>
              </w:rPr>
            </w:pPr>
            <w:r w:rsidRPr="00FB0EBB">
              <w:rPr>
                <w:sz w:val="20"/>
                <w:szCs w:val="20"/>
              </w:rPr>
              <w:t>September 29, 2014</w:t>
            </w:r>
          </w:p>
          <w:p w:rsidR="005C3B9D" w:rsidRPr="00FB0EBB" w:rsidRDefault="005C3B9D" w:rsidP="008F5FE2">
            <w:pPr>
              <w:jc w:val="both"/>
              <w:rPr>
                <w:sz w:val="20"/>
                <w:szCs w:val="20"/>
              </w:rPr>
            </w:pPr>
            <w:r w:rsidRPr="00FB0EBB">
              <w:rPr>
                <w:sz w:val="20"/>
                <w:szCs w:val="20"/>
              </w:rPr>
              <w:t>Ontario Superior Court of Justice</w:t>
            </w:r>
          </w:p>
          <w:p w:rsidR="005C3B9D" w:rsidRPr="00FB0EBB" w:rsidRDefault="005C3B9D" w:rsidP="008F5FE2">
            <w:pPr>
              <w:jc w:val="both"/>
              <w:rPr>
                <w:sz w:val="20"/>
                <w:szCs w:val="20"/>
              </w:rPr>
            </w:pPr>
            <w:r w:rsidRPr="00FB0EBB">
              <w:rPr>
                <w:sz w:val="20"/>
                <w:szCs w:val="20"/>
              </w:rPr>
              <w:t>(MacKinnon J.)</w:t>
            </w:r>
          </w:p>
          <w:p w:rsidR="005C3B9D" w:rsidRPr="00FB0EBB" w:rsidRDefault="005C3B9D" w:rsidP="008F5FE2">
            <w:pPr>
              <w:jc w:val="both"/>
              <w:rPr>
                <w:sz w:val="20"/>
                <w:szCs w:val="20"/>
              </w:rPr>
            </w:pPr>
            <w:r w:rsidRPr="00FB0EBB">
              <w:rPr>
                <w:sz w:val="20"/>
                <w:szCs w:val="20"/>
              </w:rPr>
              <w:t xml:space="preserve">Neutral citation: </w:t>
            </w:r>
            <w:hyperlink r:id="rId67" w:history="1">
              <w:r w:rsidRPr="00FB0EBB">
                <w:rPr>
                  <w:color w:val="0000FF" w:themeColor="hyperlink"/>
                  <w:sz w:val="20"/>
                  <w:szCs w:val="20"/>
                  <w:u w:val="single"/>
                </w:rPr>
                <w:t>2014 ONSC 5670</w:t>
              </w:r>
            </w:hyperlink>
          </w:p>
          <w:p w:rsidR="005C3B9D" w:rsidRPr="00FB0EBB" w:rsidRDefault="005C3B9D" w:rsidP="008F5FE2">
            <w:pPr>
              <w:jc w:val="both"/>
              <w:rPr>
                <w:sz w:val="20"/>
                <w:szCs w:val="20"/>
              </w:rPr>
            </w:pPr>
          </w:p>
        </w:tc>
        <w:tc>
          <w:tcPr>
            <w:tcW w:w="243" w:type="pct"/>
          </w:tcPr>
          <w:p w:rsidR="005C3B9D" w:rsidRPr="00FB0EBB" w:rsidRDefault="005C3B9D" w:rsidP="008F5FE2">
            <w:pPr>
              <w:jc w:val="both"/>
              <w:rPr>
                <w:sz w:val="20"/>
                <w:szCs w:val="20"/>
              </w:rPr>
            </w:pPr>
          </w:p>
        </w:tc>
        <w:tc>
          <w:tcPr>
            <w:tcW w:w="2330" w:type="pct"/>
          </w:tcPr>
          <w:p w:rsidR="005C3B9D" w:rsidRPr="00FB0EBB" w:rsidRDefault="005C3B9D" w:rsidP="008F5FE2">
            <w:pPr>
              <w:jc w:val="both"/>
              <w:rPr>
                <w:sz w:val="20"/>
                <w:szCs w:val="20"/>
              </w:rPr>
            </w:pPr>
            <w:r w:rsidRPr="00FB0EBB">
              <w:rPr>
                <w:sz w:val="20"/>
                <w:szCs w:val="20"/>
              </w:rPr>
              <w:t xml:space="preserve">Applications for a writ of </w:t>
            </w:r>
            <w:r w:rsidRPr="00FB0EBB">
              <w:rPr>
                <w:i/>
                <w:sz w:val="20"/>
                <w:szCs w:val="20"/>
              </w:rPr>
              <w:t>habeas corpus</w:t>
            </w:r>
            <w:r w:rsidRPr="00FB0EBB">
              <w:rPr>
                <w:sz w:val="20"/>
                <w:szCs w:val="20"/>
              </w:rPr>
              <w:t xml:space="preserve"> with </w:t>
            </w:r>
            <w:r w:rsidRPr="00FB0EBB">
              <w:rPr>
                <w:i/>
                <w:sz w:val="20"/>
                <w:szCs w:val="20"/>
              </w:rPr>
              <w:t xml:space="preserve">certiorari </w:t>
            </w:r>
            <w:r w:rsidRPr="00FB0EBB">
              <w:rPr>
                <w:sz w:val="20"/>
                <w:szCs w:val="20"/>
              </w:rPr>
              <w:t>in aid and for review of decision of Parole Board dismissed</w:t>
            </w:r>
          </w:p>
          <w:p w:rsidR="005C3B9D" w:rsidRPr="00FB0EBB" w:rsidRDefault="005C3B9D" w:rsidP="008F5FE2">
            <w:pPr>
              <w:jc w:val="both"/>
              <w:rPr>
                <w:sz w:val="20"/>
                <w:szCs w:val="20"/>
              </w:rPr>
            </w:pPr>
          </w:p>
          <w:p w:rsidR="005C3B9D" w:rsidRPr="00FB0EBB" w:rsidRDefault="005C3B9D" w:rsidP="008F5FE2">
            <w:pPr>
              <w:jc w:val="both"/>
              <w:rPr>
                <w:sz w:val="20"/>
                <w:szCs w:val="20"/>
              </w:rPr>
            </w:pPr>
          </w:p>
        </w:tc>
      </w:tr>
      <w:tr w:rsidR="005C3B9D" w:rsidRPr="00FB0EBB" w:rsidTr="008F5FE2">
        <w:tc>
          <w:tcPr>
            <w:tcW w:w="2427" w:type="pct"/>
          </w:tcPr>
          <w:p w:rsidR="005C3B9D" w:rsidRPr="00FB0EBB" w:rsidRDefault="005C3B9D" w:rsidP="008F5FE2">
            <w:pPr>
              <w:jc w:val="both"/>
              <w:rPr>
                <w:sz w:val="20"/>
                <w:szCs w:val="20"/>
              </w:rPr>
            </w:pPr>
            <w:r w:rsidRPr="00FB0EBB">
              <w:rPr>
                <w:sz w:val="20"/>
                <w:szCs w:val="20"/>
              </w:rPr>
              <w:lastRenderedPageBreak/>
              <w:t>May 29, 2015</w:t>
            </w:r>
          </w:p>
          <w:p w:rsidR="005C3B9D" w:rsidRPr="00FB0EBB" w:rsidRDefault="005C3B9D" w:rsidP="008F5FE2">
            <w:pPr>
              <w:jc w:val="both"/>
              <w:rPr>
                <w:sz w:val="20"/>
                <w:szCs w:val="20"/>
              </w:rPr>
            </w:pPr>
            <w:r w:rsidRPr="00FB0EBB">
              <w:rPr>
                <w:sz w:val="20"/>
                <w:szCs w:val="20"/>
              </w:rPr>
              <w:t>Court of Appeal for Ontario</w:t>
            </w:r>
          </w:p>
          <w:p w:rsidR="005C3B9D" w:rsidRPr="00FB0EBB" w:rsidRDefault="005C3B9D" w:rsidP="008F5FE2">
            <w:pPr>
              <w:jc w:val="both"/>
              <w:rPr>
                <w:sz w:val="20"/>
                <w:szCs w:val="20"/>
              </w:rPr>
            </w:pPr>
            <w:r w:rsidRPr="00FB0EBB">
              <w:rPr>
                <w:sz w:val="20"/>
                <w:szCs w:val="20"/>
              </w:rPr>
              <w:t>(Simmons, Juriansz and Rensburg JJ.A.)</w:t>
            </w:r>
          </w:p>
          <w:p w:rsidR="005C3B9D" w:rsidRPr="00FB0EBB" w:rsidRDefault="005C3B9D" w:rsidP="008F5FE2">
            <w:pPr>
              <w:jc w:val="both"/>
              <w:rPr>
                <w:sz w:val="20"/>
                <w:szCs w:val="20"/>
              </w:rPr>
            </w:pPr>
            <w:r w:rsidRPr="00FB0EBB">
              <w:rPr>
                <w:sz w:val="20"/>
                <w:szCs w:val="20"/>
              </w:rPr>
              <w:t xml:space="preserve">Neutral citation: </w:t>
            </w:r>
            <w:hyperlink r:id="rId68" w:history="1">
              <w:r w:rsidRPr="00FB0EBB">
                <w:rPr>
                  <w:color w:val="0000FF" w:themeColor="hyperlink"/>
                  <w:sz w:val="20"/>
                  <w:szCs w:val="20"/>
                  <w:u w:val="single"/>
                </w:rPr>
                <w:t>2015 ONCA 385</w:t>
              </w:r>
            </w:hyperlink>
          </w:p>
          <w:p w:rsidR="005C3B9D" w:rsidRPr="00FB0EBB" w:rsidRDefault="005C3B9D" w:rsidP="008F5FE2">
            <w:pPr>
              <w:jc w:val="both"/>
              <w:rPr>
                <w:sz w:val="20"/>
                <w:szCs w:val="20"/>
              </w:rPr>
            </w:pPr>
          </w:p>
        </w:tc>
        <w:tc>
          <w:tcPr>
            <w:tcW w:w="243" w:type="pct"/>
          </w:tcPr>
          <w:p w:rsidR="005C3B9D" w:rsidRPr="00FB0EBB" w:rsidRDefault="005C3B9D" w:rsidP="008F5FE2">
            <w:pPr>
              <w:jc w:val="both"/>
              <w:rPr>
                <w:sz w:val="20"/>
                <w:szCs w:val="20"/>
              </w:rPr>
            </w:pPr>
          </w:p>
        </w:tc>
        <w:tc>
          <w:tcPr>
            <w:tcW w:w="2330" w:type="pct"/>
          </w:tcPr>
          <w:p w:rsidR="005C3B9D" w:rsidRPr="00FB0EBB" w:rsidRDefault="005C3B9D" w:rsidP="008F5FE2">
            <w:pPr>
              <w:jc w:val="both"/>
              <w:rPr>
                <w:sz w:val="20"/>
                <w:szCs w:val="20"/>
              </w:rPr>
            </w:pPr>
            <w:r w:rsidRPr="00FB0EBB">
              <w:rPr>
                <w:sz w:val="20"/>
                <w:szCs w:val="20"/>
              </w:rPr>
              <w:t>Appeal allowed</w:t>
            </w:r>
          </w:p>
          <w:p w:rsidR="005C3B9D" w:rsidRPr="00FB0EBB" w:rsidRDefault="005C3B9D" w:rsidP="008F5FE2">
            <w:pPr>
              <w:jc w:val="both"/>
              <w:rPr>
                <w:sz w:val="20"/>
                <w:szCs w:val="20"/>
              </w:rPr>
            </w:pPr>
          </w:p>
        </w:tc>
      </w:tr>
      <w:tr w:rsidR="005C3B9D" w:rsidRPr="00FB0EBB" w:rsidTr="008F5FE2">
        <w:tc>
          <w:tcPr>
            <w:tcW w:w="2427" w:type="pct"/>
          </w:tcPr>
          <w:p w:rsidR="005C3B9D" w:rsidRPr="00FB0EBB" w:rsidRDefault="005C3B9D" w:rsidP="008F5FE2">
            <w:pPr>
              <w:jc w:val="both"/>
              <w:rPr>
                <w:sz w:val="20"/>
                <w:szCs w:val="20"/>
              </w:rPr>
            </w:pPr>
            <w:r w:rsidRPr="00FB0EBB">
              <w:rPr>
                <w:sz w:val="20"/>
                <w:szCs w:val="20"/>
              </w:rPr>
              <w:t>August 24, 2015</w:t>
            </w:r>
          </w:p>
          <w:p w:rsidR="005C3B9D" w:rsidRPr="00FB0EBB" w:rsidRDefault="005C3B9D" w:rsidP="008F5FE2">
            <w:pPr>
              <w:jc w:val="both"/>
              <w:rPr>
                <w:sz w:val="20"/>
                <w:szCs w:val="20"/>
              </w:rPr>
            </w:pPr>
            <w:r w:rsidRPr="00FB0EBB">
              <w:rPr>
                <w:sz w:val="20"/>
                <w:szCs w:val="20"/>
              </w:rPr>
              <w:t>Supreme Court of Canada</w:t>
            </w:r>
          </w:p>
        </w:tc>
        <w:tc>
          <w:tcPr>
            <w:tcW w:w="243" w:type="pct"/>
          </w:tcPr>
          <w:p w:rsidR="005C3B9D" w:rsidRPr="00FB0EBB" w:rsidRDefault="005C3B9D" w:rsidP="008F5FE2">
            <w:pPr>
              <w:jc w:val="both"/>
              <w:rPr>
                <w:sz w:val="20"/>
                <w:szCs w:val="20"/>
              </w:rPr>
            </w:pPr>
          </w:p>
        </w:tc>
        <w:tc>
          <w:tcPr>
            <w:tcW w:w="2330" w:type="pct"/>
          </w:tcPr>
          <w:p w:rsidR="005C3B9D" w:rsidRPr="00FB0EBB" w:rsidRDefault="005C3B9D" w:rsidP="008F5FE2">
            <w:pPr>
              <w:jc w:val="both"/>
              <w:rPr>
                <w:sz w:val="20"/>
                <w:szCs w:val="20"/>
              </w:rPr>
            </w:pPr>
            <w:r w:rsidRPr="00FB0EBB">
              <w:rPr>
                <w:sz w:val="20"/>
                <w:szCs w:val="20"/>
              </w:rPr>
              <w:t>Application for leave to appeal filed</w:t>
            </w: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60" style="width:2in;height:1pt" o:hrpct="0" o:hralign="center" o:hrstd="t" o:hrnoshade="t" o:hr="t" fillcolor="black [3213]" stroked="f"/>
        </w:pict>
      </w:r>
    </w:p>
    <w:p w:rsidR="005C3B9D" w:rsidRPr="00FB2D5E" w:rsidRDefault="005C3B9D" w:rsidP="005C3B9D">
      <w:pPr>
        <w:rPr>
          <w:sz w:val="20"/>
          <w:szCs w:val="20"/>
        </w:rPr>
      </w:pPr>
    </w:p>
    <w:p w:rsidR="005C3B9D" w:rsidRPr="00FB2D5E" w:rsidRDefault="005C3B9D" w:rsidP="005C3B9D">
      <w:pPr>
        <w:rPr>
          <w:sz w:val="20"/>
          <w:szCs w:val="20"/>
          <w:u w:val="single"/>
          <w:lang w:val="fr-CA"/>
        </w:rPr>
      </w:pPr>
      <w:r w:rsidRPr="00FB2D5E">
        <w:rPr>
          <w:sz w:val="20"/>
          <w:szCs w:val="20"/>
          <w:u w:val="single"/>
          <w:lang w:val="fr-CA"/>
        </w:rPr>
        <w:t>RÉSUMÉ DE L’AFFAIRE</w:t>
      </w:r>
    </w:p>
    <w:p w:rsidR="005C3B9D" w:rsidRPr="00FB2D5E"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FB2D5E">
              <w:rPr>
                <w:i/>
                <w:sz w:val="20"/>
                <w:szCs w:val="20"/>
                <w:lang w:val="fr-CA"/>
              </w:rPr>
              <w:t>Charte des droits et libertés</w:t>
            </w:r>
            <w:r w:rsidRPr="00FB2D5E">
              <w:rPr>
                <w:sz w:val="20"/>
                <w:szCs w:val="20"/>
                <w:lang w:val="fr-CA"/>
              </w:rPr>
              <w:t xml:space="preserve"> – Droit criminel – Droit de bénéficier de la peine la moins sévère – Libération conditionnelle – </w:t>
            </w:r>
            <w:r w:rsidRPr="00FB2D5E">
              <w:rPr>
                <w:i/>
                <w:sz w:val="20"/>
                <w:szCs w:val="20"/>
                <w:lang w:val="fr-CA"/>
              </w:rPr>
              <w:t>Loi sur la libération anticipée des criminels</w:t>
            </w:r>
            <w:r w:rsidRPr="00FB2D5E">
              <w:rPr>
                <w:sz w:val="20"/>
                <w:szCs w:val="20"/>
                <w:lang w:val="fr-CA"/>
              </w:rPr>
              <w:t>, L.C. 2011, ch. 11 – L’alinéa 11</w:t>
            </w:r>
            <w:r w:rsidRPr="00FB2D5E">
              <w:rPr>
                <w:i/>
                <w:sz w:val="20"/>
                <w:szCs w:val="20"/>
                <w:lang w:val="fr-CA"/>
              </w:rPr>
              <w:t>i</w:t>
            </w:r>
            <w:r w:rsidRPr="00FB2D5E">
              <w:rPr>
                <w:sz w:val="20"/>
                <w:szCs w:val="20"/>
                <w:lang w:val="fr-CA"/>
              </w:rPr>
              <w:t>) de la</w:t>
            </w:r>
            <w:r w:rsidRPr="00FB2D5E">
              <w:rPr>
                <w:i/>
                <w:sz w:val="20"/>
                <w:szCs w:val="20"/>
                <w:lang w:val="fr-CA"/>
              </w:rPr>
              <w:t xml:space="preserve"> Charte</w:t>
            </w:r>
            <w:r w:rsidRPr="00FB2D5E">
              <w:rPr>
                <w:sz w:val="20"/>
                <w:szCs w:val="20"/>
                <w:lang w:val="fr-CA"/>
              </w:rPr>
              <w:t xml:space="preserve"> garantit-il au délinquant le droit de bénéficier du régime de libération conditionnelle le plus favorable lorsque le régime est modifié entre le moment de la perpétration de l’infraction et celui de la sentence?</w:t>
            </w:r>
          </w:p>
          <w:p w:rsidR="005C3B9D" w:rsidRPr="00FB2D5E" w:rsidRDefault="005C3B9D" w:rsidP="008F5FE2">
            <w:pPr>
              <w:jc w:val="both"/>
              <w:rPr>
                <w:sz w:val="20"/>
                <w:szCs w:val="20"/>
                <w:lang w:val="fr-CA"/>
              </w:rPr>
            </w:pPr>
          </w:p>
        </w:tc>
      </w:tr>
      <w:tr w:rsidR="005C3B9D" w:rsidRPr="00B26F8D" w:rsidTr="008F5FE2">
        <w:tc>
          <w:tcPr>
            <w:tcW w:w="5000" w:type="pct"/>
            <w:gridSpan w:val="3"/>
          </w:tcPr>
          <w:p w:rsidR="005C3B9D" w:rsidRDefault="005C3B9D" w:rsidP="008F5FE2">
            <w:pPr>
              <w:jc w:val="both"/>
              <w:rPr>
                <w:sz w:val="20"/>
                <w:szCs w:val="20"/>
                <w:lang w:val="fr-CA"/>
              </w:rPr>
            </w:pPr>
            <w:r w:rsidRPr="00FB2D5E">
              <w:rPr>
                <w:sz w:val="20"/>
                <w:szCs w:val="20"/>
                <w:lang w:val="fr-CA"/>
              </w:rPr>
              <w:t>L’intimé, un délinquant qui en était à sa première infraction fédérale, a été condamné à une peine, après l’abrogation de la procédure d’examen expéditif (« PEÉ »), pour des infractions perpétrées avant son abrogation. Il a demandé l’</w:t>
            </w:r>
            <w:r w:rsidRPr="00FB2D5E">
              <w:rPr>
                <w:i/>
                <w:sz w:val="20"/>
                <w:szCs w:val="20"/>
                <w:lang w:val="fr-CA"/>
              </w:rPr>
              <w:t>habeas corpus</w:t>
            </w:r>
            <w:r w:rsidRPr="00FB2D5E">
              <w:rPr>
                <w:sz w:val="20"/>
                <w:szCs w:val="20"/>
                <w:lang w:val="fr-CA"/>
              </w:rPr>
              <w:t>, sollicitant notamment un jugement déclarant qu’il avait le droit de bénéficier du régime de la PEÉ. Sa demande a été rejetée. Il a interjeté appel et son appel a été accueilli.</w:t>
            </w:r>
          </w:p>
          <w:p w:rsidR="005C3B9D" w:rsidRPr="00FB2D5E" w:rsidRDefault="005C3B9D" w:rsidP="008F5FE2">
            <w:pPr>
              <w:jc w:val="both"/>
              <w:rPr>
                <w:sz w:val="20"/>
                <w:szCs w:val="20"/>
                <w:lang w:val="fr-CA"/>
              </w:rPr>
            </w:pPr>
          </w:p>
        </w:tc>
      </w:tr>
      <w:tr w:rsidR="005C3B9D" w:rsidRPr="00B26F8D" w:rsidTr="008F5FE2">
        <w:tc>
          <w:tcPr>
            <w:tcW w:w="2427" w:type="pct"/>
          </w:tcPr>
          <w:p w:rsidR="005C3B9D" w:rsidRPr="00FB2D5E" w:rsidRDefault="005C3B9D" w:rsidP="008F5FE2">
            <w:pPr>
              <w:jc w:val="both"/>
              <w:rPr>
                <w:sz w:val="20"/>
                <w:szCs w:val="20"/>
                <w:lang w:val="fr-CA"/>
              </w:rPr>
            </w:pPr>
            <w:r w:rsidRPr="00FB2D5E">
              <w:rPr>
                <w:sz w:val="20"/>
                <w:szCs w:val="20"/>
                <w:lang w:val="fr-CA"/>
              </w:rPr>
              <w:t>29 septembre 2014</w:t>
            </w:r>
          </w:p>
          <w:p w:rsidR="005C3B9D" w:rsidRPr="00FB2D5E" w:rsidRDefault="005C3B9D" w:rsidP="008F5FE2">
            <w:pPr>
              <w:jc w:val="both"/>
              <w:rPr>
                <w:sz w:val="20"/>
                <w:szCs w:val="20"/>
                <w:lang w:val="fr-CA"/>
              </w:rPr>
            </w:pPr>
            <w:r w:rsidRPr="00FB2D5E">
              <w:rPr>
                <w:sz w:val="20"/>
                <w:szCs w:val="20"/>
                <w:lang w:val="fr-CA"/>
              </w:rPr>
              <w:t>Cour supérieure de justice de l’Ontario</w:t>
            </w:r>
          </w:p>
          <w:p w:rsidR="005C3B9D" w:rsidRPr="00FB2D5E" w:rsidRDefault="005C3B9D" w:rsidP="008F5FE2">
            <w:pPr>
              <w:jc w:val="both"/>
              <w:rPr>
                <w:sz w:val="20"/>
                <w:szCs w:val="20"/>
                <w:lang w:val="fr-CA"/>
              </w:rPr>
            </w:pPr>
            <w:r w:rsidRPr="00FB2D5E">
              <w:rPr>
                <w:sz w:val="20"/>
                <w:szCs w:val="20"/>
                <w:lang w:val="fr-CA"/>
              </w:rPr>
              <w:t>(Juge MacKinnon)</w:t>
            </w:r>
          </w:p>
          <w:p w:rsidR="005C3B9D" w:rsidRPr="00FB2D5E" w:rsidRDefault="005C3B9D" w:rsidP="008F5FE2">
            <w:pPr>
              <w:jc w:val="both"/>
              <w:rPr>
                <w:sz w:val="20"/>
                <w:szCs w:val="20"/>
                <w:lang w:val="fr-CA"/>
              </w:rPr>
            </w:pPr>
            <w:r w:rsidRPr="00FB2D5E">
              <w:rPr>
                <w:sz w:val="20"/>
                <w:szCs w:val="20"/>
                <w:lang w:val="fr-CA"/>
              </w:rPr>
              <w:t xml:space="preserve">Référence neutre : </w:t>
            </w:r>
            <w:hyperlink r:id="rId69" w:history="1">
              <w:r w:rsidRPr="003824D3">
                <w:rPr>
                  <w:color w:val="0000FF" w:themeColor="hyperlink"/>
                  <w:sz w:val="20"/>
                  <w:szCs w:val="20"/>
                  <w:u w:val="single"/>
                  <w:lang w:val="fr-CA"/>
                </w:rPr>
                <w:t>2014 ONSC 5670</w:t>
              </w:r>
            </w:hyperlink>
          </w:p>
          <w:p w:rsidR="005C3B9D" w:rsidRPr="00FB2D5E" w:rsidRDefault="005C3B9D" w:rsidP="008F5FE2">
            <w:pPr>
              <w:jc w:val="both"/>
              <w:rPr>
                <w:sz w:val="20"/>
                <w:szCs w:val="20"/>
                <w:lang w:val="fr-CA"/>
              </w:rPr>
            </w:pPr>
          </w:p>
        </w:tc>
        <w:tc>
          <w:tcPr>
            <w:tcW w:w="243" w:type="pct"/>
          </w:tcPr>
          <w:p w:rsidR="005C3B9D" w:rsidRPr="00FB2D5E" w:rsidRDefault="005C3B9D" w:rsidP="008F5FE2">
            <w:pPr>
              <w:jc w:val="both"/>
              <w:rPr>
                <w:sz w:val="20"/>
                <w:szCs w:val="20"/>
                <w:lang w:val="fr-CA"/>
              </w:rPr>
            </w:pPr>
          </w:p>
        </w:tc>
        <w:tc>
          <w:tcPr>
            <w:tcW w:w="2330" w:type="pct"/>
          </w:tcPr>
          <w:p w:rsidR="005C3B9D" w:rsidRPr="00FB2D5E" w:rsidRDefault="005C3B9D" w:rsidP="008F5FE2">
            <w:pPr>
              <w:jc w:val="both"/>
              <w:rPr>
                <w:sz w:val="20"/>
                <w:szCs w:val="20"/>
                <w:lang w:val="fr-CA"/>
              </w:rPr>
            </w:pPr>
            <w:r w:rsidRPr="00FB2D5E">
              <w:rPr>
                <w:sz w:val="20"/>
                <w:szCs w:val="20"/>
                <w:lang w:val="fr-CA"/>
              </w:rPr>
              <w:t>Rejet de la demande d’</w:t>
            </w:r>
            <w:r w:rsidRPr="00FB2D5E">
              <w:rPr>
                <w:i/>
                <w:sz w:val="20"/>
                <w:szCs w:val="20"/>
                <w:lang w:val="fr-CA"/>
              </w:rPr>
              <w:t>habeas corpus</w:t>
            </w:r>
            <w:r w:rsidRPr="00FB2D5E">
              <w:rPr>
                <w:sz w:val="20"/>
                <w:szCs w:val="20"/>
                <w:lang w:val="fr-CA"/>
              </w:rPr>
              <w:t xml:space="preserve"> avec </w:t>
            </w:r>
            <w:r w:rsidRPr="00FB2D5E">
              <w:rPr>
                <w:i/>
                <w:sz w:val="20"/>
                <w:szCs w:val="20"/>
                <w:lang w:val="fr-CA"/>
              </w:rPr>
              <w:t xml:space="preserve">certiorari </w:t>
            </w:r>
            <w:r w:rsidRPr="00FB2D5E">
              <w:rPr>
                <w:sz w:val="20"/>
                <w:szCs w:val="20"/>
                <w:lang w:val="fr-CA"/>
              </w:rPr>
              <w:t>auxiliaire et d’examen de la décision de la Commission des libérations conditionnelles</w:t>
            </w:r>
          </w:p>
          <w:p w:rsidR="005C3B9D" w:rsidRPr="00FB2D5E" w:rsidRDefault="005C3B9D" w:rsidP="008F5FE2">
            <w:pPr>
              <w:jc w:val="both"/>
              <w:rPr>
                <w:sz w:val="20"/>
                <w:szCs w:val="20"/>
                <w:lang w:val="fr-CA"/>
              </w:rPr>
            </w:pPr>
          </w:p>
        </w:tc>
      </w:tr>
      <w:tr w:rsidR="005C3B9D" w:rsidRPr="00FB2D5E" w:rsidTr="008F5FE2">
        <w:tc>
          <w:tcPr>
            <w:tcW w:w="2427" w:type="pct"/>
          </w:tcPr>
          <w:p w:rsidR="005C3B9D" w:rsidRPr="00FB2D5E" w:rsidRDefault="005C3B9D" w:rsidP="008F5FE2">
            <w:pPr>
              <w:jc w:val="both"/>
              <w:rPr>
                <w:sz w:val="20"/>
                <w:szCs w:val="20"/>
                <w:lang w:val="fr-CA"/>
              </w:rPr>
            </w:pPr>
            <w:r w:rsidRPr="00FB2D5E">
              <w:rPr>
                <w:sz w:val="20"/>
                <w:szCs w:val="20"/>
                <w:lang w:val="fr-CA"/>
              </w:rPr>
              <w:t>29 mai 2015</w:t>
            </w:r>
          </w:p>
          <w:p w:rsidR="005C3B9D" w:rsidRPr="00FB2D5E" w:rsidRDefault="005C3B9D" w:rsidP="008F5FE2">
            <w:pPr>
              <w:jc w:val="both"/>
              <w:rPr>
                <w:sz w:val="20"/>
                <w:szCs w:val="20"/>
                <w:lang w:val="fr-CA"/>
              </w:rPr>
            </w:pPr>
            <w:r w:rsidRPr="00FB2D5E">
              <w:rPr>
                <w:sz w:val="20"/>
                <w:szCs w:val="20"/>
                <w:lang w:val="fr-CA"/>
              </w:rPr>
              <w:t>Cour d’appel de l’Ontario</w:t>
            </w:r>
          </w:p>
          <w:p w:rsidR="005C3B9D" w:rsidRPr="00FB2D5E" w:rsidRDefault="005C3B9D" w:rsidP="008F5FE2">
            <w:pPr>
              <w:jc w:val="both"/>
              <w:rPr>
                <w:sz w:val="20"/>
                <w:szCs w:val="20"/>
                <w:lang w:val="fr-CA"/>
              </w:rPr>
            </w:pPr>
            <w:r w:rsidRPr="00FB2D5E">
              <w:rPr>
                <w:sz w:val="20"/>
                <w:szCs w:val="20"/>
                <w:lang w:val="fr-CA"/>
              </w:rPr>
              <w:t>(Juges Simmons, Juriansz et Rensburg)</w:t>
            </w:r>
          </w:p>
          <w:p w:rsidR="005C3B9D" w:rsidRPr="00FB2D5E" w:rsidRDefault="005C3B9D" w:rsidP="008F5FE2">
            <w:pPr>
              <w:jc w:val="both"/>
              <w:rPr>
                <w:sz w:val="20"/>
                <w:szCs w:val="20"/>
                <w:lang w:val="fr-CA"/>
              </w:rPr>
            </w:pPr>
            <w:r w:rsidRPr="00FB2D5E">
              <w:rPr>
                <w:sz w:val="20"/>
                <w:szCs w:val="20"/>
                <w:lang w:val="fr-CA"/>
              </w:rPr>
              <w:t xml:space="preserve">Référence neutre : </w:t>
            </w:r>
            <w:hyperlink r:id="rId70" w:history="1">
              <w:r w:rsidRPr="00FB2D5E">
                <w:rPr>
                  <w:color w:val="0000FF" w:themeColor="hyperlink"/>
                  <w:sz w:val="20"/>
                  <w:szCs w:val="20"/>
                  <w:u w:val="single"/>
                </w:rPr>
                <w:t>2015 ONCA 385</w:t>
              </w:r>
            </w:hyperlink>
          </w:p>
          <w:p w:rsidR="005C3B9D" w:rsidRPr="00FB2D5E" w:rsidRDefault="005C3B9D" w:rsidP="008F5FE2">
            <w:pPr>
              <w:jc w:val="both"/>
              <w:rPr>
                <w:sz w:val="20"/>
                <w:szCs w:val="20"/>
                <w:lang w:val="fr-CA"/>
              </w:rPr>
            </w:pPr>
          </w:p>
        </w:tc>
        <w:tc>
          <w:tcPr>
            <w:tcW w:w="243" w:type="pct"/>
          </w:tcPr>
          <w:p w:rsidR="005C3B9D" w:rsidRPr="00FB2D5E" w:rsidRDefault="005C3B9D" w:rsidP="008F5FE2">
            <w:pPr>
              <w:jc w:val="both"/>
              <w:rPr>
                <w:sz w:val="20"/>
                <w:szCs w:val="20"/>
                <w:lang w:val="fr-CA"/>
              </w:rPr>
            </w:pPr>
          </w:p>
        </w:tc>
        <w:tc>
          <w:tcPr>
            <w:tcW w:w="2330" w:type="pct"/>
          </w:tcPr>
          <w:p w:rsidR="005C3B9D" w:rsidRPr="00FB2D5E" w:rsidRDefault="005C3B9D" w:rsidP="008F5FE2">
            <w:pPr>
              <w:jc w:val="both"/>
              <w:rPr>
                <w:sz w:val="20"/>
                <w:szCs w:val="20"/>
                <w:lang w:val="fr-CA"/>
              </w:rPr>
            </w:pPr>
            <w:r w:rsidRPr="00FB2D5E">
              <w:rPr>
                <w:sz w:val="20"/>
                <w:szCs w:val="20"/>
                <w:lang w:val="fr-CA"/>
              </w:rPr>
              <w:t>Arrêt accueillant l’appel</w:t>
            </w:r>
          </w:p>
          <w:p w:rsidR="005C3B9D" w:rsidRPr="00FB2D5E" w:rsidRDefault="005C3B9D" w:rsidP="008F5FE2">
            <w:pPr>
              <w:jc w:val="both"/>
              <w:rPr>
                <w:sz w:val="20"/>
                <w:szCs w:val="20"/>
                <w:lang w:val="fr-CA"/>
              </w:rPr>
            </w:pPr>
          </w:p>
        </w:tc>
      </w:tr>
      <w:tr w:rsidR="005C3B9D" w:rsidRPr="00B26F8D" w:rsidTr="008F5FE2">
        <w:tc>
          <w:tcPr>
            <w:tcW w:w="2427" w:type="pct"/>
          </w:tcPr>
          <w:p w:rsidR="005C3B9D" w:rsidRPr="00FB2D5E" w:rsidRDefault="005C3B9D" w:rsidP="008F5FE2">
            <w:pPr>
              <w:jc w:val="both"/>
              <w:rPr>
                <w:sz w:val="20"/>
                <w:szCs w:val="20"/>
                <w:lang w:val="fr-CA"/>
              </w:rPr>
            </w:pPr>
            <w:r w:rsidRPr="00FB2D5E">
              <w:rPr>
                <w:sz w:val="20"/>
                <w:szCs w:val="20"/>
                <w:lang w:val="fr-CA"/>
              </w:rPr>
              <w:t>24 août 2015</w:t>
            </w:r>
          </w:p>
          <w:p w:rsidR="005C3B9D" w:rsidRPr="00FB2D5E" w:rsidRDefault="005C3B9D" w:rsidP="008F5FE2">
            <w:pPr>
              <w:jc w:val="both"/>
              <w:rPr>
                <w:sz w:val="20"/>
                <w:szCs w:val="20"/>
                <w:lang w:val="fr-CA"/>
              </w:rPr>
            </w:pPr>
            <w:r w:rsidRPr="00FB2D5E">
              <w:rPr>
                <w:sz w:val="20"/>
                <w:szCs w:val="20"/>
                <w:lang w:val="fr-CA"/>
              </w:rPr>
              <w:t>Cour suprême du Canada</w:t>
            </w:r>
          </w:p>
        </w:tc>
        <w:tc>
          <w:tcPr>
            <w:tcW w:w="243" w:type="pct"/>
          </w:tcPr>
          <w:p w:rsidR="005C3B9D" w:rsidRPr="00FB2D5E" w:rsidRDefault="005C3B9D" w:rsidP="008F5FE2">
            <w:pPr>
              <w:jc w:val="both"/>
              <w:rPr>
                <w:sz w:val="20"/>
                <w:szCs w:val="20"/>
                <w:lang w:val="fr-CA"/>
              </w:rPr>
            </w:pPr>
          </w:p>
        </w:tc>
        <w:tc>
          <w:tcPr>
            <w:tcW w:w="2330" w:type="pct"/>
          </w:tcPr>
          <w:p w:rsidR="005C3B9D" w:rsidRPr="00FB2D5E" w:rsidRDefault="005C3B9D" w:rsidP="008F5FE2">
            <w:pPr>
              <w:jc w:val="both"/>
              <w:rPr>
                <w:sz w:val="20"/>
                <w:szCs w:val="20"/>
                <w:lang w:val="fr-CA"/>
              </w:rPr>
            </w:pPr>
            <w:r w:rsidRPr="00FB2D5E">
              <w:rPr>
                <w:sz w:val="20"/>
                <w:szCs w:val="20"/>
                <w:lang w:val="fr-CA"/>
              </w:rPr>
              <w:t>Dépôt de la demande d’autorisation d’appel</w:t>
            </w: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61"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579</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Precision Plating Ltd.,</w:t>
            </w:r>
            <w:r>
              <w:rPr>
                <w:b/>
                <w:sz w:val="20"/>
                <w:szCs w:val="24"/>
                <w:u w:val="single"/>
                <w:lang w:val="en-US"/>
              </w:rPr>
              <w:t xml:space="preserve"> Mico Stankovic and</w:t>
            </w:r>
            <w:r w:rsidRPr="0041388B">
              <w:rPr>
                <w:b/>
                <w:sz w:val="20"/>
                <w:szCs w:val="24"/>
                <w:u w:val="single"/>
                <w:lang w:val="en-US"/>
              </w:rPr>
              <w:t xml:space="preserve"> Miroslav Stankovic v. Axa Pacific Insurance Company</w:t>
            </w:r>
            <w:r>
              <w:rPr>
                <w:b/>
                <w:sz w:val="20"/>
                <w:szCs w:val="24"/>
                <w:u w:val="single"/>
                <w:lang w:val="en-US"/>
              </w:rPr>
              <w:t xml:space="preserve"> and</w:t>
            </w:r>
            <w:r w:rsidRPr="0041388B">
              <w:rPr>
                <w:b/>
                <w:sz w:val="20"/>
                <w:szCs w:val="24"/>
                <w:u w:val="single"/>
                <w:lang w:val="en-US"/>
              </w:rPr>
              <w:t xml:space="preserve"> Intact Insurance Company</w:t>
            </w:r>
            <w:r w:rsidRPr="0041388B">
              <w:rPr>
                <w:sz w:val="20"/>
                <w:szCs w:val="24"/>
              </w:rPr>
              <w:t xml:space="preserve"> (B.C.) (Civil)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application for leave to appeal from the judgment of the Court of Appeal for British Columbia (Vancouver), Number CA41790, 2015 BCCA 277, dated June 18, 2015, is dismissed with costs.</w:t>
            </w:r>
          </w:p>
          <w:p w:rsidR="005C3B9D" w:rsidRDefault="005C3B9D" w:rsidP="008F5FE2">
            <w:pPr>
              <w:pStyle w:val="SCCShortJudgment"/>
              <w:ind w:firstLine="0"/>
              <w:jc w:val="center"/>
            </w:pPr>
          </w:p>
          <w:p w:rsidR="005C3B9D" w:rsidRPr="00A73D2C" w:rsidRDefault="005C3B9D" w:rsidP="008F5FE2">
            <w:pPr>
              <w:pStyle w:val="SCCShortJudgment"/>
              <w:rPr>
                <w:szCs w:val="20"/>
                <w:lang w:val="fr-CA"/>
              </w:rPr>
            </w:pPr>
            <w:r w:rsidRPr="001E7626">
              <w:rPr>
                <w:lang w:val="fr-CA"/>
              </w:rPr>
              <w:t>La demande d’autorisation d’appel de l’arrêt de la Cour d’appel de la Colombie-Britannique (Vancouver), numéro CA41790, 2015 BCCA 277, daté du 18 juin 2015, est rejetée avec dépens.</w:t>
            </w:r>
          </w:p>
        </w:tc>
      </w:tr>
    </w:tbl>
    <w:p w:rsidR="005C3B9D" w:rsidRPr="0016547E" w:rsidRDefault="005C3B9D" w:rsidP="005C3B9D">
      <w:pPr>
        <w:rPr>
          <w:sz w:val="20"/>
          <w:szCs w:val="20"/>
          <w:lang w:val="fr-CA"/>
        </w:rPr>
      </w:pPr>
    </w:p>
    <w:p w:rsidR="005C3B9D" w:rsidRPr="005C3B9D" w:rsidRDefault="005C3B9D" w:rsidP="005C3B9D">
      <w:pPr>
        <w:rPr>
          <w:sz w:val="20"/>
          <w:szCs w:val="20"/>
          <w:u w:val="single"/>
          <w:lang w:val="fr-CA"/>
        </w:rPr>
      </w:pPr>
      <w:r w:rsidRPr="005C3B9D">
        <w:rPr>
          <w:sz w:val="20"/>
          <w:szCs w:val="20"/>
          <w:u w:val="single"/>
          <w:lang w:val="fr-CA"/>
        </w:rPr>
        <w:br w:type="page"/>
      </w:r>
    </w:p>
    <w:p w:rsidR="005C3B9D" w:rsidRPr="00EB28AB" w:rsidRDefault="005C3B9D" w:rsidP="005C3B9D">
      <w:pPr>
        <w:rPr>
          <w:sz w:val="20"/>
          <w:szCs w:val="20"/>
          <w:u w:val="single"/>
        </w:rPr>
      </w:pPr>
      <w:r w:rsidRPr="00EB28AB">
        <w:rPr>
          <w:sz w:val="20"/>
          <w:szCs w:val="20"/>
          <w:u w:val="single"/>
        </w:rPr>
        <w:lastRenderedPageBreak/>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A430BF" w:rsidTr="008F5FE2">
        <w:tc>
          <w:tcPr>
            <w:tcW w:w="5000" w:type="pct"/>
            <w:gridSpan w:val="3"/>
          </w:tcPr>
          <w:p w:rsidR="005C3B9D" w:rsidRDefault="005C3B9D" w:rsidP="008F5FE2">
            <w:pPr>
              <w:jc w:val="both"/>
              <w:rPr>
                <w:sz w:val="20"/>
                <w:szCs w:val="20"/>
              </w:rPr>
            </w:pPr>
            <w:r w:rsidRPr="00A430BF">
              <w:rPr>
                <w:sz w:val="20"/>
                <w:szCs w:val="20"/>
              </w:rPr>
              <w:t xml:space="preserve">Insurance — Insurer’s duty to defend — Exclusions — Pollution exclusion — Insurance contract excluding coverage for bodily injury, personal injury or property damage arising out of, caused by or contributed to by pollutants — Whether the principles of contractual interpretation and appellate review set out in </w:t>
            </w:r>
            <w:r w:rsidRPr="00A430BF">
              <w:rPr>
                <w:i/>
                <w:sz w:val="20"/>
                <w:szCs w:val="20"/>
              </w:rPr>
              <w:t>Sattva Capital Corp. v. Creston Moly Corp.</w:t>
            </w:r>
            <w:r w:rsidRPr="00A430BF">
              <w:rPr>
                <w:sz w:val="20"/>
                <w:szCs w:val="20"/>
              </w:rPr>
              <w:t xml:space="preserve">, 2014 SCC 53, apply to decisions respecting interpretation of insurance policies — Whether a finding that a provision in an insurance contract is unjust or unreasonable triggers the application of s. 32 of the </w:t>
            </w:r>
            <w:r w:rsidRPr="00A430BF">
              <w:rPr>
                <w:i/>
                <w:sz w:val="20"/>
                <w:szCs w:val="20"/>
              </w:rPr>
              <w:t>Insurance Act</w:t>
            </w:r>
            <w:r w:rsidRPr="00A430BF">
              <w:rPr>
                <w:sz w:val="20"/>
                <w:szCs w:val="20"/>
              </w:rPr>
              <w:t>, R.S.B.C. 2012, c. 1, to make that provision non-binding in the circumstances of the case.</w:t>
            </w:r>
          </w:p>
          <w:p w:rsidR="005C3B9D" w:rsidRPr="00A430BF" w:rsidRDefault="005C3B9D" w:rsidP="008F5FE2">
            <w:pPr>
              <w:jc w:val="both"/>
              <w:rPr>
                <w:sz w:val="20"/>
                <w:szCs w:val="20"/>
              </w:rPr>
            </w:pPr>
          </w:p>
        </w:tc>
      </w:tr>
      <w:tr w:rsidR="005C3B9D" w:rsidRPr="00A430BF" w:rsidTr="008F5FE2">
        <w:tc>
          <w:tcPr>
            <w:tcW w:w="5000" w:type="pct"/>
            <w:gridSpan w:val="3"/>
          </w:tcPr>
          <w:p w:rsidR="005C3B9D" w:rsidRPr="00A430BF" w:rsidRDefault="005C3B9D" w:rsidP="008F5FE2">
            <w:pPr>
              <w:jc w:val="both"/>
              <w:rPr>
                <w:sz w:val="20"/>
                <w:szCs w:val="20"/>
              </w:rPr>
            </w:pPr>
            <w:r w:rsidRPr="00A430BF">
              <w:rPr>
                <w:sz w:val="20"/>
                <w:szCs w:val="20"/>
              </w:rPr>
              <w:t>A fire at the applicants’ premises resulted in chemical contamination of the surrounding properties. The applicants sought a declaration that their commercial general liability insurance policy obliged the respondents to defend them from third-party claims that resulted from that fire and contamination. The insurance contract excluded coverage for bodily injury, personal injury or property damage “arising out of, caused by or contributed to by” the leakage or escape of pollutants. Relying on that exclusion, the respondents disputed that any coverage was owed for defence costs and indemnity respecting the claims made by the occupiers of the neighbouring premises against the applicants.</w:t>
            </w:r>
          </w:p>
          <w:p w:rsidR="005C3B9D" w:rsidRPr="00A430BF" w:rsidRDefault="005C3B9D" w:rsidP="008F5FE2">
            <w:pPr>
              <w:jc w:val="both"/>
              <w:rPr>
                <w:sz w:val="20"/>
                <w:szCs w:val="20"/>
              </w:rPr>
            </w:pPr>
          </w:p>
          <w:p w:rsidR="005C3B9D" w:rsidRPr="00A430BF" w:rsidRDefault="005C3B9D" w:rsidP="008F5FE2">
            <w:pPr>
              <w:jc w:val="both"/>
              <w:rPr>
                <w:sz w:val="20"/>
                <w:szCs w:val="20"/>
              </w:rPr>
            </w:pPr>
            <w:r w:rsidRPr="00A430BF">
              <w:rPr>
                <w:sz w:val="20"/>
                <w:szCs w:val="20"/>
              </w:rPr>
              <w:t>The trial judge found that the parties could not have reasonably expected that coverage for third party claims arising from the escape of substances caused by a fire would be covered by the pollution exclusion. The insurers therefore had a duty to defend. The Court of Appeal held that the statements of claim showed that the liability alleged was “contributed to by” the contamination, which brought it within the pollution exclusion. As such, there was no possibility that Axa</w:t>
            </w:r>
            <w:r w:rsidRPr="00A430BF">
              <w:rPr>
                <w:b/>
                <w:sz w:val="20"/>
                <w:szCs w:val="20"/>
              </w:rPr>
              <w:t xml:space="preserve"> </w:t>
            </w:r>
            <w:r w:rsidRPr="00A430BF">
              <w:rPr>
                <w:sz w:val="20"/>
                <w:szCs w:val="20"/>
              </w:rPr>
              <w:t>could be required to indemnify, and the respondent had no duty to defend.</w:t>
            </w:r>
          </w:p>
          <w:p w:rsidR="005C3B9D" w:rsidRPr="00A430BF" w:rsidRDefault="005C3B9D" w:rsidP="008F5FE2">
            <w:pPr>
              <w:jc w:val="both"/>
              <w:rPr>
                <w:sz w:val="20"/>
                <w:szCs w:val="20"/>
              </w:rPr>
            </w:pPr>
          </w:p>
        </w:tc>
      </w:tr>
      <w:tr w:rsidR="005C3B9D" w:rsidRPr="00A430BF" w:rsidTr="008F5FE2">
        <w:tc>
          <w:tcPr>
            <w:tcW w:w="2427" w:type="pct"/>
          </w:tcPr>
          <w:p w:rsidR="005C3B9D" w:rsidRPr="00A430BF" w:rsidRDefault="005C3B9D" w:rsidP="008F5FE2">
            <w:pPr>
              <w:jc w:val="both"/>
              <w:rPr>
                <w:sz w:val="20"/>
                <w:szCs w:val="20"/>
              </w:rPr>
            </w:pPr>
            <w:r w:rsidRPr="00A430BF">
              <w:rPr>
                <w:sz w:val="20"/>
                <w:szCs w:val="20"/>
              </w:rPr>
              <w:t>April 8, 2014</w:t>
            </w:r>
          </w:p>
          <w:p w:rsidR="005C3B9D" w:rsidRPr="00A430BF" w:rsidRDefault="005C3B9D" w:rsidP="008F5FE2">
            <w:pPr>
              <w:jc w:val="both"/>
              <w:rPr>
                <w:sz w:val="20"/>
                <w:szCs w:val="20"/>
              </w:rPr>
            </w:pPr>
            <w:r w:rsidRPr="00A430BF">
              <w:rPr>
                <w:sz w:val="20"/>
                <w:szCs w:val="20"/>
              </w:rPr>
              <w:t>Supreme Court of British Columbia</w:t>
            </w:r>
          </w:p>
          <w:p w:rsidR="005C3B9D" w:rsidRPr="00A430BF" w:rsidRDefault="005C3B9D" w:rsidP="008F5FE2">
            <w:pPr>
              <w:jc w:val="both"/>
              <w:rPr>
                <w:sz w:val="20"/>
                <w:szCs w:val="20"/>
              </w:rPr>
            </w:pPr>
            <w:r w:rsidRPr="00A430BF">
              <w:rPr>
                <w:sz w:val="20"/>
                <w:szCs w:val="20"/>
              </w:rPr>
              <w:t>(Blok J.)</w:t>
            </w:r>
          </w:p>
          <w:p w:rsidR="005C3B9D" w:rsidRPr="00A430BF" w:rsidRDefault="00CD76E4" w:rsidP="008F5FE2">
            <w:pPr>
              <w:jc w:val="both"/>
              <w:rPr>
                <w:sz w:val="20"/>
                <w:szCs w:val="20"/>
              </w:rPr>
            </w:pPr>
            <w:hyperlink r:id="rId71" w:history="1">
              <w:r w:rsidR="005C3B9D" w:rsidRPr="00A430BF">
                <w:rPr>
                  <w:color w:val="0000FF" w:themeColor="hyperlink"/>
                  <w:sz w:val="20"/>
                  <w:szCs w:val="20"/>
                  <w:u w:val="single"/>
                </w:rPr>
                <w:t>2014 BCSC 602</w:t>
              </w:r>
            </w:hyperlink>
          </w:p>
          <w:p w:rsidR="005C3B9D" w:rsidRPr="00A430BF" w:rsidRDefault="005C3B9D" w:rsidP="008F5FE2">
            <w:pPr>
              <w:jc w:val="both"/>
              <w:rPr>
                <w:sz w:val="20"/>
                <w:szCs w:val="20"/>
              </w:rPr>
            </w:pPr>
          </w:p>
        </w:tc>
        <w:tc>
          <w:tcPr>
            <w:tcW w:w="243" w:type="pct"/>
          </w:tcPr>
          <w:p w:rsidR="005C3B9D" w:rsidRPr="00A430BF" w:rsidRDefault="005C3B9D" w:rsidP="008F5FE2">
            <w:pPr>
              <w:jc w:val="both"/>
              <w:rPr>
                <w:sz w:val="20"/>
                <w:szCs w:val="20"/>
              </w:rPr>
            </w:pPr>
          </w:p>
        </w:tc>
        <w:tc>
          <w:tcPr>
            <w:tcW w:w="2330" w:type="pct"/>
          </w:tcPr>
          <w:p w:rsidR="005C3B9D" w:rsidRPr="00A430BF" w:rsidRDefault="005C3B9D" w:rsidP="008F5FE2">
            <w:pPr>
              <w:jc w:val="both"/>
              <w:rPr>
                <w:sz w:val="20"/>
                <w:szCs w:val="20"/>
              </w:rPr>
            </w:pPr>
            <w:r w:rsidRPr="00A430BF">
              <w:rPr>
                <w:sz w:val="20"/>
                <w:szCs w:val="20"/>
              </w:rPr>
              <w:t>Declaration that insurer owes duty to defend subject actions granted</w:t>
            </w:r>
          </w:p>
          <w:p w:rsidR="005C3B9D" w:rsidRPr="00A430BF" w:rsidRDefault="005C3B9D" w:rsidP="008F5FE2">
            <w:pPr>
              <w:jc w:val="both"/>
              <w:rPr>
                <w:sz w:val="20"/>
                <w:szCs w:val="20"/>
              </w:rPr>
            </w:pPr>
          </w:p>
        </w:tc>
      </w:tr>
      <w:tr w:rsidR="005C3B9D" w:rsidRPr="00A430BF" w:rsidTr="008F5FE2">
        <w:tc>
          <w:tcPr>
            <w:tcW w:w="2427" w:type="pct"/>
          </w:tcPr>
          <w:p w:rsidR="005C3B9D" w:rsidRPr="00A430BF" w:rsidRDefault="005C3B9D" w:rsidP="008F5FE2">
            <w:pPr>
              <w:jc w:val="both"/>
              <w:rPr>
                <w:sz w:val="20"/>
                <w:szCs w:val="20"/>
              </w:rPr>
            </w:pPr>
            <w:r w:rsidRPr="00A430BF">
              <w:rPr>
                <w:sz w:val="20"/>
                <w:szCs w:val="20"/>
              </w:rPr>
              <w:t>June 18, 2015</w:t>
            </w:r>
          </w:p>
          <w:p w:rsidR="005C3B9D" w:rsidRPr="00A430BF" w:rsidRDefault="005C3B9D" w:rsidP="008F5FE2">
            <w:pPr>
              <w:jc w:val="both"/>
              <w:rPr>
                <w:sz w:val="20"/>
                <w:szCs w:val="20"/>
              </w:rPr>
            </w:pPr>
            <w:r w:rsidRPr="00A430BF">
              <w:rPr>
                <w:sz w:val="20"/>
                <w:szCs w:val="20"/>
              </w:rPr>
              <w:t xml:space="preserve">Court of Appeal for British Columbia </w:t>
            </w:r>
          </w:p>
          <w:p w:rsidR="005C3B9D" w:rsidRPr="00A430BF" w:rsidRDefault="005C3B9D" w:rsidP="008F5FE2">
            <w:pPr>
              <w:jc w:val="both"/>
              <w:rPr>
                <w:sz w:val="20"/>
                <w:szCs w:val="20"/>
              </w:rPr>
            </w:pPr>
            <w:r w:rsidRPr="00A430BF">
              <w:rPr>
                <w:sz w:val="20"/>
                <w:szCs w:val="20"/>
              </w:rPr>
              <w:t>(Vancouver)</w:t>
            </w:r>
          </w:p>
          <w:p w:rsidR="005C3B9D" w:rsidRPr="00A430BF" w:rsidRDefault="005C3B9D" w:rsidP="008F5FE2">
            <w:pPr>
              <w:jc w:val="both"/>
              <w:rPr>
                <w:sz w:val="20"/>
                <w:szCs w:val="20"/>
              </w:rPr>
            </w:pPr>
            <w:r w:rsidRPr="00A430BF">
              <w:rPr>
                <w:sz w:val="20"/>
                <w:szCs w:val="20"/>
              </w:rPr>
              <w:t>(Kirkpatrick, Garson, Harris JJ.A.)</w:t>
            </w:r>
          </w:p>
          <w:p w:rsidR="005C3B9D" w:rsidRPr="00A430BF" w:rsidRDefault="00CD76E4" w:rsidP="008F5FE2">
            <w:pPr>
              <w:jc w:val="both"/>
              <w:rPr>
                <w:sz w:val="20"/>
                <w:szCs w:val="20"/>
              </w:rPr>
            </w:pPr>
            <w:hyperlink r:id="rId72" w:history="1">
              <w:r w:rsidR="005C3B9D" w:rsidRPr="00A430BF">
                <w:rPr>
                  <w:color w:val="0000FF" w:themeColor="hyperlink"/>
                  <w:sz w:val="20"/>
                  <w:szCs w:val="20"/>
                  <w:u w:val="single"/>
                </w:rPr>
                <w:t>2015 BCCA 277</w:t>
              </w:r>
            </w:hyperlink>
          </w:p>
          <w:p w:rsidR="005C3B9D" w:rsidRPr="00A430BF" w:rsidRDefault="005C3B9D" w:rsidP="008F5FE2">
            <w:pPr>
              <w:jc w:val="both"/>
              <w:rPr>
                <w:sz w:val="20"/>
                <w:szCs w:val="20"/>
              </w:rPr>
            </w:pPr>
          </w:p>
        </w:tc>
        <w:tc>
          <w:tcPr>
            <w:tcW w:w="243" w:type="pct"/>
          </w:tcPr>
          <w:p w:rsidR="005C3B9D" w:rsidRPr="00A430BF" w:rsidRDefault="005C3B9D" w:rsidP="008F5FE2">
            <w:pPr>
              <w:jc w:val="both"/>
              <w:rPr>
                <w:sz w:val="20"/>
                <w:szCs w:val="20"/>
              </w:rPr>
            </w:pPr>
          </w:p>
        </w:tc>
        <w:tc>
          <w:tcPr>
            <w:tcW w:w="2330" w:type="pct"/>
          </w:tcPr>
          <w:p w:rsidR="005C3B9D" w:rsidRPr="00A430BF" w:rsidRDefault="005C3B9D" w:rsidP="008F5FE2">
            <w:pPr>
              <w:jc w:val="both"/>
              <w:rPr>
                <w:sz w:val="20"/>
                <w:szCs w:val="20"/>
              </w:rPr>
            </w:pPr>
            <w:r w:rsidRPr="00A430BF">
              <w:rPr>
                <w:sz w:val="20"/>
                <w:szCs w:val="20"/>
              </w:rPr>
              <w:t>Appeal allowed; judgment of Supreme Court of British Columbia, set aside; application for declaration that insurer owes duty to defend actions dismissed</w:t>
            </w:r>
          </w:p>
          <w:p w:rsidR="005C3B9D" w:rsidRPr="00A430BF" w:rsidRDefault="005C3B9D" w:rsidP="008F5FE2">
            <w:pPr>
              <w:jc w:val="both"/>
              <w:rPr>
                <w:sz w:val="20"/>
                <w:szCs w:val="20"/>
              </w:rPr>
            </w:pPr>
          </w:p>
        </w:tc>
      </w:tr>
      <w:tr w:rsidR="005C3B9D" w:rsidRPr="00A430BF" w:rsidTr="008F5FE2">
        <w:tc>
          <w:tcPr>
            <w:tcW w:w="2427" w:type="pct"/>
          </w:tcPr>
          <w:p w:rsidR="005C3B9D" w:rsidRPr="00A430BF" w:rsidRDefault="005C3B9D" w:rsidP="008F5FE2">
            <w:pPr>
              <w:jc w:val="both"/>
              <w:rPr>
                <w:sz w:val="20"/>
                <w:szCs w:val="20"/>
              </w:rPr>
            </w:pPr>
            <w:r w:rsidRPr="00A430BF">
              <w:rPr>
                <w:sz w:val="20"/>
                <w:szCs w:val="20"/>
              </w:rPr>
              <w:t>August 27, 2015</w:t>
            </w:r>
          </w:p>
          <w:p w:rsidR="005C3B9D" w:rsidRPr="00A430BF" w:rsidRDefault="005C3B9D" w:rsidP="008F5FE2">
            <w:pPr>
              <w:jc w:val="both"/>
              <w:rPr>
                <w:sz w:val="20"/>
                <w:szCs w:val="20"/>
              </w:rPr>
            </w:pPr>
            <w:r w:rsidRPr="00A430BF">
              <w:rPr>
                <w:sz w:val="20"/>
                <w:szCs w:val="20"/>
              </w:rPr>
              <w:t>Supreme Court of Canada</w:t>
            </w:r>
          </w:p>
        </w:tc>
        <w:tc>
          <w:tcPr>
            <w:tcW w:w="243" w:type="pct"/>
          </w:tcPr>
          <w:p w:rsidR="005C3B9D" w:rsidRPr="00A430BF" w:rsidRDefault="005C3B9D" w:rsidP="008F5FE2">
            <w:pPr>
              <w:jc w:val="both"/>
              <w:rPr>
                <w:sz w:val="20"/>
                <w:szCs w:val="20"/>
              </w:rPr>
            </w:pPr>
          </w:p>
        </w:tc>
        <w:tc>
          <w:tcPr>
            <w:tcW w:w="2330" w:type="pct"/>
          </w:tcPr>
          <w:p w:rsidR="005C3B9D" w:rsidRPr="00A430BF" w:rsidRDefault="005C3B9D" w:rsidP="008F5FE2">
            <w:pPr>
              <w:jc w:val="both"/>
              <w:rPr>
                <w:sz w:val="20"/>
                <w:szCs w:val="20"/>
              </w:rPr>
            </w:pPr>
            <w:r w:rsidRPr="00A430BF">
              <w:rPr>
                <w:sz w:val="20"/>
                <w:szCs w:val="20"/>
              </w:rPr>
              <w:t>Application for leave to appeal filed</w:t>
            </w:r>
          </w:p>
          <w:p w:rsidR="005C3B9D" w:rsidRPr="00A430BF" w:rsidRDefault="005C3B9D" w:rsidP="008F5FE2">
            <w:pPr>
              <w:jc w:val="both"/>
              <w:rPr>
                <w:sz w:val="20"/>
                <w:szCs w:val="20"/>
              </w:rPr>
            </w:pP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62" style="width:2in;height:1pt" o:hrpct="0" o:hralign="center" o:hrstd="t" o:hrnoshade="t" o:hr="t" fillcolor="black [3213]" stroked="f"/>
        </w:pict>
      </w:r>
    </w:p>
    <w:p w:rsidR="005C3B9D" w:rsidRPr="00FB2D5E" w:rsidRDefault="005C3B9D" w:rsidP="005C3B9D">
      <w:pPr>
        <w:rPr>
          <w:sz w:val="20"/>
          <w:szCs w:val="20"/>
        </w:rPr>
      </w:pPr>
    </w:p>
    <w:p w:rsidR="005C3B9D" w:rsidRPr="00FB2D5E" w:rsidRDefault="005C3B9D" w:rsidP="005C3B9D">
      <w:pPr>
        <w:rPr>
          <w:sz w:val="20"/>
          <w:szCs w:val="20"/>
          <w:u w:val="single"/>
          <w:lang w:val="fr-CA"/>
        </w:rPr>
      </w:pPr>
      <w:r w:rsidRPr="00FB2D5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9F1B6D">
              <w:rPr>
                <w:sz w:val="20"/>
                <w:szCs w:val="20"/>
                <w:lang w:val="fr-CA"/>
              </w:rPr>
              <w:t xml:space="preserve">Assurance — Obligation de l’assureur de défendre — Exclusions — Exclusion de la pollution — Le contrat d’assurance exclut la couverture pour blessures corporelles, préjudice personnel ou dommage matériel découlant de la pollution ou causés, en totalité ou en partie, par celle-ci — Les principes d’interprétation des contrats et d’examen en appel énoncés dans l’arrêt </w:t>
            </w:r>
            <w:r w:rsidRPr="009F1B6D">
              <w:rPr>
                <w:i/>
                <w:sz w:val="20"/>
                <w:szCs w:val="20"/>
                <w:lang w:val="fr-CA"/>
              </w:rPr>
              <w:t>Sattva Capital Corp. c. Creston Moly Corp.</w:t>
            </w:r>
            <w:r w:rsidRPr="009F1B6D">
              <w:rPr>
                <w:sz w:val="20"/>
                <w:szCs w:val="20"/>
                <w:lang w:val="fr-CA"/>
              </w:rPr>
              <w:t>, 2014 CSC 53, s’appliquent-ils aux décisions portant sur l’interprétation des polices d’assurance? — La conclusion selon laquelle une clause de contrat d’assurance est injuste ou déraisonnable déclenche-t-elle l’application de l’art. 32 de l’</w:t>
            </w:r>
            <w:r w:rsidRPr="009F1B6D">
              <w:rPr>
                <w:i/>
                <w:sz w:val="20"/>
                <w:szCs w:val="20"/>
                <w:lang w:val="fr-CA"/>
              </w:rPr>
              <w:t>Insurance Act</w:t>
            </w:r>
            <w:r w:rsidRPr="009F1B6D">
              <w:rPr>
                <w:sz w:val="20"/>
                <w:szCs w:val="20"/>
                <w:lang w:val="fr-CA"/>
              </w:rPr>
              <w:t>, R.S.B.C. 2012, ch. 1, avec pour effet de rendre cette clause non obligatoire en l’espèce?</w:t>
            </w:r>
          </w:p>
          <w:p w:rsidR="005C3B9D" w:rsidRPr="009F1B6D" w:rsidRDefault="005C3B9D" w:rsidP="008F5FE2">
            <w:pPr>
              <w:jc w:val="both"/>
              <w:rPr>
                <w:sz w:val="20"/>
                <w:szCs w:val="20"/>
                <w:lang w:val="fr-CA"/>
              </w:rPr>
            </w:pPr>
          </w:p>
        </w:tc>
      </w:tr>
      <w:tr w:rsidR="005C3B9D" w:rsidRPr="00B26F8D" w:rsidTr="008F5FE2">
        <w:tc>
          <w:tcPr>
            <w:tcW w:w="5000" w:type="pct"/>
            <w:gridSpan w:val="3"/>
          </w:tcPr>
          <w:p w:rsidR="005C3B9D" w:rsidRPr="009F1B6D" w:rsidRDefault="005C3B9D" w:rsidP="008F5FE2">
            <w:pPr>
              <w:jc w:val="both"/>
              <w:rPr>
                <w:sz w:val="20"/>
                <w:szCs w:val="20"/>
                <w:lang w:val="fr-CA"/>
              </w:rPr>
            </w:pPr>
            <w:r w:rsidRPr="009F1B6D">
              <w:rPr>
                <w:sz w:val="20"/>
                <w:szCs w:val="20"/>
                <w:lang w:val="fr-CA"/>
              </w:rPr>
              <w:t xml:space="preserve">Un incendie survenu dans les locaux des demandeurs a entraîné la contamination chimique des immeubles voisins. Les demandeurs ont sollicité un jugement déclarant que leur assurance de la responsabilité civile des entreprises obligeait les intimées à les défendre contre les demandes de tiers résultant de l’incendie et de la contamination. Le contrat </w:t>
            </w:r>
            <w:r w:rsidRPr="009F1B6D">
              <w:rPr>
                <w:sz w:val="20"/>
                <w:szCs w:val="20"/>
                <w:lang w:val="fr-CA"/>
              </w:rPr>
              <w:lastRenderedPageBreak/>
              <w:t>d’assurance excluait la couverture pour blessures corporelles, préjudice personnel ou dommage matériel [</w:t>
            </w:r>
            <w:r w:rsidRPr="009F1B6D">
              <w:rPr>
                <w:smallCaps/>
                <w:sz w:val="20"/>
                <w:szCs w:val="20"/>
                <w:lang w:val="fr-CA"/>
              </w:rPr>
              <w:t>traduction</w:t>
            </w:r>
            <w:r w:rsidRPr="009F1B6D">
              <w:rPr>
                <w:sz w:val="20"/>
                <w:szCs w:val="20"/>
                <w:lang w:val="fr-CA"/>
              </w:rPr>
              <w:t>] « découlant » de la fuite ou de l’émission de polluants ou [</w:t>
            </w:r>
            <w:r w:rsidRPr="009F1B6D">
              <w:rPr>
                <w:smallCaps/>
                <w:sz w:val="20"/>
                <w:szCs w:val="20"/>
                <w:lang w:val="fr-CA"/>
              </w:rPr>
              <w:t>traduction</w:t>
            </w:r>
            <w:r w:rsidRPr="009F1B6D">
              <w:rPr>
                <w:sz w:val="20"/>
                <w:szCs w:val="20"/>
                <w:lang w:val="fr-CA"/>
              </w:rPr>
              <w:t>] « causés, en totalité ou en partie » par celles-ci. S’appuyant sur cette exclusion, les intimées ont nié avoir l’obligation de garantir contre les frais de défense et l’indemnisation relatifs aux demandes intentées par les occupants des immeubles voisins contre les demandeurs.</w:t>
            </w:r>
          </w:p>
          <w:p w:rsidR="005C3B9D" w:rsidRPr="009F1B6D" w:rsidRDefault="005C3B9D" w:rsidP="008F5FE2">
            <w:pPr>
              <w:jc w:val="both"/>
              <w:rPr>
                <w:sz w:val="20"/>
                <w:szCs w:val="20"/>
                <w:lang w:val="fr-CA"/>
              </w:rPr>
            </w:pPr>
          </w:p>
          <w:p w:rsidR="005C3B9D" w:rsidRPr="009F1B6D" w:rsidRDefault="005C3B9D" w:rsidP="008F5FE2">
            <w:pPr>
              <w:jc w:val="both"/>
              <w:rPr>
                <w:sz w:val="20"/>
                <w:szCs w:val="20"/>
                <w:lang w:val="fr-CA"/>
              </w:rPr>
            </w:pPr>
            <w:r w:rsidRPr="009F1B6D">
              <w:rPr>
                <w:sz w:val="20"/>
                <w:szCs w:val="20"/>
                <w:lang w:val="fr-CA"/>
              </w:rPr>
              <w:t>Le juge de première instance a conclu que les parties ne pouvaient pas raisonnablement s’attendre à ce que la couverture contre les réclamations de tiers découlant de l’émission de substances causée par un incendie soit visée par l’exclusion de pollution. Les assureurs avaient donc l’obligation de défendre. La Cour d’appel a statué que les déclarations indiquaient que la responsabilité alléguée avait été [</w:t>
            </w:r>
            <w:r w:rsidRPr="009F1B6D">
              <w:rPr>
                <w:smallCaps/>
                <w:sz w:val="20"/>
                <w:szCs w:val="20"/>
                <w:lang w:val="fr-CA"/>
              </w:rPr>
              <w:t>traduction</w:t>
            </w:r>
            <w:r w:rsidRPr="009F1B6D">
              <w:rPr>
                <w:sz w:val="20"/>
                <w:szCs w:val="20"/>
                <w:lang w:val="fr-CA"/>
              </w:rPr>
              <w:t>] « causée en partie » par la contamination, ce qui la faisait entrer dans le champ d’application de l’exclusion de pollution. Pour cette raison, il n’y avait aucune possibilité qu’Axa puisse être obligée d’indemniser, si bien que l’intimée n’avait aucune obligation de défendre.</w:t>
            </w:r>
          </w:p>
          <w:p w:rsidR="005C3B9D" w:rsidRPr="009F1B6D" w:rsidRDefault="005C3B9D" w:rsidP="008F5FE2">
            <w:pPr>
              <w:jc w:val="both"/>
              <w:rPr>
                <w:sz w:val="20"/>
                <w:szCs w:val="20"/>
                <w:lang w:val="fr-CA"/>
              </w:rPr>
            </w:pPr>
          </w:p>
        </w:tc>
      </w:tr>
      <w:tr w:rsidR="005C3B9D" w:rsidRPr="00B26F8D" w:rsidTr="008F5FE2">
        <w:tc>
          <w:tcPr>
            <w:tcW w:w="2427" w:type="pct"/>
          </w:tcPr>
          <w:p w:rsidR="005C3B9D" w:rsidRPr="009F1B6D" w:rsidRDefault="005C3B9D" w:rsidP="008F5FE2">
            <w:pPr>
              <w:jc w:val="both"/>
              <w:rPr>
                <w:sz w:val="20"/>
                <w:szCs w:val="20"/>
                <w:lang w:val="fr-CA"/>
              </w:rPr>
            </w:pPr>
            <w:r w:rsidRPr="009F1B6D">
              <w:rPr>
                <w:sz w:val="20"/>
                <w:szCs w:val="20"/>
                <w:lang w:val="fr-CA"/>
              </w:rPr>
              <w:lastRenderedPageBreak/>
              <w:t>8 avril 2014</w:t>
            </w:r>
          </w:p>
          <w:p w:rsidR="005C3B9D" w:rsidRPr="009F1B6D" w:rsidRDefault="005C3B9D" w:rsidP="008F5FE2">
            <w:pPr>
              <w:jc w:val="both"/>
              <w:rPr>
                <w:sz w:val="20"/>
                <w:szCs w:val="20"/>
                <w:lang w:val="fr-CA"/>
              </w:rPr>
            </w:pPr>
            <w:r w:rsidRPr="009F1B6D">
              <w:rPr>
                <w:sz w:val="20"/>
                <w:szCs w:val="20"/>
                <w:lang w:val="fr-CA"/>
              </w:rPr>
              <w:t>Cour suprême de la Colombie-Britannique</w:t>
            </w:r>
          </w:p>
          <w:p w:rsidR="005C3B9D" w:rsidRPr="009F1B6D" w:rsidRDefault="005C3B9D" w:rsidP="008F5FE2">
            <w:pPr>
              <w:jc w:val="both"/>
              <w:rPr>
                <w:sz w:val="20"/>
                <w:szCs w:val="20"/>
                <w:lang w:val="fr-CA"/>
              </w:rPr>
            </w:pPr>
            <w:r w:rsidRPr="009F1B6D">
              <w:rPr>
                <w:sz w:val="20"/>
                <w:szCs w:val="20"/>
                <w:lang w:val="fr-CA"/>
              </w:rPr>
              <w:t>(Juge Blok)</w:t>
            </w:r>
          </w:p>
          <w:p w:rsidR="005C3B9D" w:rsidRPr="009F1B6D" w:rsidRDefault="00CD76E4" w:rsidP="008F5FE2">
            <w:pPr>
              <w:jc w:val="both"/>
              <w:rPr>
                <w:sz w:val="20"/>
                <w:szCs w:val="20"/>
                <w:lang w:val="fr-CA"/>
              </w:rPr>
            </w:pPr>
            <w:hyperlink r:id="rId73" w:history="1">
              <w:r w:rsidR="005C3B9D" w:rsidRPr="009F1B6D">
                <w:rPr>
                  <w:color w:val="0000FF" w:themeColor="hyperlink"/>
                  <w:sz w:val="20"/>
                  <w:szCs w:val="20"/>
                  <w:u w:val="single"/>
                  <w:lang w:val="fr-CA"/>
                </w:rPr>
                <w:t>2014 BCSC 602</w:t>
              </w:r>
            </w:hyperlink>
          </w:p>
          <w:p w:rsidR="005C3B9D" w:rsidRPr="009F1B6D" w:rsidRDefault="005C3B9D" w:rsidP="008F5FE2">
            <w:pPr>
              <w:jc w:val="both"/>
              <w:rPr>
                <w:sz w:val="20"/>
                <w:szCs w:val="20"/>
                <w:lang w:val="fr-CA"/>
              </w:rPr>
            </w:pPr>
          </w:p>
        </w:tc>
        <w:tc>
          <w:tcPr>
            <w:tcW w:w="243" w:type="pct"/>
          </w:tcPr>
          <w:p w:rsidR="005C3B9D" w:rsidRPr="009F1B6D" w:rsidRDefault="005C3B9D" w:rsidP="008F5FE2">
            <w:pPr>
              <w:jc w:val="both"/>
              <w:rPr>
                <w:sz w:val="20"/>
                <w:szCs w:val="20"/>
                <w:lang w:val="fr-CA"/>
              </w:rPr>
            </w:pPr>
          </w:p>
        </w:tc>
        <w:tc>
          <w:tcPr>
            <w:tcW w:w="2330" w:type="pct"/>
          </w:tcPr>
          <w:p w:rsidR="005C3B9D" w:rsidRPr="009F1B6D" w:rsidRDefault="005C3B9D" w:rsidP="008F5FE2">
            <w:pPr>
              <w:jc w:val="both"/>
              <w:rPr>
                <w:sz w:val="20"/>
                <w:szCs w:val="20"/>
                <w:lang w:val="fr-CA"/>
              </w:rPr>
            </w:pPr>
            <w:r w:rsidRPr="009F1B6D">
              <w:rPr>
                <w:sz w:val="20"/>
                <w:szCs w:val="20"/>
                <w:lang w:val="fr-CA"/>
              </w:rPr>
              <w:t>Jugement déclarant que l’assureur a l’obligation de défendre contre les actions en cause</w:t>
            </w:r>
          </w:p>
          <w:p w:rsidR="005C3B9D" w:rsidRPr="009F1B6D" w:rsidRDefault="005C3B9D" w:rsidP="008F5FE2">
            <w:pPr>
              <w:jc w:val="both"/>
              <w:rPr>
                <w:sz w:val="20"/>
                <w:szCs w:val="20"/>
                <w:lang w:val="fr-CA"/>
              </w:rPr>
            </w:pPr>
          </w:p>
        </w:tc>
      </w:tr>
      <w:tr w:rsidR="005C3B9D" w:rsidRPr="00B26F8D" w:rsidTr="008F5FE2">
        <w:tc>
          <w:tcPr>
            <w:tcW w:w="2427" w:type="pct"/>
          </w:tcPr>
          <w:p w:rsidR="005C3B9D" w:rsidRPr="009F1B6D" w:rsidRDefault="005C3B9D" w:rsidP="008F5FE2">
            <w:pPr>
              <w:jc w:val="both"/>
              <w:rPr>
                <w:sz w:val="20"/>
                <w:szCs w:val="20"/>
                <w:lang w:val="fr-CA"/>
              </w:rPr>
            </w:pPr>
            <w:r w:rsidRPr="009F1B6D">
              <w:rPr>
                <w:sz w:val="20"/>
                <w:szCs w:val="20"/>
                <w:lang w:val="fr-CA"/>
              </w:rPr>
              <w:t>18 juin 2015</w:t>
            </w:r>
          </w:p>
          <w:p w:rsidR="005C3B9D" w:rsidRPr="009F1B6D" w:rsidRDefault="005C3B9D" w:rsidP="008F5FE2">
            <w:pPr>
              <w:jc w:val="both"/>
              <w:rPr>
                <w:sz w:val="20"/>
                <w:szCs w:val="20"/>
                <w:lang w:val="fr-CA"/>
              </w:rPr>
            </w:pPr>
            <w:r w:rsidRPr="009F1B6D">
              <w:rPr>
                <w:sz w:val="20"/>
                <w:szCs w:val="20"/>
                <w:lang w:val="fr-CA"/>
              </w:rPr>
              <w:t>Cour d’appel de la Colombie-Britannique</w:t>
            </w:r>
          </w:p>
          <w:p w:rsidR="005C3B9D" w:rsidRPr="009F1B6D" w:rsidRDefault="005C3B9D" w:rsidP="008F5FE2">
            <w:pPr>
              <w:jc w:val="both"/>
              <w:rPr>
                <w:sz w:val="20"/>
                <w:szCs w:val="20"/>
                <w:lang w:val="fr-CA"/>
              </w:rPr>
            </w:pPr>
            <w:r w:rsidRPr="009F1B6D">
              <w:rPr>
                <w:sz w:val="20"/>
                <w:szCs w:val="20"/>
                <w:lang w:val="fr-CA"/>
              </w:rPr>
              <w:t>(Vancouver)</w:t>
            </w:r>
          </w:p>
          <w:p w:rsidR="005C3B9D" w:rsidRPr="009F1B6D" w:rsidRDefault="005C3B9D" w:rsidP="008F5FE2">
            <w:pPr>
              <w:jc w:val="both"/>
              <w:rPr>
                <w:sz w:val="20"/>
                <w:szCs w:val="20"/>
                <w:lang w:val="fr-CA"/>
              </w:rPr>
            </w:pPr>
            <w:r w:rsidRPr="009F1B6D">
              <w:rPr>
                <w:sz w:val="20"/>
                <w:szCs w:val="20"/>
                <w:lang w:val="fr-CA"/>
              </w:rPr>
              <w:t>(Juges Kirkpatrick, Garson et Harris)</w:t>
            </w:r>
          </w:p>
          <w:p w:rsidR="005C3B9D" w:rsidRPr="009F1B6D" w:rsidRDefault="00CD76E4" w:rsidP="008F5FE2">
            <w:pPr>
              <w:jc w:val="both"/>
              <w:rPr>
                <w:sz w:val="20"/>
                <w:szCs w:val="20"/>
                <w:lang w:val="fr-CA"/>
              </w:rPr>
            </w:pPr>
            <w:hyperlink r:id="rId74" w:history="1">
              <w:r w:rsidR="005C3B9D" w:rsidRPr="009F1B6D">
                <w:rPr>
                  <w:color w:val="0000FF" w:themeColor="hyperlink"/>
                  <w:sz w:val="20"/>
                  <w:szCs w:val="20"/>
                  <w:u w:val="single"/>
                  <w:lang w:val="fr-CA"/>
                </w:rPr>
                <w:t>2015 BCCA 277</w:t>
              </w:r>
            </w:hyperlink>
          </w:p>
          <w:p w:rsidR="005C3B9D" w:rsidRPr="009F1B6D" w:rsidRDefault="005C3B9D" w:rsidP="008F5FE2">
            <w:pPr>
              <w:jc w:val="both"/>
              <w:rPr>
                <w:sz w:val="20"/>
                <w:szCs w:val="20"/>
                <w:lang w:val="fr-CA"/>
              </w:rPr>
            </w:pPr>
          </w:p>
        </w:tc>
        <w:tc>
          <w:tcPr>
            <w:tcW w:w="243" w:type="pct"/>
          </w:tcPr>
          <w:p w:rsidR="005C3B9D" w:rsidRPr="009F1B6D" w:rsidRDefault="005C3B9D" w:rsidP="008F5FE2">
            <w:pPr>
              <w:jc w:val="both"/>
              <w:rPr>
                <w:sz w:val="20"/>
                <w:szCs w:val="20"/>
                <w:lang w:val="fr-CA"/>
              </w:rPr>
            </w:pPr>
          </w:p>
        </w:tc>
        <w:tc>
          <w:tcPr>
            <w:tcW w:w="2330" w:type="pct"/>
          </w:tcPr>
          <w:p w:rsidR="005C3B9D" w:rsidRPr="009F1B6D" w:rsidRDefault="005C3B9D" w:rsidP="008F5FE2">
            <w:pPr>
              <w:jc w:val="both"/>
              <w:rPr>
                <w:sz w:val="20"/>
                <w:szCs w:val="20"/>
                <w:lang w:val="fr-CA"/>
              </w:rPr>
            </w:pPr>
            <w:r w:rsidRPr="009F1B6D">
              <w:rPr>
                <w:sz w:val="20"/>
                <w:szCs w:val="20"/>
                <w:lang w:val="fr-CA"/>
              </w:rPr>
              <w:t>Arrêt accueillant l’appel, annulant le jugement de la Cour suprême de la Colombie-Britannique et rejetant la demande de jugement déclarant que l’assureur a l’obligation de défendre</w:t>
            </w:r>
          </w:p>
          <w:p w:rsidR="005C3B9D" w:rsidRPr="009F1B6D" w:rsidRDefault="005C3B9D" w:rsidP="008F5FE2">
            <w:pPr>
              <w:jc w:val="both"/>
              <w:rPr>
                <w:sz w:val="20"/>
                <w:szCs w:val="20"/>
                <w:lang w:val="fr-CA"/>
              </w:rPr>
            </w:pPr>
          </w:p>
        </w:tc>
      </w:tr>
      <w:tr w:rsidR="005C3B9D" w:rsidRPr="00B26F8D" w:rsidTr="008F5FE2">
        <w:tc>
          <w:tcPr>
            <w:tcW w:w="2427" w:type="pct"/>
          </w:tcPr>
          <w:p w:rsidR="005C3B9D" w:rsidRPr="009F1B6D" w:rsidRDefault="005C3B9D" w:rsidP="008F5FE2">
            <w:pPr>
              <w:jc w:val="both"/>
              <w:rPr>
                <w:sz w:val="20"/>
                <w:szCs w:val="20"/>
                <w:lang w:val="fr-CA"/>
              </w:rPr>
            </w:pPr>
            <w:r w:rsidRPr="009F1B6D">
              <w:rPr>
                <w:sz w:val="20"/>
                <w:szCs w:val="20"/>
                <w:lang w:val="fr-CA"/>
              </w:rPr>
              <w:t>27 août 2015</w:t>
            </w:r>
          </w:p>
          <w:p w:rsidR="005C3B9D" w:rsidRPr="009F1B6D" w:rsidRDefault="005C3B9D" w:rsidP="008F5FE2">
            <w:pPr>
              <w:jc w:val="both"/>
              <w:rPr>
                <w:sz w:val="20"/>
                <w:szCs w:val="20"/>
                <w:lang w:val="fr-CA"/>
              </w:rPr>
            </w:pPr>
            <w:r w:rsidRPr="009F1B6D">
              <w:rPr>
                <w:sz w:val="20"/>
                <w:szCs w:val="20"/>
                <w:lang w:val="fr-CA"/>
              </w:rPr>
              <w:t>Cour suprême du Canada</w:t>
            </w:r>
          </w:p>
        </w:tc>
        <w:tc>
          <w:tcPr>
            <w:tcW w:w="243" w:type="pct"/>
          </w:tcPr>
          <w:p w:rsidR="005C3B9D" w:rsidRPr="009F1B6D" w:rsidRDefault="005C3B9D" w:rsidP="008F5FE2">
            <w:pPr>
              <w:jc w:val="both"/>
              <w:rPr>
                <w:sz w:val="20"/>
                <w:szCs w:val="20"/>
                <w:lang w:val="fr-CA"/>
              </w:rPr>
            </w:pPr>
          </w:p>
        </w:tc>
        <w:tc>
          <w:tcPr>
            <w:tcW w:w="2330" w:type="pct"/>
          </w:tcPr>
          <w:p w:rsidR="005C3B9D" w:rsidRPr="009F1B6D" w:rsidRDefault="005C3B9D" w:rsidP="008F5FE2">
            <w:pPr>
              <w:jc w:val="both"/>
              <w:rPr>
                <w:sz w:val="20"/>
                <w:szCs w:val="20"/>
                <w:lang w:val="fr-CA"/>
              </w:rPr>
            </w:pPr>
            <w:r w:rsidRPr="009F1B6D">
              <w:rPr>
                <w:sz w:val="20"/>
                <w:szCs w:val="20"/>
                <w:lang w:val="fr-CA"/>
              </w:rPr>
              <w:t>Dépôt de la demande d’autorisation d’appel</w:t>
            </w:r>
          </w:p>
          <w:p w:rsidR="005C3B9D" w:rsidRPr="009F1B6D" w:rsidRDefault="005C3B9D" w:rsidP="008F5FE2">
            <w:pPr>
              <w:jc w:val="both"/>
              <w:rPr>
                <w:sz w:val="20"/>
                <w:szCs w:val="20"/>
                <w:lang w:val="fr-CA"/>
              </w:rPr>
            </w:pPr>
          </w:p>
        </w:tc>
      </w:tr>
    </w:tbl>
    <w:p w:rsidR="005C3B9D" w:rsidRPr="003824D3" w:rsidRDefault="005C3B9D" w:rsidP="005C3B9D">
      <w:pPr>
        <w:rPr>
          <w:sz w:val="20"/>
          <w:szCs w:val="20"/>
          <w:lang w:val="fr-CA"/>
        </w:rPr>
      </w:pPr>
    </w:p>
    <w:p w:rsidR="005C3B9D" w:rsidRDefault="00CD76E4" w:rsidP="005C3B9D">
      <w:pPr>
        <w:rPr>
          <w:sz w:val="20"/>
          <w:szCs w:val="20"/>
        </w:rPr>
      </w:pPr>
      <w:r>
        <w:rPr>
          <w:sz w:val="20"/>
          <w:szCs w:val="20"/>
          <w:lang w:val="fr-CA"/>
        </w:rPr>
        <w:pict>
          <v:rect id="_x0000_i1063"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w:t>
            </w:r>
            <w:r>
              <w:rPr>
                <w:rStyle w:val="SCCFileNumberChar"/>
                <w:sz w:val="20"/>
                <w:szCs w:val="20"/>
              </w:rPr>
              <w:t>596</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en-US"/>
              </w:rPr>
              <w:t>Bao Quoc Nguyen, Kien Binh Tu and Bao Tri Nguyen v. Her Majesty the Queen</w:t>
            </w:r>
            <w:r w:rsidRPr="0041388B">
              <w:rPr>
                <w:sz w:val="20"/>
                <w:szCs w:val="24"/>
              </w:rPr>
              <w:t xml:space="preserve"> (Ont.) (Criminal)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Cromwell, Wagner and Côté</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motions for an extension of time to serve and file the application for leave to appeal and the response to the application for leave to appeal are granted. The application for leave to appeal from the judgment of the Court of Appeal for Ontario, Numbers C51500, C52618 and C52619, 2015 ONCA 278, dated April 24, 2015, is dismissed with no order as to costs.</w:t>
            </w:r>
          </w:p>
          <w:p w:rsidR="005C3B9D" w:rsidRDefault="005C3B9D" w:rsidP="008F5FE2">
            <w:pPr>
              <w:pStyle w:val="SCCShortJudgment"/>
              <w:ind w:firstLine="0"/>
            </w:pPr>
          </w:p>
          <w:p w:rsidR="005C3B9D" w:rsidRPr="00A73D2C" w:rsidRDefault="005C3B9D" w:rsidP="008F5FE2">
            <w:pPr>
              <w:pStyle w:val="SCCShortJudgment"/>
              <w:rPr>
                <w:szCs w:val="20"/>
                <w:lang w:val="fr-CA"/>
              </w:rPr>
            </w:pPr>
            <w:r w:rsidRPr="001E7626">
              <w:rPr>
                <w:lang w:val="fr-CA"/>
              </w:rPr>
              <w:t>Les requêtes en prorogation du délai de signification et de dépôt de la demande d’autorisation d’appel et de la réponse à la demande d’autorisation d’appel sont accueillies. La demande d’autorisation d’appel de l’arrêt de la Cour d’appel de l’Ontario, numéros C51500, C52618 et C52619, 2015 ONCA 278, daté du 24 avril 2015, est rejetée sans ordonnance quant aux dépens.</w:t>
            </w:r>
          </w:p>
        </w:tc>
      </w:tr>
    </w:tbl>
    <w:p w:rsidR="005C3B9D" w:rsidRPr="0016547E" w:rsidRDefault="005C3B9D" w:rsidP="005C3B9D">
      <w:pPr>
        <w:rPr>
          <w:sz w:val="20"/>
          <w:szCs w:val="20"/>
          <w:lang w:val="fr-CA"/>
        </w:rPr>
      </w:pPr>
    </w:p>
    <w:p w:rsidR="005C3B9D" w:rsidRPr="00EB28AB" w:rsidRDefault="005C3B9D" w:rsidP="005C3B9D">
      <w:pPr>
        <w:rPr>
          <w:sz w:val="20"/>
          <w:szCs w:val="20"/>
          <w:u w:val="single"/>
        </w:rPr>
      </w:pPr>
      <w:r w:rsidRPr="00EB28AB">
        <w:rPr>
          <w:sz w:val="20"/>
          <w:szCs w:val="20"/>
          <w:u w:val="single"/>
        </w:rPr>
        <w:t>CASE SUMMARY</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77583" w:rsidTr="008F5FE2">
        <w:tc>
          <w:tcPr>
            <w:tcW w:w="5000" w:type="pct"/>
            <w:gridSpan w:val="3"/>
          </w:tcPr>
          <w:p w:rsidR="005C3B9D" w:rsidRDefault="005C3B9D" w:rsidP="008F5FE2">
            <w:pPr>
              <w:jc w:val="both"/>
              <w:rPr>
                <w:sz w:val="20"/>
                <w:szCs w:val="20"/>
              </w:rPr>
            </w:pPr>
            <w:r w:rsidRPr="00B77583">
              <w:rPr>
                <w:i/>
                <w:sz w:val="20"/>
                <w:szCs w:val="20"/>
              </w:rPr>
              <w:t xml:space="preserve">Canadian Charter of Rights and Freedoms </w:t>
            </w:r>
            <w:r w:rsidRPr="00B77583">
              <w:rPr>
                <w:sz w:val="20"/>
                <w:szCs w:val="20"/>
              </w:rPr>
              <w:t xml:space="preserve">– Criminal law – Evidence – Spousal incompetency rule – Should the statutory material communications privilege in s. 4(3) of the </w:t>
            </w:r>
            <w:r w:rsidRPr="00B77583">
              <w:rPr>
                <w:i/>
                <w:sz w:val="20"/>
                <w:szCs w:val="20"/>
              </w:rPr>
              <w:t>Canada Evidence Act</w:t>
            </w:r>
            <w:r w:rsidRPr="00B77583">
              <w:rPr>
                <w:sz w:val="20"/>
                <w:szCs w:val="20"/>
              </w:rPr>
              <w:t xml:space="preserve"> include common-law spouses so that it does not violate s. 15(1) of the </w:t>
            </w:r>
            <w:r w:rsidRPr="00B77583">
              <w:rPr>
                <w:i/>
                <w:sz w:val="20"/>
                <w:szCs w:val="20"/>
              </w:rPr>
              <w:t>Charter</w:t>
            </w:r>
            <w:r w:rsidRPr="00B77583">
              <w:rPr>
                <w:sz w:val="20"/>
                <w:szCs w:val="20"/>
              </w:rPr>
              <w:t>? – Would violation be saved by s. 1? – Alternatively, should the words “husband” and “wife” in s. 4 (3) be interpreted to include a common-law husband and wife?</w:t>
            </w:r>
          </w:p>
          <w:p w:rsidR="005C3B9D" w:rsidRPr="00B77583" w:rsidRDefault="005C3B9D" w:rsidP="008F5FE2">
            <w:pPr>
              <w:jc w:val="both"/>
              <w:rPr>
                <w:sz w:val="20"/>
                <w:szCs w:val="20"/>
              </w:rPr>
            </w:pPr>
          </w:p>
        </w:tc>
      </w:tr>
      <w:tr w:rsidR="005C3B9D" w:rsidRPr="00B77583" w:rsidTr="008F5FE2">
        <w:tc>
          <w:tcPr>
            <w:tcW w:w="5000" w:type="pct"/>
            <w:gridSpan w:val="3"/>
          </w:tcPr>
          <w:p w:rsidR="005C3B9D" w:rsidRDefault="005C3B9D" w:rsidP="008F5FE2">
            <w:pPr>
              <w:jc w:val="both"/>
              <w:rPr>
                <w:rFonts w:eastAsia="Times New Roman" w:cs="Times New Roman"/>
                <w:sz w:val="20"/>
                <w:szCs w:val="20"/>
                <w:lang w:val="en" w:eastAsia="en-CA"/>
              </w:rPr>
            </w:pPr>
            <w:r w:rsidRPr="00B77583">
              <w:rPr>
                <w:rFonts w:eastAsia="Times New Roman" w:cs="Times New Roman"/>
                <w:sz w:val="20"/>
                <w:szCs w:val="20"/>
                <w:lang w:val="en" w:eastAsia="en-CA"/>
              </w:rPr>
              <w:lastRenderedPageBreak/>
              <w:t xml:space="preserve">Quang Thi Nguyen was shot and killed in a bar by an unidentified shooter. </w:t>
            </w:r>
            <w:r w:rsidRPr="00B77583">
              <w:rPr>
                <w:rFonts w:eastAsia="Times New Roman" w:cs="Times New Roman"/>
                <w:sz w:val="20"/>
                <w:szCs w:val="20"/>
                <w:lang w:eastAsia="en-CA"/>
              </w:rPr>
              <w:t xml:space="preserve">Following a jury trial, Bao Duc Nguyen and Kien Binh Tu were convicted of first degree murder in his death and Bao Tri Nguyen was convicted of being an accessory after the fact to first degree murder. The Crown called as witnesses the common law spouses of Bao Duc Nguyen and Bao Tri Nguyen, and introduced certain out of court statements from the common law spouse of Bao Duc Nguyen.  Their appeals from conviction were </w:t>
            </w:r>
            <w:r w:rsidRPr="00B77583">
              <w:rPr>
                <w:rFonts w:eastAsia="Times New Roman" w:cs="Times New Roman"/>
                <w:sz w:val="20"/>
                <w:szCs w:val="20"/>
                <w:lang w:val="en" w:eastAsia="en-CA"/>
              </w:rPr>
              <w:t xml:space="preserve">dismissed. The Court of Appeal would not extend the spousal incompetency rule in s. 4(3) of the </w:t>
            </w:r>
            <w:r w:rsidRPr="00B77583">
              <w:rPr>
                <w:rFonts w:eastAsia="Times New Roman" w:cs="Times New Roman"/>
                <w:i/>
                <w:sz w:val="20"/>
                <w:szCs w:val="20"/>
                <w:lang w:val="en" w:eastAsia="en-CA"/>
              </w:rPr>
              <w:t xml:space="preserve">Canada Evidence Act </w:t>
            </w:r>
            <w:r w:rsidRPr="00B77583">
              <w:rPr>
                <w:rFonts w:eastAsia="Times New Roman" w:cs="Times New Roman"/>
                <w:sz w:val="20"/>
                <w:szCs w:val="20"/>
                <w:lang w:val="en" w:eastAsia="en-CA"/>
              </w:rPr>
              <w:t xml:space="preserve">to common law spouses. Although it was discriminatory, it was justified under s. 1 of the </w:t>
            </w:r>
            <w:r w:rsidRPr="00B77583">
              <w:rPr>
                <w:rFonts w:eastAsia="Times New Roman" w:cs="Times New Roman"/>
                <w:i/>
                <w:sz w:val="20"/>
                <w:szCs w:val="20"/>
                <w:lang w:val="en" w:eastAsia="en-CA"/>
              </w:rPr>
              <w:t>Charter</w:t>
            </w:r>
            <w:r w:rsidRPr="00B77583">
              <w:rPr>
                <w:rFonts w:eastAsia="Times New Roman" w:cs="Times New Roman"/>
                <w:sz w:val="20"/>
                <w:szCs w:val="20"/>
                <w:lang w:val="en" w:eastAsia="en-CA"/>
              </w:rPr>
              <w:t>.</w:t>
            </w:r>
          </w:p>
          <w:p w:rsidR="005C3B9D" w:rsidRPr="00B77583" w:rsidRDefault="005C3B9D" w:rsidP="008F5FE2">
            <w:pPr>
              <w:jc w:val="both"/>
              <w:rPr>
                <w:rFonts w:eastAsia="Times New Roman" w:cs="Times New Roman"/>
                <w:sz w:val="20"/>
                <w:szCs w:val="20"/>
                <w:lang w:val="en" w:eastAsia="en-CA"/>
              </w:rPr>
            </w:pPr>
          </w:p>
        </w:tc>
      </w:tr>
      <w:tr w:rsidR="005C3B9D" w:rsidRPr="00B77583" w:rsidTr="008F5FE2">
        <w:tc>
          <w:tcPr>
            <w:tcW w:w="2427" w:type="pct"/>
          </w:tcPr>
          <w:p w:rsidR="005C3B9D" w:rsidRPr="00B77583" w:rsidRDefault="005C3B9D" w:rsidP="008F5FE2">
            <w:pPr>
              <w:jc w:val="both"/>
              <w:rPr>
                <w:sz w:val="20"/>
                <w:szCs w:val="20"/>
              </w:rPr>
            </w:pPr>
            <w:r w:rsidRPr="00B77583">
              <w:rPr>
                <w:sz w:val="20"/>
                <w:szCs w:val="20"/>
              </w:rPr>
              <w:t>December 13, 2009</w:t>
            </w:r>
          </w:p>
          <w:p w:rsidR="005C3B9D" w:rsidRPr="00B77583" w:rsidRDefault="005C3B9D" w:rsidP="008F5FE2">
            <w:pPr>
              <w:jc w:val="both"/>
              <w:rPr>
                <w:sz w:val="20"/>
                <w:szCs w:val="20"/>
              </w:rPr>
            </w:pPr>
            <w:r w:rsidRPr="00B77583">
              <w:rPr>
                <w:sz w:val="20"/>
                <w:szCs w:val="20"/>
              </w:rPr>
              <w:t>Superior Court of Justice</w:t>
            </w:r>
          </w:p>
          <w:p w:rsidR="005C3B9D" w:rsidRPr="00B77583" w:rsidRDefault="005C3B9D" w:rsidP="008F5FE2">
            <w:pPr>
              <w:jc w:val="both"/>
              <w:rPr>
                <w:b/>
                <w:sz w:val="20"/>
                <w:szCs w:val="20"/>
              </w:rPr>
            </w:pPr>
            <w:r w:rsidRPr="00B77583">
              <w:rPr>
                <w:sz w:val="20"/>
                <w:szCs w:val="20"/>
              </w:rPr>
              <w:t>(Tulloch J.)</w:t>
            </w:r>
          </w:p>
        </w:tc>
        <w:tc>
          <w:tcPr>
            <w:tcW w:w="243" w:type="pct"/>
          </w:tcPr>
          <w:p w:rsidR="005C3B9D" w:rsidRPr="00B77583" w:rsidRDefault="005C3B9D" w:rsidP="008F5FE2">
            <w:pPr>
              <w:jc w:val="both"/>
              <w:rPr>
                <w:b/>
                <w:sz w:val="20"/>
                <w:szCs w:val="20"/>
              </w:rPr>
            </w:pPr>
          </w:p>
        </w:tc>
        <w:tc>
          <w:tcPr>
            <w:tcW w:w="2330" w:type="pct"/>
          </w:tcPr>
          <w:p w:rsidR="005C3B9D" w:rsidRPr="00B77583" w:rsidRDefault="005C3B9D" w:rsidP="008F5FE2">
            <w:pPr>
              <w:jc w:val="both"/>
              <w:rPr>
                <w:sz w:val="20"/>
                <w:szCs w:val="20"/>
              </w:rPr>
            </w:pPr>
            <w:r w:rsidRPr="00B77583">
              <w:rPr>
                <w:sz w:val="20"/>
                <w:szCs w:val="20"/>
              </w:rPr>
              <w:t>Convictions: first degree murder (Bao Duc Nguyen and Kien Binh Tu); accessory after the fact to first degree murder (Bao Tri Nguyen)</w:t>
            </w:r>
          </w:p>
          <w:p w:rsidR="005C3B9D" w:rsidRPr="00B77583" w:rsidRDefault="005C3B9D" w:rsidP="008F5FE2">
            <w:pPr>
              <w:jc w:val="both"/>
              <w:rPr>
                <w:b/>
                <w:sz w:val="20"/>
                <w:szCs w:val="20"/>
              </w:rPr>
            </w:pPr>
          </w:p>
        </w:tc>
      </w:tr>
      <w:tr w:rsidR="005C3B9D" w:rsidRPr="00B77583" w:rsidTr="008F5FE2">
        <w:tc>
          <w:tcPr>
            <w:tcW w:w="2427" w:type="pct"/>
          </w:tcPr>
          <w:p w:rsidR="005C3B9D" w:rsidRPr="00B77583" w:rsidRDefault="005C3B9D" w:rsidP="008F5FE2">
            <w:pPr>
              <w:jc w:val="both"/>
              <w:rPr>
                <w:sz w:val="20"/>
                <w:szCs w:val="20"/>
              </w:rPr>
            </w:pPr>
            <w:r w:rsidRPr="00B77583">
              <w:rPr>
                <w:sz w:val="20"/>
                <w:szCs w:val="20"/>
              </w:rPr>
              <w:t>April 24, 2015</w:t>
            </w:r>
          </w:p>
          <w:p w:rsidR="005C3B9D" w:rsidRPr="00B77583" w:rsidRDefault="005C3B9D" w:rsidP="008F5FE2">
            <w:pPr>
              <w:jc w:val="both"/>
              <w:rPr>
                <w:sz w:val="20"/>
                <w:szCs w:val="20"/>
              </w:rPr>
            </w:pPr>
            <w:r w:rsidRPr="00B77583">
              <w:rPr>
                <w:sz w:val="20"/>
                <w:szCs w:val="20"/>
              </w:rPr>
              <w:t>Court of Appeal for Ontario</w:t>
            </w:r>
          </w:p>
          <w:p w:rsidR="005C3B9D" w:rsidRPr="00B77583" w:rsidRDefault="005C3B9D" w:rsidP="008F5FE2">
            <w:pPr>
              <w:jc w:val="both"/>
              <w:rPr>
                <w:sz w:val="20"/>
                <w:szCs w:val="20"/>
              </w:rPr>
            </w:pPr>
            <w:r w:rsidRPr="00B77583">
              <w:rPr>
                <w:sz w:val="20"/>
                <w:szCs w:val="20"/>
              </w:rPr>
              <w:t>(Weiler, Gillese, and van Rensburg JJ.A.)</w:t>
            </w:r>
          </w:p>
          <w:p w:rsidR="005C3B9D" w:rsidRPr="00B77583" w:rsidRDefault="005C3B9D" w:rsidP="008F5FE2">
            <w:pPr>
              <w:jc w:val="both"/>
              <w:rPr>
                <w:sz w:val="20"/>
                <w:szCs w:val="20"/>
              </w:rPr>
            </w:pPr>
            <w:r w:rsidRPr="00B77583">
              <w:rPr>
                <w:sz w:val="20"/>
                <w:szCs w:val="20"/>
              </w:rPr>
              <w:t xml:space="preserve">Neutral citation: </w:t>
            </w:r>
            <w:hyperlink r:id="rId75" w:history="1">
              <w:r w:rsidRPr="00B77583">
                <w:rPr>
                  <w:color w:val="0000FF" w:themeColor="hyperlink"/>
                  <w:sz w:val="20"/>
                  <w:szCs w:val="20"/>
                  <w:u w:val="single"/>
                </w:rPr>
                <w:t>2015 ONCA 278</w:t>
              </w:r>
            </w:hyperlink>
          </w:p>
          <w:p w:rsidR="005C3B9D" w:rsidRPr="00B77583" w:rsidRDefault="005C3B9D" w:rsidP="008F5FE2">
            <w:pPr>
              <w:jc w:val="both"/>
              <w:rPr>
                <w:sz w:val="20"/>
                <w:szCs w:val="20"/>
              </w:rPr>
            </w:pPr>
          </w:p>
        </w:tc>
        <w:tc>
          <w:tcPr>
            <w:tcW w:w="243" w:type="pct"/>
          </w:tcPr>
          <w:p w:rsidR="005C3B9D" w:rsidRPr="00B77583" w:rsidRDefault="005C3B9D" w:rsidP="008F5FE2">
            <w:pPr>
              <w:jc w:val="both"/>
              <w:rPr>
                <w:sz w:val="20"/>
                <w:szCs w:val="20"/>
              </w:rPr>
            </w:pPr>
          </w:p>
        </w:tc>
        <w:tc>
          <w:tcPr>
            <w:tcW w:w="2330" w:type="pct"/>
          </w:tcPr>
          <w:p w:rsidR="005C3B9D" w:rsidRPr="00B77583" w:rsidRDefault="005C3B9D" w:rsidP="008F5FE2">
            <w:pPr>
              <w:jc w:val="both"/>
              <w:rPr>
                <w:sz w:val="20"/>
                <w:szCs w:val="20"/>
              </w:rPr>
            </w:pPr>
            <w:r w:rsidRPr="00B77583">
              <w:rPr>
                <w:sz w:val="20"/>
                <w:szCs w:val="20"/>
              </w:rPr>
              <w:t>Appeals dismissed</w:t>
            </w:r>
          </w:p>
          <w:p w:rsidR="005C3B9D" w:rsidRPr="00B77583" w:rsidRDefault="005C3B9D" w:rsidP="008F5FE2">
            <w:pPr>
              <w:jc w:val="both"/>
              <w:rPr>
                <w:sz w:val="20"/>
                <w:szCs w:val="20"/>
              </w:rPr>
            </w:pPr>
          </w:p>
        </w:tc>
      </w:tr>
      <w:tr w:rsidR="005C3B9D" w:rsidRPr="00B77583" w:rsidTr="008F5FE2">
        <w:tc>
          <w:tcPr>
            <w:tcW w:w="2427" w:type="pct"/>
          </w:tcPr>
          <w:p w:rsidR="005C3B9D" w:rsidRPr="00B77583" w:rsidRDefault="005C3B9D" w:rsidP="008F5FE2">
            <w:pPr>
              <w:jc w:val="both"/>
              <w:rPr>
                <w:sz w:val="20"/>
                <w:szCs w:val="20"/>
              </w:rPr>
            </w:pPr>
            <w:r w:rsidRPr="00B77583">
              <w:rPr>
                <w:sz w:val="20"/>
                <w:szCs w:val="20"/>
              </w:rPr>
              <w:t>September 4, 2015</w:t>
            </w:r>
          </w:p>
          <w:p w:rsidR="005C3B9D" w:rsidRPr="00B77583" w:rsidRDefault="005C3B9D" w:rsidP="008F5FE2">
            <w:pPr>
              <w:jc w:val="both"/>
              <w:rPr>
                <w:sz w:val="20"/>
                <w:szCs w:val="20"/>
              </w:rPr>
            </w:pPr>
            <w:r w:rsidRPr="00B77583">
              <w:rPr>
                <w:sz w:val="20"/>
                <w:szCs w:val="20"/>
              </w:rPr>
              <w:t>Supreme Court of Canada</w:t>
            </w:r>
          </w:p>
        </w:tc>
        <w:tc>
          <w:tcPr>
            <w:tcW w:w="243" w:type="pct"/>
          </w:tcPr>
          <w:p w:rsidR="005C3B9D" w:rsidRPr="00B77583" w:rsidRDefault="005C3B9D" w:rsidP="008F5FE2">
            <w:pPr>
              <w:jc w:val="both"/>
              <w:rPr>
                <w:sz w:val="20"/>
                <w:szCs w:val="20"/>
              </w:rPr>
            </w:pPr>
          </w:p>
        </w:tc>
        <w:tc>
          <w:tcPr>
            <w:tcW w:w="2330" w:type="pct"/>
          </w:tcPr>
          <w:p w:rsidR="005C3B9D" w:rsidRPr="00B77583" w:rsidRDefault="005C3B9D" w:rsidP="008F5FE2">
            <w:pPr>
              <w:jc w:val="both"/>
              <w:rPr>
                <w:sz w:val="20"/>
                <w:szCs w:val="20"/>
              </w:rPr>
            </w:pPr>
            <w:r w:rsidRPr="00B77583">
              <w:rPr>
                <w:sz w:val="20"/>
                <w:szCs w:val="20"/>
              </w:rPr>
              <w:t>Motion to extend time to serve and file application for leave to appeal and application for leave to appeal filed</w:t>
            </w:r>
          </w:p>
        </w:tc>
      </w:tr>
    </w:tbl>
    <w:p w:rsidR="005C3B9D" w:rsidRDefault="005C3B9D" w:rsidP="005C3B9D">
      <w:pPr>
        <w:rPr>
          <w:sz w:val="20"/>
          <w:szCs w:val="20"/>
        </w:rPr>
      </w:pPr>
    </w:p>
    <w:p w:rsidR="005C3B9D" w:rsidRPr="00C50A5C" w:rsidRDefault="00CD76E4" w:rsidP="005C3B9D">
      <w:pPr>
        <w:rPr>
          <w:sz w:val="20"/>
          <w:szCs w:val="20"/>
        </w:rPr>
      </w:pPr>
      <w:r>
        <w:rPr>
          <w:sz w:val="20"/>
          <w:szCs w:val="20"/>
          <w:lang w:val="fr-CA"/>
        </w:rPr>
        <w:pict>
          <v:rect id="_x0000_i1064" style="width:2in;height:1pt" o:hrpct="0" o:hralign="center" o:hrstd="t" o:hrnoshade="t" o:hr="t" fillcolor="black [3213]" stroked="f"/>
        </w:pict>
      </w:r>
    </w:p>
    <w:p w:rsidR="005C3B9D" w:rsidRPr="00FB2D5E" w:rsidRDefault="005C3B9D" w:rsidP="005C3B9D">
      <w:pPr>
        <w:rPr>
          <w:sz w:val="20"/>
          <w:szCs w:val="20"/>
        </w:rPr>
      </w:pPr>
    </w:p>
    <w:p w:rsidR="005C3B9D" w:rsidRPr="00FB2D5E" w:rsidRDefault="005C3B9D" w:rsidP="005C3B9D">
      <w:pPr>
        <w:rPr>
          <w:sz w:val="20"/>
          <w:szCs w:val="20"/>
          <w:u w:val="single"/>
          <w:lang w:val="fr-CA"/>
        </w:rPr>
      </w:pPr>
      <w:r w:rsidRPr="00FB2D5E">
        <w:rPr>
          <w:sz w:val="20"/>
          <w:szCs w:val="20"/>
          <w:u w:val="single"/>
          <w:lang w:val="fr-CA"/>
        </w:rPr>
        <w:t>RÉSUMÉ DE L’AFFAIRE</w:t>
      </w:r>
    </w:p>
    <w:p w:rsidR="005C3B9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Default="005C3B9D" w:rsidP="008F5FE2">
            <w:pPr>
              <w:jc w:val="both"/>
              <w:rPr>
                <w:sz w:val="20"/>
                <w:szCs w:val="20"/>
                <w:lang w:val="fr-CA"/>
              </w:rPr>
            </w:pPr>
            <w:r w:rsidRPr="007140D3">
              <w:rPr>
                <w:i/>
                <w:sz w:val="20"/>
                <w:szCs w:val="20"/>
                <w:lang w:val="fr-CA"/>
              </w:rPr>
              <w:t xml:space="preserve">Charte canadienne des droits et libertés </w:t>
            </w:r>
            <w:r w:rsidRPr="007140D3">
              <w:rPr>
                <w:sz w:val="20"/>
                <w:szCs w:val="20"/>
                <w:lang w:val="fr-CA"/>
              </w:rPr>
              <w:t xml:space="preserve">– Droit criminel – Preuve – Règle de l’inhabilité du conjoint à témoigner – Le privilège relatif aux communications entre conjoints prévu au par. 4(3) de la </w:t>
            </w:r>
            <w:r w:rsidRPr="007140D3">
              <w:rPr>
                <w:i/>
                <w:sz w:val="20"/>
                <w:szCs w:val="20"/>
                <w:lang w:val="fr-CA"/>
              </w:rPr>
              <w:t xml:space="preserve">Loi sur la preuve au Canada </w:t>
            </w:r>
            <w:r w:rsidRPr="007140D3">
              <w:rPr>
                <w:sz w:val="20"/>
                <w:szCs w:val="20"/>
                <w:lang w:val="fr-CA"/>
              </w:rPr>
              <w:t xml:space="preserve">s’applique-t-il aux conjoints de fait, ce qui l’empêche de violer le par. 15(1) de la </w:t>
            </w:r>
            <w:r w:rsidRPr="007140D3">
              <w:rPr>
                <w:i/>
                <w:sz w:val="20"/>
                <w:szCs w:val="20"/>
                <w:lang w:val="fr-CA"/>
              </w:rPr>
              <w:t>Charte</w:t>
            </w:r>
            <w:r w:rsidRPr="007140D3">
              <w:rPr>
                <w:sz w:val="20"/>
                <w:szCs w:val="20"/>
                <w:lang w:val="fr-CA"/>
              </w:rPr>
              <w:t>? – La violation, s’il en est, est-elle sauvegardée par l’article premier? – Subsidiairement, le mot « conjoint » qui figure au par. 4 (3) doit-il s’entendre du conjoint de fait et de l’épouse?</w:t>
            </w:r>
          </w:p>
          <w:p w:rsidR="005C3B9D" w:rsidRPr="007140D3" w:rsidRDefault="005C3B9D" w:rsidP="008F5FE2">
            <w:pPr>
              <w:jc w:val="both"/>
              <w:rPr>
                <w:sz w:val="20"/>
                <w:szCs w:val="20"/>
                <w:lang w:val="fr-CA"/>
              </w:rPr>
            </w:pPr>
          </w:p>
        </w:tc>
      </w:tr>
      <w:tr w:rsidR="005C3B9D" w:rsidRPr="00B26F8D" w:rsidTr="008F5FE2">
        <w:tc>
          <w:tcPr>
            <w:tcW w:w="5000" w:type="pct"/>
            <w:gridSpan w:val="3"/>
          </w:tcPr>
          <w:p w:rsidR="005C3B9D" w:rsidRDefault="005C3B9D" w:rsidP="008F5FE2">
            <w:pPr>
              <w:jc w:val="both"/>
              <w:rPr>
                <w:rFonts w:eastAsia="Times New Roman" w:cs="Times New Roman"/>
                <w:sz w:val="20"/>
                <w:szCs w:val="20"/>
                <w:lang w:val="fr-CA" w:eastAsia="en-CA"/>
              </w:rPr>
            </w:pPr>
            <w:r w:rsidRPr="007140D3">
              <w:rPr>
                <w:rFonts w:eastAsia="Times New Roman" w:cs="Times New Roman"/>
                <w:sz w:val="20"/>
                <w:szCs w:val="20"/>
                <w:lang w:val="fr-CA" w:eastAsia="en-CA"/>
              </w:rPr>
              <w:t xml:space="preserve">Quang </w:t>
            </w:r>
            <w:proofErr w:type="spellStart"/>
            <w:r w:rsidRPr="007140D3">
              <w:rPr>
                <w:rFonts w:eastAsia="Times New Roman" w:cs="Times New Roman"/>
                <w:sz w:val="20"/>
                <w:szCs w:val="20"/>
                <w:lang w:val="fr-CA" w:eastAsia="en-CA"/>
              </w:rPr>
              <w:t>Thi</w:t>
            </w:r>
            <w:proofErr w:type="spellEnd"/>
            <w:r w:rsidRPr="007140D3">
              <w:rPr>
                <w:rFonts w:eastAsia="Times New Roman" w:cs="Times New Roman"/>
                <w:sz w:val="20"/>
                <w:szCs w:val="20"/>
                <w:lang w:val="fr-CA" w:eastAsia="en-CA"/>
              </w:rPr>
              <w:t xml:space="preserve"> Nguyen a été abattu dans un bar par un tireur non identifié. Au terme d’un procès avec  jury, Bao Duc Nguyen et Kien Binh Tu ont été déclarés coupables de son meurtre au premier degré tandis que Bao Tri Nguyen a été reconnu coupable de complicité pour meurtre au premier degré après le fait. Le ministère public a appelé à témoigner les conjointes de fait de Bao Duc Nguyen et de Bao Tri Nguyen et a produit en preuve certaines déclarations extrajudiciaires de la conjointe de fait de Bao Duc Nguyen. Leurs appels des déclarations de culpabilité ont été rejetés. La Cour d’appel a refusé d’étendre aux conjoints de fait la règle d’inhabilité du conjoint à témoigner établie par le par. 4(3) de la </w:t>
            </w:r>
            <w:r w:rsidRPr="007140D3">
              <w:rPr>
                <w:rFonts w:eastAsia="Times New Roman" w:cs="Times New Roman"/>
                <w:i/>
                <w:sz w:val="20"/>
                <w:szCs w:val="20"/>
                <w:lang w:val="fr-CA" w:eastAsia="en-CA"/>
              </w:rPr>
              <w:t>Loi sur la preuve au Canada</w:t>
            </w:r>
            <w:r w:rsidRPr="007140D3">
              <w:rPr>
                <w:rFonts w:eastAsia="Times New Roman" w:cs="Times New Roman"/>
                <w:sz w:val="20"/>
                <w:szCs w:val="20"/>
                <w:lang w:val="fr-CA" w:eastAsia="en-CA"/>
              </w:rPr>
              <w:t xml:space="preserve">. Cette règle, quoique discriminatoire, était justifiée au regard de l’article premier de la </w:t>
            </w:r>
            <w:r w:rsidRPr="007140D3">
              <w:rPr>
                <w:rFonts w:eastAsia="Times New Roman" w:cs="Times New Roman"/>
                <w:i/>
                <w:sz w:val="20"/>
                <w:szCs w:val="20"/>
                <w:lang w:val="fr-CA" w:eastAsia="en-CA"/>
              </w:rPr>
              <w:t>Charte</w:t>
            </w:r>
            <w:r w:rsidRPr="007140D3">
              <w:rPr>
                <w:rFonts w:eastAsia="Times New Roman" w:cs="Times New Roman"/>
                <w:sz w:val="20"/>
                <w:szCs w:val="20"/>
                <w:lang w:val="fr-CA" w:eastAsia="en-CA"/>
              </w:rPr>
              <w:t>.</w:t>
            </w:r>
          </w:p>
          <w:p w:rsidR="005C3B9D" w:rsidRPr="007140D3" w:rsidRDefault="005C3B9D" w:rsidP="008F5FE2">
            <w:pPr>
              <w:jc w:val="both"/>
              <w:rPr>
                <w:rFonts w:eastAsia="Times New Roman" w:cs="Times New Roman"/>
                <w:sz w:val="20"/>
                <w:szCs w:val="20"/>
                <w:lang w:val="fr-CA" w:eastAsia="en-CA"/>
              </w:rPr>
            </w:pPr>
          </w:p>
        </w:tc>
      </w:tr>
      <w:tr w:rsidR="005C3B9D" w:rsidRPr="00B26F8D" w:rsidTr="008F5FE2">
        <w:tc>
          <w:tcPr>
            <w:tcW w:w="2427" w:type="pct"/>
          </w:tcPr>
          <w:p w:rsidR="005C3B9D" w:rsidRPr="007140D3" w:rsidRDefault="005C3B9D" w:rsidP="008F5FE2">
            <w:pPr>
              <w:jc w:val="both"/>
              <w:rPr>
                <w:sz w:val="20"/>
                <w:szCs w:val="20"/>
                <w:lang w:val="fr-CA"/>
              </w:rPr>
            </w:pPr>
            <w:r w:rsidRPr="007140D3">
              <w:rPr>
                <w:sz w:val="20"/>
                <w:szCs w:val="20"/>
                <w:lang w:val="fr-CA"/>
              </w:rPr>
              <w:t>13 décembre 2009</w:t>
            </w:r>
          </w:p>
          <w:p w:rsidR="005C3B9D" w:rsidRPr="007140D3" w:rsidRDefault="005C3B9D" w:rsidP="008F5FE2">
            <w:pPr>
              <w:jc w:val="both"/>
              <w:rPr>
                <w:sz w:val="20"/>
                <w:szCs w:val="20"/>
                <w:lang w:val="fr-CA"/>
              </w:rPr>
            </w:pPr>
            <w:r w:rsidRPr="007140D3">
              <w:rPr>
                <w:sz w:val="20"/>
                <w:szCs w:val="20"/>
                <w:lang w:val="fr-CA"/>
              </w:rPr>
              <w:t>Cour supérieure de justice</w:t>
            </w:r>
          </w:p>
          <w:p w:rsidR="005C3B9D" w:rsidRPr="007140D3" w:rsidRDefault="005C3B9D" w:rsidP="008F5FE2">
            <w:pPr>
              <w:jc w:val="both"/>
              <w:rPr>
                <w:b/>
                <w:sz w:val="20"/>
                <w:szCs w:val="20"/>
                <w:lang w:val="fr-CA"/>
              </w:rPr>
            </w:pPr>
            <w:r w:rsidRPr="007140D3">
              <w:rPr>
                <w:sz w:val="20"/>
                <w:szCs w:val="20"/>
                <w:lang w:val="fr-CA"/>
              </w:rPr>
              <w:t>(Juge Tulloch)</w:t>
            </w:r>
          </w:p>
        </w:tc>
        <w:tc>
          <w:tcPr>
            <w:tcW w:w="243" w:type="pct"/>
          </w:tcPr>
          <w:p w:rsidR="005C3B9D" w:rsidRPr="007140D3" w:rsidRDefault="005C3B9D" w:rsidP="008F5FE2">
            <w:pPr>
              <w:jc w:val="both"/>
              <w:rPr>
                <w:b/>
                <w:sz w:val="20"/>
                <w:szCs w:val="20"/>
                <w:lang w:val="fr-CA"/>
              </w:rPr>
            </w:pPr>
          </w:p>
        </w:tc>
        <w:tc>
          <w:tcPr>
            <w:tcW w:w="2330" w:type="pct"/>
          </w:tcPr>
          <w:p w:rsidR="005C3B9D" w:rsidRPr="007140D3" w:rsidRDefault="005C3B9D" w:rsidP="008F5FE2">
            <w:pPr>
              <w:jc w:val="both"/>
              <w:rPr>
                <w:sz w:val="20"/>
                <w:szCs w:val="20"/>
                <w:lang w:val="fr-CA"/>
              </w:rPr>
            </w:pPr>
            <w:r w:rsidRPr="007140D3">
              <w:rPr>
                <w:sz w:val="20"/>
                <w:szCs w:val="20"/>
                <w:lang w:val="fr-CA"/>
              </w:rPr>
              <w:t>Déclarations de culpabilité : meurtre au premier degré (Bao Duc Nguyen et Kien Binh Tu); complicité de meurtre au premier degré après le fait (Bao Tri Nguyen)</w:t>
            </w:r>
          </w:p>
          <w:p w:rsidR="005C3B9D" w:rsidRPr="007140D3" w:rsidRDefault="005C3B9D" w:rsidP="008F5FE2">
            <w:pPr>
              <w:jc w:val="both"/>
              <w:rPr>
                <w:b/>
                <w:sz w:val="20"/>
                <w:szCs w:val="20"/>
                <w:lang w:val="fr-CA"/>
              </w:rPr>
            </w:pPr>
          </w:p>
        </w:tc>
      </w:tr>
      <w:tr w:rsidR="005C3B9D" w:rsidRPr="007140D3" w:rsidTr="008F5FE2">
        <w:tc>
          <w:tcPr>
            <w:tcW w:w="2427" w:type="pct"/>
          </w:tcPr>
          <w:p w:rsidR="005C3B9D" w:rsidRPr="007140D3" w:rsidRDefault="005C3B9D" w:rsidP="008F5FE2">
            <w:pPr>
              <w:jc w:val="both"/>
              <w:rPr>
                <w:sz w:val="20"/>
                <w:szCs w:val="20"/>
                <w:lang w:val="fr-CA"/>
              </w:rPr>
            </w:pPr>
            <w:r w:rsidRPr="007140D3">
              <w:rPr>
                <w:sz w:val="20"/>
                <w:szCs w:val="20"/>
                <w:lang w:val="fr-CA"/>
              </w:rPr>
              <w:t>24 avril 2015</w:t>
            </w:r>
          </w:p>
          <w:p w:rsidR="005C3B9D" w:rsidRPr="007140D3" w:rsidRDefault="005C3B9D" w:rsidP="008F5FE2">
            <w:pPr>
              <w:jc w:val="both"/>
              <w:rPr>
                <w:sz w:val="20"/>
                <w:szCs w:val="20"/>
                <w:lang w:val="fr-CA"/>
              </w:rPr>
            </w:pPr>
            <w:r w:rsidRPr="007140D3">
              <w:rPr>
                <w:sz w:val="20"/>
                <w:szCs w:val="20"/>
                <w:lang w:val="fr-CA"/>
              </w:rPr>
              <w:t>Cour d’appel de l’Ontario</w:t>
            </w:r>
          </w:p>
          <w:p w:rsidR="005C3B9D" w:rsidRPr="007140D3" w:rsidRDefault="005C3B9D" w:rsidP="008F5FE2">
            <w:pPr>
              <w:jc w:val="both"/>
              <w:rPr>
                <w:sz w:val="20"/>
                <w:szCs w:val="20"/>
                <w:lang w:val="fr-CA"/>
              </w:rPr>
            </w:pPr>
            <w:r w:rsidRPr="007140D3">
              <w:rPr>
                <w:sz w:val="20"/>
                <w:szCs w:val="20"/>
                <w:lang w:val="fr-CA"/>
              </w:rPr>
              <w:t>(Juges Weiler, Gillese et van Rensburg)</w:t>
            </w:r>
          </w:p>
          <w:p w:rsidR="005C3B9D" w:rsidRPr="007140D3" w:rsidRDefault="005C3B9D" w:rsidP="008F5FE2">
            <w:pPr>
              <w:jc w:val="both"/>
              <w:rPr>
                <w:sz w:val="20"/>
                <w:szCs w:val="20"/>
              </w:rPr>
            </w:pPr>
            <w:r w:rsidRPr="007140D3">
              <w:rPr>
                <w:sz w:val="20"/>
                <w:szCs w:val="20"/>
              </w:rPr>
              <w:t xml:space="preserve">Référence neutre : </w:t>
            </w:r>
            <w:hyperlink r:id="rId76" w:history="1">
              <w:r w:rsidRPr="007140D3">
                <w:rPr>
                  <w:color w:val="0000FF" w:themeColor="hyperlink"/>
                  <w:sz w:val="20"/>
                  <w:szCs w:val="20"/>
                  <w:u w:val="single"/>
                </w:rPr>
                <w:t>2015 ONCA 278</w:t>
              </w:r>
            </w:hyperlink>
          </w:p>
          <w:p w:rsidR="005C3B9D" w:rsidRPr="007140D3" w:rsidRDefault="005C3B9D" w:rsidP="008F5FE2">
            <w:pPr>
              <w:jc w:val="both"/>
              <w:rPr>
                <w:sz w:val="20"/>
                <w:szCs w:val="20"/>
              </w:rPr>
            </w:pPr>
          </w:p>
        </w:tc>
        <w:tc>
          <w:tcPr>
            <w:tcW w:w="243" w:type="pct"/>
          </w:tcPr>
          <w:p w:rsidR="005C3B9D" w:rsidRPr="007140D3" w:rsidRDefault="005C3B9D" w:rsidP="008F5FE2">
            <w:pPr>
              <w:jc w:val="both"/>
              <w:rPr>
                <w:sz w:val="20"/>
                <w:szCs w:val="20"/>
              </w:rPr>
            </w:pPr>
          </w:p>
        </w:tc>
        <w:tc>
          <w:tcPr>
            <w:tcW w:w="2330" w:type="pct"/>
          </w:tcPr>
          <w:p w:rsidR="005C3B9D" w:rsidRPr="007140D3" w:rsidRDefault="005C3B9D" w:rsidP="008F5FE2">
            <w:pPr>
              <w:jc w:val="both"/>
              <w:rPr>
                <w:sz w:val="20"/>
                <w:szCs w:val="20"/>
              </w:rPr>
            </w:pPr>
            <w:r w:rsidRPr="007140D3">
              <w:rPr>
                <w:sz w:val="20"/>
                <w:szCs w:val="20"/>
              </w:rPr>
              <w:t>Rejet des appels</w:t>
            </w:r>
          </w:p>
          <w:p w:rsidR="005C3B9D" w:rsidRPr="007140D3" w:rsidRDefault="005C3B9D" w:rsidP="008F5FE2">
            <w:pPr>
              <w:jc w:val="both"/>
              <w:rPr>
                <w:sz w:val="20"/>
                <w:szCs w:val="20"/>
              </w:rPr>
            </w:pPr>
          </w:p>
        </w:tc>
      </w:tr>
      <w:tr w:rsidR="005C3B9D" w:rsidRPr="00B26F8D" w:rsidTr="008F5FE2">
        <w:tc>
          <w:tcPr>
            <w:tcW w:w="2427" w:type="pct"/>
          </w:tcPr>
          <w:p w:rsidR="005C3B9D" w:rsidRPr="007140D3" w:rsidRDefault="005C3B9D" w:rsidP="008F5FE2">
            <w:pPr>
              <w:jc w:val="both"/>
              <w:rPr>
                <w:sz w:val="20"/>
                <w:szCs w:val="20"/>
                <w:lang w:val="fr-CA"/>
              </w:rPr>
            </w:pPr>
            <w:r w:rsidRPr="007140D3">
              <w:rPr>
                <w:sz w:val="20"/>
                <w:szCs w:val="20"/>
                <w:lang w:val="fr-CA"/>
              </w:rPr>
              <w:t>4 septembre 2015</w:t>
            </w:r>
          </w:p>
          <w:p w:rsidR="005C3B9D" w:rsidRPr="007140D3" w:rsidRDefault="005C3B9D" w:rsidP="008F5FE2">
            <w:pPr>
              <w:jc w:val="both"/>
              <w:rPr>
                <w:sz w:val="20"/>
                <w:szCs w:val="20"/>
                <w:lang w:val="fr-CA"/>
              </w:rPr>
            </w:pPr>
            <w:r w:rsidRPr="007140D3">
              <w:rPr>
                <w:sz w:val="20"/>
                <w:szCs w:val="20"/>
                <w:lang w:val="fr-CA"/>
              </w:rPr>
              <w:t>Cour suprême du Canada</w:t>
            </w:r>
          </w:p>
        </w:tc>
        <w:tc>
          <w:tcPr>
            <w:tcW w:w="243" w:type="pct"/>
          </w:tcPr>
          <w:p w:rsidR="005C3B9D" w:rsidRPr="007140D3" w:rsidRDefault="005C3B9D" w:rsidP="008F5FE2">
            <w:pPr>
              <w:jc w:val="both"/>
              <w:rPr>
                <w:sz w:val="20"/>
                <w:szCs w:val="20"/>
                <w:lang w:val="fr-CA"/>
              </w:rPr>
            </w:pPr>
          </w:p>
        </w:tc>
        <w:tc>
          <w:tcPr>
            <w:tcW w:w="2330" w:type="pct"/>
          </w:tcPr>
          <w:p w:rsidR="005C3B9D" w:rsidRPr="007140D3" w:rsidRDefault="005C3B9D" w:rsidP="008F5FE2">
            <w:pPr>
              <w:jc w:val="both"/>
              <w:rPr>
                <w:sz w:val="20"/>
                <w:szCs w:val="20"/>
                <w:lang w:val="fr-CA"/>
              </w:rPr>
            </w:pPr>
            <w:r w:rsidRPr="007140D3">
              <w:rPr>
                <w:sz w:val="20"/>
                <w:szCs w:val="20"/>
                <w:lang w:val="fr-CA"/>
              </w:rPr>
              <w:t>Requête en prorogation du délai pour signifier et déposer la demande d’autorisation d’appel et demande d’autorisation d’appel déposées</w:t>
            </w:r>
          </w:p>
        </w:tc>
      </w:tr>
    </w:tbl>
    <w:p w:rsidR="005C3B9D" w:rsidRDefault="00CD76E4" w:rsidP="005C3B9D">
      <w:pPr>
        <w:rPr>
          <w:sz w:val="20"/>
          <w:szCs w:val="20"/>
        </w:rPr>
      </w:pPr>
      <w:r>
        <w:rPr>
          <w:sz w:val="20"/>
          <w:szCs w:val="20"/>
          <w:lang w:val="fr-CA"/>
        </w:rPr>
        <w:lastRenderedPageBreak/>
        <w:pict>
          <v:rect id="_x0000_i1065" style="width:2in;height:1pt" o:hrpct="0" o:hralign="center" o:hrstd="t" o:hrnoshade="t" o:hr="t" fillcolor="black [3213]" stroked="f"/>
        </w:pict>
      </w:r>
    </w:p>
    <w:p w:rsidR="005C3B9D" w:rsidRDefault="005C3B9D" w:rsidP="005C3B9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3B9D" w:rsidRPr="00A73D2C" w:rsidTr="008F5FE2">
        <w:trPr>
          <w:cantSplit/>
        </w:trPr>
        <w:tc>
          <w:tcPr>
            <w:tcW w:w="1458" w:type="dxa"/>
          </w:tcPr>
          <w:p w:rsidR="005C3B9D" w:rsidRPr="00622B1A" w:rsidRDefault="005C3B9D" w:rsidP="008F5FE2">
            <w:pPr>
              <w:rPr>
                <w:sz w:val="20"/>
                <w:szCs w:val="20"/>
              </w:rPr>
            </w:pPr>
            <w:r w:rsidRPr="00622B1A">
              <w:rPr>
                <w:rStyle w:val="SCCFileNumberChar"/>
                <w:sz w:val="20"/>
                <w:szCs w:val="20"/>
              </w:rPr>
              <w:t>36713</w:t>
            </w:r>
          </w:p>
          <w:p w:rsidR="005C3B9D" w:rsidRPr="00622B1A" w:rsidRDefault="005C3B9D" w:rsidP="008F5FE2">
            <w:pPr>
              <w:rPr>
                <w:b/>
                <w:sz w:val="20"/>
                <w:szCs w:val="20"/>
                <w:lang w:val="fr-CA"/>
              </w:rPr>
            </w:pPr>
          </w:p>
        </w:tc>
        <w:tc>
          <w:tcPr>
            <w:tcW w:w="8118" w:type="dxa"/>
          </w:tcPr>
          <w:p w:rsidR="005C3B9D" w:rsidRPr="0041388B" w:rsidRDefault="005C3B9D" w:rsidP="008F5FE2">
            <w:pPr>
              <w:rPr>
                <w:sz w:val="20"/>
                <w:szCs w:val="24"/>
              </w:rPr>
            </w:pPr>
            <w:r w:rsidRPr="0041388B">
              <w:rPr>
                <w:b/>
                <w:sz w:val="20"/>
                <w:szCs w:val="24"/>
                <w:u w:val="single"/>
                <w:lang w:val="fr-CA"/>
              </w:rPr>
              <w:t>Grigore Vetrici v. Raluca Vetrici</w:t>
            </w:r>
            <w:r w:rsidRPr="0041388B">
              <w:rPr>
                <w:sz w:val="20"/>
                <w:szCs w:val="24"/>
                <w:lang w:val="fr-CA"/>
              </w:rPr>
              <w:t xml:space="preserve"> (B.C.) </w:t>
            </w:r>
            <w:r w:rsidRPr="0041388B">
              <w:rPr>
                <w:sz w:val="20"/>
                <w:szCs w:val="24"/>
              </w:rPr>
              <w:t>(Civil) (By Leave)</w:t>
            </w:r>
          </w:p>
          <w:p w:rsidR="005C3B9D" w:rsidRPr="00622B1A" w:rsidRDefault="005C3B9D" w:rsidP="008F5FE2">
            <w:pPr>
              <w:rPr>
                <w:sz w:val="20"/>
                <w:szCs w:val="20"/>
              </w:rPr>
            </w:pPr>
          </w:p>
        </w:tc>
      </w:tr>
      <w:tr w:rsidR="005C3B9D" w:rsidRPr="00A73D2C" w:rsidTr="008F5FE2">
        <w:trPr>
          <w:cantSplit/>
        </w:trPr>
        <w:tc>
          <w:tcPr>
            <w:tcW w:w="1458" w:type="dxa"/>
          </w:tcPr>
          <w:p w:rsidR="005C3B9D" w:rsidRPr="00A73D2C" w:rsidRDefault="005C3B9D" w:rsidP="008F5FE2">
            <w:pPr>
              <w:rPr>
                <w:sz w:val="20"/>
                <w:szCs w:val="20"/>
              </w:rPr>
            </w:pPr>
            <w:r w:rsidRPr="00A73D2C">
              <w:rPr>
                <w:sz w:val="20"/>
                <w:szCs w:val="20"/>
              </w:rPr>
              <w:t>Coram :</w:t>
            </w:r>
          </w:p>
        </w:tc>
        <w:tc>
          <w:tcPr>
            <w:tcW w:w="8118" w:type="dxa"/>
          </w:tcPr>
          <w:p w:rsidR="005C3B9D" w:rsidRPr="00A73D2C" w:rsidRDefault="005C3B9D" w:rsidP="008F5FE2">
            <w:pPr>
              <w:rPr>
                <w:sz w:val="20"/>
                <w:szCs w:val="20"/>
              </w:rPr>
            </w:pPr>
            <w:r>
              <w:rPr>
                <w:rStyle w:val="SCCCoramChar"/>
                <w:sz w:val="20"/>
                <w:szCs w:val="20"/>
                <w:lang w:val="en-CA"/>
              </w:rPr>
              <w:t>McLachlin C.J. and Moldaver and Gascon</w:t>
            </w:r>
            <w:r w:rsidRPr="00A73D2C">
              <w:rPr>
                <w:rStyle w:val="SCCCoramChar"/>
                <w:sz w:val="20"/>
                <w:szCs w:val="20"/>
                <w:lang w:val="en-CA"/>
              </w:rPr>
              <w:t> JJ.</w:t>
            </w:r>
          </w:p>
          <w:p w:rsidR="005C3B9D" w:rsidRPr="00A73D2C" w:rsidRDefault="005C3B9D" w:rsidP="008F5FE2">
            <w:pPr>
              <w:rPr>
                <w:sz w:val="20"/>
                <w:szCs w:val="20"/>
                <w:u w:val="single"/>
              </w:rPr>
            </w:pPr>
          </w:p>
        </w:tc>
      </w:tr>
      <w:tr w:rsidR="005C3B9D" w:rsidRPr="00B26F8D" w:rsidTr="008F5FE2">
        <w:trPr>
          <w:cantSplit/>
        </w:trPr>
        <w:tc>
          <w:tcPr>
            <w:tcW w:w="9576" w:type="dxa"/>
            <w:gridSpan w:val="2"/>
          </w:tcPr>
          <w:p w:rsidR="005C3B9D" w:rsidRDefault="005C3B9D" w:rsidP="008F5FE2">
            <w:pPr>
              <w:pStyle w:val="SCCShortJudgment"/>
            </w:pPr>
            <w:r>
              <w:t>The motion for an extension of time serve and file the application for leave to appeal is granted.  The application for leave to appeal from the judgment of the Court of Appeal for British Columbia (Vancouver), Number CA040942, 2015 BCCA 146, dated April 7, 2015, is dismissed without costs.</w:t>
            </w:r>
          </w:p>
          <w:p w:rsidR="005C3B9D" w:rsidRDefault="005C3B9D" w:rsidP="008F5FE2">
            <w:pPr>
              <w:pStyle w:val="SCCShortJudgment"/>
              <w:ind w:firstLine="0"/>
            </w:pPr>
          </w:p>
          <w:p w:rsidR="005C3B9D" w:rsidRPr="0041388B" w:rsidRDefault="005C3B9D" w:rsidP="008F5FE2">
            <w:pPr>
              <w:pStyle w:val="SCCShortJudgment"/>
              <w:rPr>
                <w:lang w:val="fr-CA"/>
              </w:rPr>
            </w:pPr>
            <w:r w:rsidRPr="001E7626">
              <w:rPr>
                <w:lang w:val="fr-CA"/>
              </w:rPr>
              <w:t>La requête en prorogation du délai de signification et de dépôt de la demande d’autorisation d’appel est accueillie. La demande d’autorisation d’appel de l’arrêt de la Cour d’appel de la Colombie-Britannique (Vancouver), numéro CA040942, 2015 BCCA 146, daté du 7 avril 2015, est rejetée sans dépens.</w:t>
            </w:r>
          </w:p>
        </w:tc>
      </w:tr>
    </w:tbl>
    <w:p w:rsidR="005C3B9D" w:rsidRPr="0016547E" w:rsidRDefault="005C3B9D" w:rsidP="005C3B9D">
      <w:pPr>
        <w:rPr>
          <w:sz w:val="20"/>
          <w:szCs w:val="20"/>
          <w:lang w:val="fr-CA"/>
        </w:rPr>
      </w:pPr>
    </w:p>
    <w:p w:rsidR="005C3B9D" w:rsidRPr="0033473D" w:rsidRDefault="005C3B9D" w:rsidP="005C3B9D">
      <w:pPr>
        <w:rPr>
          <w:sz w:val="20"/>
          <w:szCs w:val="20"/>
          <w:u w:val="single"/>
        </w:rPr>
      </w:pPr>
      <w:r w:rsidRPr="0033473D">
        <w:rPr>
          <w:sz w:val="20"/>
          <w:szCs w:val="20"/>
          <w:u w:val="single"/>
        </w:rPr>
        <w:t>CASE SUMMARY</w:t>
      </w:r>
    </w:p>
    <w:p w:rsidR="005C3B9D" w:rsidRPr="0033473D"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33473D" w:rsidTr="008F5FE2">
        <w:tc>
          <w:tcPr>
            <w:tcW w:w="5000" w:type="pct"/>
            <w:gridSpan w:val="3"/>
          </w:tcPr>
          <w:p w:rsidR="005C3B9D" w:rsidRPr="0033473D" w:rsidRDefault="005C3B9D" w:rsidP="008F5FE2">
            <w:pPr>
              <w:jc w:val="both"/>
              <w:rPr>
                <w:sz w:val="20"/>
                <w:szCs w:val="20"/>
              </w:rPr>
            </w:pPr>
            <w:r w:rsidRPr="0033473D">
              <w:rPr>
                <w:iCs/>
                <w:color w:val="000000"/>
                <w:sz w:val="20"/>
                <w:szCs w:val="20"/>
              </w:rPr>
              <w:t>Family law – Custody and access – Custody – Access – Maintenance and support – Child support – Calculation or attribution of income</w:t>
            </w:r>
            <w:r w:rsidRPr="0033473D">
              <w:rPr>
                <w:rFonts w:ascii="Verdana" w:hAnsi="Verdana"/>
                <w:iCs/>
                <w:color w:val="000000"/>
                <w:sz w:val="20"/>
                <w:szCs w:val="20"/>
              </w:rPr>
              <w:t xml:space="preserve"> </w:t>
            </w:r>
            <w:r w:rsidRPr="0033473D">
              <w:rPr>
                <w:iCs/>
                <w:color w:val="000000"/>
                <w:sz w:val="20"/>
                <w:szCs w:val="20"/>
              </w:rPr>
              <w:t>Practice and procedure – Parenting time – Child support – Ownership of RESP – Whether the lower courts were biased – Whether the view of the child was considered – Whether the lower courts erred in imputing income and not awarding spousal support – Whether the lower courts erred in enforcing a foreign order – Whether the lower courts erred in awarding ownership of RESP.</w:t>
            </w:r>
          </w:p>
          <w:p w:rsidR="005C3B9D" w:rsidRPr="0033473D" w:rsidRDefault="005C3B9D" w:rsidP="008F5FE2">
            <w:pPr>
              <w:jc w:val="both"/>
              <w:rPr>
                <w:smallCaps/>
                <w:sz w:val="20"/>
                <w:szCs w:val="20"/>
              </w:rPr>
            </w:pPr>
          </w:p>
          <w:p w:rsidR="005C3B9D" w:rsidRDefault="005C3B9D" w:rsidP="008F5FE2">
            <w:pPr>
              <w:jc w:val="both"/>
              <w:rPr>
                <w:rFonts w:cs="Times New Roman"/>
                <w:color w:val="000000"/>
                <w:sz w:val="20"/>
                <w:szCs w:val="20"/>
              </w:rPr>
            </w:pPr>
            <w:r w:rsidRPr="0033473D">
              <w:rPr>
                <w:rFonts w:cs="Times New Roman"/>
                <w:color w:val="000000"/>
                <w:sz w:val="20"/>
                <w:szCs w:val="20"/>
              </w:rPr>
              <w:t xml:space="preserve">The </w:t>
            </w:r>
            <w:r w:rsidRPr="0033473D">
              <w:rPr>
                <w:color w:val="000000"/>
                <w:sz w:val="20"/>
                <w:szCs w:val="20"/>
              </w:rPr>
              <w:t xml:space="preserve">Applicant </w:t>
            </w:r>
            <w:r w:rsidRPr="0033473D">
              <w:rPr>
                <w:rFonts w:cs="Times New Roman"/>
                <w:color w:val="000000"/>
                <w:sz w:val="20"/>
                <w:szCs w:val="20"/>
              </w:rPr>
              <w:t>was raised in Calgary. The parties married in Romania in 2003 and moved to Calgary after a short sti</w:t>
            </w:r>
            <w:r w:rsidRPr="0033473D">
              <w:rPr>
                <w:color w:val="000000"/>
                <w:sz w:val="20"/>
                <w:szCs w:val="20"/>
              </w:rPr>
              <w:t>nt living in the United States where t</w:t>
            </w:r>
            <w:r w:rsidRPr="0033473D">
              <w:rPr>
                <w:rFonts w:cs="Times New Roman"/>
                <w:color w:val="000000"/>
                <w:sz w:val="20"/>
                <w:szCs w:val="20"/>
              </w:rPr>
              <w:t>heir twin girls were born in 2003. A RESP was opened for the children's benefit. The parties moved to Olympia, Washington for the father's employment. He was laid off in 2009 and the parties separated. A separation agreement provided for joint custody and residence, with each party retaining all property in their respective names, and the mother receiving $10,000. The father retained the majority of the party's assets. In 2009, the children returned to Calgary to live with the father's parents. The mother was accepted into university in Washington. The father moved to Vancouver with the children to facilitate the mother’s access. In 2010, the mother obtained an uncontested order in Washington awarding her any property in her possession. In 2011, the mother remarried and filed a claim in British Columbia seeking relocation of the children with her to Washington. The father sought sole custody and child support. The mother closed the RESP and used the proceeds for her own support. In 2012, the mother relocated to Vancouver and sought equal parenting time. The trial judg</w:t>
            </w:r>
            <w:r>
              <w:rPr>
                <w:rFonts w:cs="Times New Roman"/>
                <w:color w:val="000000"/>
                <w:sz w:val="20"/>
                <w:szCs w:val="20"/>
              </w:rPr>
              <w:t>e granted the mother's request.</w:t>
            </w:r>
          </w:p>
          <w:p w:rsidR="005C3B9D" w:rsidRPr="0033473D" w:rsidRDefault="005C3B9D" w:rsidP="008F5FE2">
            <w:pPr>
              <w:jc w:val="both"/>
              <w:rPr>
                <w:rFonts w:cs="Times New Roman"/>
                <w:color w:val="000000"/>
                <w:sz w:val="20"/>
                <w:szCs w:val="20"/>
              </w:rPr>
            </w:pPr>
          </w:p>
        </w:tc>
      </w:tr>
      <w:tr w:rsidR="005C3B9D" w:rsidRPr="0033473D" w:rsidTr="008F5FE2">
        <w:tc>
          <w:tcPr>
            <w:tcW w:w="2427" w:type="pct"/>
          </w:tcPr>
          <w:p w:rsidR="005C3B9D" w:rsidRPr="0033473D" w:rsidRDefault="005C3B9D" w:rsidP="008F5FE2">
            <w:pPr>
              <w:jc w:val="both"/>
              <w:rPr>
                <w:sz w:val="20"/>
                <w:szCs w:val="20"/>
              </w:rPr>
            </w:pPr>
            <w:r w:rsidRPr="0033473D">
              <w:rPr>
                <w:sz w:val="20"/>
                <w:szCs w:val="20"/>
              </w:rPr>
              <w:t>May 1, 2013</w:t>
            </w:r>
          </w:p>
          <w:p w:rsidR="005C3B9D" w:rsidRPr="0033473D" w:rsidRDefault="005C3B9D" w:rsidP="008F5FE2">
            <w:pPr>
              <w:jc w:val="both"/>
              <w:rPr>
                <w:sz w:val="20"/>
                <w:szCs w:val="20"/>
              </w:rPr>
            </w:pPr>
            <w:r w:rsidRPr="0033473D">
              <w:rPr>
                <w:sz w:val="20"/>
                <w:szCs w:val="20"/>
              </w:rPr>
              <w:t>Supreme Court of British Columbia</w:t>
            </w:r>
          </w:p>
          <w:p w:rsidR="005C3B9D" w:rsidRPr="0033473D" w:rsidRDefault="005C3B9D" w:rsidP="008F5FE2">
            <w:pPr>
              <w:jc w:val="both"/>
              <w:rPr>
                <w:sz w:val="20"/>
                <w:szCs w:val="20"/>
              </w:rPr>
            </w:pPr>
            <w:r w:rsidRPr="0033473D">
              <w:rPr>
                <w:sz w:val="20"/>
                <w:szCs w:val="20"/>
              </w:rPr>
              <w:t>(Power J.)</w:t>
            </w:r>
          </w:p>
          <w:p w:rsidR="005C3B9D" w:rsidRPr="0033473D" w:rsidRDefault="005C3B9D" w:rsidP="008F5FE2">
            <w:pPr>
              <w:jc w:val="both"/>
              <w:rPr>
                <w:sz w:val="20"/>
                <w:szCs w:val="20"/>
              </w:rPr>
            </w:pPr>
          </w:p>
        </w:tc>
        <w:tc>
          <w:tcPr>
            <w:tcW w:w="243" w:type="pct"/>
          </w:tcPr>
          <w:p w:rsidR="005C3B9D" w:rsidRPr="0033473D" w:rsidRDefault="005C3B9D" w:rsidP="008F5FE2">
            <w:pPr>
              <w:jc w:val="both"/>
              <w:rPr>
                <w:sz w:val="20"/>
                <w:szCs w:val="20"/>
              </w:rPr>
            </w:pPr>
          </w:p>
        </w:tc>
        <w:tc>
          <w:tcPr>
            <w:tcW w:w="2330" w:type="pct"/>
          </w:tcPr>
          <w:p w:rsidR="005C3B9D" w:rsidRPr="0033473D" w:rsidRDefault="005C3B9D" w:rsidP="008F5FE2">
            <w:pPr>
              <w:jc w:val="both"/>
              <w:rPr>
                <w:sz w:val="20"/>
                <w:szCs w:val="20"/>
              </w:rPr>
            </w:pPr>
            <w:r w:rsidRPr="0033473D">
              <w:rPr>
                <w:sz w:val="20"/>
                <w:szCs w:val="20"/>
              </w:rPr>
              <w:t>Order: Equal parenting time and no spousal support awarded given imputation of income for father.</w:t>
            </w:r>
          </w:p>
          <w:p w:rsidR="005C3B9D" w:rsidRPr="0033473D" w:rsidRDefault="005C3B9D" w:rsidP="008F5FE2">
            <w:pPr>
              <w:jc w:val="both"/>
              <w:rPr>
                <w:sz w:val="20"/>
                <w:szCs w:val="20"/>
              </w:rPr>
            </w:pPr>
          </w:p>
        </w:tc>
      </w:tr>
      <w:tr w:rsidR="005C3B9D" w:rsidRPr="0033473D" w:rsidTr="008F5FE2">
        <w:tc>
          <w:tcPr>
            <w:tcW w:w="2427" w:type="pct"/>
          </w:tcPr>
          <w:p w:rsidR="005C3B9D" w:rsidRPr="0033473D" w:rsidRDefault="005C3B9D" w:rsidP="008F5FE2">
            <w:pPr>
              <w:jc w:val="both"/>
              <w:rPr>
                <w:sz w:val="20"/>
                <w:szCs w:val="20"/>
              </w:rPr>
            </w:pPr>
            <w:r w:rsidRPr="0033473D">
              <w:rPr>
                <w:sz w:val="20"/>
                <w:szCs w:val="20"/>
              </w:rPr>
              <w:t>June 12, 2014</w:t>
            </w:r>
          </w:p>
          <w:p w:rsidR="005C3B9D" w:rsidRPr="0033473D" w:rsidRDefault="005C3B9D" w:rsidP="008F5FE2">
            <w:pPr>
              <w:jc w:val="both"/>
              <w:rPr>
                <w:sz w:val="20"/>
                <w:szCs w:val="20"/>
              </w:rPr>
            </w:pPr>
            <w:r w:rsidRPr="0033473D">
              <w:rPr>
                <w:sz w:val="20"/>
                <w:szCs w:val="20"/>
              </w:rPr>
              <w:t xml:space="preserve">Court of Appeal for British Columbia </w:t>
            </w:r>
          </w:p>
          <w:p w:rsidR="005C3B9D" w:rsidRPr="0033473D" w:rsidRDefault="005C3B9D" w:rsidP="008F5FE2">
            <w:pPr>
              <w:jc w:val="both"/>
              <w:rPr>
                <w:sz w:val="20"/>
                <w:szCs w:val="20"/>
              </w:rPr>
            </w:pPr>
            <w:r w:rsidRPr="0033473D">
              <w:rPr>
                <w:sz w:val="20"/>
                <w:szCs w:val="20"/>
              </w:rPr>
              <w:t>(Neilson J.)</w:t>
            </w:r>
          </w:p>
          <w:p w:rsidR="005C3B9D" w:rsidRPr="0033473D" w:rsidRDefault="005C3B9D" w:rsidP="008F5FE2">
            <w:pPr>
              <w:rPr>
                <w:rFonts w:eastAsia="Times New Roman" w:cs="Times New Roman"/>
                <w:sz w:val="20"/>
                <w:szCs w:val="20"/>
                <w:lang w:eastAsia="en-CA"/>
              </w:rPr>
            </w:pPr>
            <w:r w:rsidRPr="0033473D">
              <w:rPr>
                <w:rFonts w:eastAsia="Times New Roman" w:cs="Times New Roman"/>
                <w:color w:val="000000"/>
                <w:sz w:val="20"/>
                <w:szCs w:val="20"/>
                <w:lang w:eastAsia="en-CA"/>
              </w:rPr>
              <w:t>2014 BCCA 230</w:t>
            </w:r>
          </w:p>
          <w:p w:rsidR="005C3B9D" w:rsidRPr="0033473D" w:rsidRDefault="005C3B9D" w:rsidP="008F5FE2">
            <w:pPr>
              <w:jc w:val="both"/>
              <w:rPr>
                <w:sz w:val="20"/>
                <w:szCs w:val="20"/>
              </w:rPr>
            </w:pPr>
          </w:p>
        </w:tc>
        <w:tc>
          <w:tcPr>
            <w:tcW w:w="243" w:type="pct"/>
          </w:tcPr>
          <w:p w:rsidR="005C3B9D" w:rsidRPr="0033473D" w:rsidRDefault="005C3B9D" w:rsidP="008F5FE2">
            <w:pPr>
              <w:jc w:val="both"/>
              <w:rPr>
                <w:sz w:val="20"/>
                <w:szCs w:val="20"/>
              </w:rPr>
            </w:pPr>
          </w:p>
        </w:tc>
        <w:tc>
          <w:tcPr>
            <w:tcW w:w="2330" w:type="pct"/>
          </w:tcPr>
          <w:p w:rsidR="005C3B9D" w:rsidRPr="0033473D" w:rsidRDefault="005C3B9D" w:rsidP="008F5FE2">
            <w:pPr>
              <w:jc w:val="both"/>
              <w:rPr>
                <w:rFonts w:eastAsia="Times New Roman" w:cs="Times New Roman"/>
                <w:sz w:val="20"/>
                <w:szCs w:val="20"/>
                <w:lang w:eastAsia="en-CA"/>
              </w:rPr>
            </w:pPr>
            <w:r w:rsidRPr="0033473D">
              <w:rPr>
                <w:rFonts w:eastAsia="Times New Roman" w:cs="Times New Roman"/>
                <w:sz w:val="20"/>
                <w:szCs w:val="20"/>
                <w:lang w:eastAsia="en-CA"/>
              </w:rPr>
              <w:t xml:space="preserve">Father’s application for </w:t>
            </w:r>
            <w:r w:rsidRPr="0033473D">
              <w:rPr>
                <w:rFonts w:eastAsia="Times New Roman" w:cs="Times New Roman"/>
                <w:color w:val="000000"/>
                <w:sz w:val="20"/>
                <w:szCs w:val="20"/>
                <w:lang w:eastAsia="en-CA"/>
              </w:rPr>
              <w:t>time extension to file and serve appeal record, for order removing appeal from inactive list, and for transcript of judicial case confer</w:t>
            </w:r>
            <w:r w:rsidRPr="0033473D">
              <w:rPr>
                <w:rFonts w:eastAsia="Times New Roman" w:cs="Times New Roman"/>
                <w:sz w:val="20"/>
                <w:szCs w:val="20"/>
                <w:lang w:eastAsia="en-CA"/>
              </w:rPr>
              <w:t>ence allowed in part: extension of time granted on terms, appeal removed from inactive list, transcript not required for appeal.</w:t>
            </w:r>
          </w:p>
          <w:p w:rsidR="005C3B9D" w:rsidRPr="0033473D" w:rsidRDefault="005C3B9D" w:rsidP="008F5FE2">
            <w:pPr>
              <w:jc w:val="both"/>
              <w:rPr>
                <w:sz w:val="20"/>
                <w:szCs w:val="20"/>
              </w:rPr>
            </w:pPr>
          </w:p>
        </w:tc>
      </w:tr>
      <w:tr w:rsidR="005C3B9D" w:rsidRPr="0033473D" w:rsidTr="008F5FE2">
        <w:tc>
          <w:tcPr>
            <w:tcW w:w="2427" w:type="pct"/>
          </w:tcPr>
          <w:p w:rsidR="005C3B9D" w:rsidRPr="0033473D" w:rsidRDefault="005C3B9D" w:rsidP="008F5FE2">
            <w:pPr>
              <w:jc w:val="both"/>
              <w:rPr>
                <w:sz w:val="20"/>
                <w:szCs w:val="20"/>
              </w:rPr>
            </w:pPr>
            <w:r w:rsidRPr="0033473D">
              <w:rPr>
                <w:sz w:val="20"/>
                <w:szCs w:val="20"/>
              </w:rPr>
              <w:t>April 7, 2015</w:t>
            </w:r>
          </w:p>
          <w:p w:rsidR="005C3B9D" w:rsidRPr="0033473D" w:rsidRDefault="005C3B9D" w:rsidP="008F5FE2">
            <w:pPr>
              <w:jc w:val="both"/>
              <w:rPr>
                <w:sz w:val="20"/>
                <w:szCs w:val="20"/>
              </w:rPr>
            </w:pPr>
            <w:r w:rsidRPr="0033473D">
              <w:rPr>
                <w:sz w:val="20"/>
                <w:szCs w:val="20"/>
              </w:rPr>
              <w:t xml:space="preserve">Court of Appeal for British Columbia </w:t>
            </w:r>
          </w:p>
          <w:p w:rsidR="005C3B9D" w:rsidRPr="0033473D" w:rsidRDefault="005C3B9D" w:rsidP="008F5FE2">
            <w:pPr>
              <w:jc w:val="both"/>
              <w:rPr>
                <w:sz w:val="20"/>
                <w:szCs w:val="20"/>
              </w:rPr>
            </w:pPr>
            <w:r w:rsidRPr="0033473D">
              <w:rPr>
                <w:sz w:val="20"/>
                <w:szCs w:val="20"/>
              </w:rPr>
              <w:t>(Vancouver)</w:t>
            </w:r>
          </w:p>
          <w:p w:rsidR="005C3B9D" w:rsidRPr="0033473D" w:rsidRDefault="005C3B9D" w:rsidP="008F5FE2">
            <w:pPr>
              <w:jc w:val="both"/>
              <w:rPr>
                <w:sz w:val="20"/>
                <w:szCs w:val="20"/>
              </w:rPr>
            </w:pPr>
            <w:r w:rsidRPr="0033473D">
              <w:rPr>
                <w:sz w:val="20"/>
                <w:szCs w:val="20"/>
              </w:rPr>
              <w:t>(Newbury, Chiasson and Frankel JJ.A.)</w:t>
            </w:r>
          </w:p>
          <w:p w:rsidR="005C3B9D" w:rsidRPr="0033473D" w:rsidRDefault="005C3B9D" w:rsidP="008F5FE2">
            <w:pPr>
              <w:rPr>
                <w:rFonts w:eastAsia="Times New Roman" w:cs="Times New Roman"/>
                <w:sz w:val="20"/>
                <w:szCs w:val="20"/>
                <w:lang w:eastAsia="en-CA"/>
              </w:rPr>
            </w:pPr>
            <w:r w:rsidRPr="0033473D">
              <w:rPr>
                <w:rFonts w:eastAsia="Times New Roman" w:cs="Times New Roman"/>
                <w:sz w:val="20"/>
                <w:szCs w:val="20"/>
                <w:lang w:eastAsia="en-CA"/>
              </w:rPr>
              <w:t>2015 BCCA 146</w:t>
            </w:r>
          </w:p>
          <w:p w:rsidR="005C3B9D" w:rsidRPr="0033473D" w:rsidRDefault="005C3B9D" w:rsidP="008F5FE2">
            <w:pPr>
              <w:jc w:val="both"/>
              <w:rPr>
                <w:sz w:val="20"/>
                <w:szCs w:val="20"/>
              </w:rPr>
            </w:pPr>
          </w:p>
        </w:tc>
        <w:tc>
          <w:tcPr>
            <w:tcW w:w="243" w:type="pct"/>
          </w:tcPr>
          <w:p w:rsidR="005C3B9D" w:rsidRPr="0033473D" w:rsidRDefault="005C3B9D" w:rsidP="008F5FE2">
            <w:pPr>
              <w:jc w:val="both"/>
              <w:rPr>
                <w:sz w:val="20"/>
                <w:szCs w:val="20"/>
              </w:rPr>
            </w:pPr>
          </w:p>
        </w:tc>
        <w:tc>
          <w:tcPr>
            <w:tcW w:w="2330" w:type="pct"/>
          </w:tcPr>
          <w:p w:rsidR="005C3B9D" w:rsidRPr="0033473D" w:rsidRDefault="005C3B9D" w:rsidP="008F5FE2">
            <w:pPr>
              <w:jc w:val="both"/>
              <w:rPr>
                <w:sz w:val="20"/>
                <w:szCs w:val="20"/>
              </w:rPr>
            </w:pPr>
            <w:r w:rsidRPr="0033473D">
              <w:rPr>
                <w:sz w:val="20"/>
                <w:szCs w:val="20"/>
              </w:rPr>
              <w:t>Appeal dismissed.</w:t>
            </w:r>
          </w:p>
          <w:p w:rsidR="005C3B9D" w:rsidRPr="0033473D" w:rsidRDefault="005C3B9D" w:rsidP="008F5FE2">
            <w:pPr>
              <w:jc w:val="both"/>
              <w:rPr>
                <w:sz w:val="20"/>
                <w:szCs w:val="20"/>
              </w:rPr>
            </w:pPr>
          </w:p>
        </w:tc>
      </w:tr>
      <w:tr w:rsidR="005C3B9D" w:rsidRPr="0033473D" w:rsidTr="008F5FE2">
        <w:tc>
          <w:tcPr>
            <w:tcW w:w="2427" w:type="pct"/>
          </w:tcPr>
          <w:p w:rsidR="005C3B9D" w:rsidRPr="0033473D" w:rsidRDefault="005C3B9D" w:rsidP="008F5FE2">
            <w:pPr>
              <w:jc w:val="both"/>
              <w:rPr>
                <w:sz w:val="20"/>
                <w:szCs w:val="20"/>
              </w:rPr>
            </w:pPr>
            <w:r w:rsidRPr="0033473D">
              <w:rPr>
                <w:sz w:val="20"/>
                <w:szCs w:val="20"/>
              </w:rPr>
              <w:lastRenderedPageBreak/>
              <w:t>November 5, 2015</w:t>
            </w:r>
          </w:p>
          <w:p w:rsidR="005C3B9D" w:rsidRPr="0033473D" w:rsidRDefault="005C3B9D" w:rsidP="008F5FE2">
            <w:pPr>
              <w:jc w:val="both"/>
              <w:rPr>
                <w:sz w:val="20"/>
                <w:szCs w:val="20"/>
              </w:rPr>
            </w:pPr>
            <w:r w:rsidRPr="0033473D">
              <w:rPr>
                <w:sz w:val="20"/>
                <w:szCs w:val="20"/>
              </w:rPr>
              <w:t>Supreme Court of Canada</w:t>
            </w:r>
          </w:p>
        </w:tc>
        <w:tc>
          <w:tcPr>
            <w:tcW w:w="243" w:type="pct"/>
          </w:tcPr>
          <w:p w:rsidR="005C3B9D" w:rsidRPr="0033473D" w:rsidRDefault="005C3B9D" w:rsidP="008F5FE2">
            <w:pPr>
              <w:jc w:val="both"/>
              <w:rPr>
                <w:sz w:val="20"/>
                <w:szCs w:val="20"/>
              </w:rPr>
            </w:pPr>
          </w:p>
        </w:tc>
        <w:tc>
          <w:tcPr>
            <w:tcW w:w="2330" w:type="pct"/>
          </w:tcPr>
          <w:p w:rsidR="005C3B9D" w:rsidRPr="0033473D" w:rsidRDefault="005C3B9D" w:rsidP="008F5FE2">
            <w:pPr>
              <w:jc w:val="both"/>
              <w:rPr>
                <w:sz w:val="20"/>
                <w:szCs w:val="20"/>
              </w:rPr>
            </w:pPr>
            <w:r w:rsidRPr="0033473D">
              <w:rPr>
                <w:sz w:val="20"/>
                <w:szCs w:val="20"/>
              </w:rPr>
              <w:t>Motion to extend time to serve and file application for leave to appeal and application for leave to appeal filed.</w:t>
            </w:r>
          </w:p>
        </w:tc>
      </w:tr>
    </w:tbl>
    <w:p w:rsidR="005C3B9D" w:rsidRPr="0033473D" w:rsidRDefault="005C3B9D" w:rsidP="005C3B9D">
      <w:pPr>
        <w:rPr>
          <w:sz w:val="20"/>
          <w:szCs w:val="20"/>
        </w:rPr>
      </w:pPr>
    </w:p>
    <w:p w:rsidR="005C3B9D" w:rsidRPr="00C50A5C" w:rsidRDefault="00CD76E4" w:rsidP="005C3B9D">
      <w:pPr>
        <w:rPr>
          <w:sz w:val="20"/>
          <w:szCs w:val="20"/>
        </w:rPr>
      </w:pPr>
      <w:r>
        <w:rPr>
          <w:sz w:val="20"/>
          <w:szCs w:val="20"/>
          <w:lang w:val="fr-CA"/>
        </w:rPr>
        <w:pict>
          <v:rect id="_x0000_i1066" style="width:2in;height:1pt" o:hrpct="0" o:hralign="center" o:hrstd="t" o:hrnoshade="t" o:hr="t" fillcolor="black [3213]" stroked="f"/>
        </w:pict>
      </w:r>
    </w:p>
    <w:p w:rsidR="005C3B9D" w:rsidRDefault="005C3B9D" w:rsidP="005C3B9D">
      <w:pPr>
        <w:rPr>
          <w:sz w:val="20"/>
          <w:szCs w:val="20"/>
        </w:rPr>
      </w:pPr>
    </w:p>
    <w:p w:rsidR="005C3B9D" w:rsidRPr="00CC0E3E" w:rsidRDefault="005C3B9D" w:rsidP="005C3B9D">
      <w:pPr>
        <w:rPr>
          <w:sz w:val="20"/>
          <w:szCs w:val="20"/>
          <w:u w:val="single"/>
          <w:lang w:val="fr-CA"/>
        </w:rPr>
      </w:pPr>
      <w:r w:rsidRPr="00CC0E3E">
        <w:rPr>
          <w:sz w:val="20"/>
          <w:szCs w:val="20"/>
          <w:u w:val="single"/>
          <w:lang w:val="fr-CA"/>
        </w:rPr>
        <w:t>RÉSUMÉ DE L’AFFAIRE</w:t>
      </w:r>
    </w:p>
    <w:p w:rsidR="005C3B9D" w:rsidRPr="00D8460F" w:rsidRDefault="005C3B9D" w:rsidP="005C3B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3B9D" w:rsidRPr="00B26F8D" w:rsidTr="008F5FE2">
        <w:tc>
          <w:tcPr>
            <w:tcW w:w="5000" w:type="pct"/>
            <w:gridSpan w:val="3"/>
          </w:tcPr>
          <w:p w:rsidR="005C3B9D" w:rsidRPr="00D8460F" w:rsidRDefault="005C3B9D" w:rsidP="008F5FE2">
            <w:pPr>
              <w:jc w:val="both"/>
              <w:rPr>
                <w:sz w:val="20"/>
                <w:szCs w:val="20"/>
                <w:lang w:val="fr-CA"/>
              </w:rPr>
            </w:pPr>
            <w:r w:rsidRPr="00D8460F">
              <w:rPr>
                <w:iCs/>
                <w:color w:val="000000"/>
                <w:sz w:val="20"/>
                <w:szCs w:val="20"/>
                <w:lang w:val="fr-CA"/>
              </w:rPr>
              <w:t xml:space="preserve">Droit de la famille – Garde et droits d’accès – Garde – Droits d’accès – Aliments – Pension alimentaire pour enfants – Pratique et procédure à suivre pour calculer le revenu ou le répartir – Temps parental – Pension alimentaire pour enfants – Propriété du REÉÉ – Les juridictions inférieures ont-elles fait preuve de partialité? – A-t-on tenu compte de l’opinion de l’enfant? – Les juridictions inférieures ont-elles commis une erreur en imputant un revenu et en n’octroyant pas des aliments à un époux? – Les juridictions inférieures ont-elles exécuté à tort une ordonnance étrangère? – Les juridictions inférieures ont-elles fait erreur en attribuant la propriété du REÉÉ? </w:t>
            </w:r>
          </w:p>
          <w:p w:rsidR="005C3B9D" w:rsidRPr="00D8460F" w:rsidRDefault="005C3B9D" w:rsidP="008F5FE2">
            <w:pPr>
              <w:jc w:val="both"/>
              <w:rPr>
                <w:smallCaps/>
                <w:sz w:val="20"/>
                <w:szCs w:val="20"/>
                <w:lang w:val="fr-CA"/>
              </w:rPr>
            </w:pPr>
          </w:p>
          <w:p w:rsidR="005C3B9D" w:rsidRDefault="005C3B9D" w:rsidP="008F5FE2">
            <w:pPr>
              <w:jc w:val="both"/>
              <w:rPr>
                <w:rFonts w:cs="Times New Roman"/>
                <w:color w:val="000000"/>
                <w:sz w:val="20"/>
                <w:szCs w:val="20"/>
                <w:lang w:val="fr-CA"/>
              </w:rPr>
            </w:pPr>
            <w:r w:rsidRPr="00D8460F">
              <w:rPr>
                <w:rFonts w:cs="Times New Roman"/>
                <w:color w:val="000000"/>
                <w:sz w:val="20"/>
                <w:szCs w:val="20"/>
                <w:lang w:val="fr-CA"/>
              </w:rPr>
              <w:t xml:space="preserve">Le demandeur a grandi à Calgary. Les parties se sont mariées en Roumanie en 2003 et ont déménagé à Calgary après avoir vécu pendant peu de temps aux États-Unis, où leurs jumelles sont nées en 2003. Un REÉÉ a été ouvert au bénéfice des enfants. Les parties ont déménagé à Olympia (Washington) en raison du travail du père. Il a été licencié en 2009 et les parties se sont séparées. L’entente de séparation prévoyait la garde et la résidence conjointes, chaque partie conservait les biens en son nom respectif et la mère recevait 10 000 $. Le père a conservé la plupart des éléments d’actif des parties. En 2009, les enfants sont revenus à Calgary pour y habiter avec leurs grands-parents paternels. La mère a été admise à l’université dans l’État de Washington. Le père est déménagé à Vancouver avec les enfants pour faciliter les droits d’accès de la mère. En 2010, la mère a obtenu dans l’État de Washington une ordonnance non contestée lui accordant la propriété des biens en sa possession. En 2011, elle s’est remariée et a déposé en Colombie-Britannique  une demande visant à faire emmener les enfants avec elle dans le Washington. Le père a demandé la garde exclusive et une pension alimentaire pour enfants. La mère a fermé le REÉÉ et en a utilisé le produit pour subvenir à ses propres besoins. En 2012, la mère est déménagée à Vancouver et a sollicité le partage égal du temps parental. La juge de première instance a </w:t>
            </w:r>
            <w:r>
              <w:rPr>
                <w:rFonts w:cs="Times New Roman"/>
                <w:color w:val="000000"/>
                <w:sz w:val="20"/>
                <w:szCs w:val="20"/>
                <w:lang w:val="fr-CA"/>
              </w:rPr>
              <w:t>accédé à la demande de la mère.</w:t>
            </w:r>
          </w:p>
          <w:p w:rsidR="005C3B9D" w:rsidRPr="00D8460F" w:rsidRDefault="005C3B9D" w:rsidP="008F5FE2">
            <w:pPr>
              <w:jc w:val="both"/>
              <w:rPr>
                <w:rFonts w:cs="Times New Roman"/>
                <w:color w:val="000000"/>
                <w:sz w:val="20"/>
                <w:szCs w:val="20"/>
                <w:lang w:val="fr-CA"/>
              </w:rPr>
            </w:pPr>
          </w:p>
        </w:tc>
      </w:tr>
      <w:tr w:rsidR="005C3B9D" w:rsidRPr="00B26F8D" w:rsidTr="008F5FE2">
        <w:tc>
          <w:tcPr>
            <w:tcW w:w="2427" w:type="pct"/>
          </w:tcPr>
          <w:p w:rsidR="005C3B9D" w:rsidRPr="00D8460F" w:rsidRDefault="005C3B9D" w:rsidP="008F5FE2">
            <w:pPr>
              <w:jc w:val="both"/>
              <w:rPr>
                <w:sz w:val="20"/>
                <w:szCs w:val="20"/>
                <w:lang w:val="fr-CA"/>
              </w:rPr>
            </w:pPr>
            <w:r w:rsidRPr="00D8460F">
              <w:rPr>
                <w:sz w:val="20"/>
                <w:szCs w:val="20"/>
                <w:lang w:val="fr-CA"/>
              </w:rPr>
              <w:t>1</w:t>
            </w:r>
            <w:r w:rsidRPr="00D8460F">
              <w:rPr>
                <w:sz w:val="20"/>
                <w:szCs w:val="20"/>
                <w:vertAlign w:val="superscript"/>
                <w:lang w:val="fr-CA"/>
              </w:rPr>
              <w:t>er</w:t>
            </w:r>
            <w:r w:rsidRPr="00D8460F">
              <w:rPr>
                <w:sz w:val="20"/>
                <w:szCs w:val="20"/>
                <w:lang w:val="fr-CA"/>
              </w:rPr>
              <w:t xml:space="preserve"> mai 2013</w:t>
            </w:r>
          </w:p>
          <w:p w:rsidR="005C3B9D" w:rsidRPr="00D8460F" w:rsidRDefault="005C3B9D" w:rsidP="008F5FE2">
            <w:pPr>
              <w:jc w:val="both"/>
              <w:rPr>
                <w:sz w:val="20"/>
                <w:szCs w:val="20"/>
                <w:lang w:val="fr-CA"/>
              </w:rPr>
            </w:pPr>
            <w:r w:rsidRPr="00D8460F">
              <w:rPr>
                <w:sz w:val="20"/>
                <w:szCs w:val="20"/>
                <w:lang w:val="fr-CA"/>
              </w:rPr>
              <w:t>Cour suprême de la Colombie-Britannique</w:t>
            </w:r>
          </w:p>
          <w:p w:rsidR="005C3B9D" w:rsidRPr="00D8460F" w:rsidRDefault="005C3B9D" w:rsidP="008F5FE2">
            <w:pPr>
              <w:jc w:val="both"/>
              <w:rPr>
                <w:sz w:val="20"/>
                <w:szCs w:val="20"/>
              </w:rPr>
            </w:pPr>
            <w:r w:rsidRPr="00D8460F">
              <w:rPr>
                <w:sz w:val="20"/>
                <w:szCs w:val="20"/>
              </w:rPr>
              <w:t>(Juge Power)</w:t>
            </w:r>
          </w:p>
          <w:p w:rsidR="005C3B9D" w:rsidRPr="00D8460F" w:rsidRDefault="005C3B9D" w:rsidP="008F5FE2">
            <w:pPr>
              <w:jc w:val="both"/>
              <w:rPr>
                <w:sz w:val="20"/>
                <w:szCs w:val="20"/>
              </w:rPr>
            </w:pPr>
          </w:p>
        </w:tc>
        <w:tc>
          <w:tcPr>
            <w:tcW w:w="243" w:type="pct"/>
          </w:tcPr>
          <w:p w:rsidR="005C3B9D" w:rsidRPr="00D8460F" w:rsidRDefault="005C3B9D" w:rsidP="008F5FE2">
            <w:pPr>
              <w:jc w:val="both"/>
              <w:rPr>
                <w:sz w:val="20"/>
                <w:szCs w:val="20"/>
              </w:rPr>
            </w:pPr>
          </w:p>
        </w:tc>
        <w:tc>
          <w:tcPr>
            <w:tcW w:w="2330" w:type="pct"/>
          </w:tcPr>
          <w:p w:rsidR="005C3B9D" w:rsidRPr="00D8460F" w:rsidRDefault="005C3B9D" w:rsidP="008F5FE2">
            <w:pPr>
              <w:jc w:val="both"/>
              <w:rPr>
                <w:sz w:val="20"/>
                <w:szCs w:val="20"/>
                <w:lang w:val="fr-CA"/>
              </w:rPr>
            </w:pPr>
            <w:r w:rsidRPr="00D8460F">
              <w:rPr>
                <w:sz w:val="20"/>
                <w:szCs w:val="20"/>
                <w:lang w:val="fr-CA"/>
              </w:rPr>
              <w:t>Ordonnance : Partage égal du temps parental et aucune pension alimentaire accordée au père étant donné le revenu qui lui est imputé.</w:t>
            </w:r>
          </w:p>
          <w:p w:rsidR="005C3B9D" w:rsidRPr="00D8460F" w:rsidRDefault="005C3B9D" w:rsidP="008F5FE2">
            <w:pPr>
              <w:jc w:val="both"/>
              <w:rPr>
                <w:sz w:val="20"/>
                <w:szCs w:val="20"/>
                <w:lang w:val="fr-CA"/>
              </w:rPr>
            </w:pPr>
          </w:p>
        </w:tc>
      </w:tr>
      <w:tr w:rsidR="005C3B9D" w:rsidRPr="00B26F8D" w:rsidTr="008F5FE2">
        <w:tc>
          <w:tcPr>
            <w:tcW w:w="2427" w:type="pct"/>
          </w:tcPr>
          <w:p w:rsidR="005C3B9D" w:rsidRPr="00D8460F" w:rsidRDefault="005C3B9D" w:rsidP="008F5FE2">
            <w:pPr>
              <w:jc w:val="both"/>
              <w:rPr>
                <w:sz w:val="20"/>
                <w:szCs w:val="20"/>
                <w:lang w:val="fr-CA"/>
              </w:rPr>
            </w:pPr>
            <w:r w:rsidRPr="00D8460F">
              <w:rPr>
                <w:sz w:val="20"/>
                <w:szCs w:val="20"/>
                <w:lang w:val="fr-CA"/>
              </w:rPr>
              <w:t>12 juin 2014</w:t>
            </w:r>
          </w:p>
          <w:p w:rsidR="005C3B9D" w:rsidRPr="00D8460F" w:rsidRDefault="005C3B9D" w:rsidP="008F5FE2">
            <w:pPr>
              <w:jc w:val="both"/>
              <w:rPr>
                <w:sz w:val="20"/>
                <w:szCs w:val="20"/>
                <w:lang w:val="fr-CA"/>
              </w:rPr>
            </w:pPr>
            <w:r w:rsidRPr="00D8460F">
              <w:rPr>
                <w:sz w:val="20"/>
                <w:szCs w:val="20"/>
                <w:lang w:val="fr-CA"/>
              </w:rPr>
              <w:t xml:space="preserve">Cour d’appel de la Colombie-Britannique </w:t>
            </w:r>
          </w:p>
          <w:p w:rsidR="005C3B9D" w:rsidRPr="00D8460F" w:rsidRDefault="005C3B9D" w:rsidP="008F5FE2">
            <w:pPr>
              <w:jc w:val="both"/>
              <w:rPr>
                <w:sz w:val="20"/>
                <w:szCs w:val="20"/>
              </w:rPr>
            </w:pPr>
            <w:r w:rsidRPr="00D8460F">
              <w:rPr>
                <w:sz w:val="20"/>
                <w:szCs w:val="20"/>
              </w:rPr>
              <w:t>(Juge Neilson)</w:t>
            </w:r>
          </w:p>
          <w:p w:rsidR="005C3B9D" w:rsidRPr="00D8460F" w:rsidRDefault="005C3B9D" w:rsidP="008F5FE2">
            <w:pPr>
              <w:rPr>
                <w:rFonts w:eastAsia="Times New Roman" w:cs="Times New Roman"/>
                <w:sz w:val="20"/>
                <w:szCs w:val="20"/>
                <w:lang w:eastAsia="en-CA"/>
              </w:rPr>
            </w:pPr>
            <w:r w:rsidRPr="00D8460F">
              <w:rPr>
                <w:rFonts w:eastAsia="Times New Roman" w:cs="Times New Roman"/>
                <w:color w:val="000000"/>
                <w:sz w:val="20"/>
                <w:szCs w:val="20"/>
                <w:lang w:eastAsia="en-CA"/>
              </w:rPr>
              <w:t>2014 BCCA 230</w:t>
            </w:r>
          </w:p>
          <w:p w:rsidR="005C3B9D" w:rsidRPr="00D8460F" w:rsidRDefault="005C3B9D" w:rsidP="008F5FE2">
            <w:pPr>
              <w:jc w:val="both"/>
              <w:rPr>
                <w:sz w:val="20"/>
                <w:szCs w:val="20"/>
              </w:rPr>
            </w:pPr>
          </w:p>
        </w:tc>
        <w:tc>
          <w:tcPr>
            <w:tcW w:w="243" w:type="pct"/>
          </w:tcPr>
          <w:p w:rsidR="005C3B9D" w:rsidRPr="00D8460F" w:rsidRDefault="005C3B9D" w:rsidP="008F5FE2">
            <w:pPr>
              <w:jc w:val="both"/>
              <w:rPr>
                <w:sz w:val="20"/>
                <w:szCs w:val="20"/>
              </w:rPr>
            </w:pPr>
          </w:p>
        </w:tc>
        <w:tc>
          <w:tcPr>
            <w:tcW w:w="2330" w:type="pct"/>
          </w:tcPr>
          <w:p w:rsidR="005C3B9D" w:rsidRPr="00D8460F" w:rsidRDefault="005C3B9D" w:rsidP="008F5FE2">
            <w:pPr>
              <w:jc w:val="both"/>
              <w:rPr>
                <w:rFonts w:eastAsia="Times New Roman" w:cs="Times New Roman"/>
                <w:sz w:val="20"/>
                <w:szCs w:val="20"/>
                <w:lang w:val="fr-CA" w:eastAsia="en-CA"/>
              </w:rPr>
            </w:pPr>
            <w:r w:rsidRPr="00D8460F">
              <w:rPr>
                <w:rFonts w:eastAsia="Times New Roman" w:cs="Times New Roman"/>
                <w:sz w:val="20"/>
                <w:szCs w:val="20"/>
                <w:lang w:val="fr-CA" w:eastAsia="en-CA"/>
              </w:rPr>
              <w:t xml:space="preserve">Demande du père en vue d’obtenir une prorogation du délai pour déposer et signifier le dossier d’appel, une ordonnance de retrait de l’appel de la liste des appels inactifs et la </w:t>
            </w:r>
            <w:r w:rsidRPr="00D8460F">
              <w:rPr>
                <w:rFonts w:eastAsia="Times New Roman" w:cs="Times New Roman"/>
                <w:color w:val="000000"/>
                <w:sz w:val="20"/>
                <w:szCs w:val="20"/>
                <w:lang w:val="fr-CA" w:eastAsia="en-CA"/>
              </w:rPr>
              <w:t xml:space="preserve">transcription de la conférence de gestion d’instance, accueillie en partie : prorogation de délai accordée à certaines conditions, appel retiré de la liste des appels inactifs et </w:t>
            </w:r>
            <w:r w:rsidRPr="00D8460F">
              <w:rPr>
                <w:rFonts w:eastAsia="Times New Roman" w:cs="Times New Roman"/>
                <w:sz w:val="20"/>
                <w:szCs w:val="20"/>
                <w:lang w:val="fr-CA" w:eastAsia="en-CA"/>
              </w:rPr>
              <w:t>transcription non requise pour l’appel.</w:t>
            </w:r>
          </w:p>
          <w:p w:rsidR="005C3B9D" w:rsidRPr="00D8460F" w:rsidRDefault="005C3B9D" w:rsidP="008F5FE2">
            <w:pPr>
              <w:jc w:val="both"/>
              <w:rPr>
                <w:sz w:val="20"/>
                <w:szCs w:val="20"/>
                <w:lang w:val="fr-CA"/>
              </w:rPr>
            </w:pPr>
          </w:p>
        </w:tc>
      </w:tr>
      <w:tr w:rsidR="005C3B9D" w:rsidRPr="00D8460F" w:rsidTr="008F5FE2">
        <w:tc>
          <w:tcPr>
            <w:tcW w:w="2427" w:type="pct"/>
          </w:tcPr>
          <w:p w:rsidR="005C3B9D" w:rsidRPr="00D8460F" w:rsidRDefault="005C3B9D" w:rsidP="008F5FE2">
            <w:pPr>
              <w:jc w:val="both"/>
              <w:rPr>
                <w:sz w:val="20"/>
                <w:szCs w:val="20"/>
                <w:lang w:val="fr-CA"/>
              </w:rPr>
            </w:pPr>
            <w:r w:rsidRPr="00D8460F">
              <w:rPr>
                <w:sz w:val="20"/>
                <w:szCs w:val="20"/>
                <w:lang w:val="fr-CA"/>
              </w:rPr>
              <w:t>7 avril 2015</w:t>
            </w:r>
          </w:p>
          <w:p w:rsidR="005C3B9D" w:rsidRPr="00D8460F" w:rsidRDefault="005C3B9D" w:rsidP="008F5FE2">
            <w:pPr>
              <w:jc w:val="both"/>
              <w:rPr>
                <w:sz w:val="20"/>
                <w:szCs w:val="20"/>
                <w:lang w:val="fr-CA"/>
              </w:rPr>
            </w:pPr>
            <w:r w:rsidRPr="00D8460F">
              <w:rPr>
                <w:sz w:val="20"/>
                <w:szCs w:val="20"/>
                <w:lang w:val="fr-CA"/>
              </w:rPr>
              <w:t xml:space="preserve">Cour d’appel de la Colombie-Britannique  </w:t>
            </w:r>
          </w:p>
          <w:p w:rsidR="005C3B9D" w:rsidRPr="00D8460F" w:rsidRDefault="005C3B9D" w:rsidP="008F5FE2">
            <w:pPr>
              <w:jc w:val="both"/>
              <w:rPr>
                <w:sz w:val="20"/>
                <w:szCs w:val="20"/>
                <w:lang w:val="fr-CA"/>
              </w:rPr>
            </w:pPr>
            <w:r w:rsidRPr="00D8460F">
              <w:rPr>
                <w:sz w:val="20"/>
                <w:szCs w:val="20"/>
                <w:lang w:val="fr-CA"/>
              </w:rPr>
              <w:t>(Vancouver)</w:t>
            </w:r>
          </w:p>
          <w:p w:rsidR="005C3B9D" w:rsidRPr="00D8460F" w:rsidRDefault="005C3B9D" w:rsidP="008F5FE2">
            <w:pPr>
              <w:jc w:val="both"/>
              <w:rPr>
                <w:sz w:val="20"/>
                <w:szCs w:val="20"/>
                <w:lang w:val="fr-CA"/>
              </w:rPr>
            </w:pPr>
            <w:r w:rsidRPr="00D8460F">
              <w:rPr>
                <w:sz w:val="20"/>
                <w:szCs w:val="20"/>
                <w:lang w:val="fr-CA"/>
              </w:rPr>
              <w:t>(Juges Newbury, Chiasson et Frankel)</w:t>
            </w:r>
          </w:p>
          <w:p w:rsidR="005C3B9D" w:rsidRPr="00D8460F" w:rsidRDefault="005C3B9D" w:rsidP="008F5FE2">
            <w:pPr>
              <w:rPr>
                <w:rFonts w:eastAsia="Times New Roman" w:cs="Times New Roman"/>
                <w:sz w:val="20"/>
                <w:szCs w:val="20"/>
                <w:lang w:eastAsia="en-CA"/>
              </w:rPr>
            </w:pPr>
            <w:r w:rsidRPr="00D8460F">
              <w:rPr>
                <w:rFonts w:eastAsia="Times New Roman" w:cs="Times New Roman"/>
                <w:sz w:val="20"/>
                <w:szCs w:val="20"/>
                <w:lang w:eastAsia="en-CA"/>
              </w:rPr>
              <w:t>2015 BCCA 146</w:t>
            </w:r>
          </w:p>
          <w:p w:rsidR="005C3B9D" w:rsidRPr="00D8460F" w:rsidRDefault="005C3B9D" w:rsidP="008F5FE2">
            <w:pPr>
              <w:jc w:val="both"/>
              <w:rPr>
                <w:sz w:val="20"/>
                <w:szCs w:val="20"/>
              </w:rPr>
            </w:pPr>
          </w:p>
        </w:tc>
        <w:tc>
          <w:tcPr>
            <w:tcW w:w="243" w:type="pct"/>
          </w:tcPr>
          <w:p w:rsidR="005C3B9D" w:rsidRPr="00D8460F" w:rsidRDefault="005C3B9D" w:rsidP="008F5FE2">
            <w:pPr>
              <w:jc w:val="both"/>
              <w:rPr>
                <w:sz w:val="20"/>
                <w:szCs w:val="20"/>
              </w:rPr>
            </w:pPr>
          </w:p>
        </w:tc>
        <w:tc>
          <w:tcPr>
            <w:tcW w:w="2330" w:type="pct"/>
          </w:tcPr>
          <w:p w:rsidR="005C3B9D" w:rsidRPr="00D8460F" w:rsidRDefault="005C3B9D" w:rsidP="008F5FE2">
            <w:pPr>
              <w:jc w:val="both"/>
              <w:rPr>
                <w:sz w:val="20"/>
                <w:szCs w:val="20"/>
              </w:rPr>
            </w:pPr>
            <w:r w:rsidRPr="00D8460F">
              <w:rPr>
                <w:sz w:val="20"/>
                <w:szCs w:val="20"/>
              </w:rPr>
              <w:t>Rejet de l’appel.</w:t>
            </w:r>
          </w:p>
          <w:p w:rsidR="005C3B9D" w:rsidRPr="00D8460F" w:rsidRDefault="005C3B9D" w:rsidP="008F5FE2">
            <w:pPr>
              <w:jc w:val="both"/>
              <w:rPr>
                <w:sz w:val="20"/>
                <w:szCs w:val="20"/>
              </w:rPr>
            </w:pPr>
          </w:p>
        </w:tc>
      </w:tr>
      <w:tr w:rsidR="005C3B9D" w:rsidRPr="00B26F8D" w:rsidTr="008F5FE2">
        <w:tc>
          <w:tcPr>
            <w:tcW w:w="2427" w:type="pct"/>
          </w:tcPr>
          <w:p w:rsidR="005C3B9D" w:rsidRPr="005C3B9D" w:rsidRDefault="005C3B9D" w:rsidP="008F5FE2">
            <w:pPr>
              <w:jc w:val="both"/>
              <w:rPr>
                <w:sz w:val="20"/>
                <w:szCs w:val="20"/>
                <w:lang w:val="fr-CA"/>
              </w:rPr>
            </w:pPr>
            <w:r w:rsidRPr="005C3B9D">
              <w:rPr>
                <w:sz w:val="20"/>
                <w:szCs w:val="20"/>
                <w:lang w:val="fr-CA"/>
              </w:rPr>
              <w:t>5 novembre 2015</w:t>
            </w:r>
          </w:p>
          <w:p w:rsidR="005C3B9D" w:rsidRPr="005C3B9D" w:rsidRDefault="005C3B9D" w:rsidP="008F5FE2">
            <w:pPr>
              <w:jc w:val="both"/>
              <w:rPr>
                <w:sz w:val="20"/>
                <w:szCs w:val="20"/>
                <w:lang w:val="fr-CA"/>
              </w:rPr>
            </w:pPr>
            <w:r w:rsidRPr="005C3B9D">
              <w:rPr>
                <w:sz w:val="20"/>
                <w:szCs w:val="20"/>
                <w:lang w:val="fr-CA"/>
              </w:rPr>
              <w:t>Cour suprême du Canada</w:t>
            </w:r>
          </w:p>
        </w:tc>
        <w:tc>
          <w:tcPr>
            <w:tcW w:w="243" w:type="pct"/>
          </w:tcPr>
          <w:p w:rsidR="005C3B9D" w:rsidRPr="005C3B9D" w:rsidRDefault="005C3B9D" w:rsidP="008F5FE2">
            <w:pPr>
              <w:jc w:val="both"/>
              <w:rPr>
                <w:sz w:val="20"/>
                <w:szCs w:val="20"/>
                <w:lang w:val="fr-CA"/>
              </w:rPr>
            </w:pPr>
          </w:p>
        </w:tc>
        <w:tc>
          <w:tcPr>
            <w:tcW w:w="2330" w:type="pct"/>
          </w:tcPr>
          <w:p w:rsidR="005C3B9D" w:rsidRPr="00D8460F" w:rsidRDefault="005C3B9D" w:rsidP="008F5FE2">
            <w:pPr>
              <w:jc w:val="both"/>
              <w:rPr>
                <w:sz w:val="20"/>
                <w:szCs w:val="20"/>
                <w:lang w:val="fr-CA"/>
              </w:rPr>
            </w:pPr>
            <w:r w:rsidRPr="00D8460F">
              <w:rPr>
                <w:sz w:val="20"/>
                <w:szCs w:val="20"/>
                <w:lang w:val="fr-CA"/>
              </w:rPr>
              <w:t>Dépôt de la requête en prorogation du délai pour signifier et déposer la demande d’autorisation d’appel ainsi que de la demande d’autorisation d’appel.</w:t>
            </w:r>
          </w:p>
        </w:tc>
      </w:tr>
    </w:tbl>
    <w:p w:rsidR="005E141F" w:rsidRDefault="005E141F" w:rsidP="005E141F">
      <w:pPr>
        <w:rPr>
          <w:sz w:val="20"/>
          <w:szCs w:val="20"/>
          <w:lang w:val="fr-CA"/>
        </w:rPr>
      </w:pPr>
    </w:p>
    <w:p w:rsidR="005E141F" w:rsidRDefault="00CD76E4" w:rsidP="005E141F">
      <w:pPr>
        <w:rPr>
          <w:sz w:val="20"/>
          <w:szCs w:val="20"/>
        </w:rPr>
      </w:pPr>
      <w:r>
        <w:rPr>
          <w:sz w:val="20"/>
          <w:szCs w:val="20"/>
          <w:lang w:val="fr-CA"/>
        </w:rPr>
        <w:pict>
          <v:rect id="_x0000_i1067"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0FEB" w:rsidRPr="001D0D5F" w:rsidTr="00BA6468">
        <w:tc>
          <w:tcPr>
            <w:tcW w:w="4200" w:type="dxa"/>
            <w:shd w:val="clear" w:color="auto" w:fill="auto"/>
            <w:tcMar>
              <w:left w:w="0" w:type="dxa"/>
              <w:right w:w="0" w:type="dxa"/>
            </w:tcMar>
          </w:tcPr>
          <w:p w:rsidR="00890FEB" w:rsidRPr="001D0D5F" w:rsidRDefault="00890FEB" w:rsidP="00EB2B90">
            <w:pPr>
              <w:rPr>
                <w:b/>
                <w:szCs w:val="24"/>
              </w:rPr>
            </w:pPr>
            <w:r w:rsidRPr="001D0D5F">
              <w:rPr>
                <w:b/>
                <w:szCs w:val="24"/>
              </w:rPr>
              <w:lastRenderedPageBreak/>
              <w:t>JUDGMENT ON MOTION</w:t>
            </w:r>
          </w:p>
        </w:tc>
        <w:tc>
          <w:tcPr>
            <w:tcW w:w="1200" w:type="dxa"/>
            <w:shd w:val="clear" w:color="auto" w:fill="auto"/>
            <w:tcMar>
              <w:left w:w="0" w:type="dxa"/>
              <w:right w:w="0" w:type="dxa"/>
            </w:tcMar>
          </w:tcPr>
          <w:p w:rsidR="00890FEB" w:rsidRPr="001D0D5F" w:rsidRDefault="00890FEB" w:rsidP="00890FEB">
            <w:pPr>
              <w:jc w:val="center"/>
              <w:rPr>
                <w:b/>
                <w:szCs w:val="24"/>
              </w:rPr>
            </w:pPr>
          </w:p>
          <w:p w:rsidR="00890FEB" w:rsidRPr="001D0D5F" w:rsidRDefault="00890FEB" w:rsidP="00890FEB">
            <w:pPr>
              <w:jc w:val="center"/>
              <w:rPr>
                <w:b/>
                <w:szCs w:val="24"/>
              </w:rPr>
            </w:pPr>
          </w:p>
        </w:tc>
        <w:tc>
          <w:tcPr>
            <w:tcW w:w="4080" w:type="dxa"/>
            <w:shd w:val="clear" w:color="auto" w:fill="auto"/>
            <w:tcMar>
              <w:left w:w="0" w:type="dxa"/>
              <w:right w:w="0" w:type="dxa"/>
            </w:tcMar>
          </w:tcPr>
          <w:p w:rsidR="00890FEB" w:rsidRPr="001D0D5F" w:rsidRDefault="00890FEB" w:rsidP="00EB2B90">
            <w:pPr>
              <w:rPr>
                <w:b/>
                <w:szCs w:val="24"/>
                <w:lang w:val="fr-CA"/>
              </w:rPr>
            </w:pPr>
            <w:r w:rsidRPr="001D0D5F">
              <w:rPr>
                <w:b/>
                <w:szCs w:val="24"/>
                <w:lang w:val="fr-CA"/>
              </w:rPr>
              <w:t>JUGEMENT SUR REQUÊTE</w:t>
            </w:r>
          </w:p>
        </w:tc>
      </w:tr>
    </w:tbl>
    <w:p w:rsidR="00890FEB" w:rsidRPr="00C50A5C" w:rsidRDefault="00890FEB" w:rsidP="00890FEB">
      <w:pPr>
        <w:rPr>
          <w:sz w:val="20"/>
          <w:szCs w:val="20"/>
        </w:rPr>
      </w:pPr>
    </w:p>
    <w:p w:rsidR="001F40DF" w:rsidRPr="00DA27C8" w:rsidRDefault="005E141F" w:rsidP="001F40DF">
      <w:pPr>
        <w:rPr>
          <w:sz w:val="20"/>
          <w:szCs w:val="20"/>
        </w:rPr>
      </w:pPr>
      <w:r w:rsidRPr="00DA27C8">
        <w:rPr>
          <w:sz w:val="20"/>
          <w:szCs w:val="20"/>
        </w:rPr>
        <w:t>15</w:t>
      </w:r>
      <w:r w:rsidR="001F40DF" w:rsidRPr="00DA27C8">
        <w:rPr>
          <w:sz w:val="20"/>
          <w:szCs w:val="20"/>
        </w:rPr>
        <w:t>.</w:t>
      </w:r>
      <w:r w:rsidRPr="00DA27C8">
        <w:rPr>
          <w:sz w:val="20"/>
          <w:szCs w:val="20"/>
        </w:rPr>
        <w:t>01</w:t>
      </w:r>
      <w:r w:rsidR="001F40DF" w:rsidRPr="00DA27C8">
        <w:rPr>
          <w:sz w:val="20"/>
          <w:szCs w:val="20"/>
        </w:rPr>
        <w:t>.201</w:t>
      </w:r>
      <w:r w:rsidRPr="00DA27C8">
        <w:rPr>
          <w:sz w:val="20"/>
          <w:szCs w:val="20"/>
        </w:rPr>
        <w:t>6</w:t>
      </w:r>
      <w:r w:rsidR="001F40DF" w:rsidRPr="00DA27C8">
        <w:rPr>
          <w:sz w:val="20"/>
          <w:szCs w:val="20"/>
        </w:rPr>
        <w:t xml:space="preserve">  - 201</w:t>
      </w:r>
      <w:r w:rsidRPr="00DA27C8">
        <w:rPr>
          <w:sz w:val="20"/>
          <w:szCs w:val="20"/>
        </w:rPr>
        <w:t>6</w:t>
      </w:r>
      <w:r w:rsidR="001F40DF" w:rsidRPr="00DA27C8">
        <w:rPr>
          <w:sz w:val="20"/>
          <w:szCs w:val="20"/>
        </w:rPr>
        <w:t xml:space="preserve"> SCC 4 / 201</w:t>
      </w:r>
      <w:r w:rsidRPr="00DA27C8">
        <w:rPr>
          <w:sz w:val="20"/>
          <w:szCs w:val="20"/>
        </w:rPr>
        <w:t>6</w:t>
      </w:r>
      <w:r w:rsidR="00DA27C8" w:rsidRPr="00DA27C8">
        <w:rPr>
          <w:sz w:val="20"/>
          <w:szCs w:val="20"/>
        </w:rPr>
        <w:t xml:space="preserve"> CSC 4</w:t>
      </w:r>
    </w:p>
    <w:p w:rsidR="001F40DF" w:rsidRDefault="001F40DF" w:rsidP="001F40D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60"/>
        <w:gridCol w:w="4575"/>
      </w:tblGrid>
      <w:tr w:rsidR="001F40DF" w:rsidRPr="00AF4773" w:rsidTr="0004528B">
        <w:trPr>
          <w:cantSplit/>
        </w:trPr>
        <w:tc>
          <w:tcPr>
            <w:tcW w:w="4681" w:type="dxa"/>
          </w:tcPr>
          <w:p w:rsidR="001F40DF" w:rsidRPr="00992FA8" w:rsidRDefault="001F40DF" w:rsidP="0004528B">
            <w:pPr>
              <w:rPr>
                <w:b/>
                <w:sz w:val="20"/>
                <w:szCs w:val="20"/>
              </w:rPr>
            </w:pPr>
            <w:r w:rsidRPr="00992FA8">
              <w:rPr>
                <w:b/>
                <w:sz w:val="20"/>
                <w:szCs w:val="20"/>
              </w:rPr>
              <w:t xml:space="preserve">Miscellaneous motion </w:t>
            </w:r>
          </w:p>
        </w:tc>
        <w:tc>
          <w:tcPr>
            <w:tcW w:w="467" w:type="dxa"/>
          </w:tcPr>
          <w:p w:rsidR="001F40DF" w:rsidRPr="00D67826" w:rsidRDefault="001F40DF" w:rsidP="0004528B">
            <w:pPr>
              <w:rPr>
                <w:sz w:val="20"/>
                <w:szCs w:val="20"/>
                <w:lang w:val="fr-CA"/>
              </w:rPr>
            </w:pPr>
          </w:p>
          <w:p w:rsidR="001F40DF" w:rsidRPr="00D67826" w:rsidRDefault="001F40DF" w:rsidP="0004528B">
            <w:pPr>
              <w:rPr>
                <w:sz w:val="20"/>
                <w:szCs w:val="20"/>
                <w:lang w:val="fr-CA"/>
              </w:rPr>
            </w:pPr>
          </w:p>
        </w:tc>
        <w:tc>
          <w:tcPr>
            <w:tcW w:w="4687" w:type="dxa"/>
          </w:tcPr>
          <w:p w:rsidR="001F40DF" w:rsidRPr="00C73EE6" w:rsidRDefault="001F40DF" w:rsidP="0004528B">
            <w:pPr>
              <w:rPr>
                <w:b/>
                <w:sz w:val="20"/>
                <w:szCs w:val="20"/>
                <w:lang w:val="fr-CA"/>
              </w:rPr>
            </w:pPr>
            <w:r w:rsidRPr="00C73EE6">
              <w:rPr>
                <w:b/>
                <w:sz w:val="20"/>
                <w:szCs w:val="20"/>
                <w:lang w:val="fr-CA"/>
              </w:rPr>
              <w:t>Requête</w:t>
            </w:r>
            <w:r>
              <w:rPr>
                <w:b/>
                <w:sz w:val="20"/>
                <w:szCs w:val="20"/>
                <w:lang w:val="fr-CA"/>
              </w:rPr>
              <w:t xml:space="preserve"> diverse </w:t>
            </w:r>
          </w:p>
        </w:tc>
      </w:tr>
      <w:tr w:rsidR="001F40DF" w:rsidRPr="0007673F" w:rsidTr="0004528B">
        <w:trPr>
          <w:cantSplit/>
        </w:trPr>
        <w:tc>
          <w:tcPr>
            <w:tcW w:w="4681" w:type="dxa"/>
          </w:tcPr>
          <w:p w:rsidR="001F40DF" w:rsidRPr="00BB204D" w:rsidRDefault="0007673F" w:rsidP="0004528B">
            <w:pPr>
              <w:rPr>
                <w:sz w:val="20"/>
                <w:szCs w:val="20"/>
                <w:lang w:val="fr-CA"/>
              </w:rPr>
            </w:pPr>
            <w:r>
              <w:rPr>
                <w:sz w:val="20"/>
                <w:szCs w:val="20"/>
                <w:lang w:val="fr-CA"/>
              </w:rPr>
              <w:t>Lee Carter et al.</w:t>
            </w:r>
          </w:p>
          <w:p w:rsidR="001F40DF" w:rsidRPr="00BB204D" w:rsidRDefault="001F40DF" w:rsidP="0004528B">
            <w:pPr>
              <w:rPr>
                <w:sz w:val="20"/>
                <w:szCs w:val="20"/>
                <w:lang w:val="fr-CA"/>
              </w:rPr>
            </w:pPr>
          </w:p>
          <w:p w:rsidR="001F40DF" w:rsidRPr="00BB204D" w:rsidRDefault="001F40DF" w:rsidP="0004528B">
            <w:pPr>
              <w:rPr>
                <w:sz w:val="20"/>
                <w:szCs w:val="20"/>
                <w:lang w:val="fr-CA"/>
              </w:rPr>
            </w:pPr>
            <w:r w:rsidRPr="00BB204D">
              <w:rPr>
                <w:sz w:val="20"/>
                <w:szCs w:val="20"/>
                <w:lang w:val="fr-CA"/>
              </w:rPr>
              <w:tab/>
              <w:t>v. (3</w:t>
            </w:r>
            <w:r w:rsidR="0007673F">
              <w:rPr>
                <w:sz w:val="20"/>
                <w:szCs w:val="20"/>
                <w:lang w:val="fr-CA"/>
              </w:rPr>
              <w:t>5591</w:t>
            </w:r>
            <w:r w:rsidRPr="00BB204D">
              <w:rPr>
                <w:sz w:val="20"/>
                <w:szCs w:val="20"/>
                <w:lang w:val="fr-CA"/>
              </w:rPr>
              <w:t>)</w:t>
            </w:r>
          </w:p>
          <w:p w:rsidR="001F40DF" w:rsidRPr="00BB204D" w:rsidRDefault="001F40DF" w:rsidP="0004528B">
            <w:pPr>
              <w:rPr>
                <w:sz w:val="20"/>
                <w:szCs w:val="20"/>
                <w:lang w:val="fr-CA"/>
              </w:rPr>
            </w:pPr>
          </w:p>
          <w:p w:rsidR="001F40DF" w:rsidRPr="00C73EE6" w:rsidRDefault="0007673F" w:rsidP="0007673F">
            <w:pPr>
              <w:rPr>
                <w:sz w:val="20"/>
                <w:szCs w:val="20"/>
                <w:lang w:val="fr-CA"/>
              </w:rPr>
            </w:pPr>
            <w:r w:rsidRPr="0007673F">
              <w:rPr>
                <w:sz w:val="20"/>
                <w:szCs w:val="20"/>
                <w:lang w:val="en-US"/>
              </w:rPr>
              <w:t>Attorney General of Canada</w:t>
            </w:r>
            <w:r w:rsidR="001F40DF" w:rsidRPr="0007673F">
              <w:rPr>
                <w:sz w:val="20"/>
                <w:szCs w:val="20"/>
                <w:lang w:val="en-US"/>
              </w:rPr>
              <w:t xml:space="preserve"> et al. </w:t>
            </w:r>
            <w:r w:rsidR="001F40DF" w:rsidRPr="00BB204D">
              <w:rPr>
                <w:sz w:val="20"/>
                <w:szCs w:val="20"/>
                <w:lang w:val="fr-CA"/>
              </w:rPr>
              <w:t>(</w:t>
            </w:r>
            <w:r>
              <w:rPr>
                <w:sz w:val="20"/>
                <w:szCs w:val="20"/>
                <w:lang w:val="fr-CA"/>
              </w:rPr>
              <w:t>B.C</w:t>
            </w:r>
            <w:r w:rsidR="001F40DF" w:rsidRPr="00BB204D">
              <w:rPr>
                <w:sz w:val="20"/>
                <w:szCs w:val="20"/>
                <w:lang w:val="fr-CA"/>
              </w:rPr>
              <w:t>.)</w:t>
            </w:r>
          </w:p>
        </w:tc>
        <w:tc>
          <w:tcPr>
            <w:tcW w:w="467" w:type="dxa"/>
          </w:tcPr>
          <w:p w:rsidR="001F40DF" w:rsidRPr="00C73EE6" w:rsidRDefault="001F40DF" w:rsidP="0004528B">
            <w:pPr>
              <w:rPr>
                <w:sz w:val="20"/>
                <w:szCs w:val="20"/>
                <w:lang w:val="fr-CA"/>
              </w:rPr>
            </w:pPr>
          </w:p>
          <w:p w:rsidR="001F40DF" w:rsidRPr="00C73EE6" w:rsidRDefault="001F40DF" w:rsidP="0004528B">
            <w:pPr>
              <w:rPr>
                <w:sz w:val="20"/>
                <w:szCs w:val="20"/>
                <w:lang w:val="fr-CA"/>
              </w:rPr>
            </w:pPr>
          </w:p>
          <w:p w:rsidR="001F40DF" w:rsidRPr="00C73EE6" w:rsidRDefault="001F40DF" w:rsidP="0004528B">
            <w:pPr>
              <w:rPr>
                <w:sz w:val="20"/>
                <w:szCs w:val="20"/>
                <w:lang w:val="fr-CA"/>
              </w:rPr>
            </w:pPr>
          </w:p>
          <w:p w:rsidR="001F40DF" w:rsidRPr="00C73EE6" w:rsidRDefault="001F40DF" w:rsidP="0004528B">
            <w:pPr>
              <w:rPr>
                <w:sz w:val="20"/>
                <w:szCs w:val="20"/>
                <w:lang w:val="fr-CA"/>
              </w:rPr>
            </w:pPr>
          </w:p>
          <w:p w:rsidR="001F40DF" w:rsidRPr="00C73EE6" w:rsidRDefault="001F40DF" w:rsidP="0004528B">
            <w:pPr>
              <w:rPr>
                <w:sz w:val="20"/>
                <w:szCs w:val="20"/>
                <w:lang w:val="fr-CA"/>
              </w:rPr>
            </w:pPr>
          </w:p>
        </w:tc>
        <w:tc>
          <w:tcPr>
            <w:tcW w:w="4687" w:type="dxa"/>
          </w:tcPr>
          <w:p w:rsidR="001F40DF" w:rsidRPr="00BB204D" w:rsidRDefault="001F40DF" w:rsidP="0004528B">
            <w:pPr>
              <w:rPr>
                <w:sz w:val="20"/>
                <w:szCs w:val="20"/>
                <w:lang w:val="fr-CA"/>
              </w:rPr>
            </w:pPr>
          </w:p>
        </w:tc>
      </w:tr>
    </w:tbl>
    <w:p w:rsidR="001F40DF" w:rsidRDefault="001F40DF" w:rsidP="001F40DF">
      <w:pPr>
        <w:rPr>
          <w:sz w:val="20"/>
          <w:szCs w:val="20"/>
          <w:lang w:val="fr-CA"/>
        </w:rPr>
      </w:pPr>
    </w:p>
    <w:p w:rsidR="0007673F" w:rsidRDefault="0007673F" w:rsidP="0007673F">
      <w:pPr>
        <w:pStyle w:val="JudgeJuge"/>
        <w:spacing w:after="0" w:line="240" w:lineRule="auto"/>
        <w:rPr>
          <w:sz w:val="20"/>
          <w:szCs w:val="20"/>
        </w:rPr>
      </w:pPr>
      <w:r w:rsidRPr="0007673F">
        <w:rPr>
          <w:rFonts w:eastAsiaTheme="minorHAnsi" w:cstheme="minorBidi"/>
          <w:b/>
          <w:smallCaps w:val="0"/>
          <w:sz w:val="20"/>
          <w:szCs w:val="20"/>
          <w:u w:val="single"/>
          <w:lang w:eastAsia="en-US"/>
        </w:rPr>
        <w:t>ABELLA, KARAKATSANIS, WAGNER, GASCON and CÔTÉ JJ.</w:t>
      </w:r>
      <w:r>
        <w:rPr>
          <w:rFonts w:eastAsiaTheme="minorHAnsi" w:cstheme="minorBidi"/>
          <w:b/>
          <w:smallCaps w:val="0"/>
          <w:sz w:val="20"/>
          <w:szCs w:val="20"/>
          <w:u w:val="single"/>
          <w:lang w:eastAsia="en-US"/>
        </w:rPr>
        <w:t>:</w:t>
      </w:r>
      <w:r w:rsidRPr="0007673F">
        <w:rPr>
          <w:sz w:val="20"/>
          <w:szCs w:val="20"/>
        </w:rPr>
        <w:t xml:space="preserve">  </w:t>
      </w:r>
    </w:p>
    <w:p w:rsidR="0007673F" w:rsidRPr="0007673F" w:rsidRDefault="0007673F" w:rsidP="0007673F">
      <w:pPr>
        <w:pStyle w:val="JudgeJuge"/>
        <w:spacing w:after="0" w:line="240" w:lineRule="auto"/>
        <w:rPr>
          <w:sz w:val="20"/>
          <w:szCs w:val="20"/>
        </w:rPr>
      </w:pPr>
    </w:p>
    <w:p w:rsid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sz w:val="20"/>
          <w:szCs w:val="20"/>
          <w:lang w:val="en-US"/>
        </w:rPr>
        <w:t>The Attorney General of Canada applies for a six-month extension of the suspension of this Court’s declaration that ss. 241(</w:t>
      </w:r>
      <w:r w:rsidRPr="0007673F">
        <w:rPr>
          <w:i/>
          <w:sz w:val="20"/>
          <w:szCs w:val="20"/>
          <w:lang w:val="en-US"/>
        </w:rPr>
        <w:t>b</w:t>
      </w:r>
      <w:r w:rsidRPr="0007673F">
        <w:rPr>
          <w:sz w:val="20"/>
          <w:szCs w:val="20"/>
          <w:lang w:val="en-US"/>
        </w:rPr>
        <w:t xml:space="preserve">) and 14 of the </w:t>
      </w:r>
      <w:r w:rsidRPr="0007673F">
        <w:rPr>
          <w:i/>
          <w:iCs/>
          <w:sz w:val="20"/>
          <w:szCs w:val="20"/>
          <w:lang w:val="en-US"/>
        </w:rPr>
        <w:t>Criminal Code</w:t>
      </w:r>
      <w:r w:rsidRPr="0007673F">
        <w:rPr>
          <w:iCs/>
          <w:sz w:val="20"/>
          <w:szCs w:val="20"/>
          <w:lang w:val="en-US"/>
        </w:rPr>
        <w:t>, R.S.C. 1985, c. C-46, “are of no force or effect to the extent that they prohibit physician</w:t>
      </w:r>
      <w:r w:rsidRPr="0007673F">
        <w:rPr>
          <w:iCs/>
          <w:sz w:val="20"/>
          <w:szCs w:val="20"/>
          <w:lang w:val="en-US"/>
        </w:rPr>
        <w:noBreakHyphen/>
        <w:t>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The declaration of invalidity of ss. 241(</w:t>
      </w:r>
      <w:r w:rsidRPr="0007673F">
        <w:rPr>
          <w:i/>
          <w:iCs/>
          <w:sz w:val="20"/>
          <w:szCs w:val="20"/>
          <w:lang w:val="en-US"/>
        </w:rPr>
        <w:t>b</w:t>
      </w:r>
      <w:r w:rsidRPr="0007673F">
        <w:rPr>
          <w:iCs/>
          <w:sz w:val="20"/>
          <w:szCs w:val="20"/>
          <w:lang w:val="en-US"/>
        </w:rPr>
        <w:t>) and 14 was suspended for 12 months, until February 6, 2016.</w:t>
      </w:r>
      <w:r w:rsidRPr="0007673F">
        <w:rPr>
          <w:i/>
          <w:iCs/>
          <w:sz w:val="20"/>
          <w:szCs w:val="20"/>
          <w:lang w:val="en-US"/>
        </w:rPr>
        <w:t xml:space="preserve"> </w:t>
      </w:r>
      <w:r w:rsidRPr="0007673F">
        <w:rPr>
          <w:sz w:val="20"/>
          <w:szCs w:val="20"/>
          <w:lang w:val="en-US"/>
        </w:rPr>
        <w:t>The appellants oppose the Attorney General’s application. Should an extension of the suspension be granted, the Attorney General of Quebec asks that legislation regulating end</w:t>
      </w:r>
      <w:r w:rsidRPr="0007673F">
        <w:rPr>
          <w:sz w:val="20"/>
          <w:szCs w:val="20"/>
          <w:lang w:val="en-US"/>
        </w:rPr>
        <w:noBreakHyphen/>
        <w:t>of</w:t>
      </w:r>
      <w:r w:rsidRPr="0007673F">
        <w:rPr>
          <w:sz w:val="20"/>
          <w:szCs w:val="20"/>
          <w:lang w:val="en-US"/>
        </w:rPr>
        <w:noBreakHyphen/>
        <w:t>life assistance adopted in Quebec be exempted from the suspension, to avoid uncertainty as to whether the Quebec regime conflicts with the federal prohibition preserved by any extension of the suspension. Finally, the appellants and certain interveners ask this Court to grant a constitutional exemption for individuals who wish to seek assistance in ending their life during the period of any extension.</w:t>
      </w:r>
    </w:p>
    <w:p w:rsidR="0007673F" w:rsidRPr="0007673F" w:rsidRDefault="0007673F" w:rsidP="0007673F">
      <w:pPr>
        <w:pStyle w:val="ParaNoNdepar-AltN"/>
        <w:numPr>
          <w:ilvl w:val="0"/>
          <w:numId w:val="0"/>
        </w:numPr>
        <w:tabs>
          <w:tab w:val="left" w:pos="1166"/>
        </w:tabs>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The first question is whether this Court should order an extension of the suspension of the declaration of invalidity. To suspend a declaration of the constitutional invalidity of a law is an extraordinary step, since its effect is to maintain an unconstitutional law in breach of the constitutional rights of members of Canadian society. To extend such a suspension is even more problematic. The appellants point to the severe harm caused to individuals by the extension. Extraordinary circumstances must be shown. The burden on the Attorney General who seeks an extension of a suspension of a declaration of constitutional invalidity is heavy. In this case, the length of the interruption of work on a legislative response to the Court’s decision due to a federal election constitutes such a circumstance. Parliament was dissolved on August 2, 2015 and officially resumed on December 3 of that year. This four-month delay justifies granting an extension of the suspension of the declaration of invalidity, but only for four months.</w:t>
      </w:r>
    </w:p>
    <w:p w:rsidR="0007673F" w:rsidRPr="0007673F" w:rsidRDefault="0007673F" w:rsidP="0007673F">
      <w:pPr>
        <w:pStyle w:val="ParaNoNdepar-AltN"/>
        <w:numPr>
          <w:ilvl w:val="0"/>
          <w:numId w:val="0"/>
        </w:numPr>
        <w:tabs>
          <w:tab w:val="left" w:pos="1166"/>
        </w:tabs>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The next question is whether Quebec should be exempted from the four-month extension of the suspension of the declaration of invalidity. The Attorney General of Canada and the provincial Attorneys General who participated in the hearing do not oppose Quebec’s request for an exemption. Quebec submits that an exemption is necessary to clarify the legal position in Quebec given its law governing end-of-life assistance, the </w:t>
      </w:r>
      <w:r w:rsidRPr="0007673F">
        <w:rPr>
          <w:rFonts w:cs="Times New Roman"/>
          <w:i/>
          <w:sz w:val="20"/>
          <w:szCs w:val="20"/>
          <w:lang w:val="en-US"/>
        </w:rPr>
        <w:t>Act respecting end-of-life care</w:t>
      </w:r>
      <w:r w:rsidRPr="0007673F">
        <w:rPr>
          <w:rFonts w:cs="Times New Roman"/>
          <w:sz w:val="20"/>
          <w:szCs w:val="20"/>
          <w:lang w:val="en-US"/>
        </w:rPr>
        <w:t>, CQLR, c. S-32.0001 (“</w:t>
      </w:r>
      <w:r w:rsidRPr="0007673F">
        <w:rPr>
          <w:rFonts w:cs="Times New Roman"/>
          <w:i/>
          <w:sz w:val="20"/>
          <w:szCs w:val="20"/>
          <w:lang w:val="en-US"/>
        </w:rPr>
        <w:t>ARELC</w:t>
      </w:r>
      <w:r w:rsidRPr="0007673F">
        <w:rPr>
          <w:rFonts w:cs="Times New Roman"/>
          <w:sz w:val="20"/>
          <w:szCs w:val="20"/>
          <w:lang w:val="en-US"/>
        </w:rPr>
        <w:t xml:space="preserve">”), which came into force on December 10, 2015. Quebec also submits an exemption would avoid the chilling effect of the threat of possible violations of the criminal prohibition or potential civil liability during the four-month extension of the suspension of the declaration of invalidity. </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In view of this, and having regard to the fact that the Attorneys General do not oppose the Attorney General of Quebec’s request for Quebec to be exempted from the extension of the suspension of the declaration of invalidity, we would grant the exemption. In doing so, we should not be taken as expressing any view as to the validity of the </w:t>
      </w:r>
      <w:r w:rsidRPr="0007673F">
        <w:rPr>
          <w:rFonts w:cs="Times New Roman"/>
          <w:i/>
          <w:sz w:val="20"/>
          <w:szCs w:val="20"/>
          <w:lang w:val="en-US"/>
        </w:rPr>
        <w:t>ARELC</w:t>
      </w:r>
      <w:r w:rsidRPr="0007673F">
        <w:rPr>
          <w:rFonts w:cs="Times New Roman"/>
          <w:sz w:val="20"/>
          <w:szCs w:val="20"/>
          <w:lang w:val="en-US"/>
        </w:rPr>
        <w:t>.</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The third question is whether, during the four-month extension, the Court should grant an exemption for those who wish to seek assistance in ending their life on the bases articulated in our reasons in </w:t>
      </w:r>
      <w:r w:rsidRPr="0007673F">
        <w:rPr>
          <w:rFonts w:cs="Times New Roman"/>
          <w:i/>
          <w:iCs/>
          <w:sz w:val="20"/>
          <w:szCs w:val="20"/>
          <w:lang w:val="en-US"/>
        </w:rPr>
        <w:t>Carter v. Canada (Attorney General)</w:t>
      </w:r>
      <w:r w:rsidRPr="0007673F">
        <w:rPr>
          <w:rFonts w:cs="Times New Roman"/>
          <w:iCs/>
          <w:sz w:val="20"/>
          <w:szCs w:val="20"/>
          <w:lang w:val="en-US"/>
        </w:rPr>
        <w:t>, 2015 SCC 5, [2015] 1 S.C.R. 331.</w:t>
      </w:r>
      <w:r w:rsidRPr="0007673F">
        <w:rPr>
          <w:rFonts w:cs="Times New Roman"/>
          <w:sz w:val="20"/>
          <w:szCs w:val="20"/>
          <w:lang w:val="en-US"/>
        </w:rPr>
        <w:t xml:space="preserve"> The appellants argue that fairness and equality require this, particularly if Quebec is exempted from the extension.</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This is the first time the Court has been asked to consider whether to grant individual exemptions during an </w:t>
      </w:r>
      <w:r w:rsidRPr="0007673F">
        <w:rPr>
          <w:rFonts w:cs="Times New Roman"/>
          <w:i/>
          <w:sz w:val="20"/>
          <w:szCs w:val="20"/>
          <w:lang w:val="en-US"/>
        </w:rPr>
        <w:t>extension</w:t>
      </w:r>
      <w:r w:rsidRPr="0007673F">
        <w:rPr>
          <w:rFonts w:cs="Times New Roman"/>
          <w:sz w:val="20"/>
          <w:szCs w:val="20"/>
          <w:lang w:val="en-US"/>
        </w:rPr>
        <w:t xml:space="preserve"> of a suspension of a declaration of invalidity. Parliament was given one year to determine what, if any, legislative response was appropriate. In agreeing that more time is needed, we do not at the same time see any need to </w:t>
      </w:r>
      <w:r w:rsidRPr="0007673F">
        <w:rPr>
          <w:rFonts w:cs="Times New Roman"/>
          <w:sz w:val="20"/>
          <w:szCs w:val="20"/>
          <w:lang w:val="en-US"/>
        </w:rPr>
        <w:lastRenderedPageBreak/>
        <w:t xml:space="preserve">unfairly prolong the suffering of those who meet the clear criteria we set out in </w:t>
      </w:r>
      <w:r w:rsidRPr="0007673F">
        <w:rPr>
          <w:rFonts w:cs="Times New Roman"/>
          <w:i/>
          <w:sz w:val="20"/>
          <w:szCs w:val="20"/>
          <w:lang w:val="en-US"/>
        </w:rPr>
        <w:t>Carter</w:t>
      </w:r>
      <w:r w:rsidRPr="0007673F">
        <w:rPr>
          <w:rFonts w:cs="Times New Roman"/>
          <w:sz w:val="20"/>
          <w:szCs w:val="20"/>
          <w:lang w:val="en-US"/>
        </w:rPr>
        <w:t>. An exemption can mitigate the severe harm that may be occasioned to those adults who have a grievous, intolerable and irremediable medical condition by making a remedy available now pending Parliament’s response. The prejudice to the rights flowing from the four</w:t>
      </w:r>
      <w:r w:rsidRPr="0007673F">
        <w:rPr>
          <w:rFonts w:cs="Times New Roman"/>
          <w:sz w:val="20"/>
          <w:szCs w:val="20"/>
          <w:lang w:val="en-US"/>
        </w:rPr>
        <w:noBreakHyphen/>
        <w:t xml:space="preserve">month extension outweighs countervailing considerations. Moreover, the grant of an exemption from the extension to Quebec raises concerns of fairness and equality across the country. We would, as a result, grant the request for an exemption so that those who wish to seek assistance from a physician in accordance with the criteria set out in para. 127 of our reasons in </w:t>
      </w:r>
      <w:r w:rsidRPr="0007673F">
        <w:rPr>
          <w:rFonts w:cs="Times New Roman"/>
          <w:i/>
          <w:sz w:val="20"/>
          <w:szCs w:val="20"/>
          <w:lang w:val="en-US"/>
        </w:rPr>
        <w:t>Carter</w:t>
      </w:r>
      <w:r w:rsidRPr="0007673F">
        <w:rPr>
          <w:rFonts w:cs="Times New Roman"/>
          <w:sz w:val="20"/>
          <w:szCs w:val="20"/>
          <w:lang w:val="en-US"/>
        </w:rPr>
        <w:t>, may apply to the superior court of their jurisdiction for relief during the extended period of suspension. Requiring judicial authorization during that interim period ensures compliance with the rule of law and provides an effective safeguard against potential risks to vulnerable people.</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The motion is granted in part. The suspension of the declaration of invalidity is extended by four months from the date it is set to expire. In respect of ss. 4 and 26 to 32 of the </w:t>
      </w:r>
      <w:r w:rsidRPr="0007673F">
        <w:rPr>
          <w:rFonts w:cs="Times New Roman"/>
          <w:i/>
          <w:sz w:val="20"/>
          <w:szCs w:val="20"/>
          <w:lang w:val="en-US"/>
        </w:rPr>
        <w:t>ARELC</w:t>
      </w:r>
      <w:r w:rsidRPr="0007673F">
        <w:rPr>
          <w:rFonts w:cs="Times New Roman"/>
          <w:sz w:val="20"/>
          <w:szCs w:val="20"/>
          <w:lang w:val="en-US"/>
        </w:rPr>
        <w:t xml:space="preserve">, Quebec is exempted from the four-month extension. Finally, during the four-month extension period, we grant an exemption to those who wish to exercise their rights so that they may apply to the superior court of their jurisdiction for relief in accordance with the criteria set out in para. 127 of our reasons in </w:t>
      </w:r>
      <w:r w:rsidRPr="0007673F">
        <w:rPr>
          <w:rFonts w:cs="Times New Roman"/>
          <w:i/>
          <w:sz w:val="20"/>
          <w:szCs w:val="20"/>
          <w:lang w:val="en-US"/>
        </w:rPr>
        <w:t>Carter</w:t>
      </w:r>
      <w:r w:rsidRPr="0007673F">
        <w:rPr>
          <w:rFonts w:cs="Times New Roman"/>
          <w:sz w:val="20"/>
          <w:szCs w:val="20"/>
          <w:lang w:val="en-US"/>
        </w:rPr>
        <w:t>. We would award the appellants special costs of this motion on a full indemnity basis, as on the original appeal.</w:t>
      </w:r>
    </w:p>
    <w:p w:rsidR="0007673F" w:rsidRDefault="0007673F" w:rsidP="0007673F">
      <w:pPr>
        <w:pStyle w:val="JudgeJuge"/>
        <w:spacing w:after="0" w:line="240" w:lineRule="auto"/>
        <w:rPr>
          <w:sz w:val="20"/>
          <w:szCs w:val="20"/>
        </w:rPr>
      </w:pPr>
    </w:p>
    <w:p w:rsidR="0007673F" w:rsidRDefault="0007673F" w:rsidP="0007673F">
      <w:pPr>
        <w:pStyle w:val="JudgeJuge"/>
        <w:spacing w:after="0" w:line="240" w:lineRule="auto"/>
        <w:rPr>
          <w:rFonts w:eastAsiaTheme="minorHAnsi" w:cstheme="minorBidi"/>
          <w:b/>
          <w:smallCaps w:val="0"/>
          <w:sz w:val="20"/>
          <w:szCs w:val="20"/>
          <w:u w:val="single"/>
          <w:lang w:eastAsia="en-US"/>
        </w:rPr>
      </w:pPr>
      <w:r w:rsidRPr="0007673F">
        <w:rPr>
          <w:rFonts w:eastAsiaTheme="minorHAnsi" w:cstheme="minorBidi"/>
          <w:b/>
          <w:smallCaps w:val="0"/>
          <w:sz w:val="20"/>
          <w:szCs w:val="20"/>
          <w:u w:val="single"/>
          <w:lang w:eastAsia="en-US"/>
        </w:rPr>
        <w:t>THE CHIEF JUSTICE and CROMWELL, MOLDAVER and BROWN JJ. (dissenting in part)</w:t>
      </w:r>
    </w:p>
    <w:p w:rsidR="0007673F" w:rsidRPr="0007673F" w:rsidRDefault="0007673F" w:rsidP="0007673F">
      <w:pPr>
        <w:pStyle w:val="JudgeJuge"/>
        <w:spacing w:after="0" w:line="240" w:lineRule="auto"/>
        <w:rPr>
          <w:rFonts w:eastAsiaTheme="minorHAnsi" w:cstheme="minorBidi"/>
          <w:b/>
          <w:smallCaps w:val="0"/>
          <w:sz w:val="20"/>
          <w:szCs w:val="20"/>
          <w:u w:val="single"/>
          <w:lang w:eastAsia="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sz w:val="20"/>
          <w:szCs w:val="20"/>
          <w:lang w:val="en-US"/>
        </w:rPr>
        <w:t>While we agree that a four</w:t>
      </w:r>
      <w:r w:rsidRPr="0007673F">
        <w:rPr>
          <w:sz w:val="20"/>
          <w:szCs w:val="20"/>
          <w:lang w:val="en-US"/>
        </w:rPr>
        <w:noBreakHyphen/>
        <w:t>month extension is justified, we would not exempt Quebec from that extension or provide for individual exemptions.</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The Attorney General of Quebec submits that an exemption is necessary to clarify the legal position in Quebec under its law governing end-of-life assistance, the </w:t>
      </w:r>
      <w:r w:rsidRPr="0007673F">
        <w:rPr>
          <w:rFonts w:cs="Times New Roman"/>
          <w:i/>
          <w:sz w:val="20"/>
          <w:szCs w:val="20"/>
          <w:lang w:val="en-US"/>
        </w:rPr>
        <w:t>Act respecting end-of-life care</w:t>
      </w:r>
      <w:r w:rsidRPr="0007673F">
        <w:rPr>
          <w:rFonts w:cs="Times New Roman"/>
          <w:sz w:val="20"/>
          <w:szCs w:val="20"/>
          <w:lang w:val="en-US"/>
        </w:rPr>
        <w:t>,</w:t>
      </w:r>
      <w:r w:rsidRPr="0007673F">
        <w:rPr>
          <w:rFonts w:cs="Times New Roman"/>
          <w:i/>
          <w:sz w:val="20"/>
          <w:szCs w:val="20"/>
          <w:lang w:val="en-US"/>
        </w:rPr>
        <w:t xml:space="preserve"> </w:t>
      </w:r>
      <w:r w:rsidRPr="0007673F">
        <w:rPr>
          <w:rFonts w:cs="Times New Roman"/>
          <w:sz w:val="20"/>
          <w:szCs w:val="20"/>
          <w:lang w:val="en-US"/>
        </w:rPr>
        <w:t>CQLR,</w:t>
      </w:r>
      <w:r w:rsidRPr="0007673F">
        <w:rPr>
          <w:rFonts w:cs="Times New Roman"/>
          <w:i/>
          <w:sz w:val="20"/>
          <w:szCs w:val="20"/>
          <w:lang w:val="en-US"/>
        </w:rPr>
        <w:t xml:space="preserve"> </w:t>
      </w:r>
      <w:r w:rsidRPr="0007673F">
        <w:rPr>
          <w:rFonts w:cs="Times New Roman"/>
          <w:sz w:val="20"/>
          <w:szCs w:val="20"/>
          <w:lang w:val="en-US"/>
        </w:rPr>
        <w:t>c. S-32.0001 (“</w:t>
      </w:r>
      <w:r w:rsidRPr="0007673F">
        <w:rPr>
          <w:rFonts w:cs="Times New Roman"/>
          <w:i/>
          <w:sz w:val="20"/>
          <w:szCs w:val="20"/>
          <w:lang w:val="en-US"/>
        </w:rPr>
        <w:t>ARELC</w:t>
      </w:r>
      <w:r w:rsidRPr="0007673F">
        <w:rPr>
          <w:rFonts w:cs="Times New Roman"/>
          <w:sz w:val="20"/>
          <w:szCs w:val="20"/>
          <w:lang w:val="en-US"/>
        </w:rPr>
        <w:t xml:space="preserve">”). Canada does not oppose Quebec’s request for an exemption, noting that the Quebec legislation “is the sort of complex regulatory response” contemplated by our judgment in </w:t>
      </w:r>
      <w:r w:rsidRPr="0007673F">
        <w:rPr>
          <w:rFonts w:cs="Times New Roman"/>
          <w:i/>
          <w:sz w:val="20"/>
          <w:szCs w:val="20"/>
          <w:lang w:val="en-US"/>
        </w:rPr>
        <w:t>Carter v. Canada (Attorney General)</w:t>
      </w:r>
      <w:r w:rsidRPr="0007673F">
        <w:rPr>
          <w:rFonts w:cs="Times New Roman"/>
          <w:sz w:val="20"/>
          <w:szCs w:val="20"/>
          <w:lang w:val="en-US"/>
        </w:rPr>
        <w:t>,</w:t>
      </w:r>
      <w:r w:rsidRPr="0007673F">
        <w:rPr>
          <w:rFonts w:cs="Times New Roman"/>
          <w:i/>
          <w:sz w:val="20"/>
          <w:szCs w:val="20"/>
          <w:lang w:val="en-US"/>
        </w:rPr>
        <w:t xml:space="preserve"> </w:t>
      </w:r>
      <w:r w:rsidRPr="0007673F">
        <w:rPr>
          <w:rFonts w:cs="Times New Roman"/>
          <w:sz w:val="20"/>
          <w:szCs w:val="20"/>
          <w:lang w:val="en-US"/>
        </w:rPr>
        <w:t>2015 SCC 5,</w:t>
      </w:r>
      <w:r w:rsidRPr="0007673F">
        <w:rPr>
          <w:rFonts w:cs="Times New Roman"/>
          <w:i/>
          <w:sz w:val="20"/>
          <w:szCs w:val="20"/>
          <w:lang w:val="en-US"/>
        </w:rPr>
        <w:t xml:space="preserve"> </w:t>
      </w:r>
      <w:r w:rsidRPr="0007673F">
        <w:rPr>
          <w:rFonts w:cs="Times New Roman"/>
          <w:sz w:val="20"/>
          <w:szCs w:val="20"/>
          <w:lang w:val="en-US"/>
        </w:rPr>
        <w:t>[2015] 1 S.C.R. 331:  reply factum, at para. 15. The other intervening Attorneys General similarly do not oppose the exemption. The Attorney General of Canada says, however, that the exemption is unnecessary.</w:t>
      </w:r>
    </w:p>
    <w:p w:rsidR="0007673F" w:rsidRPr="00AB33BB"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rPr>
      </w:pPr>
      <w:r w:rsidRPr="0007673F">
        <w:rPr>
          <w:rFonts w:cs="Times New Roman"/>
          <w:sz w:val="20"/>
          <w:szCs w:val="20"/>
          <w:lang w:val="en-US"/>
        </w:rPr>
        <w:t xml:space="preserve">We agree with the Attorney General of Canada. The </w:t>
      </w:r>
      <w:r w:rsidRPr="0007673F">
        <w:rPr>
          <w:rFonts w:cs="Times New Roman"/>
          <w:i/>
          <w:sz w:val="20"/>
          <w:szCs w:val="20"/>
          <w:lang w:val="en-US"/>
        </w:rPr>
        <w:t>ARELC</w:t>
      </w:r>
      <w:r w:rsidRPr="0007673F">
        <w:rPr>
          <w:rFonts w:cs="Times New Roman"/>
          <w:sz w:val="20"/>
          <w:szCs w:val="20"/>
          <w:lang w:val="en-US"/>
        </w:rPr>
        <w:t xml:space="preserve"> came into force on December 10, 2015, while the initial suspension of our declaration of invalidity was in force. No exemption from the suspension of our declaration was sought at that time. We have been advised that the Minister of Justice of Quebec has issued a directive to the Director of Criminal and Penal Prosecutions not to prosecute any physician who follows the </w:t>
      </w:r>
      <w:r w:rsidRPr="0007673F">
        <w:rPr>
          <w:rFonts w:cs="Times New Roman"/>
          <w:i/>
          <w:sz w:val="20"/>
          <w:szCs w:val="20"/>
          <w:lang w:val="en-US"/>
        </w:rPr>
        <w:t>ARELC</w:t>
      </w:r>
      <w:r w:rsidRPr="0007673F">
        <w:rPr>
          <w:rFonts w:cs="Times New Roman"/>
          <w:sz w:val="20"/>
          <w:szCs w:val="20"/>
          <w:lang w:val="en-US"/>
        </w:rPr>
        <w:t xml:space="preserve"> if the exemption to the extension of the suspension is not granted. In our view, the exemption now requested neither adds to nor takes away from whatever clarity existed in the province of Quebec when the </w:t>
      </w:r>
      <w:r w:rsidRPr="0007673F">
        <w:rPr>
          <w:rFonts w:cs="Times New Roman"/>
          <w:i/>
          <w:sz w:val="20"/>
          <w:szCs w:val="20"/>
          <w:lang w:val="en-US"/>
        </w:rPr>
        <w:t>ARELC</w:t>
      </w:r>
      <w:r w:rsidRPr="0007673F">
        <w:rPr>
          <w:rFonts w:cs="Times New Roman"/>
          <w:sz w:val="20"/>
          <w:szCs w:val="20"/>
          <w:lang w:val="en-US"/>
        </w:rPr>
        <w:t xml:space="preserve"> came into force. </w:t>
      </w:r>
      <w:r w:rsidRPr="0007673F">
        <w:rPr>
          <w:rFonts w:cs="Times New Roman"/>
          <w:sz w:val="20"/>
          <w:szCs w:val="20"/>
        </w:rPr>
        <w:t xml:space="preserve">We therefore would refuse Quebec’s request for an exemption. </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The remaining question is whether, during the four-month extension, the Court should grant a constitutional exemption permitting assistance in ending life on the basis articulated in the reasons in </w:t>
      </w:r>
      <w:r w:rsidRPr="0007673F">
        <w:rPr>
          <w:rFonts w:cs="Times New Roman"/>
          <w:i/>
          <w:iCs/>
          <w:sz w:val="20"/>
          <w:szCs w:val="20"/>
          <w:lang w:val="en-US"/>
        </w:rPr>
        <w:t>Carter.</w:t>
      </w:r>
      <w:r w:rsidRPr="0007673F">
        <w:rPr>
          <w:rFonts w:cs="Times New Roman"/>
          <w:sz w:val="20"/>
          <w:szCs w:val="20"/>
          <w:lang w:val="en-US"/>
        </w:rPr>
        <w:t xml:space="preserve"> The appellants request this exemption, arguing that it will alleviate suffering and, if Quebec is exempted from the extension of the suspension of the declaration of invalidity, would also serve the values of fairness and equality.</w:t>
      </w:r>
    </w:p>
    <w:p w:rsidR="0007673F" w:rsidRPr="00AB33BB"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rPr>
      </w:pPr>
      <w:r w:rsidRPr="0007673F">
        <w:rPr>
          <w:rFonts w:cs="Times New Roman"/>
          <w:sz w:val="20"/>
          <w:szCs w:val="20"/>
          <w:lang w:val="en-US"/>
        </w:rPr>
        <w:t>We are not persuaded that the appellants have established a case for a constitutional exemption. In the unanimous judgment on the merits, the Court held that this was not an appropriate case to create a mechanism for exemptions during the period of suspended invalidity.  The Court wrote that doing so “would create uncertainty, undermine the rule of law, and usurp Parliament’s role. Complex regulatory regimes are better created by Parliament than by the courts”: para. </w:t>
      </w:r>
      <w:r w:rsidRPr="0007673F">
        <w:rPr>
          <w:rFonts w:cs="Times New Roman"/>
          <w:sz w:val="20"/>
          <w:szCs w:val="20"/>
        </w:rPr>
        <w:t xml:space="preserve">125. These considerations, in our view, continue to be compelling. </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We would grant a four-month extension of the suspension of the declaration of invalidity, but would dismiss Quebec’s request for exemption from it and also dismiss the appellants’ request for individual exemptions during the period of suspension.</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 xml:space="preserve">We add this. We do not underestimate the agony of those who continue to be denied access to the help that they need to end their suffering. That should be clear from the Court’s reasons for judgment on the merits. However, neither do we underestimate the complexity of the issues that surround the fundamental question of when it should be </w:t>
      </w:r>
      <w:r w:rsidRPr="0007673F">
        <w:rPr>
          <w:rFonts w:cs="Times New Roman"/>
          <w:sz w:val="20"/>
          <w:szCs w:val="20"/>
          <w:lang w:val="en-US"/>
        </w:rPr>
        <w:lastRenderedPageBreak/>
        <w:t>lawful to commit acts that would otherwise constitute criminal conduct. The complexity results not only from the profound moral and ethical dimensions of the question, but also from the overlapping federal and provincial legislative competence in relation to it. The Court unanimously held in its judgment on the merits that these are matters most appropriately addressed by the legislative process. We remain of that view. That the legislative process needs more time is regrettable, but it does not undermine the point that it is the best way to address this issue.</w:t>
      </w:r>
    </w:p>
    <w:p w:rsidR="0007673F" w:rsidRPr="0007673F" w:rsidRDefault="0007673F" w:rsidP="0007673F">
      <w:pPr>
        <w:pStyle w:val="ParaNoNdepar-AltN"/>
        <w:numPr>
          <w:ilvl w:val="0"/>
          <w:numId w:val="0"/>
        </w:numPr>
        <w:spacing w:before="0" w:after="0" w:line="240" w:lineRule="auto"/>
        <w:rPr>
          <w:sz w:val="20"/>
          <w:szCs w:val="20"/>
          <w:lang w:val="en-US"/>
        </w:rPr>
      </w:pPr>
    </w:p>
    <w:p w:rsidR="0007673F" w:rsidRPr="0007673F" w:rsidRDefault="0007673F" w:rsidP="0007673F">
      <w:pPr>
        <w:pStyle w:val="ParaNoNdepar-AltN"/>
        <w:numPr>
          <w:ilvl w:val="0"/>
          <w:numId w:val="2"/>
        </w:numPr>
        <w:tabs>
          <w:tab w:val="clear" w:pos="1152"/>
          <w:tab w:val="left" w:pos="1166"/>
        </w:tabs>
        <w:spacing w:before="0" w:after="0" w:line="240" w:lineRule="auto"/>
        <w:rPr>
          <w:sz w:val="20"/>
          <w:szCs w:val="20"/>
          <w:lang w:val="en-US"/>
        </w:rPr>
      </w:pPr>
      <w:r w:rsidRPr="0007673F">
        <w:rPr>
          <w:rFonts w:cs="Times New Roman"/>
          <w:sz w:val="20"/>
          <w:szCs w:val="20"/>
          <w:lang w:val="en-US"/>
        </w:rPr>
        <w:t>We agree with our colleagues that the Attorney General of Canada should pay the appellants’ special costs of this application on a full indemnity basis.</w:t>
      </w:r>
    </w:p>
    <w:p w:rsidR="0007673F" w:rsidRPr="0007673F" w:rsidRDefault="0007673F" w:rsidP="0007673F">
      <w:pPr>
        <w:jc w:val="both"/>
        <w:rPr>
          <w:rFonts w:cs="Times New Roman"/>
          <w:b/>
          <w:bCs/>
          <w:sz w:val="20"/>
          <w:szCs w:val="20"/>
        </w:rPr>
      </w:pPr>
    </w:p>
    <w:p w:rsidR="0007673F" w:rsidRPr="00AB33BB" w:rsidRDefault="0007673F" w:rsidP="0007673F">
      <w:pPr>
        <w:jc w:val="both"/>
        <w:rPr>
          <w:rFonts w:cs="Times New Roman"/>
          <w:bCs/>
          <w:sz w:val="20"/>
          <w:szCs w:val="20"/>
          <w:lang w:val="en-US"/>
        </w:rPr>
      </w:pPr>
    </w:p>
    <w:p w:rsidR="0007673F" w:rsidRPr="0007673F" w:rsidRDefault="0007673F" w:rsidP="0007673F">
      <w:pPr>
        <w:jc w:val="both"/>
        <w:rPr>
          <w:rFonts w:cs="Times New Roman"/>
          <w:bCs/>
          <w:sz w:val="20"/>
          <w:szCs w:val="20"/>
          <w:lang w:val="fr-CA"/>
        </w:rPr>
      </w:pPr>
      <w:r w:rsidRPr="0007673F">
        <w:rPr>
          <w:rFonts w:cs="Times New Roman"/>
          <w:bCs/>
          <w:sz w:val="20"/>
          <w:szCs w:val="20"/>
          <w:lang w:val="fr-CA"/>
        </w:rPr>
        <w:t>[Traduction]</w:t>
      </w:r>
    </w:p>
    <w:p w:rsidR="0007673F" w:rsidRPr="0007673F" w:rsidRDefault="0007673F" w:rsidP="0007673F">
      <w:pPr>
        <w:jc w:val="both"/>
        <w:rPr>
          <w:rFonts w:cs="Times New Roman"/>
          <w:bCs/>
          <w:sz w:val="20"/>
          <w:szCs w:val="20"/>
          <w:lang w:val="fr-CA"/>
        </w:rPr>
      </w:pPr>
    </w:p>
    <w:p w:rsidR="0007673F" w:rsidRPr="0007673F" w:rsidRDefault="0007673F" w:rsidP="0007673F">
      <w:pPr>
        <w:pStyle w:val="JudgeJuge"/>
        <w:spacing w:after="0" w:line="240" w:lineRule="auto"/>
        <w:rPr>
          <w:rFonts w:eastAsiaTheme="minorHAnsi" w:cstheme="minorBidi"/>
          <w:b/>
          <w:smallCaps w:val="0"/>
          <w:sz w:val="20"/>
          <w:szCs w:val="20"/>
          <w:u w:val="single"/>
          <w:lang w:val="fr-CA" w:eastAsia="en-US"/>
        </w:rPr>
      </w:pPr>
      <w:r w:rsidRPr="0007673F">
        <w:rPr>
          <w:rFonts w:eastAsiaTheme="minorHAnsi" w:cstheme="minorBidi"/>
          <w:b/>
          <w:smallCaps w:val="0"/>
          <w:sz w:val="20"/>
          <w:szCs w:val="20"/>
          <w:u w:val="single"/>
          <w:lang w:val="fr-CA" w:eastAsia="en-US"/>
        </w:rPr>
        <w:t xml:space="preserve">LES JUGES ABELLA, KARAKATSANIS, WAGNER, GASCON </w:t>
      </w:r>
      <w:r>
        <w:rPr>
          <w:rFonts w:eastAsiaTheme="minorHAnsi" w:cstheme="minorBidi"/>
          <w:b/>
          <w:smallCaps w:val="0"/>
          <w:sz w:val="20"/>
          <w:szCs w:val="20"/>
          <w:u w:val="single"/>
          <w:lang w:val="fr-CA" w:eastAsia="en-US"/>
        </w:rPr>
        <w:t>et</w:t>
      </w:r>
      <w:r w:rsidRPr="0007673F">
        <w:rPr>
          <w:rFonts w:eastAsiaTheme="minorHAnsi" w:cstheme="minorBidi"/>
          <w:b/>
          <w:smallCaps w:val="0"/>
          <w:sz w:val="20"/>
          <w:szCs w:val="20"/>
          <w:u w:val="single"/>
          <w:lang w:val="fr-CA" w:eastAsia="en-US"/>
        </w:rPr>
        <w:t xml:space="preserve"> CÔTÉ</w:t>
      </w:r>
      <w:r>
        <w:rPr>
          <w:rFonts w:eastAsiaTheme="minorHAnsi" w:cstheme="minorBidi"/>
          <w:b/>
          <w:smallCaps w:val="0"/>
          <w:sz w:val="20"/>
          <w:szCs w:val="20"/>
          <w:u w:val="single"/>
          <w:lang w:val="fr-CA" w:eastAsia="en-US"/>
        </w:rPr>
        <w:t> :</w:t>
      </w:r>
    </w:p>
    <w:p w:rsidR="0007673F" w:rsidRPr="0007673F" w:rsidRDefault="0007673F" w:rsidP="0007673F">
      <w:pPr>
        <w:tabs>
          <w:tab w:val="left" w:pos="1166"/>
        </w:tabs>
        <w:rPr>
          <w:rFonts w:eastAsia="Times New Roman" w:cs="Times New Roman"/>
          <w:smallCaps/>
          <w:sz w:val="20"/>
          <w:szCs w:val="20"/>
          <w:lang w:val="fr-CA" w:eastAsia="en-CA"/>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sz w:val="20"/>
          <w:szCs w:val="20"/>
        </w:rPr>
        <w:t>Le procureur général du Canada demande la prorogation de six mois de la suspension de la prise d’effet du jugement déclaratoire de la Cour suivant lequel l’al. 241</w:t>
      </w:r>
      <w:r w:rsidRPr="0007673F">
        <w:rPr>
          <w:rFonts w:eastAsia="Times New Roman"/>
          <w:i/>
          <w:sz w:val="20"/>
          <w:szCs w:val="20"/>
        </w:rPr>
        <w:t>b</w:t>
      </w:r>
      <w:r w:rsidRPr="0007673F">
        <w:rPr>
          <w:rFonts w:eastAsia="Times New Roman"/>
          <w:sz w:val="20"/>
          <w:szCs w:val="20"/>
        </w:rPr>
        <w:t xml:space="preserve">) et l’art. 14 du </w:t>
      </w:r>
      <w:r w:rsidRPr="0007673F">
        <w:rPr>
          <w:rFonts w:eastAsia="Times New Roman"/>
          <w:i/>
          <w:iCs/>
          <w:sz w:val="20"/>
          <w:szCs w:val="20"/>
        </w:rPr>
        <w:t>Code criminel</w:t>
      </w:r>
      <w:r w:rsidRPr="0007673F">
        <w:rPr>
          <w:rFonts w:eastAsia="Times New Roman"/>
          <w:iCs/>
          <w:sz w:val="20"/>
          <w:szCs w:val="20"/>
        </w:rPr>
        <w:t>, L.R.C. 1985, c. C-46, « sont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 La prise d’effet de la déclaration d’invalidité de l’al. 241</w:t>
      </w:r>
      <w:r w:rsidRPr="0007673F">
        <w:rPr>
          <w:rFonts w:eastAsia="Times New Roman"/>
          <w:i/>
          <w:iCs/>
          <w:sz w:val="20"/>
          <w:szCs w:val="20"/>
        </w:rPr>
        <w:t>b</w:t>
      </w:r>
      <w:r w:rsidRPr="0007673F">
        <w:rPr>
          <w:rFonts w:eastAsia="Times New Roman"/>
          <w:iCs/>
          <w:sz w:val="20"/>
          <w:szCs w:val="20"/>
        </w:rPr>
        <w:t>) et de l’art. 14 a été suspendue pendant 12 mois, soit jusqu’au 6 février 2016. Les appelants s’opposent à la demande du procureur général. Si une prorogation de la suspension était accordée, la procureure générale du Québec demande que la loi réglementant l’assistance en fin de vie adoptée par cette province soit soustraite à la suspension. À son avis, cela permettrait d’éviter une incertitude quant à l’existence d’un conflit entre le régime québécois et</w:t>
      </w:r>
      <w:r w:rsidRPr="0007673F">
        <w:rPr>
          <w:rFonts w:eastAsia="Times New Roman"/>
          <w:sz w:val="20"/>
          <w:szCs w:val="20"/>
        </w:rPr>
        <w:t xml:space="preserve"> la prohibition fédérale maintenue par la prorogation de la suspension. Enfin, les appelants et certains intervenants demandent à la Cour d’accorder une exemption constitutionnelle aux individus qui souhaitent demander de l’aide pour mettre fin à leurs jours durant une éventuelle prorogation.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sz w:val="20"/>
          <w:szCs w:val="20"/>
        </w:rPr>
        <w:t xml:space="preserve">La première question est celle de savoir si la Cour doit ordonner la prorogation de la suspension de la prise d’effet de la déclaration d’invalidité. Suspendre la prise d’effet de la déclaration d’invalidité constitutionnelle d’une loi est une mesure extraordinaire, car elle a pour effet de maintenir en vigueur une loi inconstitutionnelle, en violation des droits constitutionnels des membres de la société canadienne. Proroger une telle suspension pose encore plus problème. Les appelants soulignent d’ailleurs que la prorogation causera un tort considérable à certaines personnes. L’existence de circonstances exceptionnelles doit être démontrée. C’est donc un lourd fardeau qui incombe au procureur général sollicitant la prorogation de la suspension de la prise d’effet d’une déclaration d’invalidité constitutionnelle. En l’espèce, la durée de l’interruption des travaux sur une réponse législative à l’arrêt de la Cour en raison d’une élection fédérale constitue une circonstance de ce genre. Le Parlement a été dissous le 2 août 2015 et a repris officiellement ses travaux le 3 décembre de la même année. Cet intermède de quatre mois justifie de proroger la suspension de la prise d’effet de la déclaration d’invalidité, mais seulement pour une période de quatre mois.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sz w:val="20"/>
          <w:szCs w:val="20"/>
        </w:rPr>
        <w:t xml:space="preserve">La question suivante est celle de savoir si la province de Québec devrait être soustraite à la prorogation de quatre mois de la suspension de la prise d’effet de la déclaration d’invalidité. Le procureur général du Canada et les procureurs généraux qui ont participé à l’audience ne s’opposent pas à la demande d’exemption du Québec. Selon ce dernier, une exemption est nécessaire pour clarifier l’état du droit au Québec compte tenu de sa loi régissant l’assistance en fin de vie, la </w:t>
      </w:r>
      <w:r w:rsidRPr="0007673F">
        <w:rPr>
          <w:rFonts w:eastAsia="Times New Roman" w:cs="Times New Roman"/>
          <w:i/>
          <w:sz w:val="20"/>
          <w:szCs w:val="20"/>
        </w:rPr>
        <w:t>Loi concernant les soins de fin de vie</w:t>
      </w:r>
      <w:r w:rsidRPr="0007673F">
        <w:rPr>
          <w:rFonts w:eastAsia="Times New Roman" w:cs="Times New Roman"/>
          <w:sz w:val="20"/>
          <w:szCs w:val="20"/>
        </w:rPr>
        <w:t>, RLRQ, c. S-32.0001 (« </w:t>
      </w:r>
      <w:r w:rsidRPr="0007673F">
        <w:rPr>
          <w:rFonts w:eastAsia="Times New Roman" w:cs="Times New Roman"/>
          <w:i/>
          <w:sz w:val="20"/>
          <w:szCs w:val="20"/>
        </w:rPr>
        <w:t>LCSFV </w:t>
      </w:r>
      <w:r w:rsidRPr="0007673F">
        <w:rPr>
          <w:rFonts w:eastAsia="Times New Roman" w:cs="Times New Roman"/>
          <w:sz w:val="20"/>
          <w:szCs w:val="20"/>
        </w:rPr>
        <w:t>»), qui est entrée en vigueur le 10 décembre 2015. Le Québec soutient en outre que l’exemption permettrait d’éviter l’effet paralysant de la menace de possibles violations de la prohibition criminelle ou d’une possible responsabilité civile durant la prorogation de quatre mois de la suspension de la prise d’effet de la déclaration d’invalidité.</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sz w:val="20"/>
          <w:szCs w:val="20"/>
        </w:rPr>
        <w:t xml:space="preserve">Partant, et puisque les procureurs généraux ne s’opposent pas à la demande de la procureure générale du Québec visant à ce que le Québec soit soustrait à la prorogation de la suspension de la prise d’effet de la déclaration d’invalidité, nous sommes d’avis d’accorder l’exemption. Que nous nous prononcions de la sorte ne doit toutefois pas être interprété comme l’expression d’un quelconque point de vue quant à la validité de la </w:t>
      </w:r>
      <w:r w:rsidRPr="0007673F">
        <w:rPr>
          <w:rFonts w:eastAsia="Times New Roman" w:cs="Times New Roman"/>
          <w:i/>
          <w:sz w:val="20"/>
          <w:szCs w:val="20"/>
        </w:rPr>
        <w:t>LCSFV</w:t>
      </w:r>
      <w:r w:rsidRPr="0007673F">
        <w:rPr>
          <w:rFonts w:eastAsia="Times New Roman" w:cs="Times New Roman"/>
          <w:sz w:val="20"/>
          <w:szCs w:val="20"/>
        </w:rPr>
        <w:t>.</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sz w:val="20"/>
          <w:szCs w:val="20"/>
        </w:rPr>
        <w:t xml:space="preserve">La troisième question est celle de savoir si, pour la durée de la prorogation de quatre mois, la Cour devrait accorder une exemption à ceux qui souhaitent demander de l’aide pour mettre fin à leurs jours sur le fondement des motifs </w:t>
      </w:r>
      <w:r w:rsidRPr="0007673F">
        <w:rPr>
          <w:rFonts w:eastAsia="Times New Roman" w:cs="Times New Roman"/>
          <w:sz w:val="20"/>
          <w:szCs w:val="20"/>
        </w:rPr>
        <w:lastRenderedPageBreak/>
        <w:t xml:space="preserve">énoncés dans </w:t>
      </w:r>
      <w:r w:rsidRPr="0007673F">
        <w:rPr>
          <w:rFonts w:eastAsia="Times New Roman" w:cs="Times New Roman"/>
          <w:i/>
          <w:iCs/>
          <w:sz w:val="20"/>
          <w:szCs w:val="20"/>
        </w:rPr>
        <w:t>Carter c. Canada (Procureur général)</w:t>
      </w:r>
      <w:r w:rsidRPr="0007673F">
        <w:rPr>
          <w:rFonts w:eastAsia="Times New Roman" w:cs="Times New Roman"/>
          <w:iCs/>
          <w:sz w:val="20"/>
          <w:szCs w:val="20"/>
        </w:rPr>
        <w:t>, 2015 CSC 5, [2015] 1 R.C.S. 331</w:t>
      </w:r>
      <w:r w:rsidRPr="0007673F">
        <w:rPr>
          <w:rFonts w:eastAsia="Times New Roman" w:cs="Times New Roman"/>
          <w:i/>
          <w:iCs/>
          <w:sz w:val="20"/>
          <w:szCs w:val="20"/>
        </w:rPr>
        <w:t>.</w:t>
      </w:r>
      <w:r w:rsidRPr="0007673F">
        <w:rPr>
          <w:rFonts w:eastAsia="Times New Roman" w:cs="Times New Roman"/>
          <w:sz w:val="20"/>
          <w:szCs w:val="20"/>
        </w:rPr>
        <w:t xml:space="preserve"> Les appelants soutiennent que l’équité et l’égalité l’exigent, en particulier si le Québec est soustrait à la prorogation.</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iCs/>
          <w:sz w:val="20"/>
          <w:szCs w:val="20"/>
        </w:rPr>
        <w:t xml:space="preserve">C’est la première fois que la Cour est appelée à se pencher sur l’opportunité d’accorder des exemptions individuelles pendant la durée de la </w:t>
      </w:r>
      <w:r w:rsidRPr="0007673F">
        <w:rPr>
          <w:rFonts w:eastAsia="Times New Roman" w:cs="Times New Roman"/>
          <w:i/>
          <w:iCs/>
          <w:sz w:val="20"/>
          <w:szCs w:val="20"/>
        </w:rPr>
        <w:t>prorogation</w:t>
      </w:r>
      <w:r w:rsidRPr="0007673F">
        <w:rPr>
          <w:rFonts w:eastAsia="Times New Roman" w:cs="Times New Roman"/>
          <w:iCs/>
          <w:sz w:val="20"/>
          <w:szCs w:val="20"/>
        </w:rPr>
        <w:t xml:space="preserve"> d’une suspension de la prise d’effet d’une déclaration d’invalidité. La Cour avait accordé un an au Parlement pour qu’il décide, le cas échéant, de la réponse législative qu’il convenait de donner. Tout en admettant qu’il faille plus de temps, nous ne voyons pas pour autant la nécessité de prolonger injustement la souffrance de ceux qui satisfont aux critères clairs que la Cour a énoncés dans </w:t>
      </w:r>
      <w:r w:rsidRPr="0007673F">
        <w:rPr>
          <w:rFonts w:eastAsia="Times New Roman" w:cs="Times New Roman"/>
          <w:i/>
          <w:iCs/>
          <w:sz w:val="20"/>
          <w:szCs w:val="20"/>
        </w:rPr>
        <w:t>Carter</w:t>
      </w:r>
      <w:r w:rsidRPr="0007673F">
        <w:rPr>
          <w:rFonts w:eastAsia="Times New Roman" w:cs="Times New Roman"/>
          <w:iCs/>
          <w:sz w:val="20"/>
          <w:szCs w:val="20"/>
        </w:rPr>
        <w:t>. Une exemption serait de nature à atténuer le tort considérable qui pourrait être causé à ces adultes qui sont affectés de problèmes de santé graves, intolérables et irrémédiables en leur donnant dès à présent accès à un recours, en attendant la réponse du Parlement. L</w:t>
      </w:r>
      <w:r w:rsidRPr="0007673F">
        <w:rPr>
          <w:rFonts w:eastAsia="Times New Roman" w:cs="Times New Roman"/>
          <w:sz w:val="20"/>
          <w:szCs w:val="20"/>
        </w:rPr>
        <w:t xml:space="preserve">’atteinte portée aux droits par la prorogation de quatre mois l’emporte sur les considérations qui font contrepoids. En outre, l’exemption de la prorogation accordée au Québec soulève des préoccupations relatives à l’équité et à l’égalité à l’échelle de tout le pays. Nous sommes donc d’avis de faire droit à la demande d’exemption de sorte que ceux qui souhaitent demander l’aide d’un médecin, dans le respect des critères énoncés au par. 127 des motifs de la Cour dans </w:t>
      </w:r>
      <w:r w:rsidRPr="0007673F">
        <w:rPr>
          <w:rFonts w:eastAsia="Times New Roman" w:cs="Times New Roman"/>
          <w:i/>
          <w:sz w:val="20"/>
          <w:szCs w:val="20"/>
        </w:rPr>
        <w:t>Carter</w:t>
      </w:r>
      <w:r w:rsidRPr="0007673F">
        <w:rPr>
          <w:rFonts w:eastAsia="Times New Roman" w:cs="Times New Roman"/>
          <w:sz w:val="20"/>
          <w:szCs w:val="20"/>
        </w:rPr>
        <w:t>, puissent, pendant la durée de la prorogation de la suspension, s’adresser à la cour supérieure de leur province ou territoire pour solliciter une ordonnance. Exiger l’obtention d’une autorisation judiciaire durant cette période intérimaire assure le respect de la primauté du droit et offre une protection efficace contre les risques que pourraient courir les personnes vulnérables.</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4"/>
        </w:numPr>
        <w:spacing w:before="0" w:after="0" w:line="240" w:lineRule="auto"/>
        <w:rPr>
          <w:rFonts w:eastAsia="Times New Roman"/>
          <w:sz w:val="20"/>
          <w:szCs w:val="20"/>
        </w:rPr>
      </w:pPr>
      <w:r w:rsidRPr="0007673F">
        <w:rPr>
          <w:rFonts w:eastAsia="Times New Roman" w:cs="Times New Roman"/>
          <w:sz w:val="20"/>
          <w:szCs w:val="20"/>
        </w:rPr>
        <w:t xml:space="preserve">La requête est accueillie en partie. La suspension de la prise d’effet de la déclaration d’invalidité est prorogée pour une période de quatre mois à compter de la date à laquelle il est prévu qu’elle prenne fin. Quant aux art. 4 et 26 à 32 de la </w:t>
      </w:r>
      <w:r w:rsidRPr="0007673F">
        <w:rPr>
          <w:rFonts w:eastAsia="Times New Roman" w:cs="Times New Roman"/>
          <w:i/>
          <w:sz w:val="20"/>
          <w:szCs w:val="20"/>
        </w:rPr>
        <w:t>LCSFV</w:t>
      </w:r>
      <w:r w:rsidRPr="0007673F">
        <w:rPr>
          <w:rFonts w:eastAsia="Times New Roman" w:cs="Times New Roman"/>
          <w:sz w:val="20"/>
          <w:szCs w:val="20"/>
        </w:rPr>
        <w:t xml:space="preserve">, le Québec est soustrait à la prorogation de quatre mois. Finalement, pour la durée de la période de suspension supplémentaire de quatre mois, nous accordons une exemption à ceux qui souhaitent exercer leurs droits, de sorte qu’ils pourront s’adresser à la cour supérieure de leur province ou territoire pour solliciter une ordonnance qui respecte les critères énoncés au par. 127 des motifs de la Cour dans </w:t>
      </w:r>
      <w:r w:rsidRPr="0007673F">
        <w:rPr>
          <w:rFonts w:eastAsia="Times New Roman" w:cs="Times New Roman"/>
          <w:i/>
          <w:sz w:val="20"/>
          <w:szCs w:val="20"/>
        </w:rPr>
        <w:t>Carter</w:t>
      </w:r>
      <w:r w:rsidRPr="0007673F">
        <w:rPr>
          <w:rFonts w:eastAsia="Times New Roman" w:cs="Times New Roman"/>
          <w:sz w:val="20"/>
          <w:szCs w:val="20"/>
        </w:rPr>
        <w:t xml:space="preserve">. Nous octroyons aux appelants des </w:t>
      </w:r>
      <w:r w:rsidRPr="0007673F">
        <w:rPr>
          <w:rFonts w:eastAsia="Times New Roman" w:cs="Times New Roman"/>
          <w:sz w:val="20"/>
          <w:szCs w:val="20"/>
          <w:lang w:val="fr-FR"/>
        </w:rPr>
        <w:t>dépens spéciaux pour la présente requête sur la base de l’indemnisation intégrale, comme dans le pourvoi original.</w:t>
      </w:r>
    </w:p>
    <w:p w:rsidR="0007673F" w:rsidRDefault="0007673F" w:rsidP="0007673F">
      <w:pPr>
        <w:tabs>
          <w:tab w:val="left" w:pos="1166"/>
        </w:tabs>
        <w:rPr>
          <w:rFonts w:eastAsia="Times New Roman" w:cs="Times New Roman"/>
          <w:smallCaps/>
          <w:sz w:val="20"/>
          <w:szCs w:val="20"/>
          <w:lang w:val="fr-CA" w:eastAsia="en-CA"/>
        </w:rPr>
      </w:pPr>
    </w:p>
    <w:p w:rsidR="0007673F" w:rsidRPr="0007673F" w:rsidRDefault="0007673F" w:rsidP="0007673F">
      <w:pPr>
        <w:pStyle w:val="JudgeJuge"/>
        <w:spacing w:after="0" w:line="240" w:lineRule="auto"/>
        <w:rPr>
          <w:smallCaps w:val="0"/>
          <w:sz w:val="20"/>
          <w:szCs w:val="20"/>
          <w:lang w:val="fr-CA"/>
        </w:rPr>
      </w:pPr>
      <w:r w:rsidRPr="0007673F">
        <w:rPr>
          <w:rFonts w:eastAsiaTheme="minorHAnsi" w:cstheme="minorBidi"/>
          <w:b/>
          <w:smallCaps w:val="0"/>
          <w:sz w:val="20"/>
          <w:szCs w:val="20"/>
          <w:u w:val="single"/>
          <w:lang w:val="fr-CA" w:eastAsia="en-US"/>
        </w:rPr>
        <w:t xml:space="preserve">LA JUGE EN CHEF </w:t>
      </w:r>
      <w:r w:rsidR="00AB33BB" w:rsidRPr="0007673F">
        <w:rPr>
          <w:rFonts w:eastAsiaTheme="minorHAnsi" w:cstheme="minorBidi"/>
          <w:b/>
          <w:smallCaps w:val="0"/>
          <w:sz w:val="20"/>
          <w:szCs w:val="20"/>
          <w:u w:val="single"/>
          <w:lang w:val="fr-CA" w:eastAsia="en-US"/>
        </w:rPr>
        <w:t>et</w:t>
      </w:r>
      <w:r>
        <w:rPr>
          <w:rFonts w:eastAsiaTheme="minorHAnsi" w:cstheme="minorBidi"/>
          <w:b/>
          <w:smallCaps w:val="0"/>
          <w:sz w:val="20"/>
          <w:szCs w:val="20"/>
          <w:u w:val="single"/>
          <w:lang w:val="fr-CA" w:eastAsia="en-US"/>
        </w:rPr>
        <w:t xml:space="preserve"> LES JUGES CROMWELL, MOLDAVER et</w:t>
      </w:r>
      <w:r w:rsidRPr="0007673F">
        <w:rPr>
          <w:rFonts w:eastAsiaTheme="minorHAnsi" w:cstheme="minorBidi"/>
          <w:b/>
          <w:smallCaps w:val="0"/>
          <w:sz w:val="20"/>
          <w:szCs w:val="20"/>
          <w:u w:val="single"/>
          <w:lang w:val="fr-CA" w:eastAsia="en-US"/>
        </w:rPr>
        <w:t xml:space="preserve"> BROWN (dissidents en partie) </w:t>
      </w:r>
    </w:p>
    <w:p w:rsid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sz w:val="20"/>
          <w:szCs w:val="20"/>
        </w:rPr>
        <w:t xml:space="preserve">Bien que nous souscrivions à la conclusion selon laquelle la prorogation de quatre mois est justifiée, nous sommes d’avis de ne pas y soustraire le Québec et de ne pas accorder d’exemptions individuelles.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Selon la procureure générale du Québec, une exemption est nécessaire pour clarifier l’état du droit au Québec compte tenu de sa loi régissant l’assistance en fin de vie, la </w:t>
      </w:r>
      <w:r w:rsidRPr="0007673F">
        <w:rPr>
          <w:rFonts w:eastAsia="Times New Roman" w:cs="Times New Roman"/>
          <w:i/>
          <w:sz w:val="20"/>
          <w:szCs w:val="20"/>
        </w:rPr>
        <w:t>Loi concernant les soins de fin de vie</w:t>
      </w:r>
      <w:r w:rsidRPr="0007673F">
        <w:rPr>
          <w:rFonts w:eastAsia="Times New Roman" w:cs="Times New Roman"/>
          <w:sz w:val="20"/>
          <w:szCs w:val="20"/>
        </w:rPr>
        <w:t>, RLRQ, c. S-32.0001 (« </w:t>
      </w:r>
      <w:r w:rsidRPr="0007673F">
        <w:rPr>
          <w:rFonts w:eastAsia="Times New Roman" w:cs="Times New Roman"/>
          <w:i/>
          <w:sz w:val="20"/>
          <w:szCs w:val="20"/>
        </w:rPr>
        <w:t>LCSFV </w:t>
      </w:r>
      <w:r w:rsidRPr="0007673F">
        <w:rPr>
          <w:rFonts w:eastAsia="Times New Roman" w:cs="Times New Roman"/>
          <w:sz w:val="20"/>
          <w:szCs w:val="20"/>
        </w:rPr>
        <w:t xml:space="preserve">»). Le Canada ne s’oppose pas à la demande d’exemption du Québec, notant que la loi québécoise « représente le genre de mesure complexe » envisagée dans l’arrêt </w:t>
      </w:r>
      <w:r w:rsidRPr="0007673F">
        <w:rPr>
          <w:rFonts w:eastAsia="Times New Roman" w:cs="Times New Roman"/>
          <w:i/>
          <w:sz w:val="20"/>
          <w:szCs w:val="20"/>
        </w:rPr>
        <w:t xml:space="preserve">Carter </w:t>
      </w:r>
      <w:r w:rsidRPr="0007673F">
        <w:rPr>
          <w:rFonts w:eastAsia="Times New Roman" w:cs="Times New Roman"/>
          <w:i/>
          <w:iCs/>
          <w:sz w:val="20"/>
          <w:szCs w:val="20"/>
        </w:rPr>
        <w:t>c. Canada (Procureur général)</w:t>
      </w:r>
      <w:r w:rsidRPr="0007673F">
        <w:rPr>
          <w:rFonts w:eastAsia="Times New Roman" w:cs="Times New Roman"/>
          <w:iCs/>
          <w:sz w:val="20"/>
          <w:szCs w:val="20"/>
        </w:rPr>
        <w:t>, 2015 CSC 5, [2015 1 R.C.S. 331 </w:t>
      </w:r>
      <w:r w:rsidRPr="0007673F">
        <w:rPr>
          <w:rFonts w:eastAsia="Times New Roman" w:cs="Times New Roman"/>
          <w:sz w:val="20"/>
          <w:szCs w:val="20"/>
        </w:rPr>
        <w:t xml:space="preserve">: mémoire en réplique, par. 15. Les autres procureurs généraux intervenants ne s’opposent pas non plus à l’exemption. Le procureur général du Canada plaide toutefois que l’exemption est inutile.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Nous sommes d’accord avec le procureur général du Canada. La </w:t>
      </w:r>
      <w:r w:rsidRPr="0007673F">
        <w:rPr>
          <w:rFonts w:eastAsia="Times New Roman" w:cs="Times New Roman"/>
          <w:i/>
          <w:sz w:val="20"/>
          <w:szCs w:val="20"/>
        </w:rPr>
        <w:t>LCSFV</w:t>
      </w:r>
      <w:r w:rsidRPr="0007673F">
        <w:rPr>
          <w:rFonts w:eastAsia="Times New Roman" w:cs="Times New Roman"/>
          <w:sz w:val="20"/>
          <w:szCs w:val="20"/>
        </w:rPr>
        <w:t xml:space="preserve"> est entrée en vigueur le 10 décembre 2015 pendant que la suspension initiale de la prise d’effet de la déclaration d’invalidité était en vigueur. Aucune exemption à cette suspension de la déclaration de la Cour n’a été sollicitée à ce moment-là. Nous avons été informés du fait que la ministre de la Justice du Québec a communiqué au directeur des poursuites criminelles et pénales la directive de ne poursuivre aucun médecin qui respecte la </w:t>
      </w:r>
      <w:r w:rsidRPr="0007673F">
        <w:rPr>
          <w:rFonts w:eastAsia="Times New Roman" w:cs="Times New Roman"/>
          <w:i/>
          <w:iCs/>
          <w:sz w:val="20"/>
          <w:szCs w:val="20"/>
        </w:rPr>
        <w:t xml:space="preserve">LCSFV </w:t>
      </w:r>
      <w:r w:rsidRPr="0007673F">
        <w:rPr>
          <w:rFonts w:eastAsia="Times New Roman" w:cs="Times New Roman"/>
          <w:sz w:val="20"/>
          <w:szCs w:val="20"/>
        </w:rPr>
        <w:t xml:space="preserve">si l’exemption à la prorogation de la suspension n’était pas accordée. À notre avis, l’exemption qui est maintenant sollicitée n’ajouterait rien à la clarté du droit qui pouvait exister dans la province lorsque la </w:t>
      </w:r>
      <w:r w:rsidRPr="0007673F">
        <w:rPr>
          <w:rFonts w:eastAsia="Times New Roman" w:cs="Times New Roman"/>
          <w:i/>
          <w:sz w:val="20"/>
          <w:szCs w:val="20"/>
        </w:rPr>
        <w:t>LCSFV</w:t>
      </w:r>
      <w:r w:rsidRPr="0007673F">
        <w:rPr>
          <w:rFonts w:eastAsia="Times New Roman" w:cs="Times New Roman"/>
          <w:sz w:val="20"/>
          <w:szCs w:val="20"/>
        </w:rPr>
        <w:t xml:space="preserve"> est entrée en vigueur. Elle n’y enlèverait rien non plus. Nous sommes donc d’avis de rejeter la demande du Québec sollicitant une exemption.</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La question qu’il reste à trancher est celle de savoir si, pour la durée de la prorogation de quatre mois, la Cour devrait accorder une exemption constitutionnelle autorisant l’aide pour mettre fin à la vie sur le fondement des motifs énoncés dans </w:t>
      </w:r>
      <w:r w:rsidRPr="0007673F">
        <w:rPr>
          <w:rFonts w:eastAsia="Times New Roman" w:cs="Times New Roman"/>
          <w:i/>
          <w:iCs/>
          <w:sz w:val="20"/>
          <w:szCs w:val="20"/>
        </w:rPr>
        <w:t>Carter.</w:t>
      </w:r>
      <w:r w:rsidRPr="0007673F">
        <w:rPr>
          <w:rFonts w:eastAsia="Times New Roman" w:cs="Times New Roman"/>
          <w:sz w:val="20"/>
          <w:szCs w:val="20"/>
        </w:rPr>
        <w:t xml:space="preserve"> Les appelants réclament cette exemption, faisant valoir qu’elle soulagerait la souffrance d’individus et, si le Québec était soustrait à la prorogation de la suspension de la prise d’effet de la déclaration d’invalidité, qu’elle contribuerait en outre au respect des valeurs d’équité et d’égalité.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lastRenderedPageBreak/>
        <w:t>Nous ne sommes pas convaincus que les appelants ont établi le bien-fondé d’une exemption constitutionnelle. Dans le jugement unanime sur le fond, la Cour a jugé qu’il n’était pas opportun dans la présente affaire de créer une procédure d’exemption pour la durée de la période au cours de laquelle la prise d’effet de la déclaration d’invalidité est suspendue. La Cour a écrit que cela « </w:t>
      </w:r>
      <w:r w:rsidRPr="0007673F">
        <w:rPr>
          <w:rFonts w:eastAsia="Times New Roman" w:cs="Times New Roman"/>
          <w:sz w:val="20"/>
          <w:szCs w:val="20"/>
          <w:lang w:val="fr-FR"/>
        </w:rPr>
        <w:t>serait source d’incertitude, saperait la primauté du droit et constituerait une usurpation de la fonction du législateur, qui est mieux placé que les tribunaux pour créer des régimes de réglementation complexes</w:t>
      </w:r>
      <w:r w:rsidRPr="0007673F">
        <w:rPr>
          <w:rFonts w:eastAsia="Times New Roman" w:cs="Times New Roman"/>
          <w:sz w:val="20"/>
          <w:szCs w:val="20"/>
        </w:rPr>
        <w:t> » : par. 125. Or, à notre avis, ces considérations restent convaincantes.</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Nous sommes d’avis d’accorder la prorogation de quatre mois de la suspension de la prise d’effet de la déclaration d’invalidité, mais de rejeter la demande du Québec pour y être soustrait ainsi que les demandes des appelants visant l’obtention d’exemptions individuelles applicables pour la durée de la période de suspension.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Nous ajoutons ceci. Nous ne sous-estimons pas la souffrance de ceux à qui l’on refuse encore l’accès à l’assistance dont ils ont besoin pour y mettre fin. Cela devrait ressortir clairement des motifs du jugement de la Cour sur le fond. Cependant, nous ne sous-estimons pas non plus la complexité des enjeux relatifs à la question fondamentale de savoir quand il devrait être légal de poser des gestes qui constitueraient autrement une conduite criminelle. La complexité des enjeux découle non seulement des dimensions morale et éthique profondes de la question, mais également du chevauchement des compétences législatives fédérale et provinciale en la matière. La Cour a conclu à l’unanimité dans son jugement sur le fond qu’il était préférable qu’il soit traité de ces enjeux par le processus législatif. Nous sommes toujours de cet avis. Que ce processus législatif ait besoin de plus de temps est regrettable, mais qu’il s’agisse du meilleur moyen pour traiter de la question n’en demeure pas moins vrai pour autant. </w:t>
      </w:r>
    </w:p>
    <w:p w:rsidR="0007673F" w:rsidRPr="0007673F" w:rsidRDefault="0007673F" w:rsidP="0007673F">
      <w:pPr>
        <w:pStyle w:val="ParaNoNdepar-AltN"/>
        <w:numPr>
          <w:ilvl w:val="0"/>
          <w:numId w:val="0"/>
        </w:numPr>
        <w:spacing w:before="0" w:after="0" w:line="240" w:lineRule="auto"/>
        <w:rPr>
          <w:rFonts w:eastAsia="Times New Roman"/>
          <w:sz w:val="20"/>
          <w:szCs w:val="20"/>
        </w:rPr>
      </w:pPr>
    </w:p>
    <w:p w:rsidR="0007673F" w:rsidRPr="0007673F" w:rsidRDefault="0007673F" w:rsidP="0007673F">
      <w:pPr>
        <w:pStyle w:val="ParaNoNdepar-AltN"/>
        <w:numPr>
          <w:ilvl w:val="0"/>
          <w:numId w:val="2"/>
        </w:numPr>
        <w:tabs>
          <w:tab w:val="clear" w:pos="1152"/>
          <w:tab w:val="left" w:pos="1166"/>
        </w:tabs>
        <w:spacing w:before="0" w:after="0" w:line="240" w:lineRule="auto"/>
        <w:rPr>
          <w:rFonts w:eastAsia="Times New Roman"/>
          <w:sz w:val="20"/>
          <w:szCs w:val="20"/>
        </w:rPr>
      </w:pPr>
      <w:r w:rsidRPr="0007673F">
        <w:rPr>
          <w:rFonts w:eastAsia="Times New Roman" w:cs="Times New Roman"/>
          <w:sz w:val="20"/>
          <w:szCs w:val="20"/>
        </w:rPr>
        <w:t xml:space="preserve">Nous sommes d’accord avec nos collègues que le procureur général du Canada doit payer aux appelants des dépens spéciaux pour la présente requête </w:t>
      </w:r>
      <w:r w:rsidRPr="0007673F">
        <w:rPr>
          <w:rFonts w:eastAsia="Times New Roman" w:cs="Times New Roman"/>
          <w:iCs/>
          <w:sz w:val="20"/>
          <w:szCs w:val="20"/>
          <w:lang w:val="fr-FR"/>
        </w:rPr>
        <w:t>sur la base de l’indemnisation intégrale</w:t>
      </w:r>
      <w:r w:rsidRPr="0007673F">
        <w:rPr>
          <w:rFonts w:eastAsia="Times New Roman" w:cs="Times New Roman"/>
          <w:sz w:val="20"/>
          <w:szCs w:val="20"/>
        </w:rPr>
        <w:t xml:space="preserve">. </w:t>
      </w:r>
    </w:p>
    <w:p w:rsidR="001F40DF" w:rsidRDefault="001F40DF" w:rsidP="001F40DF">
      <w:pPr>
        <w:rPr>
          <w:sz w:val="20"/>
          <w:szCs w:val="20"/>
          <w:lang w:val="fr-CA"/>
        </w:rPr>
      </w:pPr>
    </w:p>
    <w:p w:rsidR="001F40DF" w:rsidRPr="00C50A5C" w:rsidRDefault="00CD76E4" w:rsidP="001F40DF">
      <w:pPr>
        <w:jc w:val="both"/>
        <w:rPr>
          <w:sz w:val="20"/>
          <w:szCs w:val="20"/>
        </w:rPr>
      </w:pPr>
      <w:r>
        <w:rPr>
          <w:sz w:val="20"/>
          <w:szCs w:val="20"/>
        </w:rPr>
        <w:pict>
          <v:rect id="_x0000_i1070" style="width:2in;height:1pt" o:hrpct="0" o:hralign="center" o:hrstd="t" o:hrnoshade="t" o:hr="t" fillcolor="black" stroked="f"/>
        </w:pict>
      </w:r>
    </w:p>
    <w:p w:rsidR="001F40DF" w:rsidRPr="00E01CF4" w:rsidRDefault="001F40DF" w:rsidP="001F40DF">
      <w:pPr>
        <w:rPr>
          <w:sz w:val="20"/>
          <w:szCs w:val="20"/>
          <w:lang w:val="fr-CA"/>
        </w:rPr>
      </w:pPr>
    </w:p>
    <w:p w:rsidR="00283ED8" w:rsidRDefault="00283ED8" w:rsidP="00283ED8">
      <w:pPr>
        <w:jc w:val="both"/>
        <w:rPr>
          <w:sz w:val="20"/>
          <w:szCs w:val="20"/>
          <w:lang w:val="fr-CA"/>
        </w:rPr>
      </w:pPr>
    </w:p>
    <w:p w:rsidR="00283ED8" w:rsidRPr="00C50A5C" w:rsidRDefault="00283ED8" w:rsidP="00283ED8">
      <w:pPr>
        <w:jc w:val="both"/>
        <w:rPr>
          <w:sz w:val="20"/>
          <w:szCs w:val="20"/>
        </w:rPr>
      </w:pP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5C3B9D" w:rsidRDefault="005C3B9D" w:rsidP="005C3B9D">
      <w:pPr>
        <w:rPr>
          <w:sz w:val="20"/>
          <w:szCs w:val="20"/>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05.01.2016</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Before / Devant:   BROWN J. / LE JUGE BROWN</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20"/>
        <w:gridCol w:w="1136"/>
        <w:gridCol w:w="4217"/>
      </w:tblGrid>
      <w:tr w:rsidR="005C3B9D" w:rsidRPr="00B26F8D" w:rsidTr="008F5FE2">
        <w:tc>
          <w:tcPr>
            <w:tcW w:w="4338" w:type="dxa"/>
            <w:gridSpan w:val="2"/>
          </w:tcPr>
          <w:p w:rsidR="005C3B9D" w:rsidRPr="008A1767" w:rsidRDefault="005C3B9D" w:rsidP="008F5FE2">
            <w:pPr>
              <w:rPr>
                <w:b/>
              </w:rPr>
            </w:pPr>
            <w:r w:rsidRPr="008A1767">
              <w:rPr>
                <w:b/>
                <w:lang w:val="en-US"/>
              </w:rPr>
              <w:t>Order on interventions with respect to oral argument</w:t>
            </w:r>
            <w:r w:rsidRPr="008A1767">
              <w:rPr>
                <w:lang w:val="en-US"/>
              </w:rPr>
              <w:fldChar w:fldCharType="begin"/>
            </w:r>
            <w:r w:rsidRPr="008A1767">
              <w:instrText xml:space="preserve"> SEQ CHAPTER \h \r 1</w:instrText>
            </w:r>
            <w:r w:rsidRPr="008A1767">
              <w:rPr>
                <w:lang w:val="en-US"/>
              </w:rPr>
              <w:fldChar w:fldCharType="end"/>
            </w:r>
          </w:p>
        </w:tc>
        <w:tc>
          <w:tcPr>
            <w:tcW w:w="1170" w:type="dxa"/>
          </w:tcPr>
          <w:p w:rsidR="005C3B9D" w:rsidRPr="008A1767" w:rsidRDefault="005C3B9D" w:rsidP="008F5FE2"/>
          <w:p w:rsidR="005C3B9D" w:rsidRPr="008A1767" w:rsidRDefault="005C3B9D" w:rsidP="008F5FE2"/>
          <w:p w:rsidR="005C3B9D" w:rsidRPr="008A1767" w:rsidRDefault="005C3B9D" w:rsidP="008F5FE2"/>
        </w:tc>
        <w:tc>
          <w:tcPr>
            <w:tcW w:w="4327" w:type="dxa"/>
          </w:tcPr>
          <w:p w:rsidR="005C3B9D" w:rsidRPr="008A1767" w:rsidRDefault="005C3B9D" w:rsidP="008F5FE2">
            <w:pPr>
              <w:rPr>
                <w:b/>
                <w:lang w:val="fr-CA"/>
              </w:rPr>
            </w:pPr>
            <w:r w:rsidRPr="008A1767">
              <w:rPr>
                <w:b/>
                <w:lang w:val="fr-CA"/>
              </w:rPr>
              <w:t>Ordonnance relative à la présentation d’une plaidoirie orale par les intervenants</w:t>
            </w:r>
          </w:p>
        </w:tc>
      </w:tr>
      <w:tr w:rsidR="005C3B9D" w:rsidRPr="008A1767" w:rsidTr="008F5FE2">
        <w:trPr>
          <w:trHeight w:hRule="exact" w:val="360"/>
        </w:trPr>
        <w:tc>
          <w:tcPr>
            <w:tcW w:w="1368" w:type="dxa"/>
          </w:tcPr>
          <w:p w:rsidR="005C3B9D" w:rsidRPr="008A1767" w:rsidRDefault="005C3B9D" w:rsidP="008F5FE2">
            <w:r w:rsidRPr="008A1767">
              <w:t>BY / PAR</w:t>
            </w:r>
          </w:p>
        </w:tc>
        <w:tc>
          <w:tcPr>
            <w:tcW w:w="2970" w:type="dxa"/>
          </w:tcPr>
          <w:p w:rsidR="005C3B9D" w:rsidRPr="008A1767" w:rsidRDefault="005C3B9D" w:rsidP="008F5FE2">
            <w:r w:rsidRPr="008A1767">
              <w:rPr>
                <w:lang w:val="en-US"/>
              </w:rPr>
              <w:t>Canadian Labour Congress;</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val="1152"/>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Canadian Association for Non-Organized Employees and the Federally Regulated Employers Transportation and Communications and Canadian Association of Counsel to Employers</w:t>
            </w:r>
            <w:r w:rsidR="00CF5C76">
              <w:rPr>
                <w:lang w:val="en-US"/>
              </w:rPr>
              <w:t xml:space="preserve"> (Joint)</w:t>
            </w:r>
          </w:p>
          <w:p w:rsidR="005C3B9D" w:rsidRPr="008A1767" w:rsidRDefault="005C3B9D" w:rsidP="008F5FE2">
            <w:pPr>
              <w:rPr>
                <w:lang w:val="en-US"/>
              </w:rPr>
            </w:pP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368" w:type="dxa"/>
          </w:tcPr>
          <w:p w:rsidR="005C3B9D" w:rsidRPr="008A1767" w:rsidRDefault="005C3B9D" w:rsidP="008F5FE2">
            <w:r w:rsidRPr="008A1767">
              <w:t>IN / DANS :</w:t>
            </w:r>
          </w:p>
        </w:tc>
        <w:tc>
          <w:tcPr>
            <w:tcW w:w="2970" w:type="dxa"/>
          </w:tcPr>
          <w:p w:rsidR="005C3B9D" w:rsidRPr="008A1767" w:rsidRDefault="005C3B9D" w:rsidP="008F5FE2">
            <w:r w:rsidRPr="008A1767">
              <w:t>Joseph Wilson</w:t>
            </w:r>
          </w:p>
          <w:p w:rsidR="005C3B9D" w:rsidRPr="008A1767" w:rsidRDefault="005C3B9D" w:rsidP="008F5FE2"/>
          <w:p w:rsidR="005C3B9D" w:rsidRPr="008A1767" w:rsidRDefault="005C3B9D" w:rsidP="008F5FE2">
            <w:r w:rsidRPr="008A1767">
              <w:tab/>
              <w:t>v. (36354)</w:t>
            </w:r>
          </w:p>
          <w:p w:rsidR="005C3B9D" w:rsidRPr="008A1767" w:rsidRDefault="005C3B9D" w:rsidP="008F5FE2"/>
          <w:p w:rsidR="005C3B9D" w:rsidRPr="008A1767" w:rsidRDefault="005C3B9D" w:rsidP="008F5FE2">
            <w:r w:rsidRPr="008A1767">
              <w:t>Atomic Energy of Canada Limited (F.C.)</w:t>
            </w:r>
          </w:p>
        </w:tc>
        <w:tc>
          <w:tcPr>
            <w:tcW w:w="1170" w:type="dxa"/>
          </w:tcPr>
          <w:p w:rsidR="005C3B9D" w:rsidRPr="008A1767" w:rsidRDefault="005C3B9D" w:rsidP="008F5FE2"/>
        </w:tc>
        <w:tc>
          <w:tcPr>
            <w:tcW w:w="4327" w:type="dxa"/>
          </w:tcPr>
          <w:p w:rsidR="005C3B9D" w:rsidRPr="008A1767" w:rsidRDefault="005C3B9D" w:rsidP="008F5FE2"/>
        </w:tc>
      </w:tr>
    </w:tbl>
    <w:p w:rsidR="005C3B9D" w:rsidRPr="008A1767" w:rsidRDefault="005C3B9D" w:rsidP="005C3B9D">
      <w:pPr>
        <w:tabs>
          <w:tab w:val="left" w:pos="-1440"/>
          <w:tab w:val="left" w:pos="-720"/>
        </w:tabs>
        <w:jc w:val="both"/>
        <w:rPr>
          <w:rFonts w:eastAsia="Times New Roman" w:cs="Times New Roman"/>
          <w:sz w:val="20"/>
          <w:szCs w:val="20"/>
          <w:lang w:val="en-US" w:eastAsia="en-CA"/>
        </w:rPr>
      </w:pPr>
    </w:p>
    <w:p w:rsidR="005C3B9D" w:rsidRPr="008A1767" w:rsidRDefault="005C3B9D" w:rsidP="005C3B9D">
      <w:pPr>
        <w:widowControl w:val="0"/>
        <w:autoSpaceDE w:val="0"/>
        <w:autoSpaceDN w:val="0"/>
        <w:adjustRightInd w:val="0"/>
        <w:spacing w:line="233" w:lineRule="auto"/>
        <w:jc w:val="both"/>
        <w:rPr>
          <w:rFonts w:eastAsiaTheme="minorEastAsia" w:cs="Times New Roman"/>
          <w:sz w:val="20"/>
          <w:szCs w:val="20"/>
          <w:lang w:val="en-US"/>
        </w:rPr>
      </w:pPr>
      <w:r w:rsidRPr="008A1767">
        <w:rPr>
          <w:rFonts w:eastAsiaTheme="minorEastAsia" w:cs="Times New Roman"/>
          <w:b/>
          <w:bCs/>
          <w:sz w:val="20"/>
          <w:szCs w:val="20"/>
          <w:lang w:val="en-US"/>
        </w:rPr>
        <w:t xml:space="preserve">FURTHER TO THE ORDER </w:t>
      </w:r>
      <w:r w:rsidRPr="008A1767">
        <w:rPr>
          <w:rFonts w:eastAsiaTheme="minorEastAsia" w:cs="Times New Roman"/>
          <w:bCs/>
          <w:sz w:val="20"/>
          <w:szCs w:val="20"/>
          <w:lang w:val="en-US"/>
        </w:rPr>
        <w:t xml:space="preserve">dated December 4, 2015, granting leave to intervene to </w:t>
      </w:r>
      <w:r w:rsidRPr="008A1767">
        <w:rPr>
          <w:rFonts w:eastAsiaTheme="minorEastAsia" w:cs="Times New Roman"/>
          <w:sz w:val="20"/>
          <w:szCs w:val="20"/>
          <w:lang w:val="en-US"/>
        </w:rPr>
        <w:t>the Canadian Labour Congress, the Canadian Association for Non-Organized Employees and the Federally Regulated Employers - Transportation and Communications and the Canadian Association of Counsel to Employers (joint);</w:t>
      </w:r>
    </w:p>
    <w:p w:rsidR="005C3B9D" w:rsidRPr="008A1767" w:rsidRDefault="005C3B9D" w:rsidP="005C3B9D">
      <w:pPr>
        <w:widowControl w:val="0"/>
        <w:autoSpaceDE w:val="0"/>
        <w:autoSpaceDN w:val="0"/>
        <w:adjustRightInd w:val="0"/>
        <w:spacing w:line="233" w:lineRule="auto"/>
        <w:jc w:val="both"/>
        <w:rPr>
          <w:rFonts w:eastAsiaTheme="minorEastAsia" w:cs="Times New Roman"/>
          <w:sz w:val="20"/>
          <w:szCs w:val="20"/>
          <w:lang w:val="en-US"/>
        </w:rPr>
      </w:pPr>
    </w:p>
    <w:p w:rsidR="005C3B9D" w:rsidRPr="008A1767" w:rsidRDefault="005C3B9D" w:rsidP="005C3B9D">
      <w:pPr>
        <w:widowControl w:val="0"/>
        <w:autoSpaceDE w:val="0"/>
        <w:autoSpaceDN w:val="0"/>
        <w:adjustRightInd w:val="0"/>
        <w:spacing w:line="233" w:lineRule="auto"/>
        <w:jc w:val="both"/>
        <w:rPr>
          <w:rFonts w:eastAsiaTheme="minorEastAsia" w:cs="Times New Roman"/>
          <w:b/>
          <w:bCs/>
          <w:sz w:val="20"/>
          <w:szCs w:val="20"/>
          <w:lang w:val="en-US"/>
        </w:rPr>
      </w:pPr>
      <w:r w:rsidRPr="008A1767">
        <w:rPr>
          <w:rFonts w:eastAsiaTheme="minorEastAsia" w:cs="Times New Roman"/>
          <w:b/>
          <w:bCs/>
          <w:sz w:val="20"/>
          <w:szCs w:val="20"/>
          <w:lang w:val="en-US"/>
        </w:rPr>
        <w:t>IT IS HEREBY ORDERED THAT:</w:t>
      </w:r>
    </w:p>
    <w:p w:rsidR="005C3B9D" w:rsidRPr="008A1767" w:rsidRDefault="005C3B9D" w:rsidP="005C3B9D">
      <w:pPr>
        <w:widowControl w:val="0"/>
        <w:autoSpaceDE w:val="0"/>
        <w:autoSpaceDN w:val="0"/>
        <w:adjustRightInd w:val="0"/>
        <w:spacing w:line="233" w:lineRule="auto"/>
        <w:jc w:val="both"/>
        <w:rPr>
          <w:rFonts w:eastAsiaTheme="minorEastAsia" w:cs="Times New Roman"/>
          <w:sz w:val="20"/>
          <w:szCs w:val="20"/>
          <w:lang w:val="en-US"/>
        </w:rPr>
      </w:pPr>
    </w:p>
    <w:p w:rsidR="005C3B9D" w:rsidRPr="008A1767" w:rsidRDefault="005C3B9D" w:rsidP="005C3B9D">
      <w:pPr>
        <w:widowControl w:val="0"/>
        <w:autoSpaceDE w:val="0"/>
        <w:autoSpaceDN w:val="0"/>
        <w:adjustRightInd w:val="0"/>
        <w:spacing w:line="232" w:lineRule="auto"/>
        <w:rPr>
          <w:rFonts w:eastAsiaTheme="minorEastAsia" w:cs="Times New Roman"/>
          <w:sz w:val="20"/>
          <w:szCs w:val="20"/>
          <w:lang w:val="en-US"/>
        </w:rPr>
      </w:pPr>
      <w:r w:rsidRPr="008A1767">
        <w:rPr>
          <w:rFonts w:eastAsiaTheme="minorEastAsia" w:cs="Times New Roman"/>
          <w:bCs/>
          <w:sz w:val="20"/>
          <w:szCs w:val="20"/>
          <w:lang w:val="en-US"/>
        </w:rPr>
        <w:t>The three (3) interveners</w:t>
      </w:r>
      <w:r w:rsidRPr="008A1767">
        <w:rPr>
          <w:rFonts w:eastAsiaTheme="minorEastAsia" w:cs="Times New Roman"/>
          <w:sz w:val="20"/>
          <w:szCs w:val="20"/>
          <w:lang w:val="en-US"/>
        </w:rPr>
        <w:t xml:space="preserve"> or groups of interveners </w:t>
      </w:r>
      <w:r w:rsidRPr="008A1767">
        <w:rPr>
          <w:rFonts w:eastAsiaTheme="minorEastAsia" w:cs="Times New Roman"/>
          <w:sz w:val="20"/>
          <w:szCs w:val="20"/>
        </w:rPr>
        <w:t xml:space="preserve">are each granted permission to present oral argument not exceeding ten (10) minutes at the hearing of the appeal. </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en-US"/>
        </w:rPr>
      </w:pPr>
    </w:p>
    <w:p w:rsidR="005C3B9D" w:rsidRPr="008A1767" w:rsidRDefault="005C3B9D" w:rsidP="005C3B9D">
      <w:pPr>
        <w:tabs>
          <w:tab w:val="left" w:pos="-1440"/>
          <w:tab w:val="left" w:pos="-720"/>
        </w:tabs>
        <w:jc w:val="both"/>
        <w:rPr>
          <w:rFonts w:eastAsia="Times New Roman" w:cs="Times New Roman"/>
          <w:sz w:val="20"/>
          <w:szCs w:val="20"/>
          <w:lang w:eastAsia="en-CA"/>
        </w:rPr>
      </w:pPr>
    </w:p>
    <w:p w:rsidR="005C3B9D" w:rsidRPr="008A1767" w:rsidRDefault="005C3B9D" w:rsidP="005C3B9D">
      <w:pPr>
        <w:tabs>
          <w:tab w:val="left" w:pos="-1440"/>
          <w:tab w:val="left" w:pos="-720"/>
        </w:tabs>
        <w:jc w:val="both"/>
        <w:rPr>
          <w:rFonts w:eastAsia="Times New Roman" w:cs="Times New Roman"/>
          <w:sz w:val="20"/>
          <w:szCs w:val="20"/>
          <w:lang w:eastAsia="en-CA"/>
        </w:rPr>
      </w:pP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r w:rsidRPr="008A1767">
        <w:rPr>
          <w:rFonts w:eastAsiaTheme="minorEastAsia" w:cs="Times New Roman"/>
          <w:b/>
          <w:sz w:val="20"/>
          <w:szCs w:val="20"/>
          <w:lang w:val="fr-CA"/>
        </w:rPr>
        <w:t>À LA SUITE DE L'ORDONNANCE</w:t>
      </w:r>
      <w:r w:rsidRPr="008A1767">
        <w:rPr>
          <w:rFonts w:eastAsiaTheme="minorEastAsia" w:cs="Times New Roman"/>
          <w:sz w:val="20"/>
          <w:szCs w:val="20"/>
          <w:lang w:val="fr-CA"/>
        </w:rPr>
        <w:t xml:space="preserve"> datée du 4 septembre 2015 autorisant le Congrès du travail du Canada, la Canadian Association for Non-Organized Employees ainsi que les Employeurs des transports et communication de régie fédérale et l’Association canadienne des avocats et employeurs (conjointement) à intervenir;</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r w:rsidRPr="008A1767">
        <w:rPr>
          <w:rFonts w:eastAsiaTheme="minorEastAsia" w:cs="Times New Roman"/>
          <w:b/>
          <w:sz w:val="20"/>
          <w:szCs w:val="20"/>
          <w:lang w:val="fr-CA"/>
        </w:rPr>
        <w:t>IL EST EN OUTRE ORDONNÉ</w:t>
      </w:r>
      <w:r w:rsidRPr="008A1767">
        <w:rPr>
          <w:rFonts w:eastAsiaTheme="minorEastAsia" w:cs="Times New Roman"/>
          <w:sz w:val="20"/>
          <w:szCs w:val="20"/>
          <w:lang w:val="fr-CA"/>
        </w:rPr>
        <w:t xml:space="preserve"> </w:t>
      </w:r>
      <w:r w:rsidRPr="008A1767">
        <w:rPr>
          <w:rFonts w:eastAsiaTheme="minorEastAsia" w:cs="Times New Roman"/>
          <w:b/>
          <w:sz w:val="20"/>
          <w:szCs w:val="20"/>
          <w:lang w:val="fr-CA"/>
        </w:rPr>
        <w:t>QUE :</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heme="minorEastAsia" w:cs="Times New Roman"/>
          <w:sz w:val="20"/>
          <w:szCs w:val="20"/>
          <w:lang w:val="fr-CA"/>
        </w:rPr>
        <w:t>Ces trois intervenantes ou groupes d’intervenants sont autorisées à présenter chacun lors de l’audition de l’appel une plaidoirie orale d’au plus dix (10) minutes.</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CD76E4" w:rsidP="005C3B9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5C3B9D" w:rsidRPr="008A1767" w:rsidRDefault="005C3B9D" w:rsidP="005C3B9D">
      <w:pPr>
        <w:tabs>
          <w:tab w:val="left" w:pos="-1440"/>
          <w:tab w:val="left" w:pos="-720"/>
        </w:tabs>
        <w:jc w:val="both"/>
        <w:rPr>
          <w:rFonts w:eastAsia="Times New Roman" w:cs="Times New Roman"/>
          <w:sz w:val="20"/>
          <w:szCs w:val="20"/>
          <w:lang w:eastAsia="en-CA"/>
        </w:rPr>
      </w:pPr>
    </w:p>
    <w:p w:rsidR="005C3B9D" w:rsidRPr="008A1767" w:rsidRDefault="005C3B9D" w:rsidP="005C3B9D">
      <w:pPr>
        <w:rPr>
          <w:rFonts w:eastAsia="Times New Roman" w:cs="Times New Roman"/>
          <w:sz w:val="20"/>
          <w:szCs w:val="20"/>
          <w:lang w:val="fr-CA" w:eastAsia="en-CA"/>
        </w:rPr>
      </w:pPr>
      <w:r w:rsidRPr="008A1767">
        <w:rPr>
          <w:rFonts w:eastAsia="Times New Roman" w:cs="Times New Roman"/>
          <w:sz w:val="20"/>
          <w:szCs w:val="20"/>
          <w:lang w:val="fr-CA" w:eastAsia="en-CA"/>
        </w:rPr>
        <w:br w:type="page"/>
      </w: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lastRenderedPageBreak/>
        <w:t>07.01.2016</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Before / Devant :   CÔTÉ J. / LA JUGE CÔTÉ</w:t>
      </w:r>
    </w:p>
    <w:p w:rsidR="005C3B9D" w:rsidRPr="008A1767" w:rsidRDefault="005C3B9D" w:rsidP="005C3B9D">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27"/>
        <w:gridCol w:w="1137"/>
        <w:gridCol w:w="4221"/>
      </w:tblGrid>
      <w:tr w:rsidR="005C3B9D" w:rsidRPr="00B26F8D" w:rsidTr="008F5FE2">
        <w:tc>
          <w:tcPr>
            <w:tcW w:w="4338" w:type="dxa"/>
            <w:gridSpan w:val="2"/>
          </w:tcPr>
          <w:p w:rsidR="005C3B9D" w:rsidRPr="008A1767" w:rsidRDefault="005C3B9D" w:rsidP="008F5FE2">
            <w:pPr>
              <w:rPr>
                <w:b/>
                <w:lang w:val="en-US"/>
              </w:rPr>
            </w:pPr>
            <w:r w:rsidRPr="008A1767">
              <w:rPr>
                <w:b/>
                <w:lang w:val="en-US"/>
              </w:rPr>
              <w:t>Order on interventions with respect to oral arguments</w:t>
            </w:r>
          </w:p>
          <w:p w:rsidR="005C3B9D" w:rsidRPr="008A1767" w:rsidRDefault="005C3B9D" w:rsidP="008F5FE2">
            <w:pPr>
              <w:rPr>
                <w:b/>
              </w:rPr>
            </w:pPr>
            <w:r w:rsidRPr="008A1767">
              <w:rPr>
                <w:szCs w:val="24"/>
                <w:lang w:val="en-US"/>
              </w:rPr>
              <w:t xml:space="preserve"> </w:t>
            </w:r>
            <w:r w:rsidRPr="008A1767">
              <w:rPr>
                <w:szCs w:val="24"/>
                <w:lang w:val="en-US"/>
              </w:rPr>
              <w:fldChar w:fldCharType="begin"/>
            </w:r>
            <w:r w:rsidRPr="008A1767">
              <w:rPr>
                <w:szCs w:val="24"/>
              </w:rPr>
              <w:instrText xml:space="preserve"> SEQ CHAPTER \h \r 1</w:instrText>
            </w:r>
            <w:r w:rsidRPr="008A1767">
              <w:rPr>
                <w:szCs w:val="24"/>
                <w:lang w:val="en-US"/>
              </w:rPr>
              <w:fldChar w:fldCharType="end"/>
            </w:r>
          </w:p>
        </w:tc>
        <w:tc>
          <w:tcPr>
            <w:tcW w:w="1170" w:type="dxa"/>
          </w:tcPr>
          <w:p w:rsidR="005C3B9D" w:rsidRPr="008A1767" w:rsidRDefault="005C3B9D" w:rsidP="008F5FE2"/>
          <w:p w:rsidR="005C3B9D" w:rsidRPr="008A1767" w:rsidRDefault="005C3B9D" w:rsidP="008F5FE2"/>
        </w:tc>
        <w:tc>
          <w:tcPr>
            <w:tcW w:w="4327" w:type="dxa"/>
          </w:tcPr>
          <w:p w:rsidR="005C3B9D" w:rsidRPr="008A1767" w:rsidRDefault="005C3B9D" w:rsidP="008F5FE2">
            <w:pPr>
              <w:rPr>
                <w:b/>
                <w:lang w:val="fr-CA"/>
              </w:rPr>
            </w:pPr>
            <w:r w:rsidRPr="008A1767">
              <w:rPr>
                <w:b/>
                <w:lang w:val="fr-CA"/>
              </w:rPr>
              <w:t>Ordonnance relative à la présentation d’une plaidoirie orale par les intervenants</w:t>
            </w:r>
            <w:r w:rsidRPr="008A1767">
              <w:rPr>
                <w:szCs w:val="24"/>
                <w:lang w:val="fr-CA"/>
              </w:rPr>
              <w:t xml:space="preserve"> </w:t>
            </w:r>
            <w:r w:rsidRPr="008A1767">
              <w:rPr>
                <w:szCs w:val="24"/>
                <w:lang w:val="en-US"/>
              </w:rPr>
              <w:fldChar w:fldCharType="begin"/>
            </w:r>
            <w:r w:rsidRPr="008A1767">
              <w:rPr>
                <w:szCs w:val="24"/>
                <w:lang w:val="fr-CA"/>
              </w:rPr>
              <w:instrText xml:space="preserve"> SEQ CHAPTER \h \r 1</w:instrText>
            </w:r>
            <w:r w:rsidRPr="008A1767">
              <w:rPr>
                <w:szCs w:val="24"/>
                <w:lang w:val="en-US"/>
              </w:rPr>
              <w:fldChar w:fldCharType="end"/>
            </w:r>
          </w:p>
        </w:tc>
      </w:tr>
      <w:tr w:rsidR="005C3B9D" w:rsidRPr="008A1767" w:rsidTr="008F5FE2">
        <w:trPr>
          <w:trHeight w:hRule="exact" w:val="513"/>
        </w:trPr>
        <w:tc>
          <w:tcPr>
            <w:tcW w:w="1458" w:type="dxa"/>
          </w:tcPr>
          <w:p w:rsidR="005C3B9D" w:rsidRPr="008A1767" w:rsidRDefault="005C3B9D" w:rsidP="008F5FE2">
            <w:r w:rsidRPr="008A1767">
              <w:t>BY / PAR</w:t>
            </w:r>
          </w:p>
        </w:tc>
        <w:tc>
          <w:tcPr>
            <w:tcW w:w="2880" w:type="dxa"/>
          </w:tcPr>
          <w:p w:rsidR="005C3B9D" w:rsidRPr="008A1767" w:rsidRDefault="005C3B9D" w:rsidP="008F5FE2">
            <w:r w:rsidRPr="008A1767">
              <w:t>Canadian Civil Liberties Association;</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576"/>
        </w:trPr>
        <w:tc>
          <w:tcPr>
            <w:tcW w:w="1458" w:type="dxa"/>
          </w:tcPr>
          <w:p w:rsidR="005C3B9D" w:rsidRPr="008A1767" w:rsidRDefault="005C3B9D" w:rsidP="008F5FE2"/>
        </w:tc>
        <w:tc>
          <w:tcPr>
            <w:tcW w:w="2880" w:type="dxa"/>
          </w:tcPr>
          <w:p w:rsidR="005C3B9D" w:rsidRPr="008A1767" w:rsidRDefault="005C3B9D" w:rsidP="008F5FE2">
            <w:r w:rsidRPr="008A1767">
              <w:rPr>
                <w:lang w:val="en-US"/>
              </w:rPr>
              <w:t>British Columbia Civil Liberties Association</w:t>
            </w:r>
            <w:r w:rsidRPr="008A1767">
              <w: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val="774"/>
        </w:trPr>
        <w:tc>
          <w:tcPr>
            <w:tcW w:w="1458" w:type="dxa"/>
          </w:tcPr>
          <w:p w:rsidR="005C3B9D" w:rsidRPr="008A1767" w:rsidRDefault="005C3B9D" w:rsidP="008F5FE2"/>
        </w:tc>
        <w:tc>
          <w:tcPr>
            <w:tcW w:w="2880" w:type="dxa"/>
          </w:tcPr>
          <w:p w:rsidR="005C3B9D" w:rsidRPr="008A1767" w:rsidRDefault="005C3B9D" w:rsidP="008F5FE2">
            <w:r w:rsidRPr="008A1767">
              <w:t>David Asper Centre for Constitutional Rights, University of Toronto Faculty of Law</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458" w:type="dxa"/>
          </w:tcPr>
          <w:p w:rsidR="005C3B9D" w:rsidRPr="008A1767" w:rsidRDefault="005C3B9D" w:rsidP="008F5FE2"/>
        </w:tc>
        <w:tc>
          <w:tcPr>
            <w:tcW w:w="2880" w:type="dxa"/>
          </w:tcPr>
          <w:p w:rsidR="005C3B9D" w:rsidRPr="008A1767" w:rsidRDefault="005C3B9D" w:rsidP="008F5FE2"/>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458" w:type="dxa"/>
          </w:tcPr>
          <w:p w:rsidR="005C3B9D" w:rsidRPr="008A1767" w:rsidRDefault="005C3B9D" w:rsidP="008F5FE2">
            <w:r w:rsidRPr="008A1767">
              <w:t>IN / DANS :</w:t>
            </w:r>
          </w:p>
        </w:tc>
        <w:tc>
          <w:tcPr>
            <w:tcW w:w="2880" w:type="dxa"/>
          </w:tcPr>
          <w:p w:rsidR="005C3B9D" w:rsidRPr="008A1767" w:rsidRDefault="005C3B9D" w:rsidP="008F5FE2">
            <w:r w:rsidRPr="008A1767">
              <w:t>Jessica Ernst</w:t>
            </w:r>
          </w:p>
          <w:p w:rsidR="005C3B9D" w:rsidRPr="008A1767" w:rsidRDefault="005C3B9D" w:rsidP="008F5FE2"/>
          <w:p w:rsidR="005C3B9D" w:rsidRPr="008A1767" w:rsidRDefault="005C3B9D" w:rsidP="008F5FE2">
            <w:r w:rsidRPr="008A1767">
              <w:tab/>
              <w:t>v. (36167)</w:t>
            </w:r>
          </w:p>
          <w:p w:rsidR="005C3B9D" w:rsidRPr="008A1767" w:rsidRDefault="005C3B9D" w:rsidP="008F5FE2"/>
          <w:p w:rsidR="005C3B9D" w:rsidRPr="008A1767" w:rsidRDefault="005C3B9D" w:rsidP="008F5FE2">
            <w:r w:rsidRPr="008A1767">
              <w:t>Alberta Energy Regulator (Alta.)</w:t>
            </w:r>
          </w:p>
        </w:tc>
        <w:tc>
          <w:tcPr>
            <w:tcW w:w="1170" w:type="dxa"/>
          </w:tcPr>
          <w:p w:rsidR="005C3B9D" w:rsidRPr="008A1767" w:rsidRDefault="005C3B9D" w:rsidP="008F5FE2"/>
        </w:tc>
        <w:tc>
          <w:tcPr>
            <w:tcW w:w="4327" w:type="dxa"/>
          </w:tcPr>
          <w:p w:rsidR="005C3B9D" w:rsidRPr="008A1767" w:rsidRDefault="005C3B9D" w:rsidP="008F5FE2"/>
        </w:tc>
      </w:tr>
    </w:tbl>
    <w:p w:rsidR="005C3B9D" w:rsidRPr="008A1767" w:rsidRDefault="005C3B9D" w:rsidP="005C3B9D">
      <w:pPr>
        <w:jc w:val="both"/>
        <w:rPr>
          <w:rFonts w:eastAsia="Times New Roman" w:cs="Times New Roman"/>
          <w:sz w:val="20"/>
          <w:szCs w:val="20"/>
          <w:lang w:eastAsia="en-CA"/>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8A1767">
        <w:rPr>
          <w:rFonts w:eastAsiaTheme="minorEastAsia" w:cs="Times New Roman"/>
          <w:b/>
          <w:bCs/>
          <w:sz w:val="20"/>
          <w:szCs w:val="20"/>
          <w:lang w:val="en-US"/>
        </w:rPr>
        <w:t xml:space="preserve">FURTHER TO THE ORDER </w:t>
      </w:r>
      <w:r w:rsidRPr="008A1767">
        <w:rPr>
          <w:rFonts w:eastAsiaTheme="minorEastAsia" w:cs="Times New Roman"/>
          <w:bCs/>
          <w:sz w:val="20"/>
          <w:szCs w:val="20"/>
          <w:lang w:val="en-US"/>
        </w:rPr>
        <w:t>dated November 4, 2015, granting leave to intervene to</w:t>
      </w:r>
      <w:r w:rsidRPr="008A1767">
        <w:rPr>
          <w:rFonts w:eastAsiaTheme="minorEastAsia" w:cs="Times New Roman"/>
          <w:sz w:val="20"/>
          <w:szCs w:val="20"/>
          <w:lang w:val="en-US"/>
        </w:rPr>
        <w:t xml:space="preserve"> the Canadian Civil Liberties Association, the British Columbia Civil Liberties Association and the David Asper Centre for Constitutional Rights</w:t>
      </w:r>
      <w:r w:rsidRPr="008A1767">
        <w:rPr>
          <w:rFonts w:eastAsiaTheme="minorEastAsia" w:cs="Times New Roman"/>
          <w:bCs/>
          <w:sz w:val="20"/>
          <w:szCs w:val="20"/>
          <w:lang w:val="en-US"/>
        </w:rPr>
        <w:t>;</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en-US"/>
        </w:rPr>
      </w:pPr>
      <w:r w:rsidRPr="008A1767">
        <w:rPr>
          <w:rFonts w:eastAsiaTheme="minorEastAsia" w:cs="Times New Roman"/>
          <w:b/>
          <w:bCs/>
          <w:sz w:val="20"/>
          <w:szCs w:val="20"/>
          <w:lang w:val="en-US"/>
        </w:rPr>
        <w:t xml:space="preserve">IT IS HEREBY FURTHER ORDERED THAT: </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5C3B9D" w:rsidRPr="008A1767" w:rsidRDefault="005C3B9D" w:rsidP="005C3B9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8A1767">
        <w:rPr>
          <w:rFonts w:eastAsiaTheme="minorEastAsia" w:cs="Times New Roman"/>
          <w:sz w:val="20"/>
          <w:szCs w:val="20"/>
          <w:lang w:val="en-US"/>
        </w:rPr>
        <w:t>The British Columbia Civil Liberties Association and the David Asper Centre for Constitutional Rights are each granted permission to present oral argument not exceeding ten (10) minutes at the hearing of the appeal.</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5C3B9D" w:rsidRPr="008A1767" w:rsidRDefault="005C3B9D" w:rsidP="005C3B9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w:eastAsiaTheme="minorEastAsia" w:hAnsi="Times New"/>
          <w:sz w:val="20"/>
          <w:szCs w:val="20"/>
          <w:lang w:val="en-US"/>
        </w:rPr>
      </w:pPr>
      <w:r w:rsidRPr="008A1767">
        <w:rPr>
          <w:rFonts w:eastAsiaTheme="minorEastAsia" w:cs="Times New Roman"/>
          <w:sz w:val="20"/>
          <w:szCs w:val="20"/>
          <w:lang w:val="en-US"/>
        </w:rPr>
        <w:t xml:space="preserve">The factum of the Canadian Civil Liberties Association will be considered without the need for oral argument. </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ascii="Times New" w:eastAsiaTheme="minorEastAsia" w:hAnsi="Times New"/>
          <w:sz w:val="20"/>
          <w:szCs w:val="20"/>
          <w:lang w:val="en-US"/>
        </w:rPr>
      </w:pPr>
    </w:p>
    <w:p w:rsidR="005C3B9D" w:rsidRPr="008A1767" w:rsidRDefault="005C3B9D" w:rsidP="005C3B9D">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8A1767">
        <w:rPr>
          <w:rFonts w:eastAsiaTheme="minorEastAsia" w:cs="Times New Roman"/>
          <w:sz w:val="20"/>
          <w:szCs w:val="20"/>
          <w:lang w:val="en-US"/>
        </w:rPr>
        <w:t>The Attorney General of Quebec is granted permission to present oral argument not exceeding fifteen (15) minutes at the hearing of the appeal.</w:t>
      </w:r>
    </w:p>
    <w:p w:rsidR="005C3B9D" w:rsidRPr="008A1767" w:rsidRDefault="005C3B9D" w:rsidP="005C3B9D">
      <w:pPr>
        <w:autoSpaceDE w:val="0"/>
        <w:autoSpaceDN w:val="0"/>
        <w:adjustRightInd w:val="0"/>
        <w:rPr>
          <w:rFonts w:eastAsiaTheme="minorEastAsia" w:cs="Times New Roman"/>
          <w:sz w:val="20"/>
          <w:szCs w:val="20"/>
          <w:lang w:val="en-US"/>
        </w:rPr>
      </w:pPr>
    </w:p>
    <w:p w:rsidR="005C3B9D" w:rsidRPr="008A1767" w:rsidRDefault="005C3B9D" w:rsidP="005C3B9D">
      <w:pPr>
        <w:autoSpaceDE w:val="0"/>
        <w:autoSpaceDN w:val="0"/>
        <w:adjustRightInd w:val="0"/>
        <w:rPr>
          <w:rFonts w:eastAsiaTheme="minorEastAsia" w:cs="Times New Roman"/>
          <w:sz w:val="20"/>
          <w:szCs w:val="20"/>
          <w:lang w:val="en-US"/>
        </w:rPr>
      </w:pPr>
    </w:p>
    <w:p w:rsidR="005C3B9D" w:rsidRPr="008A1767" w:rsidRDefault="005C3B9D" w:rsidP="005C3B9D">
      <w:pPr>
        <w:autoSpaceDE w:val="0"/>
        <w:autoSpaceDN w:val="0"/>
        <w:adjustRightInd w:val="0"/>
        <w:rPr>
          <w:rFonts w:eastAsiaTheme="minorEastAsia" w:cs="Times New Roman"/>
          <w:sz w:val="20"/>
          <w:szCs w:val="20"/>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r w:rsidRPr="008A1767">
        <w:rPr>
          <w:rFonts w:eastAsiaTheme="minorEastAsia" w:cs="Times New Roman"/>
          <w:b/>
          <w:sz w:val="20"/>
          <w:szCs w:val="20"/>
          <w:lang w:val="fr-CA"/>
        </w:rPr>
        <w:t>À LA SUITE DE L’ORDONNANCE</w:t>
      </w:r>
      <w:r w:rsidRPr="008A1767">
        <w:rPr>
          <w:rFonts w:eastAsiaTheme="minorEastAsia" w:cs="Times New Roman"/>
          <w:sz w:val="20"/>
          <w:szCs w:val="20"/>
          <w:lang w:val="fr-CA"/>
        </w:rPr>
        <w:t xml:space="preserve"> datée du 4 novembre 2015</w:t>
      </w:r>
      <w:r w:rsidRPr="008A1767">
        <w:rPr>
          <w:rFonts w:eastAsiaTheme="minorEastAsia" w:cs="Times New Roman"/>
          <w:sz w:val="20"/>
          <w:szCs w:val="20"/>
          <w:lang w:val="fr-FR"/>
        </w:rPr>
        <w:t>, autorisant</w:t>
      </w:r>
      <w:r w:rsidRPr="008A1767">
        <w:rPr>
          <w:rFonts w:eastAsiaTheme="minorEastAsia" w:cs="Times New Roman"/>
          <w:sz w:val="20"/>
          <w:szCs w:val="20"/>
          <w:lang w:val="fr-CA"/>
        </w:rPr>
        <w:t xml:space="preserve"> </w:t>
      </w:r>
      <w:r w:rsidRPr="008A1767">
        <w:rPr>
          <w:rFonts w:eastAsiaTheme="minorEastAsia" w:cs="Times New Roman"/>
          <w:bCs/>
          <w:sz w:val="20"/>
          <w:szCs w:val="20"/>
          <w:lang w:val="fr-CA"/>
        </w:rPr>
        <w:t>l</w:t>
      </w:r>
      <w:r w:rsidRPr="008A1767">
        <w:rPr>
          <w:rFonts w:eastAsiaTheme="minorEastAsia" w:cs="Times New Roman"/>
          <w:sz w:val="20"/>
          <w:szCs w:val="20"/>
          <w:lang w:val="fr-CA"/>
        </w:rPr>
        <w:t>’Association</w:t>
      </w:r>
      <w:r w:rsidRPr="008A1767">
        <w:rPr>
          <w:rFonts w:eastAsiaTheme="minorEastAsia" w:cs="Times New Roman"/>
          <w:bCs/>
          <w:sz w:val="20"/>
          <w:szCs w:val="20"/>
          <w:lang w:val="fr-CA"/>
        </w:rPr>
        <w:t xml:space="preserve"> canadienne des libertés civiles</w:t>
      </w:r>
      <w:r w:rsidRPr="008A1767">
        <w:rPr>
          <w:rFonts w:eastAsiaTheme="minorEastAsia" w:cs="Times New Roman"/>
          <w:sz w:val="20"/>
          <w:szCs w:val="20"/>
          <w:lang w:val="fr-CA"/>
        </w:rPr>
        <w:t>, la British Columbia Civil Liberties Association et le David Asper Centre for Constitutional Rights</w:t>
      </w:r>
      <w:r w:rsidRPr="008A1767">
        <w:rPr>
          <w:rFonts w:eastAsiaTheme="minorEastAsia" w:cs="Times New Roman"/>
          <w:sz w:val="20"/>
          <w:szCs w:val="20"/>
          <w:lang w:val="fr-FR"/>
        </w:rPr>
        <w:t xml:space="preserve"> à intervenir;</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r w:rsidRPr="008A1767">
        <w:rPr>
          <w:rFonts w:eastAsiaTheme="minorEastAsia" w:cs="Times New Roman"/>
          <w:b/>
          <w:bCs/>
          <w:sz w:val="20"/>
          <w:szCs w:val="20"/>
          <w:lang w:val="fr-CA"/>
        </w:rPr>
        <w:t xml:space="preserve">IL EST EN OUTRE ORDONNÉ QUE : </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p>
    <w:p w:rsidR="005C3B9D" w:rsidRPr="008A1767" w:rsidRDefault="005C3B9D" w:rsidP="005C3B9D">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8A1767">
        <w:rPr>
          <w:rFonts w:eastAsiaTheme="minorEastAsia" w:cs="Times New Roman"/>
          <w:bCs/>
          <w:sz w:val="20"/>
          <w:szCs w:val="20"/>
          <w:lang w:val="fr-CA"/>
        </w:rPr>
        <w:t xml:space="preserve">La </w:t>
      </w:r>
      <w:r w:rsidRPr="008A1767">
        <w:rPr>
          <w:rFonts w:eastAsiaTheme="minorEastAsia" w:cs="Times New Roman"/>
          <w:sz w:val="20"/>
          <w:szCs w:val="20"/>
          <w:lang w:val="fr-CA"/>
        </w:rPr>
        <w:t>British Columbia Civil Liberties Association et le David Asper Centre for Constitutional Rights</w:t>
      </w:r>
      <w:r w:rsidRPr="008A1767">
        <w:rPr>
          <w:rFonts w:eastAsiaTheme="minorEastAsia" w:cs="Times New Roman"/>
          <w:bCs/>
          <w:sz w:val="20"/>
          <w:szCs w:val="20"/>
          <w:lang w:val="fr-CA"/>
        </w:rPr>
        <w:t xml:space="preserve"> </w:t>
      </w:r>
      <w:r w:rsidRPr="008A1767">
        <w:rPr>
          <w:rFonts w:eastAsiaTheme="minorEastAsia" w:cs="Times New Roman"/>
          <w:sz w:val="20"/>
          <w:szCs w:val="20"/>
          <w:lang w:val="fr-CA"/>
        </w:rPr>
        <w:t>auront chacun le droit de présenter une plaidoirie orale d’au plus dix (10) minutes lors de l’audition de l’appel.</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eastAsiaTheme="minorEastAsia" w:cs="Times New Roman"/>
          <w:sz w:val="20"/>
          <w:szCs w:val="20"/>
          <w:lang w:val="fr-CA"/>
        </w:rPr>
      </w:pPr>
    </w:p>
    <w:p w:rsidR="005C3B9D" w:rsidRPr="008A1767" w:rsidRDefault="005C3B9D" w:rsidP="005C3B9D">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8A1767">
        <w:rPr>
          <w:rFonts w:eastAsiaTheme="minorEastAsia" w:cs="Times New Roman"/>
          <w:sz w:val="20"/>
          <w:szCs w:val="20"/>
          <w:lang w:val="fr-CA"/>
        </w:rPr>
        <w:t xml:space="preserve">Le mémoire de </w:t>
      </w:r>
      <w:r w:rsidRPr="008A1767">
        <w:rPr>
          <w:rFonts w:eastAsiaTheme="minorEastAsia" w:cs="Times New Roman"/>
          <w:bCs/>
          <w:sz w:val="20"/>
          <w:szCs w:val="20"/>
          <w:lang w:val="fr-CA"/>
        </w:rPr>
        <w:t>l</w:t>
      </w:r>
      <w:r w:rsidRPr="008A1767">
        <w:rPr>
          <w:rFonts w:eastAsiaTheme="minorEastAsia" w:cs="Times New Roman"/>
          <w:sz w:val="20"/>
          <w:szCs w:val="20"/>
          <w:lang w:val="fr-CA"/>
        </w:rPr>
        <w:t>’Association</w:t>
      </w:r>
      <w:r w:rsidRPr="008A1767">
        <w:rPr>
          <w:rFonts w:eastAsiaTheme="minorEastAsia" w:cs="Times New Roman"/>
          <w:bCs/>
          <w:sz w:val="20"/>
          <w:szCs w:val="20"/>
          <w:lang w:val="fr-CA"/>
        </w:rPr>
        <w:t xml:space="preserve"> canadienne des libertés civiles </w:t>
      </w:r>
      <w:r w:rsidRPr="008A1767">
        <w:rPr>
          <w:rFonts w:eastAsiaTheme="minorEastAsia" w:cs="Times New Roman"/>
          <w:sz w:val="20"/>
          <w:szCs w:val="20"/>
          <w:lang w:val="fr-CA"/>
        </w:rPr>
        <w:t xml:space="preserve">sera examiné sans qu’il soit nécessaire que l’intervenante présente une plaidoirie orale. </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C3B9D" w:rsidRPr="008A1767" w:rsidRDefault="005C3B9D" w:rsidP="005C3B9D">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8A1767">
        <w:rPr>
          <w:rFonts w:eastAsiaTheme="minorEastAsia" w:cs="Times New Roman"/>
          <w:bCs/>
          <w:sz w:val="20"/>
          <w:szCs w:val="20"/>
          <w:lang w:val="fr-CA"/>
        </w:rPr>
        <w:t xml:space="preserve">La Procureure générale du Québec </w:t>
      </w:r>
      <w:r w:rsidRPr="008A1767">
        <w:rPr>
          <w:rFonts w:eastAsiaTheme="minorEastAsia" w:cs="Times New Roman"/>
          <w:sz w:val="20"/>
          <w:szCs w:val="20"/>
          <w:lang w:val="fr-CA"/>
        </w:rPr>
        <w:t>aura le droit de présenter une plaidoirie orale d’au plus quinze (15) minutes lors de l’audition de l’appel.</w:t>
      </w:r>
    </w:p>
    <w:p w:rsidR="005C3B9D" w:rsidRPr="008A1767" w:rsidRDefault="005C3B9D" w:rsidP="005C3B9D">
      <w:pPr>
        <w:spacing w:line="233" w:lineRule="auto"/>
        <w:jc w:val="both"/>
        <w:rPr>
          <w:rFonts w:eastAsia="Times New Roman" w:cs="Times New Roman"/>
          <w:sz w:val="20"/>
          <w:szCs w:val="20"/>
          <w:lang w:val="fr-CA" w:eastAsia="en-CA"/>
        </w:rPr>
      </w:pPr>
    </w:p>
    <w:p w:rsidR="005C3B9D" w:rsidRPr="008A1767" w:rsidRDefault="00CD76E4" w:rsidP="005C3B9D">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rPr>
          <w:rFonts w:eastAsia="Times New Roman" w:cs="Times New Roman"/>
          <w:sz w:val="20"/>
          <w:szCs w:val="20"/>
          <w:lang w:val="fr-CA" w:eastAsia="en-CA"/>
        </w:rPr>
      </w:pPr>
      <w:r w:rsidRPr="008A1767">
        <w:rPr>
          <w:rFonts w:eastAsia="Times New Roman" w:cs="Times New Roman"/>
          <w:sz w:val="20"/>
          <w:szCs w:val="20"/>
          <w:lang w:val="fr-CA" w:eastAsia="en-CA"/>
        </w:rPr>
        <w:br w:type="page"/>
      </w: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lastRenderedPageBreak/>
        <w:t>07.01.2016</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Before / Devant :   GASCON J. / LE JUGE GASCON</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4"/>
        <w:gridCol w:w="1137"/>
        <w:gridCol w:w="4221"/>
      </w:tblGrid>
      <w:tr w:rsidR="005C3B9D" w:rsidRPr="00B26F8D" w:rsidTr="008F5FE2">
        <w:tc>
          <w:tcPr>
            <w:tcW w:w="4338" w:type="dxa"/>
            <w:gridSpan w:val="2"/>
          </w:tcPr>
          <w:p w:rsidR="005C3B9D" w:rsidRPr="008A1767" w:rsidRDefault="005C3B9D" w:rsidP="008F5FE2">
            <w:pPr>
              <w:rPr>
                <w:b/>
                <w:lang w:val="en-US"/>
              </w:rPr>
            </w:pPr>
            <w:r w:rsidRPr="008A1767">
              <w:rPr>
                <w:b/>
                <w:lang w:val="en-US"/>
              </w:rPr>
              <w:t>Order on interventions with respect to oral arguments</w:t>
            </w:r>
          </w:p>
          <w:p w:rsidR="005C3B9D" w:rsidRPr="008A1767" w:rsidRDefault="005C3B9D" w:rsidP="008F5FE2">
            <w:pPr>
              <w:jc w:val="both"/>
              <w:rPr>
                <w:b/>
              </w:rPr>
            </w:pPr>
            <w:r w:rsidRPr="008A1767">
              <w:rPr>
                <w:b/>
                <w:lang w:val="en-US"/>
              </w:rPr>
              <w:fldChar w:fldCharType="begin"/>
            </w:r>
            <w:r w:rsidRPr="008A1767">
              <w:rPr>
                <w:b/>
              </w:rPr>
              <w:instrText xml:space="preserve"> SEQ CHAPTER \h \r 1</w:instrText>
            </w:r>
            <w:r w:rsidRPr="008A1767">
              <w:rPr>
                <w:b/>
                <w:lang w:val="en-US"/>
              </w:rPr>
              <w:fldChar w:fldCharType="end"/>
            </w:r>
          </w:p>
        </w:tc>
        <w:tc>
          <w:tcPr>
            <w:tcW w:w="1170" w:type="dxa"/>
          </w:tcPr>
          <w:p w:rsidR="005C3B9D" w:rsidRPr="008A1767" w:rsidRDefault="005C3B9D" w:rsidP="008F5FE2"/>
          <w:p w:rsidR="005C3B9D" w:rsidRPr="008A1767" w:rsidRDefault="005C3B9D" w:rsidP="008F5FE2"/>
        </w:tc>
        <w:tc>
          <w:tcPr>
            <w:tcW w:w="4327" w:type="dxa"/>
          </w:tcPr>
          <w:p w:rsidR="005C3B9D" w:rsidRPr="008A1767" w:rsidRDefault="005C3B9D" w:rsidP="008F5FE2">
            <w:pPr>
              <w:jc w:val="both"/>
              <w:rPr>
                <w:b/>
                <w:lang w:val="fr-CA"/>
              </w:rPr>
            </w:pPr>
            <w:r w:rsidRPr="008A1767">
              <w:rPr>
                <w:b/>
                <w:lang w:val="fr-CA"/>
              </w:rPr>
              <w:t xml:space="preserve">Ordonnance relative à la présentation d’une plaidoirie orale par les intervenants </w:t>
            </w:r>
            <w:r w:rsidRPr="008A1767">
              <w:rPr>
                <w:b/>
                <w:lang w:val="en-US"/>
              </w:rPr>
              <w:fldChar w:fldCharType="begin"/>
            </w:r>
            <w:r w:rsidRPr="008A1767">
              <w:rPr>
                <w:b/>
                <w:lang w:val="fr-CA"/>
              </w:rPr>
              <w:instrText xml:space="preserve"> SEQ CHAPTER \h \r 1</w:instrText>
            </w:r>
            <w:r w:rsidRPr="008A1767">
              <w:rPr>
                <w:b/>
                <w:lang w:val="en-US"/>
              </w:rPr>
              <w:fldChar w:fldCharType="end"/>
            </w:r>
          </w:p>
        </w:tc>
      </w:tr>
      <w:tr w:rsidR="005C3B9D" w:rsidRPr="008A1767" w:rsidTr="008F5FE2">
        <w:trPr>
          <w:trHeight w:hRule="exact" w:val="360"/>
        </w:trPr>
        <w:tc>
          <w:tcPr>
            <w:tcW w:w="1368" w:type="dxa"/>
          </w:tcPr>
          <w:p w:rsidR="005C3B9D" w:rsidRPr="008A1767" w:rsidRDefault="005C3B9D" w:rsidP="008F5FE2">
            <w:r w:rsidRPr="008A1767">
              <w:t>RE:</w:t>
            </w:r>
          </w:p>
        </w:tc>
        <w:tc>
          <w:tcPr>
            <w:tcW w:w="2970" w:type="dxa"/>
          </w:tcPr>
          <w:p w:rsidR="005C3B9D" w:rsidRPr="008A1767" w:rsidRDefault="005C3B9D" w:rsidP="008F5FE2">
            <w:r w:rsidRPr="008A1767">
              <w:rPr>
                <w:lang w:val="fr-CA"/>
              </w:rPr>
              <w:t>Attorney General of Canada</w:t>
            </w:r>
            <w:r w:rsidRPr="008A1767">
              <w:rPr>
                <w:lang w:val="en-US"/>
              </w:rPr>
              <w: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360"/>
        </w:trPr>
        <w:tc>
          <w:tcPr>
            <w:tcW w:w="1368" w:type="dxa"/>
          </w:tcPr>
          <w:p w:rsidR="005C3B9D" w:rsidRPr="008A1767" w:rsidRDefault="005C3B9D" w:rsidP="008F5FE2"/>
        </w:tc>
        <w:tc>
          <w:tcPr>
            <w:tcW w:w="2970" w:type="dxa"/>
          </w:tcPr>
          <w:p w:rsidR="005C3B9D" w:rsidRPr="008A1767" w:rsidRDefault="005C3B9D" w:rsidP="008F5FE2">
            <w:r w:rsidRPr="008A1767">
              <w:t>Attorney General for Ontario;</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963"/>
        </w:trPr>
        <w:tc>
          <w:tcPr>
            <w:tcW w:w="1368" w:type="dxa"/>
          </w:tcPr>
          <w:p w:rsidR="005C3B9D" w:rsidRPr="008A1767" w:rsidRDefault="005C3B9D" w:rsidP="008F5FE2"/>
        </w:tc>
        <w:tc>
          <w:tcPr>
            <w:tcW w:w="2970" w:type="dxa"/>
          </w:tcPr>
          <w:p w:rsidR="005C3B9D" w:rsidRPr="008A1767" w:rsidRDefault="005C3B9D" w:rsidP="008F5FE2">
            <w:r w:rsidRPr="008A1767">
              <w:t>Ontario Network of Injured Workers’ Groups and Industrial Accident Victims’ Group of Ontario (joint);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729"/>
        </w:trPr>
        <w:tc>
          <w:tcPr>
            <w:tcW w:w="1368" w:type="dxa"/>
          </w:tcPr>
          <w:p w:rsidR="005C3B9D" w:rsidRPr="008A1767" w:rsidRDefault="005C3B9D" w:rsidP="008F5FE2"/>
        </w:tc>
        <w:tc>
          <w:tcPr>
            <w:tcW w:w="2970" w:type="dxa"/>
          </w:tcPr>
          <w:p w:rsidR="005C3B9D" w:rsidRPr="008A1767" w:rsidRDefault="005C3B9D" w:rsidP="008F5FE2">
            <w:r w:rsidRPr="008A1767">
              <w:t>Community Legal Assistance Society and British Columbia Federation of Labour (joint)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368" w:type="dxa"/>
          </w:tcPr>
          <w:p w:rsidR="005C3B9D" w:rsidRPr="008A1767" w:rsidRDefault="005C3B9D" w:rsidP="008F5FE2"/>
        </w:tc>
        <w:tc>
          <w:tcPr>
            <w:tcW w:w="2970" w:type="dxa"/>
          </w:tcPr>
          <w:p w:rsidR="005C3B9D" w:rsidRPr="008A1767" w:rsidRDefault="005C3B9D" w:rsidP="008F5FE2"/>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368" w:type="dxa"/>
          </w:tcPr>
          <w:p w:rsidR="005C3B9D" w:rsidRPr="008A1767" w:rsidRDefault="005C3B9D" w:rsidP="008F5FE2">
            <w:r w:rsidRPr="008A1767">
              <w:t>IN / DANS :</w:t>
            </w:r>
          </w:p>
        </w:tc>
        <w:tc>
          <w:tcPr>
            <w:tcW w:w="2970" w:type="dxa"/>
          </w:tcPr>
          <w:p w:rsidR="005C3B9D" w:rsidRPr="008A1767" w:rsidRDefault="005C3B9D" w:rsidP="008F5FE2">
            <w:pPr>
              <w:rPr>
                <w:lang w:val="en-US"/>
              </w:rPr>
            </w:pPr>
            <w:r w:rsidRPr="008A1767">
              <w:rPr>
                <w:lang w:val="en-US"/>
              </w:rPr>
              <w:t>Workers’ Compensation Appeal Tribunal et al.</w:t>
            </w:r>
          </w:p>
          <w:p w:rsidR="005C3B9D" w:rsidRPr="008A1767" w:rsidRDefault="005C3B9D" w:rsidP="008F5FE2">
            <w:pPr>
              <w:rPr>
                <w:lang w:val="en-US"/>
              </w:rPr>
            </w:pPr>
          </w:p>
          <w:p w:rsidR="005C3B9D" w:rsidRPr="008A1767" w:rsidRDefault="005C3B9D" w:rsidP="008F5FE2">
            <w:pPr>
              <w:rPr>
                <w:lang w:val="en-US"/>
              </w:rPr>
            </w:pPr>
            <w:r w:rsidRPr="008A1767">
              <w:rPr>
                <w:lang w:val="en-US"/>
              </w:rPr>
              <w:tab/>
              <w:t>v. (36300)</w:t>
            </w:r>
          </w:p>
          <w:p w:rsidR="005C3B9D" w:rsidRPr="008A1767" w:rsidRDefault="005C3B9D" w:rsidP="008F5FE2">
            <w:pPr>
              <w:rPr>
                <w:lang w:val="en-US"/>
              </w:rPr>
            </w:pPr>
          </w:p>
          <w:p w:rsidR="005C3B9D" w:rsidRPr="008A1767" w:rsidRDefault="005C3B9D" w:rsidP="008F5FE2">
            <w:r w:rsidRPr="008A1767">
              <w:rPr>
                <w:lang w:val="en-US"/>
              </w:rPr>
              <w:t xml:space="preserve">Fraser Health Authority et al. </w:t>
            </w:r>
            <w:r w:rsidRPr="008A1767">
              <w:rPr>
                <w:lang w:val="fr-CA"/>
              </w:rPr>
              <w:t>(B.C.)</w:t>
            </w:r>
          </w:p>
        </w:tc>
        <w:tc>
          <w:tcPr>
            <w:tcW w:w="1170" w:type="dxa"/>
          </w:tcPr>
          <w:p w:rsidR="005C3B9D" w:rsidRPr="008A1767" w:rsidRDefault="005C3B9D" w:rsidP="008F5FE2"/>
        </w:tc>
        <w:tc>
          <w:tcPr>
            <w:tcW w:w="4327" w:type="dxa"/>
          </w:tcPr>
          <w:p w:rsidR="005C3B9D" w:rsidRPr="008A1767" w:rsidRDefault="005C3B9D" w:rsidP="008F5FE2"/>
        </w:tc>
      </w:tr>
    </w:tbl>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widowControl w:val="0"/>
        <w:autoSpaceDE w:val="0"/>
        <w:autoSpaceDN w:val="0"/>
        <w:adjustRightInd w:val="0"/>
        <w:spacing w:line="232" w:lineRule="auto"/>
        <w:jc w:val="both"/>
        <w:rPr>
          <w:rFonts w:eastAsiaTheme="minorEastAsia" w:cs="Times New Roman"/>
          <w:sz w:val="20"/>
          <w:szCs w:val="20"/>
          <w:lang w:val="en-US"/>
        </w:rPr>
      </w:pPr>
      <w:r w:rsidRPr="008A1767">
        <w:rPr>
          <w:rFonts w:eastAsiaTheme="minorEastAsia" w:cs="Times New Roman"/>
          <w:b/>
          <w:bCs/>
          <w:sz w:val="20"/>
          <w:szCs w:val="20"/>
          <w:lang w:val="en-US"/>
        </w:rPr>
        <w:t xml:space="preserve">FURTHER TO THE ORDER </w:t>
      </w:r>
      <w:r w:rsidRPr="008A1767">
        <w:rPr>
          <w:rFonts w:eastAsiaTheme="minorEastAsia" w:cs="Times New Roman"/>
          <w:bCs/>
          <w:sz w:val="20"/>
          <w:szCs w:val="20"/>
          <w:lang w:val="en-US"/>
        </w:rPr>
        <w:t>dated November 25, 2015, granting leave to intervene to</w:t>
      </w:r>
      <w:r w:rsidRPr="008A1767">
        <w:rPr>
          <w:rFonts w:eastAsiaTheme="minorEastAsia" w:cs="Times New Roman"/>
          <w:sz w:val="20"/>
          <w:szCs w:val="20"/>
          <w:lang w:val="en-US"/>
        </w:rPr>
        <w:t xml:space="preserve"> the Attorney General of Canada, the Attorney General for Ontario, the Ontario Network of Injured Workers’ Groups and Industrial Accident Victims’ Group of Ontario (joint) and the Community Legal Assistant Society and British Columbia Federation of Labour (joint);</w:t>
      </w:r>
    </w:p>
    <w:p w:rsidR="005C3B9D" w:rsidRPr="008A1767" w:rsidRDefault="005C3B9D" w:rsidP="005C3B9D">
      <w:pPr>
        <w:widowControl w:val="0"/>
        <w:autoSpaceDE w:val="0"/>
        <w:autoSpaceDN w:val="0"/>
        <w:adjustRightInd w:val="0"/>
        <w:spacing w:line="232" w:lineRule="auto"/>
        <w:jc w:val="both"/>
        <w:rPr>
          <w:rFonts w:eastAsiaTheme="minorEastAsia" w:cs="Times New Roman"/>
          <w:sz w:val="20"/>
          <w:szCs w:val="20"/>
          <w:lang w:val="en-US"/>
        </w:rPr>
      </w:pPr>
    </w:p>
    <w:p w:rsidR="005C3B9D" w:rsidRPr="008A1767" w:rsidRDefault="005C3B9D" w:rsidP="005C3B9D">
      <w:pPr>
        <w:widowControl w:val="0"/>
        <w:autoSpaceDE w:val="0"/>
        <w:autoSpaceDN w:val="0"/>
        <w:adjustRightInd w:val="0"/>
        <w:spacing w:line="232" w:lineRule="auto"/>
        <w:jc w:val="both"/>
        <w:rPr>
          <w:rFonts w:eastAsiaTheme="minorEastAsia" w:cs="Times New Roman"/>
          <w:b/>
          <w:bCs/>
          <w:sz w:val="20"/>
          <w:szCs w:val="20"/>
          <w:lang w:val="en-US"/>
        </w:rPr>
      </w:pPr>
      <w:r w:rsidRPr="008A1767">
        <w:rPr>
          <w:rFonts w:eastAsiaTheme="minorEastAsia" w:cs="Times New Roman"/>
          <w:b/>
          <w:bCs/>
          <w:sz w:val="20"/>
          <w:szCs w:val="20"/>
          <w:lang w:val="en-US"/>
        </w:rPr>
        <w:t>IT IS HEREBY ORDERED THAT:</w:t>
      </w:r>
    </w:p>
    <w:p w:rsidR="005C3B9D" w:rsidRPr="008A1767" w:rsidRDefault="005C3B9D" w:rsidP="005C3B9D">
      <w:pPr>
        <w:widowControl w:val="0"/>
        <w:autoSpaceDE w:val="0"/>
        <w:autoSpaceDN w:val="0"/>
        <w:adjustRightInd w:val="0"/>
        <w:spacing w:line="230" w:lineRule="auto"/>
        <w:rPr>
          <w:rFonts w:eastAsiaTheme="minorEastAsia" w:cs="Times New Roman"/>
          <w:b/>
          <w:bCs/>
          <w:sz w:val="20"/>
          <w:szCs w:val="20"/>
          <w:lang w:val="en-US"/>
        </w:rPr>
      </w:pPr>
    </w:p>
    <w:p w:rsidR="005C3B9D" w:rsidRPr="008A1767" w:rsidRDefault="005C3B9D" w:rsidP="005C3B9D">
      <w:pPr>
        <w:widowControl w:val="0"/>
        <w:numPr>
          <w:ilvl w:val="0"/>
          <w:numId w:val="10"/>
        </w:numPr>
        <w:autoSpaceDE w:val="0"/>
        <w:autoSpaceDN w:val="0"/>
        <w:adjustRightInd w:val="0"/>
        <w:spacing w:line="230" w:lineRule="auto"/>
        <w:contextualSpacing/>
        <w:rPr>
          <w:rFonts w:eastAsiaTheme="minorEastAsia" w:cs="Times New Roman"/>
          <w:sz w:val="20"/>
          <w:szCs w:val="20"/>
          <w:lang w:val="en-US"/>
        </w:rPr>
      </w:pPr>
      <w:r w:rsidRPr="008A1767">
        <w:rPr>
          <w:rFonts w:eastAsiaTheme="minorEastAsia" w:cs="Times New Roman"/>
          <w:sz w:val="20"/>
          <w:szCs w:val="20"/>
          <w:lang w:val="en-US"/>
        </w:rPr>
        <w:t xml:space="preserve">The Attorney General for Ontario and the Community Legal Assistant Society and British Columbia Federation of Labour (joint) </w:t>
      </w:r>
      <w:r w:rsidRPr="008A1767">
        <w:rPr>
          <w:rFonts w:eastAsiaTheme="minorEastAsia" w:cs="Times New Roman"/>
          <w:sz w:val="20"/>
          <w:szCs w:val="20"/>
        </w:rPr>
        <w:t xml:space="preserve">are each granted permission to present oral argument not exceeding ten (10) minutes at the hearing of the appeal. </w:t>
      </w:r>
    </w:p>
    <w:p w:rsidR="005C3B9D" w:rsidRPr="008A1767" w:rsidRDefault="005C3B9D" w:rsidP="005C3B9D">
      <w:pPr>
        <w:widowControl w:val="0"/>
        <w:autoSpaceDE w:val="0"/>
        <w:autoSpaceDN w:val="0"/>
        <w:adjustRightInd w:val="0"/>
        <w:spacing w:line="230" w:lineRule="auto"/>
        <w:ind w:left="720"/>
        <w:contextualSpacing/>
        <w:rPr>
          <w:rFonts w:eastAsiaTheme="minorEastAsia" w:cs="Times New Roman"/>
          <w:sz w:val="20"/>
          <w:szCs w:val="20"/>
          <w:lang w:val="en-US"/>
        </w:rPr>
      </w:pPr>
    </w:p>
    <w:p w:rsidR="005C3B9D" w:rsidRPr="008A1767" w:rsidRDefault="005C3B9D" w:rsidP="005C3B9D">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contextualSpacing/>
        <w:jc w:val="both"/>
        <w:rPr>
          <w:rFonts w:eastAsiaTheme="minorEastAsia" w:cs="Times New Roman"/>
          <w:sz w:val="20"/>
          <w:szCs w:val="20"/>
          <w:lang w:val="en-US"/>
        </w:rPr>
      </w:pPr>
      <w:r w:rsidRPr="008A1767">
        <w:rPr>
          <w:rFonts w:eastAsiaTheme="minorEastAsia" w:cs="Times New Roman"/>
          <w:sz w:val="20"/>
          <w:szCs w:val="20"/>
          <w:lang w:val="en-US"/>
        </w:rPr>
        <w:t xml:space="preserve">The Attorney General of Canada is </w:t>
      </w:r>
      <w:r w:rsidRPr="008A1767">
        <w:rPr>
          <w:rFonts w:eastAsiaTheme="minorEastAsia" w:cs="Times New Roman"/>
          <w:sz w:val="20"/>
          <w:szCs w:val="20"/>
        </w:rPr>
        <w:t xml:space="preserve">granted permission to present oral argument not exceeding ten (10) minutes at the hearing of the appeal. </w:t>
      </w:r>
    </w:p>
    <w:p w:rsidR="005C3B9D" w:rsidRPr="008A1767" w:rsidRDefault="005C3B9D" w:rsidP="005C3B9D">
      <w:pPr>
        <w:widowControl w:val="0"/>
        <w:autoSpaceDE w:val="0"/>
        <w:autoSpaceDN w:val="0"/>
        <w:adjustRightInd w:val="0"/>
        <w:spacing w:line="230" w:lineRule="auto"/>
        <w:ind w:left="720"/>
        <w:contextualSpacing/>
        <w:rPr>
          <w:rFonts w:eastAsiaTheme="minorEastAsia" w:cs="Times New Roman"/>
          <w:sz w:val="20"/>
          <w:szCs w:val="20"/>
          <w:lang w:val="en-US"/>
        </w:rPr>
      </w:pPr>
    </w:p>
    <w:p w:rsidR="005C3B9D" w:rsidRPr="008A1767" w:rsidRDefault="005C3B9D" w:rsidP="005C3B9D">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w:eastAsiaTheme="minorEastAsia" w:hAnsi="Times New"/>
          <w:sz w:val="20"/>
          <w:szCs w:val="20"/>
          <w:lang w:val="en-US"/>
        </w:rPr>
      </w:pPr>
      <w:r w:rsidRPr="008A1767">
        <w:rPr>
          <w:rFonts w:eastAsiaTheme="minorEastAsia" w:cs="Times New Roman"/>
          <w:sz w:val="20"/>
          <w:szCs w:val="20"/>
          <w:lang w:val="en-US"/>
        </w:rPr>
        <w:t xml:space="preserve">The factum of the Ontario Network of Injured Workers’ Groups and Industrial Accident Victims’ Group of Ontario (joint) will be considered without the need for oral argument. </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en-US"/>
        </w:rPr>
      </w:pP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en-US"/>
        </w:rPr>
      </w:pPr>
    </w:p>
    <w:p w:rsidR="005C3B9D" w:rsidRPr="008A1767" w:rsidRDefault="005C3B9D" w:rsidP="005C3B9D">
      <w:pPr>
        <w:spacing w:line="233" w:lineRule="auto"/>
        <w:rPr>
          <w:rFonts w:eastAsia="Times New Roman" w:cs="Times New Roman"/>
          <w:sz w:val="20"/>
          <w:szCs w:val="20"/>
          <w:lang w:val="en-US" w:eastAsia="en-CA"/>
        </w:rPr>
      </w:pP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r w:rsidRPr="008A1767">
        <w:rPr>
          <w:rFonts w:eastAsiaTheme="minorEastAsia" w:cs="Times New Roman"/>
          <w:b/>
          <w:sz w:val="20"/>
          <w:szCs w:val="20"/>
          <w:lang w:val="fr-CA"/>
        </w:rPr>
        <w:t>À LA SUITE DE L’ORDONNANCE</w:t>
      </w:r>
      <w:r w:rsidRPr="008A1767">
        <w:rPr>
          <w:rFonts w:eastAsiaTheme="minorEastAsia" w:cs="Times New Roman"/>
          <w:sz w:val="20"/>
          <w:szCs w:val="20"/>
          <w:lang w:val="fr-CA"/>
        </w:rPr>
        <w:t xml:space="preserve"> datée du 25 novembre 2015 autorisant </w:t>
      </w:r>
      <w:r w:rsidRPr="008A1767">
        <w:rPr>
          <w:rFonts w:eastAsiaTheme="minorEastAsia" w:cs="Times New Roman"/>
          <w:sz w:val="20"/>
          <w:szCs w:val="20"/>
          <w:lang w:val="fr-FR"/>
        </w:rPr>
        <w:t>le procureur général du Canada, le procureur général de l’Ontario, le Ontario Network of Injured Workers’ Groups et le Industrial Accident Victims’ Group of Ontario (conjointement) et la Community Legal Assistant Society et la British Columbia Federation of Labour (conjointement)</w:t>
      </w:r>
      <w:r w:rsidRPr="008A1767">
        <w:rPr>
          <w:rFonts w:eastAsiaTheme="minorEastAsia" w:cs="Times New Roman"/>
          <w:sz w:val="20"/>
          <w:szCs w:val="20"/>
          <w:lang w:val="fr-CA"/>
        </w:rPr>
        <w:t xml:space="preserve"> à intervenir;</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r w:rsidRPr="008A1767">
        <w:rPr>
          <w:rFonts w:eastAsiaTheme="minorEastAsia" w:cs="Times New Roman"/>
          <w:b/>
          <w:sz w:val="20"/>
          <w:szCs w:val="20"/>
          <w:lang w:val="fr-CA"/>
        </w:rPr>
        <w:t>IL EST ORDONNÉ QUE :</w:t>
      </w:r>
      <w:r w:rsidRPr="008A1767">
        <w:rPr>
          <w:rFonts w:eastAsiaTheme="minorEastAsia" w:cs="Times New Roman"/>
          <w:sz w:val="20"/>
          <w:szCs w:val="20"/>
          <w:lang w:val="fr-CA"/>
        </w:rPr>
        <w:t xml:space="preserve"> </w:t>
      </w:r>
    </w:p>
    <w:p w:rsidR="005C3B9D" w:rsidRPr="008A1767" w:rsidRDefault="005C3B9D" w:rsidP="005C3B9D">
      <w:pPr>
        <w:widowControl w:val="0"/>
        <w:autoSpaceDE w:val="0"/>
        <w:autoSpaceDN w:val="0"/>
        <w:adjustRightInd w:val="0"/>
        <w:spacing w:line="230" w:lineRule="auto"/>
        <w:jc w:val="both"/>
        <w:rPr>
          <w:rFonts w:eastAsiaTheme="minorEastAsia" w:cs="Times New Roman"/>
          <w:sz w:val="20"/>
          <w:szCs w:val="20"/>
          <w:lang w:val="fr-CA"/>
        </w:rPr>
      </w:pPr>
    </w:p>
    <w:p w:rsidR="005C3B9D" w:rsidRPr="008A1767" w:rsidRDefault="005C3B9D" w:rsidP="005C3B9D">
      <w:pPr>
        <w:widowControl w:val="0"/>
        <w:numPr>
          <w:ilvl w:val="0"/>
          <w:numId w:val="11"/>
        </w:numPr>
        <w:autoSpaceDE w:val="0"/>
        <w:autoSpaceDN w:val="0"/>
        <w:adjustRightInd w:val="0"/>
        <w:spacing w:line="230" w:lineRule="auto"/>
        <w:contextualSpacing/>
        <w:rPr>
          <w:rFonts w:eastAsiaTheme="minorEastAsia" w:cs="Times New Roman"/>
          <w:sz w:val="20"/>
          <w:szCs w:val="20"/>
          <w:lang w:val="fr-CA"/>
        </w:rPr>
      </w:pPr>
      <w:r w:rsidRPr="008A1767">
        <w:rPr>
          <w:rFonts w:eastAsiaTheme="minorEastAsia" w:cs="Times New Roman"/>
          <w:sz w:val="20"/>
          <w:szCs w:val="20"/>
          <w:lang w:val="fr-CA"/>
        </w:rPr>
        <w:t xml:space="preserve">Le procureur général de l’Ontario ainsi que la Community Legal Assistant Society et la British Columbia Federation of Labour (conjointement) sont autorisés à présenter chacun une plaidoirie orale d’au plus dix (10) minutres lors de l’audition de l’appel. </w:t>
      </w:r>
    </w:p>
    <w:p w:rsidR="005C3B9D" w:rsidRPr="008A1767" w:rsidRDefault="005C3B9D" w:rsidP="005C3B9D">
      <w:pPr>
        <w:widowControl w:val="0"/>
        <w:autoSpaceDE w:val="0"/>
        <w:autoSpaceDN w:val="0"/>
        <w:adjustRightInd w:val="0"/>
        <w:spacing w:line="230" w:lineRule="auto"/>
        <w:ind w:left="720"/>
        <w:contextualSpacing/>
        <w:rPr>
          <w:rFonts w:eastAsiaTheme="minorEastAsia" w:cs="Times New Roman"/>
          <w:sz w:val="20"/>
          <w:szCs w:val="20"/>
          <w:lang w:val="fr-CA"/>
        </w:rPr>
      </w:pPr>
    </w:p>
    <w:p w:rsidR="005C3B9D" w:rsidRPr="008A1767" w:rsidRDefault="005C3B9D" w:rsidP="005C3B9D">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contextualSpacing/>
        <w:jc w:val="both"/>
        <w:rPr>
          <w:rFonts w:eastAsiaTheme="minorEastAsia" w:cs="Times New Roman"/>
          <w:sz w:val="20"/>
          <w:szCs w:val="20"/>
          <w:lang w:val="fr-CA"/>
        </w:rPr>
      </w:pPr>
      <w:r w:rsidRPr="008A1767">
        <w:rPr>
          <w:rFonts w:eastAsiaTheme="minorEastAsia" w:cs="Times New Roman"/>
          <w:sz w:val="20"/>
          <w:szCs w:val="20"/>
          <w:lang w:val="fr-CA"/>
        </w:rPr>
        <w:t xml:space="preserve">Le procureur général du Canada est autorisé à présenter une plaidoirie orale d’au plus dix (10) minutes lors de </w:t>
      </w:r>
      <w:r w:rsidRPr="008A1767">
        <w:rPr>
          <w:rFonts w:eastAsiaTheme="minorEastAsia" w:cs="Times New Roman"/>
          <w:sz w:val="20"/>
          <w:szCs w:val="20"/>
          <w:lang w:val="fr-CA"/>
        </w:rPr>
        <w:lastRenderedPageBreak/>
        <w:t xml:space="preserve">l’audition de l’appel.  </w:t>
      </w:r>
    </w:p>
    <w:p w:rsidR="005C3B9D" w:rsidRPr="008A1767" w:rsidRDefault="005C3B9D" w:rsidP="005C3B9D">
      <w:pPr>
        <w:widowControl w:val="0"/>
        <w:autoSpaceDE w:val="0"/>
        <w:autoSpaceDN w:val="0"/>
        <w:adjustRightInd w:val="0"/>
        <w:spacing w:line="230" w:lineRule="auto"/>
        <w:ind w:left="720"/>
        <w:contextualSpacing/>
        <w:rPr>
          <w:rFonts w:eastAsiaTheme="minorEastAsia" w:cs="Times New Roman"/>
          <w:sz w:val="20"/>
          <w:szCs w:val="20"/>
          <w:lang w:val="fr-CA"/>
        </w:rPr>
      </w:pPr>
    </w:p>
    <w:p w:rsidR="005C3B9D" w:rsidRPr="008A1767" w:rsidRDefault="005C3B9D" w:rsidP="005C3B9D">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w:eastAsiaTheme="minorEastAsia" w:hAnsi="Times New"/>
          <w:sz w:val="20"/>
          <w:szCs w:val="20"/>
          <w:lang w:val="fr-CA"/>
        </w:rPr>
      </w:pPr>
      <w:r w:rsidRPr="008A1767">
        <w:rPr>
          <w:rFonts w:eastAsiaTheme="minorEastAsia" w:cs="Times New Roman"/>
          <w:sz w:val="20"/>
          <w:szCs w:val="20"/>
          <w:lang w:val="fr-CA"/>
        </w:rPr>
        <w:t xml:space="preserve">Le mémoire de l’Ontario Network of Injured Workers’ Groups et de l’Industrial Accident Victims’ Group of Ontario (conjointement) sera examiné sans qu’il soit nécessaire que cet intervenant présente une plaidoirie orale.  </w:t>
      </w:r>
    </w:p>
    <w:p w:rsidR="005C3B9D" w:rsidRPr="008A1767" w:rsidRDefault="005C3B9D" w:rsidP="005C3B9D">
      <w:pPr>
        <w:spacing w:line="233" w:lineRule="auto"/>
        <w:jc w:val="both"/>
        <w:rPr>
          <w:rFonts w:eastAsia="Times New Roman" w:cs="Times New Roman"/>
          <w:sz w:val="20"/>
          <w:szCs w:val="20"/>
          <w:lang w:val="fr-CA" w:eastAsia="en-CA"/>
        </w:rPr>
      </w:pPr>
    </w:p>
    <w:p w:rsidR="005C3B9D" w:rsidRPr="008A1767" w:rsidRDefault="00CD76E4" w:rsidP="005C3B9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06.01.2016</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Pr="008A1767" w:rsidRDefault="005C3B9D" w:rsidP="005C3B9D">
      <w:pPr>
        <w:tabs>
          <w:tab w:val="left" w:pos="-1440"/>
          <w:tab w:val="left" w:pos="-720"/>
        </w:tabs>
        <w:jc w:val="both"/>
        <w:rPr>
          <w:rFonts w:eastAsia="Times New Roman" w:cs="Times New Roman"/>
          <w:sz w:val="20"/>
          <w:szCs w:val="20"/>
          <w:lang w:val="fr-CA" w:eastAsia="en-CA"/>
        </w:rPr>
      </w:pPr>
      <w:r w:rsidRPr="008A1767">
        <w:rPr>
          <w:rFonts w:eastAsia="Times New Roman" w:cs="Times New Roman"/>
          <w:sz w:val="20"/>
          <w:szCs w:val="20"/>
          <w:lang w:val="fr-CA" w:eastAsia="en-CA"/>
        </w:rPr>
        <w:t>Before / Devant :   CÔTÉ J. / LA JUGE CÔTÉ</w:t>
      </w:r>
    </w:p>
    <w:p w:rsidR="005C3B9D" w:rsidRPr="008A1767" w:rsidRDefault="005C3B9D" w:rsidP="005C3B9D">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0"/>
        <w:gridCol w:w="1138"/>
        <w:gridCol w:w="4224"/>
      </w:tblGrid>
      <w:tr w:rsidR="005C3B9D" w:rsidRPr="00B26F8D" w:rsidTr="008F5FE2">
        <w:tc>
          <w:tcPr>
            <w:tcW w:w="4338" w:type="dxa"/>
            <w:gridSpan w:val="2"/>
          </w:tcPr>
          <w:p w:rsidR="005C3B9D" w:rsidRPr="008A1767" w:rsidRDefault="005C3B9D" w:rsidP="008F5FE2">
            <w:pPr>
              <w:rPr>
                <w:b/>
              </w:rPr>
            </w:pPr>
            <w:r w:rsidRPr="008A1767">
              <w:rPr>
                <w:b/>
                <w:lang w:val="en-US"/>
              </w:rPr>
              <w:t>Order on interventions with respect to oral argument</w:t>
            </w:r>
          </w:p>
        </w:tc>
        <w:tc>
          <w:tcPr>
            <w:tcW w:w="1170" w:type="dxa"/>
          </w:tcPr>
          <w:p w:rsidR="005C3B9D" w:rsidRPr="008A1767" w:rsidRDefault="005C3B9D" w:rsidP="008F5FE2"/>
          <w:p w:rsidR="005C3B9D" w:rsidRPr="008A1767" w:rsidRDefault="005C3B9D" w:rsidP="008F5FE2"/>
          <w:p w:rsidR="005C3B9D" w:rsidRPr="008A1767" w:rsidRDefault="005C3B9D" w:rsidP="008F5FE2"/>
        </w:tc>
        <w:tc>
          <w:tcPr>
            <w:tcW w:w="4327" w:type="dxa"/>
          </w:tcPr>
          <w:p w:rsidR="005C3B9D" w:rsidRPr="008A1767" w:rsidRDefault="005C3B9D" w:rsidP="008F5FE2">
            <w:pPr>
              <w:rPr>
                <w:b/>
                <w:lang w:val="fr-CA"/>
              </w:rPr>
            </w:pPr>
            <w:r w:rsidRPr="008A1767">
              <w:rPr>
                <w:b/>
                <w:lang w:val="fr-CA"/>
              </w:rPr>
              <w:t>Ordonnance relative à la présentation d’une plaidoirie orale par les intervenants</w:t>
            </w:r>
          </w:p>
        </w:tc>
      </w:tr>
      <w:tr w:rsidR="005C3B9D" w:rsidRPr="008A1767" w:rsidTr="008F5FE2">
        <w:trPr>
          <w:trHeight w:hRule="exact" w:val="738"/>
        </w:trPr>
        <w:tc>
          <w:tcPr>
            <w:tcW w:w="1368" w:type="dxa"/>
          </w:tcPr>
          <w:p w:rsidR="005C3B9D" w:rsidRPr="008A1767" w:rsidRDefault="005C3B9D" w:rsidP="008F5FE2">
            <w:r w:rsidRPr="008A1767">
              <w:t>BY / PAR</w:t>
            </w:r>
          </w:p>
        </w:tc>
        <w:tc>
          <w:tcPr>
            <w:tcW w:w="2970" w:type="dxa"/>
          </w:tcPr>
          <w:p w:rsidR="005C3B9D" w:rsidRPr="008A1767" w:rsidRDefault="005C3B9D" w:rsidP="008F5FE2">
            <w:r w:rsidRPr="008A1767">
              <w:rPr>
                <w:lang w:val="en-US"/>
              </w:rPr>
              <w:t>Pivot Legal Society and Union of British Columbia Indian Chiefs (joint);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351"/>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African Canadian Legal Clinic;</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576"/>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British Columbia Civil Liberties Association;</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333"/>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Canadian Bar Association;</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576"/>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HIV &amp; AIDS Legal Clinic Ontario;</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1935"/>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Canadian HIV/AIDS Legal Network, British Columbia Centre for Excellence in HIV/AIDS, Prisoners with HIV/AIDS Support Action Network, and Canadian Association of People who use drugs (joint);</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576"/>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Criminal Lawyers’ Association (Ontario);</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rPr>
          <w:trHeight w:hRule="exact" w:val="576"/>
        </w:trPr>
        <w:tc>
          <w:tcPr>
            <w:tcW w:w="1368" w:type="dxa"/>
          </w:tcPr>
          <w:p w:rsidR="005C3B9D" w:rsidRPr="008A1767" w:rsidRDefault="005C3B9D" w:rsidP="008F5FE2"/>
        </w:tc>
        <w:tc>
          <w:tcPr>
            <w:tcW w:w="2970" w:type="dxa"/>
          </w:tcPr>
          <w:p w:rsidR="005C3B9D" w:rsidRPr="008A1767" w:rsidRDefault="005C3B9D" w:rsidP="008F5FE2">
            <w:pPr>
              <w:rPr>
                <w:lang w:val="en-US"/>
              </w:rPr>
            </w:pPr>
            <w:r w:rsidRPr="008A1767">
              <w:rPr>
                <w:lang w:val="en-US"/>
              </w:rPr>
              <w:t>West Coast Women’s Legal Education and Action Fund</w:t>
            </w: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368" w:type="dxa"/>
          </w:tcPr>
          <w:p w:rsidR="005C3B9D" w:rsidRPr="008A1767" w:rsidRDefault="005C3B9D" w:rsidP="008F5FE2"/>
        </w:tc>
        <w:tc>
          <w:tcPr>
            <w:tcW w:w="2970" w:type="dxa"/>
          </w:tcPr>
          <w:p w:rsidR="005C3B9D" w:rsidRPr="008A1767" w:rsidRDefault="005C3B9D" w:rsidP="008F5FE2">
            <w:pPr>
              <w:rPr>
                <w:lang w:val="en-US"/>
              </w:rPr>
            </w:pPr>
          </w:p>
        </w:tc>
        <w:tc>
          <w:tcPr>
            <w:tcW w:w="1170" w:type="dxa"/>
          </w:tcPr>
          <w:p w:rsidR="005C3B9D" w:rsidRPr="008A1767" w:rsidRDefault="005C3B9D" w:rsidP="008F5FE2"/>
        </w:tc>
        <w:tc>
          <w:tcPr>
            <w:tcW w:w="4327" w:type="dxa"/>
          </w:tcPr>
          <w:p w:rsidR="005C3B9D" w:rsidRPr="008A1767" w:rsidRDefault="005C3B9D" w:rsidP="008F5FE2"/>
        </w:tc>
      </w:tr>
      <w:tr w:rsidR="005C3B9D" w:rsidRPr="008A1767" w:rsidTr="008F5FE2">
        <w:tc>
          <w:tcPr>
            <w:tcW w:w="1368" w:type="dxa"/>
          </w:tcPr>
          <w:p w:rsidR="005C3B9D" w:rsidRPr="008A1767" w:rsidRDefault="005C3B9D" w:rsidP="008F5FE2">
            <w:r w:rsidRPr="008A1767">
              <w:t>IN / DANS :</w:t>
            </w:r>
          </w:p>
        </w:tc>
        <w:tc>
          <w:tcPr>
            <w:tcW w:w="2970" w:type="dxa"/>
          </w:tcPr>
          <w:p w:rsidR="005C3B9D" w:rsidRPr="008A1767" w:rsidRDefault="005C3B9D" w:rsidP="008F5FE2">
            <w:r w:rsidRPr="008A1767">
              <w:t>Joseph Ryan Lloyd</w:t>
            </w:r>
          </w:p>
          <w:p w:rsidR="005C3B9D" w:rsidRPr="008A1767" w:rsidRDefault="005C3B9D" w:rsidP="008F5FE2"/>
          <w:p w:rsidR="005C3B9D" w:rsidRPr="008A1767" w:rsidRDefault="005C3B9D" w:rsidP="008F5FE2">
            <w:r w:rsidRPr="008A1767">
              <w:tab/>
              <w:t>v. (35982)</w:t>
            </w:r>
          </w:p>
          <w:p w:rsidR="005C3B9D" w:rsidRPr="008A1767" w:rsidRDefault="005C3B9D" w:rsidP="008F5FE2"/>
          <w:p w:rsidR="005C3B9D" w:rsidRPr="008A1767" w:rsidRDefault="005C3B9D" w:rsidP="008F5FE2">
            <w:r w:rsidRPr="008A1767">
              <w:t>Her Majesty the Queen  (Crim.) (B.C.)</w:t>
            </w:r>
          </w:p>
        </w:tc>
        <w:tc>
          <w:tcPr>
            <w:tcW w:w="1170" w:type="dxa"/>
          </w:tcPr>
          <w:p w:rsidR="005C3B9D" w:rsidRPr="008A1767" w:rsidRDefault="005C3B9D" w:rsidP="008F5FE2"/>
        </w:tc>
        <w:tc>
          <w:tcPr>
            <w:tcW w:w="4327" w:type="dxa"/>
          </w:tcPr>
          <w:p w:rsidR="005C3B9D" w:rsidRPr="008A1767" w:rsidRDefault="005C3B9D" w:rsidP="008F5FE2"/>
        </w:tc>
      </w:tr>
    </w:tbl>
    <w:p w:rsidR="005C3B9D" w:rsidRPr="008A1767" w:rsidRDefault="005C3B9D" w:rsidP="005C3B9D">
      <w:pPr>
        <w:tabs>
          <w:tab w:val="left" w:pos="-1440"/>
          <w:tab w:val="left" w:pos="-720"/>
        </w:tabs>
        <w:jc w:val="both"/>
        <w:rPr>
          <w:rFonts w:eastAsia="Times New Roman" w:cs="Times New Roman"/>
          <w:sz w:val="20"/>
          <w:szCs w:val="20"/>
          <w:lang w:eastAsia="en-CA"/>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r w:rsidRPr="008A1767">
        <w:rPr>
          <w:rFonts w:eastAsiaTheme="minorEastAsia" w:cs="Times New Roman"/>
          <w:b/>
          <w:bCs/>
          <w:sz w:val="20"/>
          <w:szCs w:val="20"/>
          <w:lang w:val="en-US"/>
        </w:rPr>
        <w:t xml:space="preserve">FURTHER TO THE ORDER </w:t>
      </w:r>
      <w:r w:rsidRPr="008A1767">
        <w:rPr>
          <w:rFonts w:eastAsiaTheme="minorEastAsia" w:cs="Times New Roman"/>
          <w:bCs/>
          <w:sz w:val="20"/>
          <w:szCs w:val="20"/>
          <w:lang w:val="en-US"/>
        </w:rPr>
        <w:t>dated November 4, 2015, granting leave to intervene to</w:t>
      </w:r>
      <w:r w:rsidRPr="008A1767">
        <w:rPr>
          <w:rFonts w:eastAsiaTheme="minorEastAsia" w:cs="Times New Roman"/>
          <w:sz w:val="20"/>
          <w:szCs w:val="20"/>
          <w:lang w:val="en-US"/>
        </w:rPr>
        <w:t xml:space="preserve"> the Pivot Legal Society and the Union of British Columbia Indian Chiefs (joint), the African Canadian Legal Clinic, the British Columbia Civil Liberties Association, the Canadian Bar Association, the HIV &amp; AIDS Legal Clinic Ontario, the Canadian HIV/AIDS Legal Network, the British Columbia Centre for Excellence in HIV/AIDS, the Prisoners with HIV/AIDS Support Action Network, and the Canadian Association of People Who Use Drugs (joint), the Criminal Lawyers’ Association (Ontario) and the West Coast Women’s Legal Education and Action Fund</w:t>
      </w:r>
      <w:r w:rsidRPr="008A1767">
        <w:rPr>
          <w:rFonts w:eastAsiaTheme="minorEastAsia" w:cs="Times New Roman"/>
          <w:bCs/>
          <w:sz w:val="20"/>
          <w:szCs w:val="20"/>
          <w:lang w:val="en-US"/>
        </w:rPr>
        <w:t>;</w:t>
      </w: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5C3B9D" w:rsidRPr="008A1767" w:rsidRDefault="005C3B9D" w:rsidP="005C3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8A1767">
        <w:rPr>
          <w:rFonts w:eastAsiaTheme="minorEastAsia" w:cs="Times New Roman"/>
          <w:b/>
          <w:bCs/>
          <w:sz w:val="20"/>
          <w:szCs w:val="20"/>
          <w:lang w:val="en-US"/>
        </w:rPr>
        <w:t>IT IS HEREBY FURTHER ORDERED THAT</w:t>
      </w:r>
      <w:r w:rsidRPr="008A1767">
        <w:rPr>
          <w:rFonts w:eastAsiaTheme="minorEastAsia" w:cs="Times New Roman"/>
          <w:bCs/>
          <w:sz w:val="20"/>
          <w:szCs w:val="20"/>
          <w:lang w:val="en-US"/>
        </w:rPr>
        <w:t xml:space="preserve"> the seven (7) interveners</w:t>
      </w:r>
      <w:r w:rsidRPr="008A1767">
        <w:rPr>
          <w:rFonts w:eastAsiaTheme="minorEastAsia" w:cs="Times New Roman"/>
          <w:sz w:val="20"/>
          <w:szCs w:val="20"/>
          <w:lang w:val="en-US"/>
        </w:rPr>
        <w:t xml:space="preserve"> or groups of interveners </w:t>
      </w:r>
      <w:r w:rsidRPr="008A1767">
        <w:rPr>
          <w:rFonts w:eastAsiaTheme="minorEastAsia" w:cs="Times New Roman"/>
          <w:sz w:val="20"/>
          <w:szCs w:val="20"/>
        </w:rPr>
        <w:t xml:space="preserve">are each granted permission to present oral argument not exceeding five (5) minutes at the hearing of the appeal. </w:t>
      </w:r>
    </w:p>
    <w:p w:rsidR="005C3B9D" w:rsidRPr="008A1767" w:rsidRDefault="005C3B9D" w:rsidP="005C3B9D">
      <w:pPr>
        <w:tabs>
          <w:tab w:val="left" w:pos="-1440"/>
          <w:tab w:val="left" w:pos="-720"/>
        </w:tabs>
        <w:jc w:val="both"/>
        <w:rPr>
          <w:rFonts w:eastAsia="Times New Roman" w:cs="Times New Roman"/>
          <w:sz w:val="20"/>
          <w:szCs w:val="20"/>
          <w:lang w:val="en-US" w:eastAsia="en-CA"/>
        </w:rPr>
      </w:pPr>
    </w:p>
    <w:p w:rsidR="005C3B9D" w:rsidRPr="008A1767" w:rsidRDefault="005C3B9D" w:rsidP="005C3B9D">
      <w:pPr>
        <w:tabs>
          <w:tab w:val="left" w:pos="-1440"/>
          <w:tab w:val="left" w:pos="-720"/>
        </w:tabs>
        <w:jc w:val="both"/>
        <w:rPr>
          <w:rFonts w:eastAsia="Times New Roman" w:cs="Times New Roman"/>
          <w:sz w:val="20"/>
          <w:szCs w:val="20"/>
          <w:lang w:val="en-US" w:eastAsia="en-CA"/>
        </w:rPr>
      </w:pPr>
    </w:p>
    <w:p w:rsidR="005C3B9D" w:rsidRPr="008A1767" w:rsidRDefault="005C3B9D" w:rsidP="005C3B9D">
      <w:pPr>
        <w:tabs>
          <w:tab w:val="left" w:pos="-1440"/>
          <w:tab w:val="left" w:pos="-720"/>
        </w:tabs>
        <w:jc w:val="both"/>
        <w:rPr>
          <w:rFonts w:eastAsia="Times New Roman" w:cs="Times New Roman"/>
          <w:sz w:val="20"/>
          <w:szCs w:val="20"/>
          <w:lang w:val="en-US" w:eastAsia="en-CA"/>
        </w:rPr>
      </w:pPr>
    </w:p>
    <w:p w:rsidR="005C3B9D" w:rsidRPr="008A1767" w:rsidRDefault="005C3B9D" w:rsidP="005C3B9D">
      <w:pPr>
        <w:autoSpaceDE w:val="0"/>
        <w:autoSpaceDN w:val="0"/>
        <w:adjustRightInd w:val="0"/>
        <w:jc w:val="both"/>
        <w:rPr>
          <w:rFonts w:eastAsiaTheme="minorEastAsia" w:cs="Times New Roman"/>
          <w:sz w:val="20"/>
          <w:szCs w:val="20"/>
          <w:lang w:val="fr-CA"/>
        </w:rPr>
      </w:pPr>
      <w:r w:rsidRPr="008A1767">
        <w:rPr>
          <w:rFonts w:eastAsiaTheme="minorEastAsia" w:cs="Times New Roman"/>
          <w:b/>
          <w:sz w:val="20"/>
          <w:szCs w:val="20"/>
          <w:lang w:val="fr-CA"/>
        </w:rPr>
        <w:t xml:space="preserve">À LA SUITE DE L’ORDONNANCE </w:t>
      </w:r>
      <w:r w:rsidRPr="008A1767">
        <w:rPr>
          <w:rFonts w:eastAsiaTheme="minorEastAsia" w:cs="Times New Roman"/>
          <w:sz w:val="20"/>
          <w:szCs w:val="20"/>
          <w:lang w:val="fr-CA"/>
        </w:rPr>
        <w:t xml:space="preserve">datée du 4 novembre 2015 autorisant </w:t>
      </w:r>
      <w:r w:rsidRPr="008A1767">
        <w:rPr>
          <w:rFonts w:eastAsiaTheme="minorEastAsia" w:cs="Times New Roman"/>
          <w:sz w:val="20"/>
          <w:szCs w:val="20"/>
          <w:lang w:val="fr-FR"/>
        </w:rPr>
        <w:t xml:space="preserve">la Pivot Legal Society et l’Union of British Columbia Indian Chiefs (conjointement), par la Clinique juridique africaine canadienne, par l’Association des libertés civiles de la Colombie-Britannique, par l’Association du Barreau canadien, par la HIV &amp; AIDS Legal Clinic Ontario, le Réseau juridique canadien VIH/sida, le British Columbia Centre for Excellence in HIV/AIDS, le Prisoners with HIV/AIDS Support Action Network et la Canadian Association of People Who Use Drugs (conjointement), par la Criminal Lawyers’ Association (Ontario) et par le West Coast Women’s Legal Education and Action Fund </w:t>
      </w:r>
      <w:r w:rsidRPr="008A1767">
        <w:rPr>
          <w:rFonts w:eastAsiaTheme="minorEastAsia" w:cs="Times New Roman"/>
          <w:sz w:val="20"/>
          <w:szCs w:val="20"/>
          <w:lang w:val="fr-CA"/>
        </w:rPr>
        <w:t>à intervenir;</w:t>
      </w:r>
    </w:p>
    <w:p w:rsidR="005C3B9D" w:rsidRPr="008A1767" w:rsidRDefault="005C3B9D" w:rsidP="005C3B9D">
      <w:pPr>
        <w:autoSpaceDE w:val="0"/>
        <w:autoSpaceDN w:val="0"/>
        <w:adjustRightInd w:val="0"/>
        <w:jc w:val="both"/>
        <w:rPr>
          <w:rFonts w:eastAsiaTheme="minorEastAsia" w:cs="Times New Roman"/>
          <w:sz w:val="20"/>
          <w:szCs w:val="20"/>
          <w:lang w:val="fr-CA"/>
        </w:rPr>
      </w:pPr>
    </w:p>
    <w:p w:rsidR="005C3B9D" w:rsidRPr="008A1767" w:rsidRDefault="005C3B9D" w:rsidP="005C3B9D">
      <w:pPr>
        <w:autoSpaceDE w:val="0"/>
        <w:autoSpaceDN w:val="0"/>
        <w:adjustRightInd w:val="0"/>
        <w:jc w:val="both"/>
        <w:rPr>
          <w:rFonts w:eastAsiaTheme="minorEastAsia" w:cs="Times New Roman"/>
          <w:sz w:val="20"/>
          <w:szCs w:val="20"/>
          <w:lang w:val="fr-CA"/>
        </w:rPr>
      </w:pPr>
      <w:r w:rsidRPr="008A1767">
        <w:rPr>
          <w:rFonts w:eastAsiaTheme="minorEastAsia" w:cs="Times New Roman"/>
          <w:b/>
          <w:sz w:val="20"/>
          <w:szCs w:val="20"/>
          <w:lang w:val="fr-CA"/>
        </w:rPr>
        <w:t>IL EST EN OUTRE ORDONNÉ QUE</w:t>
      </w:r>
      <w:r w:rsidRPr="008A1767">
        <w:rPr>
          <w:rFonts w:eastAsiaTheme="minorEastAsia" w:cs="Times New Roman"/>
          <w:sz w:val="20"/>
          <w:szCs w:val="20"/>
          <w:lang w:val="fr-CA"/>
        </w:rPr>
        <w:t xml:space="preserve"> les sept (7) intervenants ou groupes d’intervenants sont autorisés à présenter chacun une plaidoirie orale d’au plus cinq (5) minutes lors de l’audition de l’appel.</w:t>
      </w:r>
    </w:p>
    <w:p w:rsidR="00A26DB1" w:rsidRPr="00A26DB1" w:rsidRDefault="00A26DB1" w:rsidP="00A26DB1">
      <w:pPr>
        <w:tabs>
          <w:tab w:val="left" w:pos="-1440"/>
          <w:tab w:val="left" w:pos="-720"/>
        </w:tabs>
        <w:jc w:val="both"/>
        <w:rPr>
          <w:rFonts w:eastAsia="Times New Roman" w:cs="Times New Roman"/>
          <w:sz w:val="20"/>
          <w:szCs w:val="20"/>
          <w:lang w:val="fr-CA" w:eastAsia="en-CA"/>
        </w:rPr>
      </w:pPr>
    </w:p>
    <w:p w:rsidR="00A26DB1" w:rsidRPr="00A26DB1" w:rsidRDefault="00CD76E4" w:rsidP="00A26DB1">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A26DB1" w:rsidRPr="00A26DB1" w:rsidRDefault="00A26DB1" w:rsidP="00A26DB1">
      <w:pPr>
        <w:rPr>
          <w:rFonts w:eastAsia="Times New Roman" w:cs="Times New Roman"/>
          <w:sz w:val="20"/>
          <w:szCs w:val="20"/>
          <w:lang w:val="en-US" w:eastAsia="en-CA"/>
        </w:rPr>
      </w:pPr>
    </w:p>
    <w:p w:rsidR="00A26DB1" w:rsidRPr="00A26DB1" w:rsidRDefault="00A26DB1" w:rsidP="00A26DB1">
      <w:pPr>
        <w:tabs>
          <w:tab w:val="left" w:pos="-1440"/>
          <w:tab w:val="left" w:pos="-720"/>
        </w:tabs>
        <w:jc w:val="both"/>
        <w:rPr>
          <w:rFonts w:eastAsia="Times New Roman" w:cs="Times New Roman"/>
          <w:sz w:val="20"/>
          <w:szCs w:val="20"/>
          <w:lang w:val="en-US" w:eastAsia="en-CA"/>
        </w:rPr>
      </w:pPr>
      <w:r w:rsidRPr="00A26DB1">
        <w:rPr>
          <w:rFonts w:eastAsia="Times New Roman" w:cs="Times New Roman"/>
          <w:sz w:val="20"/>
          <w:szCs w:val="20"/>
          <w:lang w:val="en-US" w:eastAsia="en-CA"/>
        </w:rPr>
        <w:t>15.01.2016</w:t>
      </w:r>
    </w:p>
    <w:p w:rsidR="00A26DB1" w:rsidRPr="00A26DB1" w:rsidRDefault="00A26DB1" w:rsidP="00A26DB1">
      <w:pPr>
        <w:tabs>
          <w:tab w:val="left" w:pos="-1440"/>
          <w:tab w:val="left" w:pos="-720"/>
        </w:tabs>
        <w:jc w:val="both"/>
        <w:rPr>
          <w:rFonts w:eastAsia="Times New Roman" w:cs="Times New Roman"/>
          <w:sz w:val="20"/>
          <w:szCs w:val="20"/>
          <w:lang w:val="en-US" w:eastAsia="en-CA"/>
        </w:rPr>
      </w:pPr>
    </w:p>
    <w:p w:rsidR="00A26DB1" w:rsidRPr="00A26DB1" w:rsidRDefault="00A26DB1" w:rsidP="00A26DB1">
      <w:pPr>
        <w:tabs>
          <w:tab w:val="left" w:pos="-1440"/>
          <w:tab w:val="left" w:pos="-720"/>
        </w:tabs>
        <w:jc w:val="both"/>
        <w:rPr>
          <w:rFonts w:eastAsia="Times New Roman" w:cs="Times New Roman"/>
          <w:sz w:val="20"/>
          <w:szCs w:val="20"/>
          <w:lang w:val="fr-CA" w:eastAsia="en-CA"/>
        </w:rPr>
      </w:pPr>
      <w:r w:rsidRPr="00A26DB1">
        <w:rPr>
          <w:rFonts w:eastAsia="Times New Roman" w:cs="Times New Roman"/>
          <w:sz w:val="20"/>
          <w:szCs w:val="20"/>
          <w:lang w:val="en-US" w:eastAsia="en-CA"/>
        </w:rPr>
        <w:t xml:space="preserve">Before / </w:t>
      </w:r>
      <w:proofErr w:type="spellStart"/>
      <w:r w:rsidRPr="00A26DB1">
        <w:rPr>
          <w:rFonts w:eastAsia="Times New Roman" w:cs="Times New Roman"/>
          <w:sz w:val="20"/>
          <w:szCs w:val="20"/>
          <w:lang w:val="en-US" w:eastAsia="en-CA"/>
        </w:rPr>
        <w:t>Devant</w:t>
      </w:r>
      <w:proofErr w:type="spellEnd"/>
      <w:r w:rsidRPr="00A26DB1">
        <w:rPr>
          <w:rFonts w:eastAsia="Times New Roman" w:cs="Times New Roman"/>
          <w:sz w:val="20"/>
          <w:szCs w:val="20"/>
          <w:lang w:val="en-US" w:eastAsia="en-CA"/>
        </w:rPr>
        <w:t xml:space="preserve"> :   MCLACHLIN C.J. AND ABELLA, CROMWELL, KARAKATSANIS AND WAGNER JJ./ </w:t>
      </w:r>
      <w:r w:rsidRPr="00A26DB1">
        <w:rPr>
          <w:rFonts w:eastAsia="Times New Roman" w:cs="Times New Roman"/>
          <w:sz w:val="20"/>
          <w:szCs w:val="20"/>
          <w:lang w:val="fr-CA" w:eastAsia="en-CA"/>
        </w:rPr>
        <w:t xml:space="preserve">LA JUGE EN CHEF MCLACHLIN C.J. </w:t>
      </w:r>
      <w:r>
        <w:rPr>
          <w:rFonts w:eastAsia="Times New Roman" w:cs="Times New Roman"/>
          <w:sz w:val="20"/>
          <w:szCs w:val="20"/>
          <w:lang w:val="fr-CA" w:eastAsia="en-CA"/>
        </w:rPr>
        <w:t>ET LES JUGES</w:t>
      </w:r>
      <w:r w:rsidRPr="00A26DB1">
        <w:rPr>
          <w:rFonts w:eastAsia="Times New Roman" w:cs="Times New Roman"/>
          <w:sz w:val="20"/>
          <w:szCs w:val="20"/>
          <w:lang w:val="fr-CA" w:eastAsia="en-CA"/>
        </w:rPr>
        <w:t xml:space="preserve"> ABELLA, CROMWELL, KARAKATSANIS </w:t>
      </w:r>
      <w:r>
        <w:rPr>
          <w:rFonts w:eastAsia="Times New Roman" w:cs="Times New Roman"/>
          <w:sz w:val="20"/>
          <w:szCs w:val="20"/>
          <w:lang w:val="fr-CA" w:eastAsia="en-CA"/>
        </w:rPr>
        <w:t xml:space="preserve">ET </w:t>
      </w:r>
      <w:r w:rsidRPr="00A26DB1">
        <w:rPr>
          <w:rFonts w:eastAsia="Times New Roman" w:cs="Times New Roman"/>
          <w:sz w:val="20"/>
          <w:szCs w:val="20"/>
          <w:lang w:val="fr-CA" w:eastAsia="en-CA"/>
        </w:rPr>
        <w:t xml:space="preserve">WAGNER </w:t>
      </w:r>
    </w:p>
    <w:p w:rsidR="00A26DB1" w:rsidRPr="00A26DB1" w:rsidRDefault="00A26DB1" w:rsidP="00A26DB1">
      <w:pPr>
        <w:tabs>
          <w:tab w:val="left" w:pos="-1440"/>
          <w:tab w:val="left" w:pos="-720"/>
        </w:tabs>
        <w:jc w:val="both"/>
        <w:rPr>
          <w:rFonts w:eastAsia="Times New Roman" w:cs="Times New Roman"/>
          <w:sz w:val="20"/>
          <w:szCs w:val="20"/>
          <w:lang w:val="fr-CA" w:eastAsia="en-CA"/>
        </w:r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A26DB1" w:rsidRPr="00A26DB1" w:rsidTr="001E541A">
        <w:tc>
          <w:tcPr>
            <w:tcW w:w="4338" w:type="dxa"/>
          </w:tcPr>
          <w:p w:rsidR="00A26DB1" w:rsidRPr="00A26DB1" w:rsidRDefault="00A26DB1" w:rsidP="00A26DB1">
            <w:pPr>
              <w:tabs>
                <w:tab w:val="left" w:pos="-1440"/>
                <w:tab w:val="left" w:pos="-720"/>
              </w:tabs>
              <w:jc w:val="both"/>
              <w:rPr>
                <w:b/>
                <w:lang w:val="en-US"/>
              </w:rPr>
            </w:pPr>
            <w:r w:rsidRPr="00A26DB1">
              <w:rPr>
                <w:szCs w:val="24"/>
                <w:lang w:val="en-US"/>
              </w:rPr>
              <w:fldChar w:fldCharType="begin"/>
            </w:r>
            <w:r w:rsidRPr="00A26DB1">
              <w:rPr>
                <w:szCs w:val="24"/>
                <w:lang w:val="en-US"/>
              </w:rPr>
              <w:instrText xml:space="preserve"> SEQ CHAPTER \h \r 1</w:instrText>
            </w:r>
            <w:r w:rsidRPr="00A26DB1">
              <w:rPr>
                <w:szCs w:val="24"/>
                <w:lang w:val="en-US"/>
              </w:rPr>
              <w:fldChar w:fldCharType="end"/>
            </w:r>
            <w:r w:rsidRPr="00A26DB1">
              <w:rPr>
                <w:b/>
                <w:bCs/>
                <w:lang w:val="en-US"/>
              </w:rPr>
              <w:t>Miscellaneous motion</w:t>
            </w:r>
          </w:p>
        </w:tc>
        <w:tc>
          <w:tcPr>
            <w:tcW w:w="1170" w:type="dxa"/>
          </w:tcPr>
          <w:p w:rsidR="00A26DB1" w:rsidRPr="00A26DB1" w:rsidRDefault="00A26DB1" w:rsidP="00A26DB1">
            <w:pPr>
              <w:tabs>
                <w:tab w:val="left" w:pos="-1440"/>
                <w:tab w:val="left" w:pos="-720"/>
              </w:tabs>
              <w:jc w:val="both"/>
              <w:rPr>
                <w:lang w:val="en-US"/>
              </w:rPr>
            </w:pPr>
          </w:p>
          <w:p w:rsidR="00A26DB1" w:rsidRPr="00A26DB1" w:rsidRDefault="00A26DB1" w:rsidP="00A26DB1">
            <w:pPr>
              <w:tabs>
                <w:tab w:val="left" w:pos="-1440"/>
                <w:tab w:val="left" w:pos="-720"/>
              </w:tabs>
              <w:jc w:val="both"/>
              <w:rPr>
                <w:lang w:val="en-US"/>
              </w:rPr>
            </w:pPr>
          </w:p>
        </w:tc>
        <w:tc>
          <w:tcPr>
            <w:tcW w:w="4327" w:type="dxa"/>
          </w:tcPr>
          <w:p w:rsidR="00A26DB1" w:rsidRPr="00A26DB1" w:rsidRDefault="00A26DB1" w:rsidP="00A26DB1">
            <w:pPr>
              <w:tabs>
                <w:tab w:val="left" w:pos="-1440"/>
                <w:tab w:val="left" w:pos="-720"/>
              </w:tabs>
              <w:jc w:val="both"/>
              <w:rPr>
                <w:lang w:val="fr-CA"/>
              </w:rPr>
            </w:pPr>
            <w:r w:rsidRPr="00A26DB1">
              <w:rPr>
                <w:b/>
                <w:bCs/>
                <w:color w:val="000000"/>
                <w:lang w:val="fr-CA"/>
              </w:rPr>
              <w:t>Requête diverse</w:t>
            </w:r>
            <w:r w:rsidRPr="00A26DB1">
              <w:rPr>
                <w:szCs w:val="24"/>
                <w:lang w:val="en-US"/>
              </w:rPr>
              <w:fldChar w:fldCharType="begin"/>
            </w:r>
            <w:r w:rsidRPr="00A26DB1">
              <w:rPr>
                <w:szCs w:val="24"/>
                <w:lang w:val="fr-CA"/>
              </w:rPr>
              <w:instrText xml:space="preserve"> SEQ CHAPTER \h \r 1</w:instrText>
            </w:r>
            <w:r w:rsidRPr="00A26DB1">
              <w:rPr>
                <w:szCs w:val="24"/>
                <w:lang w:val="en-US"/>
              </w:rPr>
              <w:fldChar w:fldCharType="end"/>
            </w:r>
            <w:r w:rsidRPr="00A26DB1">
              <w:rPr>
                <w:szCs w:val="24"/>
                <w:lang w:val="en-US"/>
              </w:rPr>
              <w:fldChar w:fldCharType="begin"/>
            </w:r>
            <w:r w:rsidRPr="00A26DB1">
              <w:rPr>
                <w:szCs w:val="24"/>
                <w:lang w:val="fr-CA"/>
              </w:rPr>
              <w:instrText xml:space="preserve"> SEQ CHAPTER \h \r 1</w:instrText>
            </w:r>
            <w:r w:rsidRPr="00A26DB1">
              <w:rPr>
                <w:szCs w:val="24"/>
                <w:lang w:val="en-US"/>
              </w:rPr>
              <w:fldChar w:fldCharType="end"/>
            </w:r>
          </w:p>
        </w:tc>
      </w:tr>
      <w:tr w:rsidR="00A26DB1" w:rsidRPr="00A26DB1" w:rsidTr="001E541A">
        <w:tc>
          <w:tcPr>
            <w:tcW w:w="4338" w:type="dxa"/>
          </w:tcPr>
          <w:p w:rsidR="00A26DB1" w:rsidRDefault="00A26DB1" w:rsidP="00A26DB1">
            <w:pPr>
              <w:rPr>
                <w:lang w:val="en-US"/>
              </w:rPr>
            </w:pPr>
            <w:r w:rsidRPr="00A26DB1">
              <w:rPr>
                <w:lang w:val="en-US"/>
              </w:rPr>
              <w:t xml:space="preserve">Mounted Police Association </w:t>
            </w:r>
            <w:r>
              <w:rPr>
                <w:lang w:val="en-US"/>
              </w:rPr>
              <w:t>o</w:t>
            </w:r>
            <w:r w:rsidRPr="00A26DB1">
              <w:rPr>
                <w:lang w:val="en-US"/>
              </w:rPr>
              <w:t xml:space="preserve">f Ontario </w:t>
            </w:r>
            <w:r>
              <w:rPr>
                <w:lang w:val="en-US"/>
              </w:rPr>
              <w:t>et al.</w:t>
            </w:r>
          </w:p>
          <w:p w:rsidR="00A26DB1" w:rsidRPr="00A26DB1" w:rsidRDefault="00A26DB1" w:rsidP="00A26DB1">
            <w:pPr>
              <w:rPr>
                <w:lang w:val="en-US"/>
              </w:rPr>
            </w:pPr>
          </w:p>
          <w:p w:rsidR="00A26DB1" w:rsidRPr="00A26DB1" w:rsidRDefault="00A26DB1" w:rsidP="00A26DB1">
            <w:pPr>
              <w:rPr>
                <w:lang w:val="en-US"/>
              </w:rPr>
            </w:pPr>
            <w:r w:rsidRPr="00A26DB1">
              <w:rPr>
                <w:lang w:val="en-US"/>
              </w:rPr>
              <w:tab/>
              <w:t>v. (3</w:t>
            </w:r>
            <w:r>
              <w:rPr>
                <w:lang w:val="en-US"/>
              </w:rPr>
              <w:t>4948</w:t>
            </w:r>
            <w:r w:rsidRPr="00A26DB1">
              <w:rPr>
                <w:lang w:val="en-US"/>
              </w:rPr>
              <w:t>)</w:t>
            </w:r>
          </w:p>
          <w:p w:rsidR="00A26DB1" w:rsidRPr="00A26DB1" w:rsidRDefault="00A26DB1" w:rsidP="00A26DB1">
            <w:pPr>
              <w:rPr>
                <w:lang w:val="en-US"/>
              </w:rPr>
            </w:pPr>
          </w:p>
          <w:p w:rsidR="00A26DB1" w:rsidRPr="00A26DB1" w:rsidRDefault="00A26DB1" w:rsidP="00A26DB1">
            <w:pPr>
              <w:tabs>
                <w:tab w:val="left" w:pos="-1440"/>
                <w:tab w:val="left" w:pos="-720"/>
              </w:tabs>
              <w:jc w:val="both"/>
              <w:rPr>
                <w:lang w:val="en-US"/>
              </w:rPr>
            </w:pPr>
            <w:r>
              <w:rPr>
                <w:lang w:val="en-US"/>
              </w:rPr>
              <w:t>Attorney General o</w:t>
            </w:r>
            <w:r w:rsidRPr="00A26DB1">
              <w:rPr>
                <w:lang w:val="en-US"/>
              </w:rPr>
              <w:t>f Canada (Ont.)</w:t>
            </w:r>
          </w:p>
        </w:tc>
        <w:tc>
          <w:tcPr>
            <w:tcW w:w="1170" w:type="dxa"/>
          </w:tcPr>
          <w:p w:rsidR="00A26DB1" w:rsidRPr="00A26DB1" w:rsidRDefault="00A26DB1" w:rsidP="00A26DB1">
            <w:pPr>
              <w:tabs>
                <w:tab w:val="left" w:pos="-1440"/>
                <w:tab w:val="left" w:pos="-720"/>
              </w:tabs>
              <w:jc w:val="both"/>
              <w:rPr>
                <w:lang w:val="en-US"/>
              </w:rPr>
            </w:pPr>
          </w:p>
        </w:tc>
        <w:tc>
          <w:tcPr>
            <w:tcW w:w="4327" w:type="dxa"/>
          </w:tcPr>
          <w:p w:rsidR="00A26DB1" w:rsidRPr="00A26DB1" w:rsidRDefault="00A26DB1" w:rsidP="00A26DB1">
            <w:pPr>
              <w:tabs>
                <w:tab w:val="left" w:pos="-1440"/>
                <w:tab w:val="left" w:pos="-720"/>
              </w:tabs>
              <w:jc w:val="both"/>
              <w:rPr>
                <w:lang w:val="en-US"/>
              </w:rPr>
            </w:pPr>
          </w:p>
        </w:tc>
      </w:tr>
    </w:tbl>
    <w:p w:rsidR="00A26DB1" w:rsidRPr="00A26DB1" w:rsidRDefault="00A26DB1" w:rsidP="00A26DB1">
      <w:pPr>
        <w:tabs>
          <w:tab w:val="left" w:pos="-1440"/>
          <w:tab w:val="left" w:pos="-720"/>
        </w:tabs>
        <w:jc w:val="both"/>
        <w:rPr>
          <w:rFonts w:eastAsia="Times New Roman" w:cs="Times New Roman"/>
          <w:sz w:val="20"/>
          <w:szCs w:val="20"/>
          <w:lang w:val="en-US" w:eastAsia="en-CA"/>
        </w:rPr>
      </w:pP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r w:rsidRPr="00A26DB1">
        <w:rPr>
          <w:rFonts w:eastAsiaTheme="minorEastAsia" w:cs="Times New Roman"/>
          <w:b/>
          <w:bCs/>
          <w:sz w:val="20"/>
          <w:szCs w:val="20"/>
          <w:lang w:val="en-US"/>
        </w:rPr>
        <w:t xml:space="preserve">UPON APPLICATION </w:t>
      </w:r>
      <w:r w:rsidRPr="00A26DB1">
        <w:rPr>
          <w:rFonts w:eastAsiaTheme="minorEastAsia" w:cs="Times New Roman"/>
          <w:sz w:val="20"/>
          <w:szCs w:val="20"/>
          <w:lang w:val="en-US"/>
        </w:rPr>
        <w:t xml:space="preserve">by </w:t>
      </w:r>
      <w:r w:rsidRPr="00A26DB1">
        <w:rPr>
          <w:rFonts w:eastAsiaTheme="minorEastAsia" w:cs="Times New Roman"/>
          <w:sz w:val="20"/>
          <w:szCs w:val="20"/>
        </w:rPr>
        <w:t>the Attorney General of Canada</w:t>
      </w:r>
      <w:r w:rsidRPr="00A26DB1">
        <w:rPr>
          <w:rFonts w:eastAsiaTheme="minorEastAsia" w:cs="Times New Roman"/>
          <w:sz w:val="20"/>
          <w:szCs w:val="20"/>
          <w:lang w:val="en-US"/>
        </w:rPr>
        <w:t xml:space="preserve">, for an order extending the suspension of the declaration of invalidity of s. 2(1) of the </w:t>
      </w:r>
      <w:r w:rsidRPr="00A26DB1">
        <w:rPr>
          <w:rFonts w:eastAsiaTheme="minorEastAsia" w:cs="Times New Roman"/>
          <w:i/>
          <w:sz w:val="20"/>
          <w:szCs w:val="20"/>
          <w:lang w:val="en-GB"/>
        </w:rPr>
        <w:t>Public Service Labour Relations Act</w:t>
      </w:r>
      <w:r w:rsidRPr="00A26DB1">
        <w:rPr>
          <w:rFonts w:eastAsiaTheme="minorEastAsia" w:cs="Times New Roman"/>
          <w:sz w:val="20"/>
          <w:szCs w:val="20"/>
          <w:lang w:val="en-US"/>
        </w:rPr>
        <w:t xml:space="preserve"> as granted in this appeal on January 16, 2015, for a further six (6) months;</w:t>
      </w: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r w:rsidRPr="00A26DB1">
        <w:rPr>
          <w:rFonts w:eastAsiaTheme="minorEastAsia" w:cs="Times New Roman"/>
          <w:b/>
          <w:sz w:val="20"/>
          <w:szCs w:val="20"/>
          <w:lang w:val="en-US"/>
        </w:rPr>
        <w:t xml:space="preserve">AND UPON APPLICATIONS </w:t>
      </w:r>
      <w:r w:rsidRPr="00A26DB1">
        <w:rPr>
          <w:rFonts w:eastAsiaTheme="minorEastAsia" w:cs="Times New Roman"/>
          <w:sz w:val="20"/>
          <w:szCs w:val="20"/>
          <w:lang w:val="en-US"/>
        </w:rPr>
        <w:t xml:space="preserve">by the appellant, the Mounted Police Association of Ontario, and by the interveners, the Association des </w:t>
      </w:r>
      <w:proofErr w:type="spellStart"/>
      <w:r w:rsidRPr="00A26DB1">
        <w:rPr>
          <w:rFonts w:eastAsiaTheme="minorEastAsia" w:cs="Times New Roman"/>
          <w:sz w:val="20"/>
          <w:szCs w:val="20"/>
          <w:lang w:val="en-US"/>
        </w:rPr>
        <w:t>Membres</w:t>
      </w:r>
      <w:proofErr w:type="spellEnd"/>
      <w:r w:rsidRPr="00A26DB1">
        <w:rPr>
          <w:rFonts w:eastAsiaTheme="minorEastAsia" w:cs="Times New Roman"/>
          <w:sz w:val="20"/>
          <w:szCs w:val="20"/>
          <w:lang w:val="en-US"/>
        </w:rPr>
        <w:t xml:space="preserve"> de la Police </w:t>
      </w:r>
      <w:proofErr w:type="spellStart"/>
      <w:r w:rsidRPr="00A26DB1">
        <w:rPr>
          <w:rFonts w:eastAsiaTheme="minorEastAsia" w:cs="Times New Roman"/>
          <w:sz w:val="20"/>
          <w:szCs w:val="20"/>
          <w:lang w:val="en-US"/>
        </w:rPr>
        <w:t>Montée</w:t>
      </w:r>
      <w:proofErr w:type="spellEnd"/>
      <w:r w:rsidRPr="00A26DB1">
        <w:rPr>
          <w:rFonts w:eastAsiaTheme="minorEastAsia" w:cs="Times New Roman"/>
          <w:sz w:val="20"/>
          <w:szCs w:val="20"/>
          <w:lang w:val="en-US"/>
        </w:rPr>
        <w:t xml:space="preserve"> du Québec and the Mounted Police Members’ Legal Fund, for an order permitting the filing of sur-replies;</w:t>
      </w: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p>
    <w:p w:rsidR="00A26DB1" w:rsidRPr="00A26DB1" w:rsidRDefault="00A26DB1" w:rsidP="00A26DB1">
      <w:pPr>
        <w:autoSpaceDE w:val="0"/>
        <w:autoSpaceDN w:val="0"/>
        <w:adjustRightInd w:val="0"/>
        <w:jc w:val="both"/>
        <w:rPr>
          <w:rFonts w:eastAsiaTheme="minorEastAsia" w:cs="Times New Roman"/>
          <w:sz w:val="20"/>
          <w:szCs w:val="20"/>
          <w:lang w:val="en-US"/>
        </w:rPr>
      </w:pPr>
      <w:r w:rsidRPr="00A26DB1">
        <w:rPr>
          <w:rFonts w:eastAsiaTheme="minorEastAsia" w:cs="Times New Roman"/>
          <w:b/>
          <w:bCs/>
          <w:sz w:val="20"/>
          <w:szCs w:val="20"/>
          <w:lang w:val="en-US"/>
        </w:rPr>
        <w:t>AND THE MATERIAL FILED</w:t>
      </w:r>
      <w:r w:rsidRPr="00A26DB1">
        <w:rPr>
          <w:rFonts w:eastAsiaTheme="minorEastAsia" w:cs="Times New Roman"/>
          <w:sz w:val="20"/>
          <w:szCs w:val="20"/>
          <w:lang w:val="en-US"/>
        </w:rPr>
        <w:t xml:space="preserve"> having been read;</w:t>
      </w: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bCs/>
          <w:sz w:val="20"/>
          <w:szCs w:val="20"/>
          <w:lang w:val="en-US"/>
        </w:rPr>
      </w:pPr>
      <w:r w:rsidRPr="00A26DB1">
        <w:rPr>
          <w:rFonts w:eastAsiaTheme="minorEastAsia" w:cs="Times New Roman"/>
          <w:b/>
          <w:bCs/>
          <w:sz w:val="20"/>
          <w:szCs w:val="20"/>
          <w:lang w:val="en-US"/>
        </w:rPr>
        <w:t>IT IS HEREBY ORDERED THAT:</w:t>
      </w:r>
    </w:p>
    <w:p w:rsidR="00A26DB1" w:rsidRPr="00A26DB1" w:rsidRDefault="00A26DB1" w:rsidP="00A26DB1">
      <w:pPr>
        <w:widowControl w:val="0"/>
        <w:autoSpaceDE w:val="0"/>
        <w:autoSpaceDN w:val="0"/>
        <w:adjustRightInd w:val="0"/>
        <w:spacing w:line="233" w:lineRule="auto"/>
        <w:jc w:val="both"/>
        <w:rPr>
          <w:rFonts w:eastAsiaTheme="minorEastAsia" w:cs="Times New Roman"/>
          <w:bCs/>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bCs/>
          <w:sz w:val="20"/>
          <w:szCs w:val="20"/>
          <w:lang w:val="en-US"/>
        </w:rPr>
      </w:pPr>
      <w:r w:rsidRPr="00A26DB1">
        <w:rPr>
          <w:rFonts w:eastAsiaTheme="minorEastAsia" w:cs="Times New Roman"/>
          <w:bCs/>
          <w:sz w:val="20"/>
          <w:szCs w:val="20"/>
          <w:lang w:val="en-US"/>
        </w:rPr>
        <w:t>The motions for an order permitting the filing of sur-replies are dismissed.</w:t>
      </w:r>
    </w:p>
    <w:p w:rsidR="00A26DB1" w:rsidRPr="00A26DB1" w:rsidRDefault="00A26DB1" w:rsidP="00A26DB1">
      <w:pPr>
        <w:widowControl w:val="0"/>
        <w:autoSpaceDE w:val="0"/>
        <w:autoSpaceDN w:val="0"/>
        <w:adjustRightInd w:val="0"/>
        <w:spacing w:line="233" w:lineRule="auto"/>
        <w:jc w:val="both"/>
        <w:rPr>
          <w:rFonts w:eastAsiaTheme="minorEastAsia" w:cs="Times New Roman"/>
          <w:bCs/>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r w:rsidRPr="00A26DB1">
        <w:rPr>
          <w:rFonts w:eastAsiaTheme="minorEastAsia" w:cs="Times New Roman"/>
          <w:bCs/>
          <w:sz w:val="20"/>
          <w:szCs w:val="20"/>
          <w:lang w:val="en-US"/>
        </w:rPr>
        <w:t xml:space="preserve">The motion </w:t>
      </w:r>
      <w:r w:rsidRPr="00A26DB1">
        <w:rPr>
          <w:rFonts w:eastAsiaTheme="minorEastAsia" w:cs="Times New Roman"/>
          <w:sz w:val="20"/>
          <w:szCs w:val="20"/>
          <w:lang w:val="en-US"/>
        </w:rPr>
        <w:t>for an order extending the suspension of the declaration of invalidity</w:t>
      </w:r>
      <w:r w:rsidRPr="00A26DB1">
        <w:rPr>
          <w:rFonts w:eastAsiaTheme="minorEastAsia" w:cs="Times New Roman"/>
          <w:bCs/>
          <w:sz w:val="20"/>
          <w:szCs w:val="20"/>
          <w:lang w:val="en-US"/>
        </w:rPr>
        <w:t xml:space="preserve"> is granted without costs. The suspension of the declaration of invalidity is extended for a period of four (4) months from the original deadline set by this Court in the judgment dated January 16, 2015.</w:t>
      </w:r>
    </w:p>
    <w:p w:rsid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en-US"/>
        </w:rPr>
      </w:pPr>
    </w:p>
    <w:p w:rsidR="00A26DB1" w:rsidRPr="00A26DB1" w:rsidRDefault="00A26DB1" w:rsidP="00A26DB1">
      <w:pPr>
        <w:widowControl w:val="0"/>
        <w:autoSpaceDE w:val="0"/>
        <w:autoSpaceDN w:val="0"/>
        <w:adjustRightInd w:val="0"/>
        <w:spacing w:line="233" w:lineRule="auto"/>
        <w:rPr>
          <w:rFonts w:eastAsiaTheme="minorEastAsia" w:cs="Times New Roman"/>
          <w:sz w:val="20"/>
          <w:szCs w:val="20"/>
          <w:lang w:val="en-US"/>
        </w:rPr>
      </w:pP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r w:rsidRPr="00A26DB1">
        <w:rPr>
          <w:rFonts w:eastAsiaTheme="minorEastAsia" w:cs="Times New Roman"/>
          <w:b/>
          <w:sz w:val="20"/>
          <w:szCs w:val="20"/>
          <w:lang w:val="fr-FR"/>
        </w:rPr>
        <w:t xml:space="preserve">À LA SUITE DE LA DEMANDE </w:t>
      </w:r>
      <w:r w:rsidRPr="00A26DB1">
        <w:rPr>
          <w:rFonts w:eastAsiaTheme="minorEastAsia" w:cs="Times New Roman"/>
          <w:sz w:val="20"/>
          <w:szCs w:val="20"/>
          <w:lang w:val="fr-FR"/>
        </w:rPr>
        <w:t xml:space="preserve">présentée par le Procureur général du Canada, en vue d’obtenir une ordonnance prolongeant, pour une période supplémentaire de six (6) mois, la suspension de la prise d’effet de la déclaration d’invalidité du par. 2(1) de la </w:t>
      </w:r>
      <w:r w:rsidRPr="00A26DB1">
        <w:rPr>
          <w:rFonts w:eastAsiaTheme="minorEastAsia" w:cs="Times New Roman"/>
          <w:i/>
          <w:sz w:val="20"/>
          <w:szCs w:val="20"/>
          <w:lang w:val="fr-FR"/>
        </w:rPr>
        <w:t>Loi sur les relations de travail dans la fonction publique</w:t>
      </w:r>
      <w:r w:rsidRPr="00A26DB1">
        <w:rPr>
          <w:rFonts w:eastAsiaTheme="minorEastAsia" w:cs="Times New Roman"/>
          <w:sz w:val="20"/>
          <w:szCs w:val="20"/>
          <w:lang w:val="fr-FR"/>
        </w:rPr>
        <w:t xml:space="preserve"> accordée dans l’arrêt susmentionné le 16 janvier 2015;</w:t>
      </w: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r w:rsidRPr="00A26DB1">
        <w:rPr>
          <w:rFonts w:eastAsiaTheme="minorEastAsia" w:cs="Times New Roman"/>
          <w:b/>
          <w:sz w:val="20"/>
          <w:szCs w:val="20"/>
          <w:lang w:val="fr-FR"/>
        </w:rPr>
        <w:t xml:space="preserve">ET À LA SUITE DES DEMANDES </w:t>
      </w:r>
      <w:r w:rsidRPr="00A26DB1">
        <w:rPr>
          <w:rFonts w:eastAsiaTheme="minorEastAsia" w:cs="Times New Roman"/>
          <w:sz w:val="20"/>
          <w:szCs w:val="20"/>
          <w:lang w:val="fr-FR"/>
        </w:rPr>
        <w:t>présentées par l’appelante, l’Association de la police montée de l’Ontario, et par les intervenants, l’</w:t>
      </w:r>
      <w:r w:rsidRPr="00A26DB1">
        <w:rPr>
          <w:rFonts w:eastAsiaTheme="minorEastAsia" w:cs="Times New Roman"/>
          <w:sz w:val="20"/>
          <w:szCs w:val="20"/>
          <w:lang w:val="fr-CA"/>
        </w:rPr>
        <w:t>Association des Membres de la Police Montée du Québec et le Fonds de recours juridique des membres de la Gendarmerie,</w:t>
      </w:r>
      <w:r w:rsidRPr="00A26DB1">
        <w:rPr>
          <w:rFonts w:eastAsiaTheme="minorEastAsia" w:cs="Times New Roman"/>
          <w:sz w:val="20"/>
          <w:szCs w:val="20"/>
          <w:lang w:val="fr-FR"/>
        </w:rPr>
        <w:t xml:space="preserve"> en vue d’obtenir une ordonnance les autorisant à déposer des suppliques;</w:t>
      </w: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r w:rsidRPr="00A26DB1">
        <w:rPr>
          <w:rFonts w:eastAsiaTheme="minorEastAsia" w:cs="Times New Roman"/>
          <w:b/>
          <w:sz w:val="20"/>
          <w:szCs w:val="20"/>
          <w:lang w:val="fr-FR"/>
        </w:rPr>
        <w:t xml:space="preserve">ET APRÈS AVOIR LU </w:t>
      </w:r>
      <w:r w:rsidRPr="00A26DB1">
        <w:rPr>
          <w:rFonts w:eastAsiaTheme="minorEastAsia" w:cs="Times New Roman"/>
          <w:sz w:val="20"/>
          <w:szCs w:val="20"/>
          <w:lang w:val="fr-FR"/>
        </w:rPr>
        <w:t>les documents déposés;</w:t>
      </w: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r w:rsidRPr="00A26DB1">
        <w:rPr>
          <w:rFonts w:eastAsiaTheme="minorEastAsia" w:cs="Times New Roman"/>
          <w:b/>
          <w:sz w:val="20"/>
          <w:szCs w:val="20"/>
          <w:lang w:val="fr-FR"/>
        </w:rPr>
        <w:t>IL EST PAR LES PRÉSENTES ORDONNÉ CE QUI SUIT :</w:t>
      </w: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r w:rsidRPr="00A26DB1">
        <w:rPr>
          <w:rFonts w:eastAsiaTheme="minorEastAsia" w:cs="Times New Roman"/>
          <w:sz w:val="20"/>
          <w:szCs w:val="20"/>
          <w:lang w:val="fr-FR"/>
        </w:rPr>
        <w:t>Les requêtes</w:t>
      </w:r>
      <w:r w:rsidRPr="00A26DB1">
        <w:rPr>
          <w:rFonts w:eastAsiaTheme="minorEastAsia" w:cs="Times New Roman"/>
          <w:b/>
          <w:sz w:val="20"/>
          <w:szCs w:val="20"/>
          <w:lang w:val="fr-FR"/>
        </w:rPr>
        <w:t xml:space="preserve"> </w:t>
      </w:r>
      <w:r w:rsidRPr="00A26DB1">
        <w:rPr>
          <w:rFonts w:eastAsiaTheme="minorEastAsia" w:cs="Times New Roman"/>
          <w:sz w:val="20"/>
          <w:szCs w:val="20"/>
          <w:lang w:val="fr-FR"/>
        </w:rPr>
        <w:t>en vue d’obtenir une ordonnance autorisant le dépôt de suppliques sont rejetées.</w:t>
      </w:r>
    </w:p>
    <w:p w:rsidR="00A26DB1" w:rsidRPr="00A26DB1" w:rsidRDefault="00A26DB1" w:rsidP="00A26DB1">
      <w:pPr>
        <w:widowControl w:val="0"/>
        <w:autoSpaceDE w:val="0"/>
        <w:autoSpaceDN w:val="0"/>
        <w:adjustRightInd w:val="0"/>
        <w:spacing w:line="233" w:lineRule="auto"/>
        <w:jc w:val="both"/>
        <w:rPr>
          <w:rFonts w:eastAsiaTheme="minorEastAsia" w:cs="Times New Roman"/>
          <w:b/>
          <w:sz w:val="20"/>
          <w:szCs w:val="20"/>
          <w:lang w:val="fr-FR"/>
        </w:rPr>
      </w:pPr>
    </w:p>
    <w:p w:rsidR="00A26DB1" w:rsidRPr="00A26DB1" w:rsidRDefault="00A26DB1" w:rsidP="00A26DB1">
      <w:pPr>
        <w:widowControl w:val="0"/>
        <w:autoSpaceDE w:val="0"/>
        <w:autoSpaceDN w:val="0"/>
        <w:adjustRightInd w:val="0"/>
        <w:spacing w:line="233" w:lineRule="auto"/>
        <w:jc w:val="both"/>
        <w:rPr>
          <w:rFonts w:eastAsiaTheme="minorEastAsia" w:cs="Times New Roman"/>
          <w:sz w:val="20"/>
          <w:szCs w:val="20"/>
          <w:lang w:val="fr-CA"/>
        </w:rPr>
      </w:pPr>
      <w:r w:rsidRPr="00A26DB1">
        <w:rPr>
          <w:rFonts w:eastAsiaTheme="minorEastAsia" w:cs="Times New Roman"/>
          <w:sz w:val="20"/>
          <w:szCs w:val="20"/>
          <w:lang w:val="fr-FR"/>
        </w:rPr>
        <w:t>La requête en vue d’obtenir une ordonnance prolongeant la suspension de la prise d’effet de la déclaration d’invalidité est accueillie sans dépens. La suspension de la prise d’effet de la déclaration d’invalidité est prolongée pour une période de quatre (4) mois à compter de la date d’expiration du délai original fixé par la Cour dans son arrêt daté du 16 janvier 2015.</w:t>
      </w:r>
    </w:p>
    <w:p w:rsidR="00A26DB1" w:rsidRPr="00A26DB1" w:rsidRDefault="00A26DB1" w:rsidP="00A26DB1">
      <w:pPr>
        <w:tabs>
          <w:tab w:val="left" w:pos="-1440"/>
          <w:tab w:val="left" w:pos="-720"/>
        </w:tabs>
        <w:jc w:val="both"/>
        <w:rPr>
          <w:rFonts w:eastAsia="Times New Roman" w:cs="Times New Roman"/>
          <w:sz w:val="20"/>
          <w:szCs w:val="20"/>
          <w:lang w:val="fr-CA" w:eastAsia="en-CA"/>
        </w:rPr>
      </w:pPr>
    </w:p>
    <w:p w:rsidR="00A26DB1" w:rsidRPr="00A26DB1" w:rsidRDefault="00CD76E4" w:rsidP="00A26DB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5C3B9D" w:rsidRPr="008A1767" w:rsidRDefault="005C3B9D" w:rsidP="005C3B9D">
      <w:pPr>
        <w:tabs>
          <w:tab w:val="left" w:pos="-1440"/>
          <w:tab w:val="left" w:pos="-720"/>
        </w:tabs>
        <w:jc w:val="both"/>
        <w:rPr>
          <w:rFonts w:eastAsia="Times New Roman" w:cs="Times New Roman"/>
          <w:sz w:val="20"/>
          <w:szCs w:val="20"/>
          <w:lang w:val="fr-CA" w:eastAsia="en-CA"/>
        </w:rPr>
      </w:pPr>
    </w:p>
    <w:p w:rsidR="005C3B9D" w:rsidRDefault="005C3B9D" w:rsidP="005C3B9D">
      <w:pPr>
        <w:rPr>
          <w:sz w:val="20"/>
          <w:szCs w:val="20"/>
        </w:rPr>
      </w:pPr>
    </w:p>
    <w:p w:rsidR="005C3B9D" w:rsidRDefault="005C3B9D" w:rsidP="005C3B9D">
      <w:pPr>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B26F8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w:t>
            </w:r>
            <w:r w:rsidR="00916053">
              <w:rPr>
                <w:b/>
                <w:szCs w:val="24"/>
              </w:rPr>
              <w:t xml:space="preserve">AND MOTION </w:t>
            </w:r>
            <w:r w:rsidRPr="00C1697B">
              <w:rPr>
                <w:b/>
                <w:szCs w:val="24"/>
              </w:rPr>
              <w:t>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 xml:space="preserve">APPELS </w:t>
            </w:r>
            <w:r w:rsidR="00916053">
              <w:rPr>
                <w:b/>
                <w:szCs w:val="24"/>
                <w:lang w:val="fr-CA"/>
              </w:rPr>
              <w:t xml:space="preserve">ET REQUÊTE </w:t>
            </w:r>
            <w:r w:rsidRPr="00C1697B">
              <w:rPr>
                <w:b/>
                <w:szCs w:val="24"/>
                <w:lang w:val="fr-CA"/>
              </w:rPr>
              <w:t>ENTENDUS DEPUIS LA DERNIÈRE PARUTION ET RÉSULTAT</w:t>
            </w:r>
          </w:p>
        </w:tc>
      </w:tr>
    </w:tbl>
    <w:p w:rsidR="005C3B9D" w:rsidRPr="00C50A5C" w:rsidRDefault="005C3B9D" w:rsidP="005C3B9D">
      <w:pPr>
        <w:widowControl w:val="0"/>
        <w:rPr>
          <w:sz w:val="20"/>
          <w:szCs w:val="20"/>
          <w:lang w:val="fr-CA"/>
        </w:rPr>
      </w:pPr>
    </w:p>
    <w:p w:rsidR="005C3B9D" w:rsidRPr="003824D3" w:rsidRDefault="005C3B9D" w:rsidP="005C3B9D">
      <w:pPr>
        <w:widowControl w:val="0"/>
        <w:rPr>
          <w:sz w:val="20"/>
          <w:szCs w:val="20"/>
          <w:lang w:val="en-US"/>
        </w:rPr>
      </w:pPr>
      <w:r w:rsidRPr="003824D3">
        <w:rPr>
          <w:sz w:val="20"/>
          <w:szCs w:val="20"/>
          <w:lang w:val="en-US"/>
        </w:rPr>
        <w:t>11.01.2016</w:t>
      </w:r>
    </w:p>
    <w:p w:rsidR="005C3B9D" w:rsidRPr="003824D3" w:rsidRDefault="005C3B9D" w:rsidP="005C3B9D">
      <w:pPr>
        <w:widowControl w:val="0"/>
        <w:rPr>
          <w:sz w:val="20"/>
          <w:szCs w:val="20"/>
          <w:lang w:val="en-US"/>
        </w:rPr>
      </w:pPr>
    </w:p>
    <w:p w:rsidR="005C3B9D" w:rsidRDefault="005C3B9D" w:rsidP="005C3B9D">
      <w:pPr>
        <w:widowControl w:val="0"/>
        <w:ind w:left="720" w:hanging="720"/>
        <w:rPr>
          <w:sz w:val="20"/>
          <w:szCs w:val="20"/>
          <w:u w:val="single"/>
        </w:rPr>
      </w:pPr>
      <w:r w:rsidRPr="003824D3">
        <w:rPr>
          <w:sz w:val="20"/>
          <w:szCs w:val="20"/>
          <w:lang w:val="en-US"/>
        </w:rPr>
        <w:t xml:space="preserve">Coram: </w:t>
      </w:r>
      <w:r w:rsidRPr="003824D3">
        <w:rPr>
          <w:sz w:val="20"/>
          <w:szCs w:val="20"/>
          <w:lang w:val="en-US"/>
        </w:rPr>
        <w:tab/>
      </w:r>
      <w:r w:rsidRPr="003824D3">
        <w:rPr>
          <w:sz w:val="20"/>
          <w:szCs w:val="20"/>
          <w:u w:val="single"/>
          <w:lang w:val="en-US"/>
        </w:rPr>
        <w:t>McLachlin C.J. and</w:t>
      </w:r>
      <w:r w:rsidRPr="00C50A5C">
        <w:rPr>
          <w:sz w:val="20"/>
          <w:szCs w:val="20"/>
          <w:u w:val="single"/>
        </w:rPr>
        <w:t xml:space="preserve"> </w:t>
      </w:r>
      <w:r>
        <w:rPr>
          <w:sz w:val="20"/>
          <w:szCs w:val="20"/>
          <w:u w:val="single"/>
        </w:rPr>
        <w:t xml:space="preserve">Abella, Cromwell, Moldaver, Karakatsanis, Wagner, Gascon, Côté and Brown </w:t>
      </w:r>
      <w:r w:rsidRPr="00C50A5C">
        <w:rPr>
          <w:sz w:val="20"/>
          <w:szCs w:val="20"/>
          <w:u w:val="single"/>
        </w:rPr>
        <w:t>JJ.</w:t>
      </w:r>
    </w:p>
    <w:p w:rsidR="005C3B9D" w:rsidRPr="003824D3" w:rsidRDefault="005C3B9D" w:rsidP="005C3B9D">
      <w:pPr>
        <w:widowControl w:val="0"/>
        <w:ind w:left="720" w:hanging="72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4542C3" w:rsidTr="008F5FE2">
        <w:tc>
          <w:tcPr>
            <w:tcW w:w="4380" w:type="dxa"/>
            <w:tcMar>
              <w:left w:w="0" w:type="dxa"/>
              <w:right w:w="0" w:type="dxa"/>
            </w:tcMar>
          </w:tcPr>
          <w:p w:rsidR="005C3B9D" w:rsidRDefault="005C3B9D" w:rsidP="008F5FE2">
            <w:pPr>
              <w:widowControl w:val="0"/>
              <w:rPr>
                <w:b/>
                <w:sz w:val="20"/>
                <w:szCs w:val="20"/>
                <w:lang w:val="fr-CA"/>
              </w:rPr>
            </w:pPr>
            <w:r>
              <w:rPr>
                <w:b/>
                <w:sz w:val="20"/>
                <w:szCs w:val="20"/>
                <w:lang w:val="fr-CA"/>
              </w:rPr>
              <w:t>L</w:t>
            </w:r>
            <w:r w:rsidRPr="00E75133">
              <w:rPr>
                <w:b/>
                <w:sz w:val="20"/>
                <w:szCs w:val="20"/>
                <w:lang w:val="fr-CA"/>
              </w:rPr>
              <w:t>ee</w:t>
            </w:r>
            <w:r>
              <w:rPr>
                <w:b/>
                <w:sz w:val="20"/>
                <w:szCs w:val="20"/>
                <w:lang w:val="fr-CA"/>
              </w:rPr>
              <w:t xml:space="preserve"> Carter et al.</w:t>
            </w:r>
          </w:p>
          <w:p w:rsidR="005C3B9D" w:rsidRDefault="005C3B9D" w:rsidP="008F5FE2">
            <w:pPr>
              <w:widowControl w:val="0"/>
              <w:rPr>
                <w:b/>
                <w:sz w:val="20"/>
                <w:szCs w:val="20"/>
                <w:lang w:val="fr-CA"/>
              </w:rPr>
            </w:pPr>
          </w:p>
          <w:p w:rsidR="005C3B9D" w:rsidRDefault="005C3B9D" w:rsidP="008F5FE2">
            <w:pPr>
              <w:widowControl w:val="0"/>
              <w:rPr>
                <w:b/>
                <w:sz w:val="20"/>
                <w:szCs w:val="20"/>
                <w:lang w:val="fr-CA"/>
              </w:rPr>
            </w:pPr>
            <w:r>
              <w:rPr>
                <w:b/>
                <w:sz w:val="20"/>
                <w:szCs w:val="20"/>
                <w:lang w:val="fr-CA"/>
              </w:rPr>
              <w:tab/>
              <w:t>v</w:t>
            </w:r>
            <w:r w:rsidRPr="00E75133">
              <w:rPr>
                <w:b/>
                <w:sz w:val="20"/>
                <w:szCs w:val="20"/>
                <w:lang w:val="fr-CA"/>
              </w:rPr>
              <w:t xml:space="preserve">. </w:t>
            </w:r>
            <w:r w:rsidRPr="00E75133">
              <w:rPr>
                <w:sz w:val="20"/>
                <w:szCs w:val="20"/>
                <w:lang w:val="fr-CA"/>
              </w:rPr>
              <w:t>(</w:t>
            </w:r>
            <w:hyperlink r:id="rId95" w:history="1">
              <w:r w:rsidRPr="00E75133">
                <w:rPr>
                  <w:rStyle w:val="Hyperlink"/>
                  <w:sz w:val="20"/>
                  <w:szCs w:val="20"/>
                  <w:lang w:val="fr-CA"/>
                </w:rPr>
                <w:t>3</w:t>
              </w:r>
              <w:r>
                <w:rPr>
                  <w:rStyle w:val="Hyperlink"/>
                  <w:sz w:val="20"/>
                  <w:szCs w:val="20"/>
                  <w:lang w:val="fr-CA"/>
                </w:rPr>
                <w:t>5591</w:t>
              </w:r>
            </w:hyperlink>
            <w:r w:rsidRPr="00E75133">
              <w:rPr>
                <w:sz w:val="20"/>
                <w:szCs w:val="20"/>
                <w:lang w:val="fr-CA"/>
              </w:rPr>
              <w:t>)</w:t>
            </w:r>
          </w:p>
          <w:p w:rsidR="005C3B9D" w:rsidRDefault="005C3B9D" w:rsidP="008F5FE2">
            <w:pPr>
              <w:widowControl w:val="0"/>
              <w:rPr>
                <w:b/>
                <w:sz w:val="20"/>
                <w:szCs w:val="20"/>
                <w:lang w:val="fr-CA"/>
              </w:rPr>
            </w:pPr>
          </w:p>
          <w:p w:rsidR="005C3B9D" w:rsidRPr="003824D3" w:rsidRDefault="005C3B9D" w:rsidP="008F5FE2">
            <w:pPr>
              <w:widowControl w:val="0"/>
              <w:rPr>
                <w:sz w:val="20"/>
                <w:szCs w:val="20"/>
                <w:lang w:val="en-US"/>
              </w:rPr>
            </w:pPr>
            <w:r w:rsidRPr="003824D3">
              <w:rPr>
                <w:b/>
                <w:sz w:val="20"/>
                <w:szCs w:val="20"/>
                <w:lang w:val="en-US"/>
              </w:rPr>
              <w:t>Attorney General of Canada et al. (B.C.) (Civil) (By Leave)</w:t>
            </w:r>
            <w:r w:rsidRPr="003824D3">
              <w:rPr>
                <w:sz w:val="20"/>
                <w:szCs w:val="20"/>
                <w:lang w:val="en-US"/>
              </w:rPr>
              <w:t xml:space="preserve"> </w:t>
            </w:r>
          </w:p>
        </w:tc>
        <w:tc>
          <w:tcPr>
            <w:tcW w:w="720" w:type="dxa"/>
            <w:tcMar>
              <w:left w:w="0" w:type="dxa"/>
              <w:right w:w="0" w:type="dxa"/>
            </w:tcMar>
          </w:tcPr>
          <w:p w:rsidR="005C3B9D" w:rsidRPr="003824D3" w:rsidRDefault="005C3B9D" w:rsidP="008F5FE2">
            <w:pPr>
              <w:widowControl w:val="0"/>
              <w:jc w:val="center"/>
              <w:rPr>
                <w:sz w:val="20"/>
                <w:szCs w:val="20"/>
                <w:lang w:val="en-US"/>
              </w:rPr>
            </w:pPr>
          </w:p>
        </w:tc>
        <w:tc>
          <w:tcPr>
            <w:tcW w:w="4380" w:type="dxa"/>
            <w:tcMar>
              <w:left w:w="0" w:type="dxa"/>
              <w:right w:w="0" w:type="dxa"/>
            </w:tcMar>
          </w:tcPr>
          <w:p w:rsidR="005C3B9D" w:rsidRPr="003824D3" w:rsidRDefault="005C3B9D" w:rsidP="008F5FE2">
            <w:pPr>
              <w:rPr>
                <w:sz w:val="20"/>
                <w:szCs w:val="20"/>
                <w:lang w:val="en-US"/>
              </w:rPr>
            </w:pPr>
            <w:r w:rsidRPr="003824D3">
              <w:rPr>
                <w:sz w:val="20"/>
                <w:szCs w:val="20"/>
                <w:lang w:val="en-US"/>
              </w:rPr>
              <w:t>Robert J. Frater, Q.C. and Donnaree Nygard for the respondent Attorney General of Canada.</w:t>
            </w:r>
          </w:p>
          <w:p w:rsidR="005C3B9D" w:rsidRPr="003824D3" w:rsidRDefault="005C3B9D" w:rsidP="008F5FE2">
            <w:pPr>
              <w:rPr>
                <w:sz w:val="20"/>
                <w:szCs w:val="20"/>
                <w:lang w:val="en-US"/>
              </w:rPr>
            </w:pPr>
          </w:p>
          <w:p w:rsidR="005C3B9D" w:rsidRPr="003824D3" w:rsidRDefault="005C3B9D" w:rsidP="008F5FE2">
            <w:pPr>
              <w:rPr>
                <w:sz w:val="20"/>
                <w:szCs w:val="20"/>
                <w:lang w:val="en-US"/>
              </w:rPr>
            </w:pPr>
            <w:r w:rsidRPr="003824D3">
              <w:rPr>
                <w:sz w:val="20"/>
                <w:szCs w:val="20"/>
                <w:lang w:val="en-US"/>
              </w:rPr>
              <w:t>Malliha Wilson and S. Zachary Green for the intervener Attorney General of Ontario.</w:t>
            </w:r>
          </w:p>
          <w:p w:rsidR="005C3B9D" w:rsidRPr="003824D3" w:rsidRDefault="005C3B9D" w:rsidP="008F5FE2">
            <w:pPr>
              <w:rPr>
                <w:sz w:val="20"/>
                <w:szCs w:val="20"/>
                <w:lang w:val="en-US"/>
              </w:rPr>
            </w:pPr>
          </w:p>
          <w:p w:rsidR="005C3B9D" w:rsidRDefault="005C3B9D" w:rsidP="008F5FE2">
            <w:pPr>
              <w:rPr>
                <w:sz w:val="20"/>
                <w:szCs w:val="20"/>
                <w:lang w:val="fr-CA"/>
              </w:rPr>
            </w:pPr>
            <w:r w:rsidRPr="004542C3">
              <w:rPr>
                <w:sz w:val="20"/>
                <w:szCs w:val="20"/>
                <w:lang w:val="fr-CA"/>
              </w:rPr>
              <w:t>Jean-Yves Bernard</w:t>
            </w:r>
            <w:r>
              <w:rPr>
                <w:sz w:val="20"/>
                <w:szCs w:val="20"/>
                <w:lang w:val="fr-CA"/>
              </w:rPr>
              <w:t xml:space="preserve">, </w:t>
            </w:r>
            <w:r w:rsidRPr="004542C3">
              <w:rPr>
                <w:sz w:val="20"/>
                <w:szCs w:val="20"/>
                <w:lang w:val="fr-CA"/>
              </w:rPr>
              <w:t>Mario Normandin</w:t>
            </w:r>
            <w:r>
              <w:rPr>
                <w:sz w:val="20"/>
                <w:szCs w:val="20"/>
                <w:lang w:val="fr-CA"/>
              </w:rPr>
              <w:t xml:space="preserve"> et </w:t>
            </w:r>
            <w:r w:rsidRPr="004542C3">
              <w:rPr>
                <w:sz w:val="20"/>
                <w:szCs w:val="20"/>
                <w:lang w:val="fr-CA"/>
              </w:rPr>
              <w:t>Manon Des Ormeaux</w:t>
            </w:r>
            <w:r>
              <w:rPr>
                <w:sz w:val="20"/>
                <w:szCs w:val="20"/>
                <w:lang w:val="fr-CA"/>
              </w:rPr>
              <w:t xml:space="preserve"> pour l’intervenante Procureure générale du Québec.</w:t>
            </w:r>
          </w:p>
          <w:p w:rsidR="005C3B9D" w:rsidRDefault="005C3B9D" w:rsidP="008F5FE2">
            <w:pPr>
              <w:rPr>
                <w:sz w:val="20"/>
                <w:szCs w:val="20"/>
                <w:lang w:val="fr-CA"/>
              </w:rPr>
            </w:pPr>
          </w:p>
          <w:p w:rsidR="005C3B9D" w:rsidRPr="004542C3" w:rsidRDefault="005C3B9D" w:rsidP="008F5FE2">
            <w:pPr>
              <w:rPr>
                <w:sz w:val="20"/>
                <w:szCs w:val="20"/>
                <w:lang w:val="en-US"/>
              </w:rPr>
            </w:pPr>
            <w:r w:rsidRPr="004542C3">
              <w:rPr>
                <w:sz w:val="20"/>
                <w:szCs w:val="20"/>
                <w:lang w:val="en-US"/>
              </w:rPr>
              <w:t>Joseph J. Arvay, Q.C., Alison M. Latimer and Sheila M. Tucker for the appellants.</w:t>
            </w:r>
          </w:p>
        </w:tc>
      </w:tr>
    </w:tbl>
    <w:p w:rsidR="005C3B9D" w:rsidRPr="004542C3" w:rsidRDefault="005C3B9D" w:rsidP="005C3B9D">
      <w:pPr>
        <w:widowControl w:val="0"/>
        <w:rPr>
          <w:sz w:val="20"/>
          <w:szCs w:val="20"/>
          <w:lang w:val="en-US"/>
        </w:rPr>
      </w:pPr>
    </w:p>
    <w:p w:rsidR="005C3B9D" w:rsidRPr="0085476B" w:rsidRDefault="005C3B9D" w:rsidP="005C3B9D">
      <w:pPr>
        <w:widowControl w:val="0"/>
        <w:rPr>
          <w:sz w:val="20"/>
          <w:szCs w:val="20"/>
        </w:rPr>
      </w:pPr>
      <w:r w:rsidRPr="00554A25">
        <w:rPr>
          <w:b/>
          <w:sz w:val="20"/>
          <w:szCs w:val="20"/>
        </w:rPr>
        <w:t xml:space="preserve">RESERVED / </w:t>
      </w:r>
      <w:r w:rsidRPr="00554A25">
        <w:rPr>
          <w:b/>
          <w:sz w:val="20"/>
          <w:szCs w:val="20"/>
          <w:lang w:val="fr-CA"/>
        </w:rPr>
        <w:t>EN DÉLIBÉRÉ</w:t>
      </w:r>
    </w:p>
    <w:p w:rsidR="005C3B9D" w:rsidRDefault="005C3B9D" w:rsidP="005C3B9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FB4A2E" w:rsidTr="008F5FE2">
        <w:tc>
          <w:tcPr>
            <w:tcW w:w="4380" w:type="dxa"/>
            <w:tcMar>
              <w:left w:w="0" w:type="dxa"/>
              <w:right w:w="0" w:type="dxa"/>
            </w:tcMar>
          </w:tcPr>
          <w:p w:rsidR="005C3B9D" w:rsidRPr="00CC4D84" w:rsidRDefault="005C3B9D" w:rsidP="008F5FE2">
            <w:pPr>
              <w:widowControl w:val="0"/>
              <w:jc w:val="both"/>
              <w:rPr>
                <w:b/>
                <w:sz w:val="20"/>
                <w:szCs w:val="20"/>
                <w:u w:val="single"/>
              </w:rPr>
            </w:pPr>
            <w:r w:rsidRPr="00CC4D84">
              <w:rPr>
                <w:b/>
                <w:sz w:val="20"/>
                <w:szCs w:val="20"/>
                <w:u w:val="single"/>
              </w:rPr>
              <w:t>Nature of the case:</w:t>
            </w:r>
          </w:p>
          <w:p w:rsidR="005C3B9D" w:rsidRPr="004926D7" w:rsidRDefault="005C3B9D" w:rsidP="008F5FE2">
            <w:pPr>
              <w:widowControl w:val="0"/>
              <w:jc w:val="both"/>
              <w:rPr>
                <w:b/>
                <w:sz w:val="20"/>
                <w:szCs w:val="20"/>
              </w:rPr>
            </w:pPr>
          </w:p>
          <w:p w:rsidR="005C3B9D" w:rsidRPr="00C1697B" w:rsidRDefault="005C3B9D" w:rsidP="008F5FE2">
            <w:pPr>
              <w:widowControl w:val="0"/>
              <w:jc w:val="both"/>
              <w:rPr>
                <w:b/>
                <w:sz w:val="20"/>
                <w:szCs w:val="20"/>
              </w:rPr>
            </w:pPr>
            <w:r w:rsidRPr="004926D7">
              <w:rPr>
                <w:i/>
                <w:sz w:val="20"/>
                <w:szCs w:val="20"/>
              </w:rPr>
              <w:t>Charter of Rights</w:t>
            </w:r>
            <w:r w:rsidRPr="004926D7">
              <w:rPr>
                <w:sz w:val="20"/>
                <w:szCs w:val="20"/>
              </w:rPr>
              <w:t xml:space="preserve"> </w:t>
            </w:r>
            <w:r w:rsidRPr="004926D7">
              <w:rPr>
                <w:rFonts w:eastAsia="MS Mincho"/>
                <w:sz w:val="20"/>
                <w:szCs w:val="20"/>
              </w:rPr>
              <w:t xml:space="preserve">- </w:t>
            </w:r>
            <w:r w:rsidRPr="004926D7">
              <w:rPr>
                <w:sz w:val="20"/>
                <w:szCs w:val="20"/>
              </w:rPr>
              <w:t xml:space="preserve">Right to life </w:t>
            </w:r>
            <w:r w:rsidRPr="004926D7">
              <w:rPr>
                <w:rFonts w:eastAsia="MS Mincho"/>
                <w:sz w:val="20"/>
                <w:szCs w:val="20"/>
              </w:rPr>
              <w:t xml:space="preserve">- </w:t>
            </w:r>
            <w:r w:rsidRPr="004926D7">
              <w:rPr>
                <w:sz w:val="20"/>
                <w:szCs w:val="20"/>
              </w:rPr>
              <w:t xml:space="preserve">Equality </w:t>
            </w:r>
            <w:r w:rsidRPr="004926D7">
              <w:rPr>
                <w:rFonts w:eastAsia="MS Mincho"/>
                <w:sz w:val="20"/>
                <w:szCs w:val="20"/>
              </w:rPr>
              <w:t xml:space="preserve">- </w:t>
            </w:r>
            <w:r w:rsidRPr="004926D7">
              <w:rPr>
                <w:sz w:val="20"/>
                <w:szCs w:val="20"/>
              </w:rPr>
              <w:t xml:space="preserve">Fundamental justice </w:t>
            </w:r>
            <w:r w:rsidRPr="004926D7">
              <w:rPr>
                <w:rFonts w:eastAsia="MS Mincho"/>
                <w:sz w:val="20"/>
                <w:szCs w:val="20"/>
              </w:rPr>
              <w:t>-</w:t>
            </w:r>
            <w:r w:rsidRPr="004926D7">
              <w:rPr>
                <w:sz w:val="20"/>
                <w:szCs w:val="20"/>
              </w:rPr>
              <w:t xml:space="preserve"> Terminally ill patients seeking assistance to commit suicide </w:t>
            </w:r>
            <w:r w:rsidRPr="004926D7">
              <w:rPr>
                <w:rFonts w:eastAsia="MS Mincho"/>
                <w:sz w:val="20"/>
                <w:szCs w:val="20"/>
              </w:rPr>
              <w:t>-</w:t>
            </w:r>
            <w:r w:rsidRPr="004926D7">
              <w:rPr>
                <w:sz w:val="20"/>
                <w:szCs w:val="20"/>
              </w:rPr>
              <w:t xml:space="preserve"> Whether trial judge erred in distinguishing </w:t>
            </w:r>
            <w:r w:rsidRPr="004926D7">
              <w:rPr>
                <w:i/>
                <w:sz w:val="20"/>
                <w:szCs w:val="20"/>
              </w:rPr>
              <w:t>Rodriguez v. British Columbia (Attorney General)</w:t>
            </w:r>
            <w:r w:rsidRPr="004926D7">
              <w:rPr>
                <w:sz w:val="20"/>
                <w:szCs w:val="20"/>
              </w:rPr>
              <w:t xml:space="preserve">, [1993] 3 S.C.R. 519 - How does </w:t>
            </w:r>
            <w:r w:rsidRPr="004926D7">
              <w:rPr>
                <w:i/>
                <w:sz w:val="20"/>
                <w:szCs w:val="20"/>
              </w:rPr>
              <w:t>stare decisis</w:t>
            </w:r>
            <w:r w:rsidRPr="004926D7">
              <w:rPr>
                <w:sz w:val="20"/>
                <w:szCs w:val="20"/>
              </w:rPr>
              <w:t xml:space="preserve"> doctrine apply? - </w:t>
            </w:r>
            <w:r w:rsidRPr="004926D7">
              <w:rPr>
                <w:bCs/>
                <w:sz w:val="20"/>
                <w:szCs w:val="20"/>
              </w:rPr>
              <w:t xml:space="preserve">Are ss. 14, 21, 22, 222 and 241 of the </w:t>
            </w:r>
            <w:r w:rsidRPr="004926D7">
              <w:rPr>
                <w:bCs/>
                <w:i/>
                <w:sz w:val="20"/>
                <w:szCs w:val="20"/>
              </w:rPr>
              <w:t>Criminal Code</w:t>
            </w:r>
            <w:r w:rsidRPr="004926D7">
              <w:rPr>
                <w:bCs/>
                <w:sz w:val="20"/>
                <w:szCs w:val="20"/>
              </w:rPr>
              <w:t xml:space="preserve"> constitutionally inapplicable to physician-assisted death by reason of interjurisdictional immunity doctrine?</w:t>
            </w:r>
            <w:r w:rsidRPr="004926D7">
              <w:rPr>
                <w:sz w:val="20"/>
                <w:szCs w:val="20"/>
              </w:rPr>
              <w:t xml:space="preserve"> - </w:t>
            </w:r>
            <w:r w:rsidRPr="004926D7">
              <w:rPr>
                <w:bCs/>
                <w:sz w:val="20"/>
                <w:szCs w:val="20"/>
              </w:rPr>
              <w:t xml:space="preserve">Do ss. 14, 21, 22, 222 and 241 of the </w:t>
            </w:r>
            <w:r w:rsidRPr="004926D7">
              <w:rPr>
                <w:bCs/>
                <w:i/>
                <w:sz w:val="20"/>
                <w:szCs w:val="20"/>
              </w:rPr>
              <w:t>Criminal Code</w:t>
            </w:r>
            <w:r w:rsidRPr="004926D7">
              <w:rPr>
                <w:bCs/>
                <w:sz w:val="20"/>
                <w:szCs w:val="20"/>
              </w:rPr>
              <w:t xml:space="preserve"> infringe either s. 7 or 15 of </w:t>
            </w:r>
            <w:r w:rsidRPr="004926D7">
              <w:rPr>
                <w:bCs/>
                <w:i/>
                <w:sz w:val="20"/>
                <w:szCs w:val="20"/>
              </w:rPr>
              <w:t>Charter</w:t>
            </w:r>
            <w:r w:rsidRPr="004926D7">
              <w:rPr>
                <w:bCs/>
                <w:sz w:val="20"/>
                <w:szCs w:val="20"/>
              </w:rPr>
              <w:t xml:space="preserve">? </w:t>
            </w:r>
            <w:r w:rsidRPr="004926D7">
              <w:rPr>
                <w:rFonts w:eastAsia="MS Mincho"/>
                <w:sz w:val="20"/>
                <w:szCs w:val="20"/>
              </w:rPr>
              <w:t xml:space="preserve">- </w:t>
            </w:r>
            <w:r w:rsidRPr="004926D7">
              <w:rPr>
                <w:bCs/>
                <w:sz w:val="20"/>
                <w:szCs w:val="20"/>
              </w:rPr>
              <w:t xml:space="preserve">If so, is infringement reasonable limit prescribed by law as can be demonstrably justified in free and democratic society under s. 1 of </w:t>
            </w:r>
            <w:r w:rsidRPr="004926D7">
              <w:rPr>
                <w:bCs/>
                <w:i/>
                <w:sz w:val="20"/>
                <w:szCs w:val="20"/>
              </w:rPr>
              <w:t>Charter</w:t>
            </w:r>
            <w:r w:rsidRPr="004926D7">
              <w:rPr>
                <w:bCs/>
                <w:sz w:val="20"/>
                <w:szCs w:val="20"/>
              </w:rPr>
              <w:t xml:space="preserve">? </w:t>
            </w:r>
            <w:r w:rsidRPr="004926D7">
              <w:rPr>
                <w:sz w:val="20"/>
                <w:szCs w:val="20"/>
              </w:rPr>
              <w:t xml:space="preserve">- What remedy is appropriate? - What is appropriate framework of analysis for costs in such public interest litigation? </w:t>
            </w:r>
            <w:r w:rsidRPr="004926D7">
              <w:rPr>
                <w:rFonts w:eastAsia="MS Mincho"/>
                <w:sz w:val="20"/>
                <w:szCs w:val="20"/>
              </w:rPr>
              <w:t>-</w:t>
            </w:r>
            <w:r w:rsidRPr="004926D7">
              <w:rPr>
                <w:sz w:val="20"/>
                <w:szCs w:val="20"/>
              </w:rPr>
              <w:t xml:space="preserve"> </w:t>
            </w:r>
            <w:r w:rsidRPr="004926D7">
              <w:rPr>
                <w:i/>
                <w:sz w:val="20"/>
                <w:szCs w:val="20"/>
              </w:rPr>
              <w:t>Criminal Code</w:t>
            </w:r>
            <w:r w:rsidRPr="004926D7">
              <w:rPr>
                <w:sz w:val="20"/>
                <w:szCs w:val="20"/>
              </w:rPr>
              <w:t>, R.S.C., 1985, c. C</w:t>
            </w:r>
            <w:r w:rsidRPr="004926D7">
              <w:rPr>
                <w:rFonts w:eastAsia="MS Mincho" w:hAnsi="MS Mincho"/>
                <w:sz w:val="20"/>
                <w:szCs w:val="20"/>
              </w:rPr>
              <w:t>‑</w:t>
            </w:r>
            <w:r w:rsidRPr="004926D7">
              <w:rPr>
                <w:sz w:val="20"/>
                <w:szCs w:val="20"/>
              </w:rPr>
              <w:t>46, s. 241(b).</w:t>
            </w:r>
          </w:p>
        </w:tc>
        <w:tc>
          <w:tcPr>
            <w:tcW w:w="720" w:type="dxa"/>
            <w:tcMar>
              <w:left w:w="0" w:type="dxa"/>
              <w:right w:w="0" w:type="dxa"/>
            </w:tcMar>
          </w:tcPr>
          <w:p w:rsidR="005C3B9D" w:rsidRPr="00C1697B" w:rsidRDefault="005C3B9D" w:rsidP="008F5FE2">
            <w:pPr>
              <w:widowControl w:val="0"/>
              <w:jc w:val="center"/>
              <w:rPr>
                <w:sz w:val="20"/>
                <w:szCs w:val="20"/>
              </w:rPr>
            </w:pPr>
          </w:p>
        </w:tc>
        <w:tc>
          <w:tcPr>
            <w:tcW w:w="4380" w:type="dxa"/>
            <w:tcMar>
              <w:left w:w="0" w:type="dxa"/>
              <w:right w:w="0" w:type="dxa"/>
            </w:tcMar>
          </w:tcPr>
          <w:p w:rsidR="005C3B9D" w:rsidRPr="00CC4D84" w:rsidRDefault="005C3B9D" w:rsidP="008F5FE2">
            <w:pPr>
              <w:widowControl w:val="0"/>
              <w:jc w:val="both"/>
              <w:rPr>
                <w:b/>
                <w:sz w:val="20"/>
                <w:szCs w:val="20"/>
                <w:u w:val="single"/>
                <w:lang w:val="fr-CA"/>
              </w:rPr>
            </w:pPr>
            <w:r w:rsidRPr="00CC4D84">
              <w:rPr>
                <w:b/>
                <w:sz w:val="20"/>
                <w:szCs w:val="20"/>
                <w:u w:val="single"/>
                <w:lang w:val="fr-CA"/>
              </w:rPr>
              <w:t>Nature de la cause :</w:t>
            </w:r>
          </w:p>
          <w:p w:rsidR="005C3B9D" w:rsidRPr="00C1697B" w:rsidRDefault="005C3B9D" w:rsidP="008F5FE2">
            <w:pPr>
              <w:widowControl w:val="0"/>
              <w:jc w:val="both"/>
              <w:rPr>
                <w:sz w:val="20"/>
                <w:szCs w:val="20"/>
                <w:lang w:val="fr-CA"/>
              </w:rPr>
            </w:pPr>
          </w:p>
          <w:p w:rsidR="005C3B9D" w:rsidRPr="004926D7" w:rsidRDefault="005C3B9D" w:rsidP="008F5FE2">
            <w:pPr>
              <w:widowControl w:val="0"/>
              <w:jc w:val="both"/>
              <w:rPr>
                <w:sz w:val="20"/>
                <w:szCs w:val="20"/>
                <w:lang w:val="fr-CA"/>
              </w:rPr>
            </w:pPr>
            <w:r w:rsidRPr="004926D7">
              <w:rPr>
                <w:i/>
                <w:sz w:val="20"/>
                <w:szCs w:val="20"/>
                <w:lang w:val="fr-CA"/>
              </w:rPr>
              <w:t>Charte des droits</w:t>
            </w:r>
            <w:r w:rsidRPr="004926D7">
              <w:rPr>
                <w:sz w:val="20"/>
                <w:szCs w:val="20"/>
                <w:lang w:val="fr-CA"/>
              </w:rPr>
              <w:t xml:space="preserve"> </w:t>
            </w:r>
            <w:r w:rsidRPr="004926D7">
              <w:rPr>
                <w:rFonts w:eastAsia="MS Mincho"/>
                <w:sz w:val="20"/>
                <w:szCs w:val="20"/>
                <w:lang w:val="fr-CA"/>
              </w:rPr>
              <w:t>- Droit à la vie - Égalité</w:t>
            </w:r>
            <w:r w:rsidRPr="004926D7">
              <w:rPr>
                <w:sz w:val="20"/>
                <w:szCs w:val="20"/>
                <w:lang w:val="fr-CA"/>
              </w:rPr>
              <w:t xml:space="preserve"> </w:t>
            </w:r>
            <w:r w:rsidRPr="004926D7">
              <w:rPr>
                <w:rFonts w:eastAsia="MS Mincho"/>
                <w:sz w:val="20"/>
                <w:szCs w:val="20"/>
                <w:lang w:val="fr-CA"/>
              </w:rPr>
              <w:t>- Justice fo</w:t>
            </w:r>
            <w:r w:rsidRPr="004926D7">
              <w:rPr>
                <w:sz w:val="20"/>
                <w:szCs w:val="20"/>
                <w:lang w:val="fr-CA"/>
              </w:rPr>
              <w:t xml:space="preserve">ndamentale </w:t>
            </w:r>
            <w:r w:rsidRPr="004926D7">
              <w:rPr>
                <w:rFonts w:eastAsia="MS Mincho"/>
                <w:sz w:val="20"/>
                <w:szCs w:val="20"/>
                <w:lang w:val="fr-CA"/>
              </w:rPr>
              <w:t>-</w:t>
            </w:r>
            <w:r w:rsidRPr="004926D7">
              <w:rPr>
                <w:sz w:val="20"/>
                <w:szCs w:val="20"/>
                <w:lang w:val="fr-CA"/>
              </w:rPr>
              <w:t xml:space="preserve"> Des patients en phase terminale demandent qu’on les aide à se donner la mort </w:t>
            </w:r>
            <w:r w:rsidRPr="004926D7">
              <w:rPr>
                <w:rFonts w:eastAsia="MS Mincho"/>
                <w:sz w:val="20"/>
                <w:szCs w:val="20"/>
                <w:lang w:val="fr-CA"/>
              </w:rPr>
              <w:t>-</w:t>
            </w:r>
            <w:r w:rsidRPr="004926D7">
              <w:rPr>
                <w:sz w:val="20"/>
                <w:szCs w:val="20"/>
                <w:lang w:val="fr-CA"/>
              </w:rPr>
              <w:t xml:space="preserve"> Le juge de première instance a-t-il eu tort de faire une distinction avec l’arrêt </w:t>
            </w:r>
            <w:r w:rsidRPr="004926D7">
              <w:rPr>
                <w:i/>
                <w:sz w:val="20"/>
                <w:szCs w:val="20"/>
                <w:lang w:val="fr-CA"/>
              </w:rPr>
              <w:t>Rodriguez c. Colombie-Britannique (Procureur général)</w:t>
            </w:r>
            <w:r w:rsidRPr="004926D7">
              <w:rPr>
                <w:sz w:val="20"/>
                <w:szCs w:val="20"/>
                <w:lang w:val="fr-CA"/>
              </w:rPr>
              <w:t xml:space="preserve">, [1993] 3 R.C.S. 519? - De quelle manière la règle du </w:t>
            </w:r>
            <w:r w:rsidRPr="004926D7">
              <w:rPr>
                <w:i/>
                <w:sz w:val="20"/>
                <w:szCs w:val="20"/>
                <w:lang w:val="fr-CA"/>
              </w:rPr>
              <w:t>stare decisis</w:t>
            </w:r>
            <w:r w:rsidRPr="004926D7">
              <w:rPr>
                <w:sz w:val="20"/>
                <w:szCs w:val="20"/>
                <w:lang w:val="fr-CA"/>
              </w:rPr>
              <w:t xml:space="preserve"> s’applique-t-elle? - Les art. </w:t>
            </w:r>
            <w:r w:rsidRPr="004926D7">
              <w:rPr>
                <w:bCs/>
                <w:sz w:val="20"/>
                <w:szCs w:val="20"/>
                <w:lang w:val="fr-CA"/>
              </w:rPr>
              <w:t xml:space="preserve">14, 21, 22, 222 et 241 du </w:t>
            </w:r>
            <w:r w:rsidRPr="004926D7">
              <w:rPr>
                <w:bCs/>
                <w:i/>
                <w:sz w:val="20"/>
                <w:szCs w:val="20"/>
                <w:lang w:val="fr-CA"/>
              </w:rPr>
              <w:t>Code criminel</w:t>
            </w:r>
            <w:r w:rsidRPr="004926D7">
              <w:rPr>
                <w:bCs/>
                <w:sz w:val="20"/>
                <w:szCs w:val="20"/>
                <w:lang w:val="fr-CA"/>
              </w:rPr>
              <w:t xml:space="preserve"> sont-ils constitutionnellement inapplicables à l’aide médicale à la mort en raison de la doctrine de l’exclusivité des compétences? </w:t>
            </w:r>
            <w:r w:rsidRPr="004926D7">
              <w:rPr>
                <w:sz w:val="20"/>
                <w:szCs w:val="20"/>
                <w:lang w:val="fr-CA"/>
              </w:rPr>
              <w:t>- Les art. </w:t>
            </w:r>
            <w:r w:rsidRPr="004926D7">
              <w:rPr>
                <w:bCs/>
                <w:sz w:val="20"/>
                <w:szCs w:val="20"/>
                <w:lang w:val="fr-CA"/>
              </w:rPr>
              <w:t xml:space="preserve">14, 21, 22, 222 et 241 du </w:t>
            </w:r>
            <w:r w:rsidRPr="004926D7">
              <w:rPr>
                <w:bCs/>
                <w:i/>
                <w:sz w:val="20"/>
                <w:szCs w:val="20"/>
                <w:lang w:val="fr-CA"/>
              </w:rPr>
              <w:t>Code criminel</w:t>
            </w:r>
            <w:r w:rsidRPr="004926D7">
              <w:rPr>
                <w:bCs/>
                <w:sz w:val="20"/>
                <w:szCs w:val="20"/>
                <w:lang w:val="fr-CA"/>
              </w:rPr>
              <w:t xml:space="preserve"> violent-ils les art. 7 ou 15 de la </w:t>
            </w:r>
            <w:r w:rsidRPr="004926D7">
              <w:rPr>
                <w:bCs/>
                <w:i/>
                <w:sz w:val="20"/>
                <w:szCs w:val="20"/>
                <w:lang w:val="fr-CA"/>
              </w:rPr>
              <w:t>Charte</w:t>
            </w:r>
            <w:r w:rsidRPr="004926D7">
              <w:rPr>
                <w:bCs/>
                <w:sz w:val="20"/>
                <w:szCs w:val="20"/>
                <w:lang w:val="fr-CA"/>
              </w:rPr>
              <w:t xml:space="preserve">? </w:t>
            </w:r>
            <w:r w:rsidRPr="004926D7">
              <w:rPr>
                <w:rFonts w:eastAsia="MS Mincho"/>
                <w:sz w:val="20"/>
                <w:szCs w:val="20"/>
                <w:lang w:val="fr-CA"/>
              </w:rPr>
              <w:t xml:space="preserve">- Dans l’affirmative, s’agit-il d’une limite raisonnable prescrite par une règle de droit et dont la justification peut se démontrer dans le cadre d’une société libre et démocratique au sens de l’article premier de la </w:t>
            </w:r>
            <w:r w:rsidRPr="004926D7">
              <w:rPr>
                <w:bCs/>
                <w:i/>
                <w:sz w:val="20"/>
                <w:szCs w:val="20"/>
                <w:lang w:val="fr-CA"/>
              </w:rPr>
              <w:t>Charte</w:t>
            </w:r>
            <w:r w:rsidRPr="004926D7">
              <w:rPr>
                <w:bCs/>
                <w:sz w:val="20"/>
                <w:szCs w:val="20"/>
                <w:lang w:val="fr-CA"/>
              </w:rPr>
              <w:t xml:space="preserve">? </w:t>
            </w:r>
            <w:r w:rsidRPr="004926D7">
              <w:rPr>
                <w:sz w:val="20"/>
                <w:szCs w:val="20"/>
                <w:lang w:val="fr-CA"/>
              </w:rPr>
              <w:t xml:space="preserve">- Quelle est la réparation convenable? - Quel est le cadre d’analyse approprié pour décider des dépens dans ce litige d’intérêt public? </w:t>
            </w:r>
            <w:r w:rsidRPr="004926D7">
              <w:rPr>
                <w:i/>
                <w:sz w:val="20"/>
                <w:szCs w:val="20"/>
                <w:lang w:val="fr-CA"/>
              </w:rPr>
              <w:t>Code criminel</w:t>
            </w:r>
            <w:r w:rsidRPr="004926D7">
              <w:rPr>
                <w:sz w:val="20"/>
                <w:szCs w:val="20"/>
                <w:lang w:val="fr-CA"/>
              </w:rPr>
              <w:t>, L.R.C. 1985, ch. C</w:t>
            </w:r>
            <w:r w:rsidRPr="004926D7">
              <w:rPr>
                <w:rFonts w:eastAsia="MS Mincho" w:hAnsi="MS Mincho"/>
                <w:sz w:val="20"/>
                <w:szCs w:val="20"/>
                <w:lang w:val="fr-CA"/>
              </w:rPr>
              <w:t>‑</w:t>
            </w:r>
            <w:r w:rsidRPr="004926D7">
              <w:rPr>
                <w:sz w:val="20"/>
                <w:szCs w:val="20"/>
                <w:lang w:val="fr-CA"/>
              </w:rPr>
              <w:t>46, art. 241</w:t>
            </w:r>
            <w:r w:rsidRPr="004926D7">
              <w:rPr>
                <w:i/>
                <w:sz w:val="20"/>
                <w:szCs w:val="20"/>
                <w:lang w:val="fr-CA"/>
              </w:rPr>
              <w:t>b</w:t>
            </w:r>
            <w:r w:rsidRPr="004926D7">
              <w:rPr>
                <w:sz w:val="20"/>
                <w:szCs w:val="20"/>
                <w:lang w:val="fr-CA"/>
              </w:rPr>
              <w:t>).</w:t>
            </w:r>
          </w:p>
        </w:tc>
      </w:tr>
    </w:tbl>
    <w:p w:rsidR="005C3B9D" w:rsidRDefault="005C3B9D" w:rsidP="005C3B9D">
      <w:pPr>
        <w:widowControl w:val="0"/>
        <w:rPr>
          <w:sz w:val="20"/>
          <w:szCs w:val="20"/>
          <w:lang w:val="fr-CA"/>
        </w:rPr>
      </w:pPr>
    </w:p>
    <w:p w:rsidR="005C3B9D" w:rsidRDefault="00CD76E4" w:rsidP="005C3B9D">
      <w:pPr>
        <w:widowControl w:val="0"/>
        <w:rPr>
          <w:sz w:val="20"/>
          <w:szCs w:val="20"/>
        </w:rPr>
      </w:pPr>
      <w:r>
        <w:rPr>
          <w:sz w:val="20"/>
          <w:szCs w:val="20"/>
          <w:lang w:val="fr-CA"/>
        </w:rPr>
        <w:pict>
          <v:rect id="_x0000_i1080" style="width:2in;height:1pt" o:hrpct="0" o:hralign="center" o:hrstd="t" o:hrnoshade="t" o:hr="t" fillcolor="black [3213]" stroked="f"/>
        </w:pict>
      </w:r>
    </w:p>
    <w:p w:rsidR="005C3B9D" w:rsidRDefault="005C3B9D" w:rsidP="005C3B9D">
      <w:pPr>
        <w:widowControl w:val="0"/>
        <w:rPr>
          <w:sz w:val="20"/>
          <w:szCs w:val="20"/>
        </w:rPr>
      </w:pPr>
    </w:p>
    <w:p w:rsidR="005C3B9D" w:rsidRDefault="005C3B9D" w:rsidP="005C3B9D">
      <w:pPr>
        <w:rPr>
          <w:sz w:val="20"/>
          <w:szCs w:val="20"/>
        </w:rPr>
      </w:pPr>
      <w:r>
        <w:rPr>
          <w:sz w:val="20"/>
          <w:szCs w:val="20"/>
        </w:rPr>
        <w:br w:type="page"/>
      </w:r>
    </w:p>
    <w:p w:rsidR="005C3B9D" w:rsidRPr="00C50A5C" w:rsidRDefault="005C3B9D" w:rsidP="005C3B9D">
      <w:pPr>
        <w:widowControl w:val="0"/>
        <w:rPr>
          <w:sz w:val="20"/>
          <w:szCs w:val="20"/>
        </w:rPr>
      </w:pPr>
      <w:r>
        <w:rPr>
          <w:sz w:val="20"/>
          <w:szCs w:val="20"/>
        </w:rPr>
        <w:lastRenderedPageBreak/>
        <w:t>12</w:t>
      </w:r>
      <w:r w:rsidRPr="00C50A5C">
        <w:rPr>
          <w:sz w:val="20"/>
          <w:szCs w:val="20"/>
        </w:rPr>
        <w:t>.0</w:t>
      </w:r>
      <w:r>
        <w:rPr>
          <w:sz w:val="20"/>
          <w:szCs w:val="20"/>
        </w:rPr>
        <w:t>1</w:t>
      </w:r>
      <w:r w:rsidRPr="00C50A5C">
        <w:rPr>
          <w:sz w:val="20"/>
          <w:szCs w:val="20"/>
        </w:rPr>
        <w:t>.201</w:t>
      </w:r>
      <w:r>
        <w:rPr>
          <w:sz w:val="20"/>
          <w:szCs w:val="20"/>
        </w:rPr>
        <w:t>6</w:t>
      </w:r>
    </w:p>
    <w:p w:rsidR="005C3B9D" w:rsidRPr="00C50A5C" w:rsidRDefault="005C3B9D" w:rsidP="005C3B9D">
      <w:pPr>
        <w:widowControl w:val="0"/>
        <w:rPr>
          <w:sz w:val="20"/>
          <w:szCs w:val="20"/>
        </w:rPr>
      </w:pPr>
    </w:p>
    <w:p w:rsidR="005C3B9D" w:rsidRDefault="005C3B9D" w:rsidP="005C3B9D">
      <w:pPr>
        <w:widowControl w:val="0"/>
        <w:ind w:left="720" w:hanging="720"/>
        <w:rPr>
          <w:sz w:val="20"/>
          <w:szCs w:val="20"/>
          <w:u w:val="single"/>
        </w:rPr>
      </w:pPr>
      <w:r w:rsidRPr="00C50A5C">
        <w:rPr>
          <w:sz w:val="20"/>
          <w:szCs w:val="20"/>
        </w:rPr>
        <w:t xml:space="preserve">Coram: </w:t>
      </w:r>
      <w:r w:rsidRPr="00C50A5C">
        <w:rPr>
          <w:sz w:val="20"/>
          <w:szCs w:val="20"/>
        </w:rPr>
        <w:tab/>
      </w:r>
      <w:r w:rsidRPr="003824D3">
        <w:rPr>
          <w:sz w:val="20"/>
          <w:szCs w:val="20"/>
          <w:u w:val="single"/>
          <w:lang w:val="en-US"/>
        </w:rPr>
        <w:t>McLachlin C.J. and</w:t>
      </w:r>
      <w:r w:rsidRPr="00C50A5C">
        <w:rPr>
          <w:sz w:val="20"/>
          <w:szCs w:val="20"/>
          <w:u w:val="single"/>
        </w:rPr>
        <w:t xml:space="preserve"> </w:t>
      </w:r>
      <w:r>
        <w:rPr>
          <w:sz w:val="20"/>
          <w:szCs w:val="20"/>
          <w:u w:val="single"/>
        </w:rPr>
        <w:t xml:space="preserve">Abella, Cromwell, Moldaver, Karakatsanis, Wagner, Gascon, Côté and Brown </w:t>
      </w:r>
      <w:r w:rsidRPr="00C50A5C">
        <w:rPr>
          <w:sz w:val="20"/>
          <w:szCs w:val="20"/>
          <w:u w:val="single"/>
        </w:rPr>
        <w:t>JJ.</w:t>
      </w:r>
    </w:p>
    <w:p w:rsidR="005C3B9D" w:rsidRPr="00C50A5C" w:rsidRDefault="005C3B9D" w:rsidP="005C3B9D">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316871" w:rsidTr="008F5FE2">
        <w:tc>
          <w:tcPr>
            <w:tcW w:w="4380" w:type="dxa"/>
            <w:tcMar>
              <w:left w:w="0" w:type="dxa"/>
              <w:right w:w="0" w:type="dxa"/>
            </w:tcMar>
          </w:tcPr>
          <w:p w:rsidR="005C3B9D" w:rsidRPr="00C50A5C" w:rsidRDefault="005C3B9D" w:rsidP="008F5FE2">
            <w:pPr>
              <w:widowControl w:val="0"/>
              <w:jc w:val="both"/>
              <w:rPr>
                <w:b/>
                <w:sz w:val="20"/>
                <w:szCs w:val="20"/>
              </w:rPr>
            </w:pPr>
            <w:r>
              <w:rPr>
                <w:b/>
                <w:sz w:val="20"/>
                <w:szCs w:val="20"/>
              </w:rPr>
              <w:t>Jessica Ernst</w:t>
            </w:r>
          </w:p>
          <w:p w:rsidR="005C3B9D" w:rsidRPr="00C50A5C" w:rsidRDefault="005C3B9D" w:rsidP="008F5FE2">
            <w:pPr>
              <w:widowControl w:val="0"/>
              <w:jc w:val="both"/>
              <w:rPr>
                <w:b/>
                <w:sz w:val="20"/>
                <w:szCs w:val="20"/>
              </w:rPr>
            </w:pPr>
          </w:p>
          <w:p w:rsidR="005C3B9D" w:rsidRPr="00C50A5C" w:rsidRDefault="005C3B9D" w:rsidP="008F5FE2">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96" w:history="1">
              <w:r w:rsidRPr="00765D4A">
                <w:rPr>
                  <w:rStyle w:val="Hyperlink"/>
                  <w:sz w:val="20"/>
                  <w:szCs w:val="20"/>
                </w:rPr>
                <w:t>3</w:t>
              </w:r>
              <w:r>
                <w:rPr>
                  <w:rStyle w:val="Hyperlink"/>
                  <w:sz w:val="20"/>
                  <w:szCs w:val="20"/>
                </w:rPr>
                <w:t>6167</w:t>
              </w:r>
            </w:hyperlink>
            <w:r w:rsidRPr="00765D4A">
              <w:rPr>
                <w:sz w:val="20"/>
                <w:szCs w:val="20"/>
              </w:rPr>
              <w:t>)</w:t>
            </w:r>
          </w:p>
          <w:p w:rsidR="005C3B9D" w:rsidRPr="00C50A5C" w:rsidRDefault="005C3B9D" w:rsidP="008F5FE2">
            <w:pPr>
              <w:widowControl w:val="0"/>
              <w:jc w:val="both"/>
              <w:rPr>
                <w:b/>
                <w:sz w:val="20"/>
                <w:szCs w:val="20"/>
              </w:rPr>
            </w:pPr>
          </w:p>
          <w:p w:rsidR="005C3B9D" w:rsidRPr="00893C7B" w:rsidRDefault="005C3B9D" w:rsidP="008F5FE2">
            <w:pPr>
              <w:widowControl w:val="0"/>
              <w:jc w:val="both"/>
              <w:rPr>
                <w:sz w:val="20"/>
                <w:szCs w:val="20"/>
              </w:rPr>
            </w:pPr>
            <w:r>
              <w:rPr>
                <w:b/>
                <w:sz w:val="20"/>
                <w:szCs w:val="20"/>
              </w:rPr>
              <w:t>Alberta Energy Regulator</w:t>
            </w:r>
            <w:r w:rsidRPr="00072C86">
              <w:rPr>
                <w:b/>
                <w:sz w:val="20"/>
                <w:szCs w:val="20"/>
              </w:rPr>
              <w:t xml:space="preserve"> (Alta.) </w:t>
            </w:r>
            <w:r w:rsidRPr="00C50A5C">
              <w:rPr>
                <w:b/>
                <w:sz w:val="20"/>
                <w:szCs w:val="20"/>
              </w:rPr>
              <w:t>(Ci</w:t>
            </w:r>
            <w:r>
              <w:rPr>
                <w:b/>
                <w:sz w:val="20"/>
                <w:szCs w:val="20"/>
              </w:rPr>
              <w:t>v</w:t>
            </w:r>
            <w:r w:rsidRPr="00C50A5C">
              <w:rPr>
                <w:b/>
                <w:sz w:val="20"/>
                <w:szCs w:val="20"/>
              </w:rPr>
              <w:t>il) (</w:t>
            </w:r>
            <w:r>
              <w:rPr>
                <w:b/>
                <w:sz w:val="20"/>
                <w:szCs w:val="20"/>
              </w:rPr>
              <w:t>By Leave</w:t>
            </w:r>
            <w:r w:rsidRPr="00C50A5C">
              <w:rPr>
                <w:b/>
                <w:sz w:val="20"/>
                <w:szCs w:val="20"/>
              </w:rPr>
              <w:t>)</w:t>
            </w:r>
          </w:p>
        </w:tc>
        <w:tc>
          <w:tcPr>
            <w:tcW w:w="720" w:type="dxa"/>
            <w:tcMar>
              <w:left w:w="0" w:type="dxa"/>
              <w:right w:w="0" w:type="dxa"/>
            </w:tcMar>
          </w:tcPr>
          <w:p w:rsidR="005C3B9D" w:rsidRPr="00893C7B" w:rsidRDefault="005C3B9D" w:rsidP="008F5FE2">
            <w:pPr>
              <w:widowControl w:val="0"/>
              <w:jc w:val="center"/>
              <w:rPr>
                <w:sz w:val="20"/>
                <w:szCs w:val="20"/>
              </w:rPr>
            </w:pPr>
          </w:p>
        </w:tc>
        <w:tc>
          <w:tcPr>
            <w:tcW w:w="4380" w:type="dxa"/>
            <w:tcMar>
              <w:left w:w="0" w:type="dxa"/>
              <w:right w:w="0" w:type="dxa"/>
            </w:tcMar>
          </w:tcPr>
          <w:p w:rsidR="005C3B9D" w:rsidRDefault="005C3B9D" w:rsidP="008F5FE2">
            <w:pPr>
              <w:jc w:val="both"/>
              <w:rPr>
                <w:sz w:val="20"/>
                <w:szCs w:val="20"/>
              </w:rPr>
            </w:pPr>
            <w:r>
              <w:rPr>
                <w:sz w:val="20"/>
                <w:szCs w:val="20"/>
              </w:rPr>
              <w:t>W. Cory Wanless and Murray Klippenstein for the appellant.</w:t>
            </w:r>
          </w:p>
          <w:p w:rsidR="005C3B9D" w:rsidRDefault="005C3B9D" w:rsidP="008F5FE2">
            <w:pPr>
              <w:jc w:val="both"/>
              <w:rPr>
                <w:sz w:val="20"/>
                <w:szCs w:val="20"/>
              </w:rPr>
            </w:pPr>
          </w:p>
          <w:p w:rsidR="005C3B9D" w:rsidRDefault="005C3B9D" w:rsidP="008F5FE2">
            <w:pPr>
              <w:jc w:val="both"/>
              <w:rPr>
                <w:sz w:val="20"/>
                <w:szCs w:val="20"/>
              </w:rPr>
            </w:pPr>
            <w:r>
              <w:rPr>
                <w:sz w:val="20"/>
                <w:szCs w:val="20"/>
              </w:rPr>
              <w:t>Ryan D.W. Dalziel and Emily Lapper for the intervener British Columbia Civil Liberties Association.</w:t>
            </w:r>
          </w:p>
          <w:p w:rsidR="005C3B9D" w:rsidRDefault="005C3B9D" w:rsidP="008F5FE2">
            <w:pPr>
              <w:jc w:val="both"/>
              <w:rPr>
                <w:sz w:val="20"/>
                <w:szCs w:val="20"/>
              </w:rPr>
            </w:pPr>
          </w:p>
          <w:p w:rsidR="005C3B9D" w:rsidRDefault="005C3B9D" w:rsidP="008F5FE2">
            <w:pPr>
              <w:jc w:val="both"/>
              <w:rPr>
                <w:sz w:val="20"/>
                <w:szCs w:val="20"/>
              </w:rPr>
            </w:pPr>
            <w:r>
              <w:rPr>
                <w:sz w:val="20"/>
                <w:szCs w:val="20"/>
              </w:rPr>
              <w:t xml:space="preserve">Raj Anand and Cheryl Milne for the intervener David Asper Centre for Constitutional Rights. </w:t>
            </w:r>
          </w:p>
          <w:p w:rsidR="005C3B9D" w:rsidRDefault="005C3B9D" w:rsidP="008F5FE2">
            <w:pPr>
              <w:jc w:val="both"/>
              <w:rPr>
                <w:sz w:val="20"/>
                <w:szCs w:val="20"/>
              </w:rPr>
            </w:pPr>
          </w:p>
          <w:p w:rsidR="005C3B9D" w:rsidRPr="000F31EA" w:rsidRDefault="005C3B9D" w:rsidP="008F5FE2">
            <w:pPr>
              <w:jc w:val="both"/>
              <w:rPr>
                <w:sz w:val="20"/>
                <w:szCs w:val="20"/>
              </w:rPr>
            </w:pPr>
            <w:r>
              <w:rPr>
                <w:sz w:val="20"/>
                <w:szCs w:val="20"/>
              </w:rPr>
              <w:t>Glenn Solomon, Q.C. and Christy Elliott for the respondent.</w:t>
            </w:r>
          </w:p>
          <w:p w:rsidR="005C3B9D" w:rsidRPr="00CF5C76" w:rsidRDefault="005C3B9D" w:rsidP="008F5FE2">
            <w:pPr>
              <w:jc w:val="both"/>
              <w:rPr>
                <w:sz w:val="20"/>
                <w:szCs w:val="20"/>
                <w:lang w:val="en-US"/>
              </w:rPr>
            </w:pPr>
          </w:p>
        </w:tc>
      </w:tr>
    </w:tbl>
    <w:p w:rsidR="005C3B9D" w:rsidRPr="00CF5C76" w:rsidRDefault="005C3B9D" w:rsidP="005C3B9D">
      <w:pPr>
        <w:widowControl w:val="0"/>
        <w:rPr>
          <w:lang w:val="en-US"/>
        </w:rPr>
      </w:pPr>
    </w:p>
    <w:p w:rsidR="005C3B9D" w:rsidRPr="0085476B" w:rsidRDefault="005C3B9D" w:rsidP="005C3B9D">
      <w:pPr>
        <w:widowControl w:val="0"/>
        <w:rPr>
          <w:sz w:val="20"/>
          <w:szCs w:val="20"/>
        </w:rPr>
      </w:pPr>
      <w:r w:rsidRPr="00554A25">
        <w:rPr>
          <w:b/>
          <w:sz w:val="20"/>
          <w:szCs w:val="20"/>
        </w:rPr>
        <w:t xml:space="preserve">RESERVED / </w:t>
      </w:r>
      <w:r w:rsidRPr="00554A25">
        <w:rPr>
          <w:b/>
          <w:sz w:val="20"/>
          <w:szCs w:val="20"/>
          <w:lang w:val="fr-CA"/>
        </w:rPr>
        <w:t>EN DÉLIBÉRÉ</w:t>
      </w:r>
    </w:p>
    <w:p w:rsidR="005C3B9D" w:rsidRPr="005E31A3" w:rsidRDefault="005C3B9D" w:rsidP="005C3B9D">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B26F8D" w:rsidTr="008F5FE2">
        <w:tc>
          <w:tcPr>
            <w:tcW w:w="4380" w:type="dxa"/>
            <w:tcMar>
              <w:left w:w="0" w:type="dxa"/>
              <w:right w:w="0" w:type="dxa"/>
            </w:tcMar>
          </w:tcPr>
          <w:p w:rsidR="005C3B9D" w:rsidRPr="00CC4D84" w:rsidRDefault="005C3B9D" w:rsidP="008F5FE2">
            <w:pPr>
              <w:widowControl w:val="0"/>
              <w:jc w:val="both"/>
              <w:rPr>
                <w:b/>
                <w:sz w:val="20"/>
                <w:szCs w:val="20"/>
                <w:u w:val="single"/>
              </w:rPr>
            </w:pPr>
            <w:r w:rsidRPr="00CC4D84">
              <w:rPr>
                <w:b/>
                <w:sz w:val="20"/>
                <w:szCs w:val="20"/>
                <w:u w:val="single"/>
              </w:rPr>
              <w:t>Nature of the case:</w:t>
            </w:r>
          </w:p>
          <w:p w:rsidR="005C3B9D" w:rsidRPr="00C1697B" w:rsidRDefault="005C3B9D" w:rsidP="008F5FE2">
            <w:pPr>
              <w:widowControl w:val="0"/>
              <w:jc w:val="both"/>
              <w:rPr>
                <w:b/>
                <w:sz w:val="20"/>
                <w:szCs w:val="20"/>
              </w:rPr>
            </w:pPr>
          </w:p>
          <w:p w:rsidR="005C3B9D" w:rsidRPr="004B5EC0" w:rsidRDefault="005C3B9D" w:rsidP="008F5FE2">
            <w:pPr>
              <w:widowControl w:val="0"/>
              <w:jc w:val="both"/>
              <w:rPr>
                <w:b/>
                <w:sz w:val="20"/>
                <w:szCs w:val="20"/>
              </w:rPr>
            </w:pPr>
            <w:r w:rsidRPr="004B5EC0">
              <w:rPr>
                <w:i/>
                <w:sz w:val="20"/>
                <w:szCs w:val="20"/>
              </w:rPr>
              <w:t>Charter of Rights</w:t>
            </w:r>
            <w:r w:rsidRPr="004B5EC0">
              <w:rPr>
                <w:sz w:val="20"/>
                <w:szCs w:val="20"/>
              </w:rPr>
              <w:t xml:space="preserve"> - Constitutional law - Enforcement - Remedy - Freedom of expression - Statutory immunity clause held to preclude adjudication of individual’s action in damages for alleged </w:t>
            </w:r>
            <w:r w:rsidRPr="004B5EC0">
              <w:rPr>
                <w:i/>
                <w:sz w:val="20"/>
                <w:szCs w:val="20"/>
              </w:rPr>
              <w:t>Charter</w:t>
            </w:r>
            <w:r w:rsidRPr="004B5EC0">
              <w:rPr>
                <w:sz w:val="20"/>
                <w:szCs w:val="20"/>
              </w:rPr>
              <w:t xml:space="preserve"> breach by the regulator - Is s. 43 of the </w:t>
            </w:r>
            <w:r w:rsidRPr="004B5EC0">
              <w:rPr>
                <w:i/>
                <w:sz w:val="20"/>
                <w:szCs w:val="20"/>
              </w:rPr>
              <w:t>Energy Resources Conservation Act</w:t>
            </w:r>
            <w:r w:rsidRPr="004B5EC0">
              <w:rPr>
                <w:sz w:val="20"/>
                <w:szCs w:val="20"/>
              </w:rPr>
              <w:t xml:space="preserve">, R.S.A. 2000, c. E - 10 constitutionally inapplicable or inoperable to the extent that it bars a claim against the regulator for a breach of s. 2(b) of the </w:t>
            </w:r>
            <w:r w:rsidRPr="004B5EC0">
              <w:rPr>
                <w:i/>
                <w:sz w:val="20"/>
                <w:szCs w:val="20"/>
              </w:rPr>
              <w:t>Canadian Charter of Rights and Freedoms</w:t>
            </w:r>
            <w:r w:rsidRPr="004B5EC0">
              <w:rPr>
                <w:sz w:val="20"/>
                <w:szCs w:val="20"/>
              </w:rPr>
              <w:t xml:space="preserve"> and an application for a remedy under s. 24(1) of the </w:t>
            </w:r>
            <w:r w:rsidRPr="004B5EC0">
              <w:rPr>
                <w:i/>
                <w:sz w:val="20"/>
                <w:szCs w:val="20"/>
              </w:rPr>
              <w:t>Canadian Charter of Rights and Freedoms</w:t>
            </w:r>
            <w:r w:rsidRPr="004B5EC0">
              <w:rPr>
                <w:sz w:val="20"/>
                <w:szCs w:val="20"/>
              </w:rPr>
              <w:t xml:space="preserve"> - Can a statutory immunity clause bar any and all </w:t>
            </w:r>
            <w:r w:rsidRPr="004B5EC0">
              <w:rPr>
                <w:i/>
                <w:sz w:val="20"/>
                <w:szCs w:val="20"/>
              </w:rPr>
              <w:t>Charter</w:t>
            </w:r>
            <w:r w:rsidRPr="004B5EC0">
              <w:rPr>
                <w:sz w:val="20"/>
                <w:szCs w:val="20"/>
              </w:rPr>
              <w:t xml:space="preserve"> claims for a personal remedy made pursuant to s. 24(1) of the </w:t>
            </w:r>
            <w:r w:rsidRPr="004B5EC0">
              <w:rPr>
                <w:i/>
                <w:sz w:val="20"/>
                <w:szCs w:val="20"/>
              </w:rPr>
              <w:t>Charter</w:t>
            </w:r>
            <w:r w:rsidRPr="004B5EC0">
              <w:rPr>
                <w:sz w:val="20"/>
                <w:szCs w:val="20"/>
              </w:rPr>
              <w:t xml:space="preserve"> - </w:t>
            </w:r>
            <w:r w:rsidRPr="004B5EC0">
              <w:rPr>
                <w:i/>
                <w:sz w:val="20"/>
                <w:szCs w:val="20"/>
              </w:rPr>
              <w:t>Vancouver (City) v. Ward</w:t>
            </w:r>
            <w:r w:rsidRPr="004B5EC0">
              <w:rPr>
                <w:sz w:val="20"/>
                <w:szCs w:val="20"/>
              </w:rPr>
              <w:t>, 2010 SCC 27, [2010] 2 S.C.R. 28.</w:t>
            </w:r>
          </w:p>
        </w:tc>
        <w:tc>
          <w:tcPr>
            <w:tcW w:w="720" w:type="dxa"/>
            <w:tcMar>
              <w:left w:w="0" w:type="dxa"/>
              <w:right w:w="0" w:type="dxa"/>
            </w:tcMar>
          </w:tcPr>
          <w:p w:rsidR="005C3B9D" w:rsidRPr="00C1697B" w:rsidRDefault="005C3B9D" w:rsidP="008F5FE2">
            <w:pPr>
              <w:widowControl w:val="0"/>
              <w:jc w:val="center"/>
              <w:rPr>
                <w:sz w:val="20"/>
                <w:szCs w:val="20"/>
              </w:rPr>
            </w:pPr>
          </w:p>
        </w:tc>
        <w:tc>
          <w:tcPr>
            <w:tcW w:w="4380" w:type="dxa"/>
            <w:tcMar>
              <w:left w:w="0" w:type="dxa"/>
              <w:right w:w="0" w:type="dxa"/>
            </w:tcMar>
          </w:tcPr>
          <w:p w:rsidR="005C3B9D" w:rsidRPr="00CC4D84" w:rsidRDefault="005C3B9D" w:rsidP="008F5FE2">
            <w:pPr>
              <w:widowControl w:val="0"/>
              <w:jc w:val="both"/>
              <w:rPr>
                <w:b/>
                <w:sz w:val="20"/>
                <w:szCs w:val="20"/>
                <w:u w:val="single"/>
                <w:lang w:val="fr-CA"/>
              </w:rPr>
            </w:pPr>
            <w:r w:rsidRPr="00CC4D84">
              <w:rPr>
                <w:b/>
                <w:sz w:val="20"/>
                <w:szCs w:val="20"/>
                <w:u w:val="single"/>
                <w:lang w:val="fr-CA"/>
              </w:rPr>
              <w:t>Nature de la cause :</w:t>
            </w:r>
          </w:p>
          <w:p w:rsidR="005C3B9D" w:rsidRPr="004B5EC0" w:rsidRDefault="005C3B9D" w:rsidP="008F5FE2">
            <w:pPr>
              <w:widowControl w:val="0"/>
              <w:jc w:val="both"/>
              <w:rPr>
                <w:sz w:val="20"/>
                <w:szCs w:val="20"/>
                <w:lang w:val="fr-CA"/>
              </w:rPr>
            </w:pPr>
          </w:p>
          <w:p w:rsidR="005C3B9D" w:rsidRPr="00C1697B" w:rsidRDefault="005C3B9D" w:rsidP="008F5FE2">
            <w:pPr>
              <w:widowControl w:val="0"/>
              <w:jc w:val="both"/>
              <w:rPr>
                <w:sz w:val="20"/>
                <w:szCs w:val="20"/>
                <w:lang w:val="fr-CA"/>
              </w:rPr>
            </w:pPr>
            <w:r w:rsidRPr="004B5EC0">
              <w:rPr>
                <w:i/>
                <w:sz w:val="20"/>
                <w:szCs w:val="20"/>
                <w:lang w:val="fr-CA"/>
              </w:rPr>
              <w:t>Charte des droits</w:t>
            </w:r>
            <w:r w:rsidRPr="004B5EC0">
              <w:rPr>
                <w:sz w:val="20"/>
                <w:szCs w:val="20"/>
                <w:lang w:val="fr-CA"/>
              </w:rPr>
              <w:t xml:space="preserve"> - Droit constitutionnel - Exécution - Réparation - Liberté d’expression - Il a été jugé qu’une disposition législative accordant l’immunité empêchait de trancher une action en dommages-intérêts fondée sur une violation de la </w:t>
            </w:r>
            <w:r w:rsidRPr="004B5EC0">
              <w:rPr>
                <w:i/>
                <w:sz w:val="20"/>
                <w:szCs w:val="20"/>
                <w:lang w:val="fr-CA"/>
              </w:rPr>
              <w:t>Charte</w:t>
            </w:r>
            <w:r w:rsidRPr="004B5EC0">
              <w:rPr>
                <w:sz w:val="20"/>
                <w:szCs w:val="20"/>
                <w:lang w:val="fr-CA"/>
              </w:rPr>
              <w:t xml:space="preserve"> censément commise par l’organisme de réglementation - L’art. 43 de l’</w:t>
            </w:r>
            <w:r w:rsidRPr="004B5EC0">
              <w:rPr>
                <w:i/>
                <w:sz w:val="20"/>
                <w:szCs w:val="20"/>
                <w:lang w:val="fr-CA"/>
              </w:rPr>
              <w:t>Energy Resources Conservation Act</w:t>
            </w:r>
            <w:r w:rsidRPr="004B5EC0">
              <w:rPr>
                <w:sz w:val="20"/>
                <w:szCs w:val="20"/>
                <w:lang w:val="fr-CA"/>
              </w:rPr>
              <w:t>, R.S.A. 2000, ch. E-10 est-elle constitutionnellement inapplicable ou inopérante dans la mesure où elle rend irrecevable une demande contre l’organisme de réglementation relativement à une violation de l’al. 2</w:t>
            </w:r>
            <w:r w:rsidRPr="004B5EC0">
              <w:rPr>
                <w:i/>
                <w:sz w:val="20"/>
                <w:szCs w:val="20"/>
                <w:lang w:val="fr-CA"/>
              </w:rPr>
              <w:t>b</w:t>
            </w:r>
            <w:r w:rsidRPr="004B5EC0">
              <w:rPr>
                <w:sz w:val="20"/>
                <w:szCs w:val="20"/>
                <w:lang w:val="fr-CA"/>
              </w:rPr>
              <w:t xml:space="preserve">) de la </w:t>
            </w:r>
            <w:r w:rsidRPr="004B5EC0">
              <w:rPr>
                <w:i/>
                <w:sz w:val="20"/>
                <w:szCs w:val="20"/>
                <w:lang w:val="fr-CA"/>
              </w:rPr>
              <w:t>Charte canadienne des droits et libertés</w:t>
            </w:r>
            <w:r w:rsidRPr="004B5EC0">
              <w:rPr>
                <w:sz w:val="20"/>
                <w:szCs w:val="20"/>
                <w:lang w:val="fr-CA"/>
              </w:rPr>
              <w:t xml:space="preserve"> et une demande de réparation en application du par. 24(1) de la </w:t>
            </w:r>
            <w:r w:rsidRPr="004B5EC0">
              <w:rPr>
                <w:i/>
                <w:sz w:val="20"/>
                <w:szCs w:val="20"/>
                <w:lang w:val="fr-CA"/>
              </w:rPr>
              <w:t>Charte canadienne des droits et libertés</w:t>
            </w:r>
            <w:r w:rsidRPr="004B5EC0">
              <w:rPr>
                <w:sz w:val="20"/>
                <w:szCs w:val="20"/>
                <w:lang w:val="fr-CA"/>
              </w:rPr>
              <w:t xml:space="preserve">? - Une disposition législative accordant l’immunité peut-elle rendre irrecevable toute demande de réparation personnelle fondée sur la </w:t>
            </w:r>
            <w:r w:rsidRPr="004B5EC0">
              <w:rPr>
                <w:i/>
                <w:sz w:val="20"/>
                <w:szCs w:val="20"/>
                <w:lang w:val="fr-CA"/>
              </w:rPr>
              <w:t>Charte</w:t>
            </w:r>
            <w:r w:rsidRPr="004B5EC0">
              <w:rPr>
                <w:sz w:val="20"/>
                <w:szCs w:val="20"/>
                <w:lang w:val="fr-CA"/>
              </w:rPr>
              <w:t xml:space="preserve"> faite en application du par. 24(1) de la </w:t>
            </w:r>
            <w:r w:rsidRPr="004B5EC0">
              <w:rPr>
                <w:i/>
                <w:sz w:val="20"/>
                <w:szCs w:val="20"/>
                <w:lang w:val="fr-CA"/>
              </w:rPr>
              <w:t>Charte</w:t>
            </w:r>
            <w:r w:rsidRPr="004B5EC0">
              <w:rPr>
                <w:sz w:val="20"/>
                <w:szCs w:val="20"/>
                <w:lang w:val="fr-CA"/>
              </w:rPr>
              <w:t xml:space="preserve">? - </w:t>
            </w:r>
            <w:r w:rsidRPr="004B5EC0">
              <w:rPr>
                <w:i/>
                <w:sz w:val="20"/>
                <w:szCs w:val="20"/>
                <w:lang w:val="fr-CA"/>
              </w:rPr>
              <w:t>Vancouver (Ville) c. Ward</w:t>
            </w:r>
            <w:r w:rsidRPr="004B5EC0">
              <w:rPr>
                <w:sz w:val="20"/>
                <w:szCs w:val="20"/>
                <w:lang w:val="fr-CA"/>
              </w:rPr>
              <w:t>, 2010 CSC 27, [2010] 2 R.C.S 28.</w:t>
            </w:r>
          </w:p>
        </w:tc>
      </w:tr>
    </w:tbl>
    <w:p w:rsidR="005C3B9D" w:rsidRDefault="005C3B9D" w:rsidP="005C3B9D">
      <w:pPr>
        <w:widowControl w:val="0"/>
        <w:rPr>
          <w:sz w:val="20"/>
          <w:szCs w:val="20"/>
          <w:lang w:val="fr-CA"/>
        </w:rPr>
      </w:pPr>
    </w:p>
    <w:p w:rsidR="005C3B9D" w:rsidRDefault="00CD76E4" w:rsidP="005C3B9D">
      <w:pPr>
        <w:widowControl w:val="0"/>
        <w:rPr>
          <w:sz w:val="20"/>
          <w:szCs w:val="20"/>
          <w:lang w:val="fr-CA"/>
        </w:rPr>
      </w:pPr>
      <w:r>
        <w:rPr>
          <w:sz w:val="20"/>
          <w:szCs w:val="20"/>
          <w:lang w:val="fr-CA"/>
        </w:rPr>
        <w:pict>
          <v:rect id="_x0000_i1081" style="width:2in;height:1pt" o:hrpct="0" o:hralign="center" o:hrstd="t" o:hrnoshade="t" o:hr="t" fillcolor="black [3213]" stroked="f"/>
        </w:pict>
      </w:r>
    </w:p>
    <w:p w:rsidR="005C3B9D" w:rsidRDefault="005C3B9D" w:rsidP="005C3B9D">
      <w:pPr>
        <w:widowControl w:val="0"/>
        <w:rPr>
          <w:sz w:val="20"/>
          <w:szCs w:val="20"/>
          <w:lang w:val="fr-CA"/>
        </w:rPr>
      </w:pPr>
    </w:p>
    <w:p w:rsidR="005C3B9D" w:rsidRDefault="005C3B9D" w:rsidP="005C3B9D">
      <w:pPr>
        <w:rPr>
          <w:sz w:val="20"/>
          <w:szCs w:val="20"/>
        </w:rPr>
      </w:pPr>
      <w:r>
        <w:rPr>
          <w:sz w:val="20"/>
          <w:szCs w:val="20"/>
        </w:rPr>
        <w:br w:type="page"/>
      </w:r>
    </w:p>
    <w:p w:rsidR="005C3B9D" w:rsidRPr="00C50A5C" w:rsidRDefault="005C3B9D" w:rsidP="005C3B9D">
      <w:pPr>
        <w:widowControl w:val="0"/>
        <w:rPr>
          <w:sz w:val="20"/>
          <w:szCs w:val="20"/>
        </w:rPr>
      </w:pPr>
      <w:r>
        <w:rPr>
          <w:sz w:val="20"/>
          <w:szCs w:val="20"/>
        </w:rPr>
        <w:lastRenderedPageBreak/>
        <w:t>13</w:t>
      </w:r>
      <w:r w:rsidRPr="00C50A5C">
        <w:rPr>
          <w:sz w:val="20"/>
          <w:szCs w:val="20"/>
        </w:rPr>
        <w:t>.0</w:t>
      </w:r>
      <w:r>
        <w:rPr>
          <w:sz w:val="20"/>
          <w:szCs w:val="20"/>
        </w:rPr>
        <w:t>1</w:t>
      </w:r>
      <w:r w:rsidRPr="00C50A5C">
        <w:rPr>
          <w:sz w:val="20"/>
          <w:szCs w:val="20"/>
        </w:rPr>
        <w:t>.201</w:t>
      </w:r>
      <w:r>
        <w:rPr>
          <w:sz w:val="20"/>
          <w:szCs w:val="20"/>
        </w:rPr>
        <w:t>6</w:t>
      </w:r>
    </w:p>
    <w:p w:rsidR="005C3B9D" w:rsidRPr="00C50A5C" w:rsidRDefault="005C3B9D" w:rsidP="005C3B9D">
      <w:pPr>
        <w:widowControl w:val="0"/>
        <w:rPr>
          <w:sz w:val="20"/>
          <w:szCs w:val="20"/>
        </w:rPr>
      </w:pPr>
    </w:p>
    <w:p w:rsidR="005C3B9D" w:rsidRDefault="005C3B9D" w:rsidP="005C3B9D">
      <w:pPr>
        <w:widowControl w:val="0"/>
        <w:ind w:left="720" w:hanging="720"/>
        <w:rPr>
          <w:sz w:val="20"/>
          <w:szCs w:val="20"/>
          <w:u w:val="single"/>
        </w:rPr>
      </w:pPr>
      <w:r w:rsidRPr="00C50A5C">
        <w:rPr>
          <w:sz w:val="20"/>
          <w:szCs w:val="20"/>
        </w:rPr>
        <w:t xml:space="preserve">Coram: </w:t>
      </w:r>
      <w:r w:rsidRPr="00C50A5C">
        <w:rPr>
          <w:sz w:val="20"/>
          <w:szCs w:val="20"/>
        </w:rPr>
        <w:tab/>
      </w:r>
      <w:r w:rsidRPr="003824D3">
        <w:rPr>
          <w:sz w:val="20"/>
          <w:szCs w:val="20"/>
          <w:u w:val="single"/>
          <w:lang w:val="en-US"/>
        </w:rPr>
        <w:t>McLachlin C.J. and</w:t>
      </w:r>
      <w:r w:rsidRPr="00C50A5C">
        <w:rPr>
          <w:sz w:val="20"/>
          <w:szCs w:val="20"/>
          <w:u w:val="single"/>
        </w:rPr>
        <w:t xml:space="preserve"> </w:t>
      </w:r>
      <w:r>
        <w:rPr>
          <w:sz w:val="20"/>
          <w:szCs w:val="20"/>
          <w:u w:val="single"/>
        </w:rPr>
        <w:t xml:space="preserve">Abella, Cromwell, Moldaver, Karakatsanis, Wagner, Gascon, Côté and Brown </w:t>
      </w:r>
      <w:r w:rsidRPr="00C50A5C">
        <w:rPr>
          <w:sz w:val="20"/>
          <w:szCs w:val="20"/>
          <w:u w:val="single"/>
        </w:rPr>
        <w:t>JJ.</w:t>
      </w:r>
    </w:p>
    <w:p w:rsidR="005C3B9D" w:rsidRPr="00C50A5C" w:rsidRDefault="005C3B9D" w:rsidP="005C3B9D">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C50A5C" w:rsidTr="008F5FE2">
        <w:tc>
          <w:tcPr>
            <w:tcW w:w="4380" w:type="dxa"/>
            <w:tcMar>
              <w:left w:w="0" w:type="dxa"/>
              <w:right w:w="0" w:type="dxa"/>
            </w:tcMar>
          </w:tcPr>
          <w:p w:rsidR="005C3B9D" w:rsidRPr="00C50A5C" w:rsidRDefault="005C3B9D" w:rsidP="008F5FE2">
            <w:pPr>
              <w:widowControl w:val="0"/>
              <w:jc w:val="both"/>
              <w:rPr>
                <w:b/>
                <w:sz w:val="20"/>
                <w:szCs w:val="20"/>
              </w:rPr>
            </w:pPr>
            <w:r>
              <w:rPr>
                <w:b/>
                <w:sz w:val="20"/>
                <w:szCs w:val="20"/>
              </w:rPr>
              <w:t>Joseph Ryan Lloyd</w:t>
            </w:r>
          </w:p>
          <w:p w:rsidR="005C3B9D" w:rsidRPr="00C50A5C" w:rsidRDefault="005C3B9D" w:rsidP="008F5FE2">
            <w:pPr>
              <w:widowControl w:val="0"/>
              <w:jc w:val="both"/>
              <w:rPr>
                <w:b/>
                <w:sz w:val="20"/>
                <w:szCs w:val="20"/>
              </w:rPr>
            </w:pPr>
          </w:p>
          <w:p w:rsidR="005C3B9D" w:rsidRPr="00C50A5C" w:rsidRDefault="005C3B9D" w:rsidP="008F5FE2">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97" w:history="1">
              <w:r w:rsidRPr="00765D4A">
                <w:rPr>
                  <w:rStyle w:val="Hyperlink"/>
                  <w:sz w:val="20"/>
                  <w:szCs w:val="20"/>
                </w:rPr>
                <w:t>3</w:t>
              </w:r>
              <w:r>
                <w:rPr>
                  <w:rStyle w:val="Hyperlink"/>
                  <w:sz w:val="20"/>
                  <w:szCs w:val="20"/>
                </w:rPr>
                <w:t>5982</w:t>
              </w:r>
            </w:hyperlink>
            <w:r w:rsidRPr="00765D4A">
              <w:rPr>
                <w:sz w:val="20"/>
                <w:szCs w:val="20"/>
              </w:rPr>
              <w:t>)</w:t>
            </w:r>
          </w:p>
          <w:p w:rsidR="005C3B9D" w:rsidRPr="00C50A5C" w:rsidRDefault="005C3B9D" w:rsidP="008F5FE2">
            <w:pPr>
              <w:widowControl w:val="0"/>
              <w:jc w:val="both"/>
              <w:rPr>
                <w:b/>
                <w:sz w:val="20"/>
                <w:szCs w:val="20"/>
              </w:rPr>
            </w:pPr>
          </w:p>
          <w:p w:rsidR="005C3B9D" w:rsidRDefault="005C3B9D" w:rsidP="008F5FE2">
            <w:pPr>
              <w:widowControl w:val="0"/>
              <w:jc w:val="both"/>
              <w:rPr>
                <w:b/>
                <w:sz w:val="20"/>
                <w:szCs w:val="20"/>
              </w:rPr>
            </w:pPr>
            <w:r>
              <w:rPr>
                <w:b/>
                <w:sz w:val="20"/>
                <w:szCs w:val="20"/>
              </w:rPr>
              <w:t>Her Majesty the Queen</w:t>
            </w:r>
            <w:r w:rsidRPr="00072C86">
              <w:rPr>
                <w:b/>
                <w:sz w:val="20"/>
                <w:szCs w:val="20"/>
              </w:rPr>
              <w:t xml:space="preserve"> (</w:t>
            </w:r>
            <w:r>
              <w:rPr>
                <w:b/>
                <w:sz w:val="20"/>
                <w:szCs w:val="20"/>
              </w:rPr>
              <w:t>B.C</w:t>
            </w:r>
            <w:r w:rsidRPr="00072C86">
              <w:rPr>
                <w:b/>
                <w:sz w:val="20"/>
                <w:szCs w:val="20"/>
              </w:rPr>
              <w:t xml:space="preserve">.) </w:t>
            </w:r>
            <w:r w:rsidRPr="00C50A5C">
              <w:rPr>
                <w:b/>
                <w:sz w:val="20"/>
                <w:szCs w:val="20"/>
              </w:rPr>
              <w:t>(C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w:t>
            </w:r>
          </w:p>
          <w:p w:rsidR="005C3B9D" w:rsidRPr="00893C7B" w:rsidRDefault="005C3B9D" w:rsidP="008F5FE2">
            <w:pPr>
              <w:widowControl w:val="0"/>
              <w:jc w:val="both"/>
              <w:rPr>
                <w:sz w:val="20"/>
                <w:szCs w:val="20"/>
              </w:rPr>
            </w:pPr>
            <w:r w:rsidRPr="00C50A5C">
              <w:rPr>
                <w:b/>
                <w:sz w:val="20"/>
                <w:szCs w:val="20"/>
              </w:rPr>
              <w:t>(</w:t>
            </w:r>
            <w:r>
              <w:rPr>
                <w:b/>
                <w:sz w:val="20"/>
                <w:szCs w:val="20"/>
              </w:rPr>
              <w:t>By Leave</w:t>
            </w:r>
            <w:r w:rsidRPr="00C50A5C">
              <w:rPr>
                <w:b/>
                <w:sz w:val="20"/>
                <w:szCs w:val="20"/>
              </w:rPr>
              <w:t>)</w:t>
            </w:r>
          </w:p>
        </w:tc>
        <w:tc>
          <w:tcPr>
            <w:tcW w:w="720" w:type="dxa"/>
            <w:tcMar>
              <w:left w:w="0" w:type="dxa"/>
              <w:right w:w="0" w:type="dxa"/>
            </w:tcMar>
          </w:tcPr>
          <w:p w:rsidR="005C3B9D" w:rsidRPr="00893C7B" w:rsidRDefault="005C3B9D" w:rsidP="008F5FE2">
            <w:pPr>
              <w:widowControl w:val="0"/>
              <w:jc w:val="center"/>
              <w:rPr>
                <w:sz w:val="20"/>
                <w:szCs w:val="20"/>
              </w:rPr>
            </w:pPr>
          </w:p>
        </w:tc>
        <w:tc>
          <w:tcPr>
            <w:tcW w:w="4380" w:type="dxa"/>
            <w:tcMar>
              <w:left w:w="0" w:type="dxa"/>
              <w:right w:w="0" w:type="dxa"/>
            </w:tcMar>
          </w:tcPr>
          <w:p w:rsidR="005C3B9D" w:rsidRDefault="005C3B9D" w:rsidP="008F5FE2">
            <w:pPr>
              <w:jc w:val="both"/>
              <w:rPr>
                <w:sz w:val="20"/>
                <w:szCs w:val="20"/>
              </w:rPr>
            </w:pPr>
            <w:r>
              <w:rPr>
                <w:sz w:val="20"/>
                <w:szCs w:val="20"/>
              </w:rPr>
              <w:t>David N. Fai and Jeffrey W. Beedell for the appellant.</w:t>
            </w:r>
          </w:p>
          <w:p w:rsidR="005C3B9D" w:rsidRDefault="005C3B9D" w:rsidP="008F5FE2">
            <w:pPr>
              <w:jc w:val="both"/>
              <w:rPr>
                <w:sz w:val="20"/>
                <w:szCs w:val="20"/>
              </w:rPr>
            </w:pPr>
          </w:p>
          <w:p w:rsidR="005C3B9D" w:rsidRDefault="005C3B9D" w:rsidP="008F5FE2">
            <w:pPr>
              <w:jc w:val="both"/>
              <w:rPr>
                <w:sz w:val="20"/>
                <w:szCs w:val="20"/>
              </w:rPr>
            </w:pPr>
            <w:r>
              <w:rPr>
                <w:sz w:val="20"/>
                <w:szCs w:val="20"/>
              </w:rPr>
              <w:t>Eric V. Gottardi and Mila Shah for the intervener Canadian Bar Association.</w:t>
            </w:r>
          </w:p>
          <w:p w:rsidR="005C3B9D" w:rsidRDefault="005C3B9D" w:rsidP="008F5FE2">
            <w:pPr>
              <w:jc w:val="both"/>
              <w:rPr>
                <w:sz w:val="20"/>
                <w:szCs w:val="20"/>
              </w:rPr>
            </w:pPr>
          </w:p>
          <w:p w:rsidR="005C3B9D" w:rsidRDefault="005C3B9D" w:rsidP="008F5FE2">
            <w:pPr>
              <w:jc w:val="both"/>
              <w:rPr>
                <w:sz w:val="20"/>
                <w:szCs w:val="20"/>
              </w:rPr>
            </w:pPr>
            <w:r>
              <w:rPr>
                <w:sz w:val="20"/>
                <w:szCs w:val="20"/>
              </w:rPr>
              <w:t>Faisal Mirza and Roger A. Love for the intervener African Canadian Legal Clinic.</w:t>
            </w:r>
          </w:p>
          <w:p w:rsidR="005C3B9D" w:rsidRDefault="005C3B9D" w:rsidP="008F5FE2">
            <w:pPr>
              <w:jc w:val="both"/>
              <w:rPr>
                <w:sz w:val="20"/>
                <w:szCs w:val="20"/>
              </w:rPr>
            </w:pPr>
          </w:p>
          <w:p w:rsidR="005C3B9D" w:rsidRDefault="005C3B9D" w:rsidP="008F5FE2">
            <w:pPr>
              <w:jc w:val="both"/>
              <w:rPr>
                <w:sz w:val="20"/>
                <w:szCs w:val="20"/>
              </w:rPr>
            </w:pPr>
            <w:r>
              <w:rPr>
                <w:sz w:val="20"/>
                <w:szCs w:val="20"/>
              </w:rPr>
              <w:t>Maia Tsurumi and Adrienne Smith for the interveners Pivot Legal Society et al.</w:t>
            </w:r>
          </w:p>
          <w:p w:rsidR="005C3B9D" w:rsidRDefault="005C3B9D" w:rsidP="008F5FE2">
            <w:pPr>
              <w:jc w:val="both"/>
              <w:rPr>
                <w:sz w:val="20"/>
                <w:szCs w:val="20"/>
              </w:rPr>
            </w:pPr>
          </w:p>
          <w:p w:rsidR="005C3B9D" w:rsidRDefault="005C3B9D" w:rsidP="008F5FE2">
            <w:pPr>
              <w:jc w:val="both"/>
              <w:rPr>
                <w:sz w:val="20"/>
                <w:szCs w:val="20"/>
              </w:rPr>
            </w:pPr>
            <w:r>
              <w:rPr>
                <w:sz w:val="20"/>
                <w:szCs w:val="20"/>
              </w:rPr>
              <w:t>Khalid Janmohamed and Ryan Peck for the interveners HIV &amp; AIDS Legal Clinic Ontario et al.</w:t>
            </w:r>
          </w:p>
          <w:p w:rsidR="005C3B9D" w:rsidRDefault="005C3B9D" w:rsidP="008F5FE2">
            <w:pPr>
              <w:jc w:val="both"/>
              <w:rPr>
                <w:sz w:val="20"/>
                <w:szCs w:val="20"/>
              </w:rPr>
            </w:pPr>
          </w:p>
          <w:p w:rsidR="005C3B9D" w:rsidRDefault="005C3B9D" w:rsidP="008F5FE2">
            <w:pPr>
              <w:jc w:val="both"/>
              <w:rPr>
                <w:sz w:val="20"/>
                <w:szCs w:val="20"/>
              </w:rPr>
            </w:pPr>
            <w:r>
              <w:rPr>
                <w:sz w:val="20"/>
                <w:szCs w:val="20"/>
              </w:rPr>
              <w:t>Matthew A. Nathanson for the interveners British Columbia Civil Liberties Association.</w:t>
            </w:r>
          </w:p>
          <w:p w:rsidR="005C3B9D" w:rsidRDefault="005C3B9D" w:rsidP="008F5FE2">
            <w:pPr>
              <w:jc w:val="both"/>
              <w:rPr>
                <w:sz w:val="20"/>
                <w:szCs w:val="20"/>
              </w:rPr>
            </w:pPr>
          </w:p>
          <w:p w:rsidR="005C3B9D" w:rsidRDefault="005C3B9D" w:rsidP="008F5FE2">
            <w:pPr>
              <w:jc w:val="both"/>
              <w:rPr>
                <w:sz w:val="20"/>
                <w:szCs w:val="20"/>
              </w:rPr>
            </w:pPr>
            <w:r>
              <w:rPr>
                <w:sz w:val="20"/>
                <w:szCs w:val="20"/>
              </w:rPr>
              <w:t>Dirk Derstine and Janani Shanmuganathan for the interveners Criminal Lawyers’ Association (Ontario).</w:t>
            </w:r>
          </w:p>
          <w:p w:rsidR="005C3B9D" w:rsidRDefault="005C3B9D" w:rsidP="008F5FE2">
            <w:pPr>
              <w:jc w:val="both"/>
              <w:rPr>
                <w:sz w:val="20"/>
                <w:szCs w:val="20"/>
              </w:rPr>
            </w:pPr>
          </w:p>
          <w:p w:rsidR="005C3B9D" w:rsidRDefault="005C3B9D" w:rsidP="008F5FE2">
            <w:pPr>
              <w:jc w:val="both"/>
              <w:rPr>
                <w:sz w:val="20"/>
                <w:szCs w:val="20"/>
              </w:rPr>
            </w:pPr>
            <w:r>
              <w:rPr>
                <w:sz w:val="20"/>
                <w:szCs w:val="20"/>
              </w:rPr>
              <w:t>Kasandra Cronin and Kendra Milne for the interveners West Coast Women’s Legal Education and Action Fund.</w:t>
            </w:r>
          </w:p>
          <w:p w:rsidR="005C3B9D" w:rsidRDefault="005C3B9D" w:rsidP="008F5FE2">
            <w:pPr>
              <w:jc w:val="both"/>
              <w:rPr>
                <w:sz w:val="20"/>
                <w:szCs w:val="20"/>
              </w:rPr>
            </w:pPr>
          </w:p>
          <w:p w:rsidR="005C3B9D" w:rsidRPr="00C50A5C" w:rsidRDefault="005C3B9D" w:rsidP="008F5FE2">
            <w:pPr>
              <w:jc w:val="both"/>
              <w:rPr>
                <w:sz w:val="20"/>
                <w:szCs w:val="20"/>
              </w:rPr>
            </w:pPr>
            <w:r>
              <w:rPr>
                <w:sz w:val="20"/>
                <w:szCs w:val="20"/>
              </w:rPr>
              <w:t>W. Paul Riley</w:t>
            </w:r>
            <w:r w:rsidR="00B26F8D">
              <w:rPr>
                <w:sz w:val="20"/>
                <w:szCs w:val="20"/>
              </w:rPr>
              <w:t>, Q.C.</w:t>
            </w:r>
            <w:r>
              <w:rPr>
                <w:sz w:val="20"/>
                <w:szCs w:val="20"/>
              </w:rPr>
              <w:t xml:space="preserve"> and Todd C. Gerhart for the respondent.</w:t>
            </w:r>
          </w:p>
        </w:tc>
      </w:tr>
    </w:tbl>
    <w:p w:rsidR="005C3B9D" w:rsidRPr="00FF4092" w:rsidRDefault="005C3B9D" w:rsidP="005C3B9D">
      <w:pPr>
        <w:widowControl w:val="0"/>
        <w:rPr>
          <w:b/>
          <w:sz w:val="20"/>
          <w:szCs w:val="20"/>
          <w:highlight w:val="yellow"/>
          <w:lang w:val="en-US"/>
        </w:rPr>
      </w:pPr>
    </w:p>
    <w:p w:rsidR="005C3B9D" w:rsidRPr="004542C3" w:rsidRDefault="005C3B9D" w:rsidP="005C3B9D">
      <w:pPr>
        <w:widowControl w:val="0"/>
        <w:rPr>
          <w:sz w:val="20"/>
          <w:szCs w:val="20"/>
          <w:lang w:val="fr-CA"/>
        </w:rPr>
      </w:pPr>
      <w:r w:rsidRPr="004542C3">
        <w:rPr>
          <w:b/>
          <w:sz w:val="20"/>
          <w:szCs w:val="20"/>
          <w:lang w:val="fr-CA"/>
        </w:rPr>
        <w:t>RESERVED / EN DÉLIBÉRÉ</w:t>
      </w:r>
    </w:p>
    <w:p w:rsidR="005C3B9D" w:rsidRPr="004542C3" w:rsidRDefault="005C3B9D" w:rsidP="005C3B9D">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B26F8D" w:rsidTr="008F5FE2">
        <w:tc>
          <w:tcPr>
            <w:tcW w:w="4380" w:type="dxa"/>
            <w:tcMar>
              <w:left w:w="0" w:type="dxa"/>
              <w:right w:w="0" w:type="dxa"/>
            </w:tcMar>
          </w:tcPr>
          <w:p w:rsidR="005C3B9D" w:rsidRPr="00CC4D84" w:rsidRDefault="005C3B9D" w:rsidP="008F5FE2">
            <w:pPr>
              <w:widowControl w:val="0"/>
              <w:jc w:val="both"/>
              <w:rPr>
                <w:b/>
                <w:sz w:val="20"/>
                <w:szCs w:val="20"/>
                <w:u w:val="single"/>
              </w:rPr>
            </w:pPr>
            <w:r w:rsidRPr="00CC4D84">
              <w:rPr>
                <w:b/>
                <w:sz w:val="20"/>
                <w:szCs w:val="20"/>
                <w:u w:val="single"/>
              </w:rPr>
              <w:t>Nature of the case:</w:t>
            </w:r>
          </w:p>
          <w:p w:rsidR="005C3B9D" w:rsidRPr="00C1697B" w:rsidRDefault="005C3B9D" w:rsidP="008F5FE2">
            <w:pPr>
              <w:widowControl w:val="0"/>
              <w:jc w:val="both"/>
              <w:rPr>
                <w:b/>
                <w:sz w:val="20"/>
                <w:szCs w:val="20"/>
              </w:rPr>
            </w:pPr>
          </w:p>
          <w:p w:rsidR="005C3B9D" w:rsidRPr="00986D16" w:rsidRDefault="005C3B9D" w:rsidP="008F5FE2">
            <w:pPr>
              <w:widowControl w:val="0"/>
              <w:jc w:val="both"/>
              <w:rPr>
                <w:b/>
                <w:sz w:val="20"/>
                <w:szCs w:val="20"/>
              </w:rPr>
            </w:pPr>
            <w:r w:rsidRPr="00986D16">
              <w:rPr>
                <w:i/>
                <w:sz w:val="20"/>
                <w:szCs w:val="20"/>
              </w:rPr>
              <w:t>Canadian Charter of Rights and Freedoms</w:t>
            </w:r>
            <w:r w:rsidRPr="00986D16">
              <w:rPr>
                <w:sz w:val="20"/>
                <w:szCs w:val="20"/>
              </w:rPr>
              <w:t xml:space="preserve"> - Criminal law - Cruel and unusual treatment or punishment - Mandatory minimum sentence - Section 5(3)(a)(i)(D) of the </w:t>
            </w:r>
            <w:r w:rsidRPr="00986D16">
              <w:rPr>
                <w:i/>
                <w:sz w:val="20"/>
                <w:szCs w:val="20"/>
              </w:rPr>
              <w:t>Controlled Drugs and Substances Act</w:t>
            </w:r>
            <w:r w:rsidRPr="00986D16">
              <w:rPr>
                <w:sz w:val="20"/>
                <w:szCs w:val="20"/>
              </w:rPr>
              <w:t xml:space="preserve"> S.C. 1996, c. 19 - Must a court find an inflationary effect on the sentence of the person bringing a s. 12 </w:t>
            </w:r>
            <w:r w:rsidRPr="00986D16">
              <w:rPr>
                <w:i/>
                <w:sz w:val="20"/>
                <w:szCs w:val="20"/>
              </w:rPr>
              <w:t>Charter</w:t>
            </w:r>
            <w:r w:rsidRPr="00986D16">
              <w:rPr>
                <w:sz w:val="20"/>
                <w:szCs w:val="20"/>
              </w:rPr>
              <w:t xml:space="preserve"> claim in order to consider the constitutionality of the mandatory minimum in issue - Does s. 5(3)(a)(i)(D) of the </w:t>
            </w:r>
            <w:r w:rsidRPr="00986D16">
              <w:rPr>
                <w:i/>
                <w:sz w:val="20"/>
                <w:szCs w:val="20"/>
              </w:rPr>
              <w:t>CDSA</w:t>
            </w:r>
            <w:r w:rsidRPr="00986D16">
              <w:rPr>
                <w:sz w:val="20"/>
                <w:szCs w:val="20"/>
              </w:rPr>
              <w:t xml:space="preserve"> violate ss. 7, 9 and 12 of the </w:t>
            </w:r>
            <w:r w:rsidRPr="00986D16">
              <w:rPr>
                <w:i/>
                <w:sz w:val="20"/>
                <w:szCs w:val="20"/>
              </w:rPr>
              <w:t>Charter</w:t>
            </w:r>
            <w:r w:rsidRPr="00986D16">
              <w:rPr>
                <w:sz w:val="20"/>
                <w:szCs w:val="20"/>
              </w:rPr>
              <w:t xml:space="preserve"> - Does the provincial court of British Columbia have jurisdiction to declare legislation to be of no force and effect if legislation is found to infringe a </w:t>
            </w:r>
            <w:r w:rsidRPr="00986D16">
              <w:rPr>
                <w:i/>
                <w:sz w:val="20"/>
                <w:szCs w:val="20"/>
              </w:rPr>
              <w:t>Charter</w:t>
            </w:r>
            <w:r w:rsidRPr="00986D16">
              <w:rPr>
                <w:sz w:val="20"/>
                <w:szCs w:val="20"/>
              </w:rPr>
              <w:t xml:space="preserve"> right - Should an appellate court disturb a sentence that is not demonstrably unfit as it is within the range of accepted sentence but at the low end of the range.</w:t>
            </w:r>
          </w:p>
        </w:tc>
        <w:tc>
          <w:tcPr>
            <w:tcW w:w="720" w:type="dxa"/>
            <w:tcMar>
              <w:left w:w="0" w:type="dxa"/>
              <w:right w:w="0" w:type="dxa"/>
            </w:tcMar>
          </w:tcPr>
          <w:p w:rsidR="005C3B9D" w:rsidRPr="00C1697B" w:rsidRDefault="005C3B9D" w:rsidP="008F5FE2">
            <w:pPr>
              <w:widowControl w:val="0"/>
              <w:jc w:val="center"/>
              <w:rPr>
                <w:sz w:val="20"/>
                <w:szCs w:val="20"/>
              </w:rPr>
            </w:pPr>
          </w:p>
        </w:tc>
        <w:tc>
          <w:tcPr>
            <w:tcW w:w="4380" w:type="dxa"/>
            <w:tcMar>
              <w:left w:w="0" w:type="dxa"/>
              <w:right w:w="0" w:type="dxa"/>
            </w:tcMar>
          </w:tcPr>
          <w:p w:rsidR="005C3B9D" w:rsidRPr="00CC4D84" w:rsidRDefault="005C3B9D" w:rsidP="008F5FE2">
            <w:pPr>
              <w:widowControl w:val="0"/>
              <w:jc w:val="both"/>
              <w:rPr>
                <w:b/>
                <w:sz w:val="20"/>
                <w:szCs w:val="20"/>
                <w:u w:val="single"/>
                <w:lang w:val="fr-CA"/>
              </w:rPr>
            </w:pPr>
            <w:r w:rsidRPr="00CC4D84">
              <w:rPr>
                <w:b/>
                <w:sz w:val="20"/>
                <w:szCs w:val="20"/>
                <w:u w:val="single"/>
                <w:lang w:val="fr-CA"/>
              </w:rPr>
              <w:t>Nature de la cause :</w:t>
            </w:r>
          </w:p>
          <w:p w:rsidR="005C3B9D" w:rsidRPr="004B5EC0" w:rsidRDefault="005C3B9D" w:rsidP="008F5FE2">
            <w:pPr>
              <w:widowControl w:val="0"/>
              <w:jc w:val="both"/>
              <w:rPr>
                <w:sz w:val="20"/>
                <w:szCs w:val="20"/>
                <w:lang w:val="fr-CA"/>
              </w:rPr>
            </w:pPr>
          </w:p>
          <w:p w:rsidR="005C3B9D" w:rsidRPr="00986D16" w:rsidRDefault="005C3B9D" w:rsidP="008F5FE2">
            <w:pPr>
              <w:widowControl w:val="0"/>
              <w:jc w:val="both"/>
              <w:rPr>
                <w:sz w:val="20"/>
                <w:szCs w:val="20"/>
                <w:lang w:val="fr-CA"/>
              </w:rPr>
            </w:pPr>
            <w:r w:rsidRPr="00986D16">
              <w:rPr>
                <w:i/>
                <w:sz w:val="20"/>
                <w:szCs w:val="20"/>
                <w:lang w:val="fr-CA"/>
              </w:rPr>
              <w:t xml:space="preserve">Charte canadienne des droits et libertés </w:t>
            </w:r>
            <w:r w:rsidRPr="00986D16">
              <w:rPr>
                <w:sz w:val="20"/>
                <w:szCs w:val="20"/>
                <w:lang w:val="fr-CA"/>
              </w:rPr>
              <w:t>- Droit criminel - Traitements et peines cruels et inusités - Peine minimale obligatoire - Division 5(3)</w:t>
            </w:r>
            <w:r w:rsidRPr="00986D16">
              <w:rPr>
                <w:i/>
                <w:sz w:val="20"/>
                <w:szCs w:val="20"/>
                <w:lang w:val="fr-CA"/>
              </w:rPr>
              <w:t>a</w:t>
            </w:r>
            <w:r w:rsidRPr="00986D16">
              <w:rPr>
                <w:sz w:val="20"/>
                <w:szCs w:val="20"/>
                <w:lang w:val="fr-CA"/>
              </w:rPr>
              <w:t xml:space="preserve">)(i)(D) de la </w:t>
            </w:r>
            <w:r w:rsidRPr="00986D16">
              <w:rPr>
                <w:i/>
                <w:sz w:val="20"/>
                <w:szCs w:val="20"/>
                <w:lang w:val="fr-CA"/>
              </w:rPr>
              <w:t>Loi réglementant certaines drogues et autres substances</w:t>
            </w:r>
            <w:r w:rsidRPr="00986D16">
              <w:rPr>
                <w:sz w:val="20"/>
                <w:szCs w:val="20"/>
                <w:lang w:val="fr-CA"/>
              </w:rPr>
              <w:t xml:space="preserve">, L.C. 1996, ch. 19 - Est-ce qu’une cour doit trouver un effet à la hausse relatif à la peine de la personne qui poursuit sur le fondement de la </w:t>
            </w:r>
            <w:r w:rsidRPr="00986D16">
              <w:rPr>
                <w:i/>
                <w:sz w:val="20"/>
                <w:szCs w:val="20"/>
                <w:lang w:val="fr-CA"/>
              </w:rPr>
              <w:t>Charte</w:t>
            </w:r>
            <w:r w:rsidRPr="00986D16">
              <w:rPr>
                <w:sz w:val="20"/>
                <w:szCs w:val="20"/>
                <w:lang w:val="fr-CA"/>
              </w:rPr>
              <w:t xml:space="preserve"> afin d’examiner la constitutionnalité de la peine minimale obligatoire en cause? - Est-ce que la division 5(3)</w:t>
            </w:r>
            <w:r w:rsidRPr="00986D16">
              <w:rPr>
                <w:i/>
                <w:sz w:val="20"/>
                <w:szCs w:val="20"/>
                <w:lang w:val="fr-CA"/>
              </w:rPr>
              <w:t>a</w:t>
            </w:r>
            <w:r w:rsidRPr="00986D16">
              <w:rPr>
                <w:sz w:val="20"/>
                <w:szCs w:val="20"/>
                <w:lang w:val="fr-CA"/>
              </w:rPr>
              <w:t xml:space="preserve">)(i)(D) de la </w:t>
            </w:r>
            <w:r w:rsidRPr="00986D16">
              <w:rPr>
                <w:i/>
                <w:sz w:val="20"/>
                <w:szCs w:val="20"/>
                <w:lang w:val="fr-CA"/>
              </w:rPr>
              <w:t xml:space="preserve">LRCDAS </w:t>
            </w:r>
            <w:r w:rsidRPr="00986D16">
              <w:rPr>
                <w:sz w:val="20"/>
                <w:szCs w:val="20"/>
                <w:lang w:val="fr-CA"/>
              </w:rPr>
              <w:t xml:space="preserve">viole les articles 7, 9 et 12 de la </w:t>
            </w:r>
            <w:r w:rsidRPr="00986D16">
              <w:rPr>
                <w:i/>
                <w:sz w:val="20"/>
                <w:szCs w:val="20"/>
                <w:lang w:val="fr-CA"/>
              </w:rPr>
              <w:t>Charte</w:t>
            </w:r>
            <w:r w:rsidRPr="00986D16">
              <w:rPr>
                <w:sz w:val="20"/>
                <w:szCs w:val="20"/>
                <w:lang w:val="fr-CA"/>
              </w:rPr>
              <w:t xml:space="preserve">? - Est-ce que la Cour provinciale de la Colombie-Britannique a compétence pour déclarer inopérante la législation qui enfreint un droit garanti par la </w:t>
            </w:r>
            <w:r w:rsidRPr="00986D16">
              <w:rPr>
                <w:i/>
                <w:sz w:val="20"/>
                <w:szCs w:val="20"/>
                <w:lang w:val="fr-CA"/>
              </w:rPr>
              <w:t>Charte</w:t>
            </w:r>
            <w:r w:rsidRPr="00986D16">
              <w:rPr>
                <w:sz w:val="20"/>
                <w:szCs w:val="20"/>
                <w:lang w:val="fr-CA"/>
              </w:rPr>
              <w:t>? - Est-ce qu’une cour d’appel devrait modifier une peine qui n’est pas manifestement inappropriée, puisqu’elle se situe dans la fourchette des peines qui peuvent être prononcées, même si elle est plutôt clémente?</w:t>
            </w:r>
          </w:p>
        </w:tc>
      </w:tr>
    </w:tbl>
    <w:p w:rsidR="005C3B9D" w:rsidRDefault="005C3B9D" w:rsidP="005C3B9D">
      <w:pPr>
        <w:widowControl w:val="0"/>
        <w:rPr>
          <w:sz w:val="20"/>
          <w:szCs w:val="20"/>
          <w:lang w:val="fr-CA"/>
        </w:rPr>
      </w:pPr>
    </w:p>
    <w:p w:rsidR="005C3B9D" w:rsidRDefault="00CD76E4" w:rsidP="005C3B9D">
      <w:pPr>
        <w:widowControl w:val="0"/>
        <w:rPr>
          <w:sz w:val="20"/>
          <w:szCs w:val="20"/>
          <w:lang w:val="fr-CA"/>
        </w:rPr>
      </w:pPr>
      <w:r>
        <w:rPr>
          <w:sz w:val="20"/>
          <w:szCs w:val="20"/>
          <w:lang w:val="fr-CA"/>
        </w:rPr>
        <w:pict>
          <v:rect id="_x0000_i1082" style="width:2in;height:1pt" o:hrpct="0" o:hralign="center" o:hrstd="t" o:hrnoshade="t" o:hr="t" fillcolor="black [3213]" stroked="f"/>
        </w:pict>
      </w:r>
    </w:p>
    <w:p w:rsidR="005C3B9D" w:rsidRPr="00C50A5C" w:rsidRDefault="005C3B9D" w:rsidP="005C3B9D">
      <w:pPr>
        <w:widowControl w:val="0"/>
        <w:rPr>
          <w:sz w:val="20"/>
          <w:szCs w:val="20"/>
        </w:rPr>
      </w:pPr>
      <w:bookmarkStart w:id="0" w:name="_GoBack"/>
      <w:bookmarkEnd w:id="0"/>
      <w:r>
        <w:rPr>
          <w:sz w:val="20"/>
          <w:szCs w:val="20"/>
        </w:rPr>
        <w:t>14</w:t>
      </w:r>
      <w:r w:rsidRPr="00C50A5C">
        <w:rPr>
          <w:sz w:val="20"/>
          <w:szCs w:val="20"/>
        </w:rPr>
        <w:t>.0</w:t>
      </w:r>
      <w:r>
        <w:rPr>
          <w:sz w:val="20"/>
          <w:szCs w:val="20"/>
        </w:rPr>
        <w:t>1</w:t>
      </w:r>
      <w:r w:rsidRPr="00C50A5C">
        <w:rPr>
          <w:sz w:val="20"/>
          <w:szCs w:val="20"/>
        </w:rPr>
        <w:t>.201</w:t>
      </w:r>
      <w:r>
        <w:rPr>
          <w:sz w:val="20"/>
          <w:szCs w:val="20"/>
        </w:rPr>
        <w:t>6</w:t>
      </w:r>
    </w:p>
    <w:p w:rsidR="005C3B9D" w:rsidRDefault="005C3B9D" w:rsidP="005C3B9D">
      <w:pPr>
        <w:widowControl w:val="0"/>
        <w:ind w:left="720" w:hanging="720"/>
        <w:rPr>
          <w:sz w:val="20"/>
          <w:szCs w:val="20"/>
          <w:u w:val="single"/>
        </w:rPr>
      </w:pPr>
      <w:r w:rsidRPr="00C50A5C">
        <w:rPr>
          <w:sz w:val="20"/>
          <w:szCs w:val="20"/>
        </w:rPr>
        <w:t xml:space="preserve">Coram: </w:t>
      </w:r>
      <w:r w:rsidRPr="00C50A5C">
        <w:rPr>
          <w:sz w:val="20"/>
          <w:szCs w:val="20"/>
        </w:rPr>
        <w:tab/>
      </w:r>
      <w:r w:rsidRPr="003824D3">
        <w:rPr>
          <w:sz w:val="20"/>
          <w:szCs w:val="20"/>
          <w:u w:val="single"/>
          <w:lang w:val="en-US"/>
        </w:rPr>
        <w:t>McLachlin C.J. and</w:t>
      </w:r>
      <w:r w:rsidRPr="00C50A5C">
        <w:rPr>
          <w:sz w:val="20"/>
          <w:szCs w:val="20"/>
          <w:u w:val="single"/>
        </w:rPr>
        <w:t xml:space="preserve"> </w:t>
      </w:r>
      <w:r>
        <w:rPr>
          <w:sz w:val="20"/>
          <w:szCs w:val="20"/>
          <w:u w:val="single"/>
        </w:rPr>
        <w:t xml:space="preserve">Abella, Moldaver, Karakatsanis, Wagner, Côté and Brown </w:t>
      </w:r>
      <w:r w:rsidRPr="00C50A5C">
        <w:rPr>
          <w:sz w:val="20"/>
          <w:szCs w:val="20"/>
          <w:u w:val="single"/>
        </w:rPr>
        <w:t>JJ.</w:t>
      </w:r>
    </w:p>
    <w:p w:rsidR="005C3B9D" w:rsidRPr="00C50A5C" w:rsidRDefault="005C3B9D" w:rsidP="005C3B9D">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C50A5C" w:rsidTr="008F5FE2">
        <w:tc>
          <w:tcPr>
            <w:tcW w:w="4380" w:type="dxa"/>
            <w:tcMar>
              <w:left w:w="0" w:type="dxa"/>
              <w:right w:w="0" w:type="dxa"/>
            </w:tcMar>
          </w:tcPr>
          <w:p w:rsidR="005C3B9D" w:rsidRPr="00C50A5C" w:rsidRDefault="005C3B9D" w:rsidP="008F5FE2">
            <w:pPr>
              <w:widowControl w:val="0"/>
              <w:jc w:val="both"/>
              <w:rPr>
                <w:b/>
                <w:sz w:val="20"/>
                <w:szCs w:val="20"/>
              </w:rPr>
            </w:pPr>
            <w:r>
              <w:rPr>
                <w:b/>
                <w:sz w:val="20"/>
                <w:szCs w:val="20"/>
              </w:rPr>
              <w:t>Worker’s Compensation Appeal Tribunal et al.</w:t>
            </w:r>
          </w:p>
          <w:p w:rsidR="005C3B9D" w:rsidRPr="00C50A5C" w:rsidRDefault="005C3B9D" w:rsidP="008F5FE2">
            <w:pPr>
              <w:widowControl w:val="0"/>
              <w:jc w:val="both"/>
              <w:rPr>
                <w:b/>
                <w:sz w:val="20"/>
                <w:szCs w:val="20"/>
              </w:rPr>
            </w:pPr>
          </w:p>
          <w:p w:rsidR="005C3B9D" w:rsidRPr="00C50A5C" w:rsidRDefault="005C3B9D" w:rsidP="008F5FE2">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98" w:history="1">
              <w:r w:rsidRPr="00765D4A">
                <w:rPr>
                  <w:rStyle w:val="Hyperlink"/>
                  <w:sz w:val="20"/>
                  <w:szCs w:val="20"/>
                </w:rPr>
                <w:t>3</w:t>
              </w:r>
              <w:r>
                <w:rPr>
                  <w:rStyle w:val="Hyperlink"/>
                  <w:sz w:val="20"/>
                  <w:szCs w:val="20"/>
                </w:rPr>
                <w:t>6300</w:t>
              </w:r>
            </w:hyperlink>
            <w:r w:rsidRPr="00765D4A">
              <w:rPr>
                <w:sz w:val="20"/>
                <w:szCs w:val="20"/>
              </w:rPr>
              <w:t>)</w:t>
            </w:r>
          </w:p>
          <w:p w:rsidR="005C3B9D" w:rsidRPr="00C50A5C" w:rsidRDefault="005C3B9D" w:rsidP="008F5FE2">
            <w:pPr>
              <w:widowControl w:val="0"/>
              <w:jc w:val="both"/>
              <w:rPr>
                <w:b/>
                <w:sz w:val="20"/>
                <w:szCs w:val="20"/>
              </w:rPr>
            </w:pPr>
          </w:p>
          <w:p w:rsidR="005C3B9D" w:rsidRDefault="005C3B9D" w:rsidP="008F5FE2">
            <w:pPr>
              <w:widowControl w:val="0"/>
              <w:jc w:val="both"/>
              <w:rPr>
                <w:b/>
                <w:sz w:val="20"/>
                <w:szCs w:val="20"/>
              </w:rPr>
            </w:pPr>
            <w:r>
              <w:rPr>
                <w:b/>
                <w:sz w:val="20"/>
                <w:szCs w:val="20"/>
              </w:rPr>
              <w:t>Fraser Health Authority et al.</w:t>
            </w:r>
            <w:r w:rsidRPr="00072C86">
              <w:rPr>
                <w:b/>
                <w:sz w:val="20"/>
                <w:szCs w:val="20"/>
              </w:rPr>
              <w:t xml:space="preserve"> (</w:t>
            </w:r>
            <w:r>
              <w:rPr>
                <w:b/>
                <w:sz w:val="20"/>
                <w:szCs w:val="20"/>
              </w:rPr>
              <w:t>B.C</w:t>
            </w:r>
            <w:r w:rsidRPr="00072C86">
              <w:rPr>
                <w:b/>
                <w:sz w:val="20"/>
                <w:szCs w:val="20"/>
              </w:rPr>
              <w:t xml:space="preserve">.) </w:t>
            </w:r>
            <w:r w:rsidRPr="00C50A5C">
              <w:rPr>
                <w:b/>
                <w:sz w:val="20"/>
                <w:szCs w:val="20"/>
              </w:rPr>
              <w:t>(Ci</w:t>
            </w:r>
            <w:r>
              <w:rPr>
                <w:b/>
                <w:sz w:val="20"/>
                <w:szCs w:val="20"/>
              </w:rPr>
              <w:t>v</w:t>
            </w:r>
            <w:r w:rsidRPr="00C50A5C">
              <w:rPr>
                <w:b/>
                <w:sz w:val="20"/>
                <w:szCs w:val="20"/>
              </w:rPr>
              <w:t>il)</w:t>
            </w:r>
          </w:p>
          <w:p w:rsidR="005C3B9D" w:rsidRPr="00893C7B" w:rsidRDefault="005C3B9D" w:rsidP="008F5FE2">
            <w:pPr>
              <w:widowControl w:val="0"/>
              <w:jc w:val="both"/>
              <w:rPr>
                <w:sz w:val="20"/>
                <w:szCs w:val="20"/>
              </w:rPr>
            </w:pPr>
            <w:r w:rsidRPr="00C50A5C">
              <w:rPr>
                <w:b/>
                <w:sz w:val="20"/>
                <w:szCs w:val="20"/>
              </w:rPr>
              <w:t>(</w:t>
            </w:r>
            <w:r>
              <w:rPr>
                <w:b/>
                <w:sz w:val="20"/>
                <w:szCs w:val="20"/>
              </w:rPr>
              <w:t>By Leave</w:t>
            </w:r>
            <w:r w:rsidRPr="00C50A5C">
              <w:rPr>
                <w:b/>
                <w:sz w:val="20"/>
                <w:szCs w:val="20"/>
              </w:rPr>
              <w:t>)</w:t>
            </w:r>
          </w:p>
        </w:tc>
        <w:tc>
          <w:tcPr>
            <w:tcW w:w="720" w:type="dxa"/>
            <w:tcMar>
              <w:left w:w="0" w:type="dxa"/>
              <w:right w:w="0" w:type="dxa"/>
            </w:tcMar>
          </w:tcPr>
          <w:p w:rsidR="005C3B9D" w:rsidRPr="00893C7B" w:rsidRDefault="005C3B9D" w:rsidP="008F5FE2">
            <w:pPr>
              <w:widowControl w:val="0"/>
              <w:jc w:val="center"/>
              <w:rPr>
                <w:sz w:val="20"/>
                <w:szCs w:val="20"/>
              </w:rPr>
            </w:pPr>
          </w:p>
        </w:tc>
        <w:tc>
          <w:tcPr>
            <w:tcW w:w="4380" w:type="dxa"/>
            <w:tcMar>
              <w:left w:w="0" w:type="dxa"/>
              <w:right w:w="0" w:type="dxa"/>
            </w:tcMar>
          </w:tcPr>
          <w:p w:rsidR="005D2B87" w:rsidRDefault="005D2B87" w:rsidP="008F5FE2">
            <w:pPr>
              <w:jc w:val="both"/>
              <w:rPr>
                <w:sz w:val="20"/>
                <w:szCs w:val="20"/>
              </w:rPr>
            </w:pPr>
            <w:r>
              <w:rPr>
                <w:sz w:val="20"/>
                <w:szCs w:val="20"/>
              </w:rPr>
              <w:t>Tonie Beharrell, Randall J. Noonan and Kaity Cooper for the a</w:t>
            </w:r>
            <w:r w:rsidRPr="005D2B87">
              <w:rPr>
                <w:sz w:val="20"/>
                <w:szCs w:val="20"/>
              </w:rPr>
              <w:t xml:space="preserve">ppellants / </w:t>
            </w:r>
            <w:r>
              <w:rPr>
                <w:sz w:val="20"/>
                <w:szCs w:val="20"/>
              </w:rPr>
              <w:t>r</w:t>
            </w:r>
            <w:r w:rsidRPr="005D2B87">
              <w:rPr>
                <w:sz w:val="20"/>
                <w:szCs w:val="20"/>
              </w:rPr>
              <w:t xml:space="preserve">espondents </w:t>
            </w:r>
            <w:r>
              <w:rPr>
                <w:sz w:val="20"/>
                <w:szCs w:val="20"/>
              </w:rPr>
              <w:t xml:space="preserve">Katrina Hammer et al </w:t>
            </w:r>
          </w:p>
          <w:p w:rsidR="005D2B87" w:rsidRDefault="005D2B87" w:rsidP="008F5FE2">
            <w:pPr>
              <w:jc w:val="both"/>
              <w:rPr>
                <w:sz w:val="20"/>
                <w:szCs w:val="20"/>
              </w:rPr>
            </w:pPr>
          </w:p>
          <w:p w:rsidR="005C3B9D" w:rsidRDefault="005C3B9D" w:rsidP="008F5FE2">
            <w:pPr>
              <w:jc w:val="both"/>
              <w:rPr>
                <w:sz w:val="20"/>
                <w:szCs w:val="20"/>
              </w:rPr>
            </w:pPr>
            <w:r>
              <w:rPr>
                <w:sz w:val="20"/>
                <w:szCs w:val="20"/>
              </w:rPr>
              <w:t>Timothy J. Martiniuk and Jeremy Thomas Lovell for the appellant/respondent Workers’ Compensation Appeal Tribunal.</w:t>
            </w:r>
          </w:p>
          <w:p w:rsidR="005C3B9D" w:rsidRDefault="005C3B9D" w:rsidP="008F5FE2">
            <w:pPr>
              <w:jc w:val="both"/>
              <w:rPr>
                <w:sz w:val="20"/>
                <w:szCs w:val="20"/>
              </w:rPr>
            </w:pPr>
          </w:p>
          <w:p w:rsidR="005D2B87" w:rsidRDefault="005D2B87" w:rsidP="005D2B87">
            <w:pPr>
              <w:jc w:val="both"/>
              <w:rPr>
                <w:sz w:val="20"/>
                <w:szCs w:val="20"/>
              </w:rPr>
            </w:pPr>
            <w:r>
              <w:rPr>
                <w:sz w:val="20"/>
                <w:szCs w:val="20"/>
              </w:rPr>
              <w:t>Sara Blake and Sandra Nishikawa for the intervener Attorney General for Ontario.</w:t>
            </w:r>
          </w:p>
          <w:p w:rsidR="005C3B9D" w:rsidRDefault="005C3B9D" w:rsidP="008F5FE2">
            <w:pPr>
              <w:jc w:val="both"/>
              <w:rPr>
                <w:sz w:val="20"/>
                <w:szCs w:val="20"/>
              </w:rPr>
            </w:pPr>
          </w:p>
          <w:p w:rsidR="005C3B9D" w:rsidRDefault="005D2B87" w:rsidP="008F5FE2">
            <w:pPr>
              <w:jc w:val="both"/>
              <w:rPr>
                <w:sz w:val="20"/>
                <w:szCs w:val="20"/>
              </w:rPr>
            </w:pPr>
            <w:r>
              <w:rPr>
                <w:sz w:val="20"/>
                <w:szCs w:val="20"/>
              </w:rPr>
              <w:t>Monique Pongracic-Speier for the interveners Community Legal Assistance Society et al.</w:t>
            </w:r>
          </w:p>
          <w:p w:rsidR="005D2B87" w:rsidRDefault="005D2B87" w:rsidP="008F5FE2">
            <w:pPr>
              <w:jc w:val="both"/>
              <w:rPr>
                <w:sz w:val="20"/>
                <w:szCs w:val="20"/>
              </w:rPr>
            </w:pPr>
          </w:p>
          <w:p w:rsidR="005C3B9D" w:rsidRDefault="005C3B9D" w:rsidP="008F5FE2">
            <w:pPr>
              <w:jc w:val="both"/>
              <w:rPr>
                <w:sz w:val="20"/>
                <w:szCs w:val="20"/>
              </w:rPr>
            </w:pPr>
            <w:r>
              <w:rPr>
                <w:sz w:val="20"/>
                <w:szCs w:val="20"/>
              </w:rPr>
              <w:t>Nazeer T. Mitha</w:t>
            </w:r>
            <w:r w:rsidR="00316871">
              <w:rPr>
                <w:sz w:val="20"/>
                <w:szCs w:val="20"/>
              </w:rPr>
              <w:t>, Dianne D. Rideout and Erin Cu</w:t>
            </w:r>
            <w:r>
              <w:rPr>
                <w:sz w:val="20"/>
                <w:szCs w:val="20"/>
              </w:rPr>
              <w:t>tler for the respondent Fraser Health Authority.</w:t>
            </w:r>
          </w:p>
          <w:p w:rsidR="005C3B9D" w:rsidRDefault="005C3B9D" w:rsidP="008F5FE2">
            <w:pPr>
              <w:jc w:val="both"/>
              <w:rPr>
                <w:sz w:val="20"/>
                <w:szCs w:val="20"/>
              </w:rPr>
            </w:pPr>
          </w:p>
          <w:p w:rsidR="005C3B9D" w:rsidRPr="00C50A5C" w:rsidRDefault="005C3B9D" w:rsidP="008F5FE2">
            <w:pPr>
              <w:jc w:val="both"/>
              <w:rPr>
                <w:sz w:val="20"/>
                <w:szCs w:val="20"/>
              </w:rPr>
            </w:pPr>
            <w:r>
              <w:rPr>
                <w:sz w:val="20"/>
                <w:szCs w:val="20"/>
              </w:rPr>
              <w:t>Christine Mohr and Alexander Pless for the interve</w:t>
            </w:r>
            <w:r w:rsidR="005D2B87">
              <w:rPr>
                <w:sz w:val="20"/>
                <w:szCs w:val="20"/>
              </w:rPr>
              <w:t>ner Attorney General of Canada.</w:t>
            </w:r>
          </w:p>
        </w:tc>
      </w:tr>
    </w:tbl>
    <w:p w:rsidR="005C3B9D" w:rsidRPr="005E31A3" w:rsidRDefault="005C3B9D" w:rsidP="005C3B9D">
      <w:pPr>
        <w:widowControl w:val="0"/>
        <w:rPr>
          <w:sz w:val="20"/>
          <w:szCs w:val="20"/>
        </w:rPr>
      </w:pPr>
    </w:p>
    <w:p w:rsidR="005C3B9D" w:rsidRPr="0085476B" w:rsidRDefault="005C3B9D" w:rsidP="005C3B9D">
      <w:pPr>
        <w:widowControl w:val="0"/>
        <w:rPr>
          <w:sz w:val="20"/>
          <w:szCs w:val="20"/>
        </w:rPr>
      </w:pPr>
      <w:r w:rsidRPr="008F5FE2">
        <w:rPr>
          <w:b/>
          <w:sz w:val="20"/>
          <w:szCs w:val="20"/>
        </w:rPr>
        <w:t xml:space="preserve">RESERVED / </w:t>
      </w:r>
      <w:r w:rsidRPr="008F5FE2">
        <w:rPr>
          <w:b/>
          <w:sz w:val="20"/>
          <w:szCs w:val="20"/>
          <w:lang w:val="fr-CA"/>
        </w:rPr>
        <w:t>EN DÉLIBÉRÉ</w:t>
      </w:r>
    </w:p>
    <w:p w:rsidR="005C3B9D" w:rsidRPr="005E31A3" w:rsidRDefault="005C3B9D" w:rsidP="005C3B9D">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C3B9D" w:rsidRPr="00B26F8D" w:rsidTr="008F5FE2">
        <w:tc>
          <w:tcPr>
            <w:tcW w:w="4380" w:type="dxa"/>
            <w:tcMar>
              <w:left w:w="0" w:type="dxa"/>
              <w:right w:w="0" w:type="dxa"/>
            </w:tcMar>
          </w:tcPr>
          <w:p w:rsidR="005C3B9D" w:rsidRPr="00CC4D84" w:rsidRDefault="005C3B9D" w:rsidP="008F5FE2">
            <w:pPr>
              <w:widowControl w:val="0"/>
              <w:jc w:val="both"/>
              <w:rPr>
                <w:b/>
                <w:sz w:val="20"/>
                <w:szCs w:val="20"/>
                <w:u w:val="single"/>
              </w:rPr>
            </w:pPr>
            <w:r w:rsidRPr="00CC4D84">
              <w:rPr>
                <w:b/>
                <w:sz w:val="20"/>
                <w:szCs w:val="20"/>
                <w:u w:val="single"/>
              </w:rPr>
              <w:t>Nature of the case:</w:t>
            </w:r>
          </w:p>
          <w:p w:rsidR="005C3B9D" w:rsidRPr="009D1019" w:rsidRDefault="005C3B9D" w:rsidP="008F5FE2">
            <w:pPr>
              <w:widowControl w:val="0"/>
              <w:jc w:val="both"/>
              <w:rPr>
                <w:b/>
                <w:sz w:val="20"/>
                <w:szCs w:val="20"/>
              </w:rPr>
            </w:pPr>
          </w:p>
          <w:p w:rsidR="005C3B9D" w:rsidRPr="00986D16" w:rsidRDefault="005C3B9D" w:rsidP="008F5FE2">
            <w:pPr>
              <w:widowControl w:val="0"/>
              <w:jc w:val="both"/>
              <w:rPr>
                <w:b/>
                <w:sz w:val="20"/>
                <w:szCs w:val="20"/>
              </w:rPr>
            </w:pPr>
            <w:r w:rsidRPr="009D1019">
              <w:rPr>
                <w:sz w:val="20"/>
                <w:szCs w:val="20"/>
              </w:rPr>
              <w:t xml:space="preserve">Administrative law - Boards and tribunals - Jurisdiction - Appeals - Judicial review - Standard of review - Workers’ Compensation - Causation - Did the Court of Appeal err in concluding that it is patently unreasonable to conclude that section 253.1(5) of the Act permits WCAT to reopen an appeal to cure a patently unreasonable error - Did the Court of Appeal err in concluding that it is patently unreasonable to conclude that a panel other than the original panel may reopen an appeal to cure a jurisdictional defect - Did the Court of Appeal err in concluding that if there is a valid reconsideration decision, the object of judicial review is solely the reconsideration decision - Did the Court of Appeal err in concluding that if the reconsideration decision is the object of review, the standard of judicial review of that decision is patent unreasonableness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9D1019">
              <w:rPr>
                <w:i/>
                <w:sz w:val="20"/>
                <w:szCs w:val="20"/>
              </w:rPr>
              <w:t>Workers’ Compensation Act</w:t>
            </w:r>
            <w:r w:rsidRPr="009D1019">
              <w:rPr>
                <w:sz w:val="20"/>
                <w:szCs w:val="20"/>
              </w:rPr>
              <w:t>, R.S.B.C. 1996, c. 492.</w:t>
            </w:r>
          </w:p>
        </w:tc>
        <w:tc>
          <w:tcPr>
            <w:tcW w:w="720" w:type="dxa"/>
            <w:tcMar>
              <w:left w:w="0" w:type="dxa"/>
              <w:right w:w="0" w:type="dxa"/>
            </w:tcMar>
          </w:tcPr>
          <w:p w:rsidR="005C3B9D" w:rsidRPr="00C1697B" w:rsidRDefault="005C3B9D" w:rsidP="008F5FE2">
            <w:pPr>
              <w:widowControl w:val="0"/>
              <w:jc w:val="center"/>
              <w:rPr>
                <w:sz w:val="20"/>
                <w:szCs w:val="20"/>
              </w:rPr>
            </w:pPr>
          </w:p>
        </w:tc>
        <w:tc>
          <w:tcPr>
            <w:tcW w:w="4380" w:type="dxa"/>
            <w:tcMar>
              <w:left w:w="0" w:type="dxa"/>
              <w:right w:w="0" w:type="dxa"/>
            </w:tcMar>
          </w:tcPr>
          <w:p w:rsidR="005C3B9D" w:rsidRPr="009D1019" w:rsidRDefault="005C3B9D" w:rsidP="008F5FE2">
            <w:pPr>
              <w:widowControl w:val="0"/>
              <w:jc w:val="both"/>
              <w:rPr>
                <w:b/>
                <w:sz w:val="20"/>
                <w:szCs w:val="20"/>
                <w:u w:val="single"/>
                <w:lang w:val="fr-CA"/>
              </w:rPr>
            </w:pPr>
            <w:r w:rsidRPr="009D1019">
              <w:rPr>
                <w:b/>
                <w:sz w:val="20"/>
                <w:szCs w:val="20"/>
                <w:u w:val="single"/>
                <w:lang w:val="fr-CA"/>
              </w:rPr>
              <w:t>Nature de la cause :</w:t>
            </w:r>
          </w:p>
          <w:p w:rsidR="005C3B9D" w:rsidRPr="009D1019" w:rsidRDefault="005C3B9D" w:rsidP="008F5FE2">
            <w:pPr>
              <w:widowControl w:val="0"/>
              <w:jc w:val="both"/>
              <w:rPr>
                <w:sz w:val="20"/>
                <w:szCs w:val="20"/>
                <w:lang w:val="fr-CA"/>
              </w:rPr>
            </w:pPr>
          </w:p>
          <w:p w:rsidR="005C3B9D" w:rsidRPr="009D1019" w:rsidRDefault="005C3B9D" w:rsidP="008F5FE2">
            <w:pPr>
              <w:widowControl w:val="0"/>
              <w:jc w:val="both"/>
              <w:rPr>
                <w:sz w:val="20"/>
                <w:szCs w:val="20"/>
                <w:lang w:val="fr-CA"/>
              </w:rPr>
            </w:pPr>
            <w:r w:rsidRPr="009D1019">
              <w:rPr>
                <w:sz w:val="20"/>
                <w:szCs w:val="20"/>
                <w:lang w:val="fr-CA"/>
              </w:rPr>
              <w:t xml:space="preserve">Droit administratif - Organismes et tribunaux administratifs - Compétence - Appels - Contrôle judiciaire - Norme de contrôle - Accidents du travail - Lien de causalité - La Cour d’appel a-t-elle eu tort de conclure qu’il était manifestement déraisonnable de conclure que le par. 253.1(5) de la loi permet au tribunal des accidents du travail de rouvrir un appel pour corriger une erreur manifestement déraisonnable? - La Cour d’appel a-t-elle eu tort de conclure qu’il était manifestement déraisonnable de conclure qu’une autre formation que la formation initiale peut rouvrir un appel pour corriger un vice de compétence? - La Cour d’appel a-t-elle eu tort de conclure que si une décision valide a été rendue à l’égard de la demande de réexamen, le contrôle judiciaire a pour seul objet cette décision? - La Cour d’appel a-t-elle eu tort de conclure que si la décision rendue à l’égard de la demande de réexamen était l’objet du contrôle, la norme de contrôle judiciaire de cette décision est celle de la décision manifestement déraisonnable?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r w:rsidRPr="009D1019">
              <w:rPr>
                <w:i/>
                <w:sz w:val="20"/>
                <w:szCs w:val="20"/>
                <w:lang w:val="fr-CA"/>
              </w:rPr>
              <w:t>Workers’ Compensation Act</w:t>
            </w:r>
            <w:r w:rsidRPr="009D1019">
              <w:rPr>
                <w:sz w:val="20"/>
                <w:szCs w:val="20"/>
                <w:lang w:val="fr-CA"/>
              </w:rPr>
              <w:t>, R.S.B.C. 1996, ch. 492.</w:t>
            </w:r>
          </w:p>
        </w:tc>
      </w:tr>
    </w:tbl>
    <w:p w:rsidR="005C3B9D" w:rsidRDefault="00CD76E4" w:rsidP="005C3B9D">
      <w:pPr>
        <w:widowControl w:val="0"/>
        <w:rPr>
          <w:sz w:val="20"/>
          <w:szCs w:val="20"/>
          <w:lang w:val="fr-CA"/>
        </w:rPr>
      </w:pPr>
      <w:r>
        <w:rPr>
          <w:sz w:val="20"/>
          <w:szCs w:val="20"/>
          <w:lang w:val="fr-CA"/>
        </w:rPr>
        <w:pict>
          <v:rect id="_x0000_i1083"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26F8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5C3B9D" w:rsidRPr="003B3977" w:rsidRDefault="005C3B9D" w:rsidP="005C3B9D">
      <w:pPr>
        <w:rPr>
          <w:b/>
          <w:sz w:val="20"/>
          <w:szCs w:val="20"/>
          <w:lang w:val="fr-CA"/>
        </w:rPr>
      </w:pPr>
    </w:p>
    <w:p w:rsidR="005C3B9D" w:rsidRPr="005C3B9D" w:rsidRDefault="005C3B9D" w:rsidP="005C3B9D">
      <w:pPr>
        <w:rPr>
          <w:b/>
          <w:sz w:val="20"/>
          <w:szCs w:val="20"/>
          <w:lang w:val="en-US"/>
        </w:rPr>
      </w:pPr>
      <w:r w:rsidRPr="005C3B9D">
        <w:rPr>
          <w:b/>
          <w:sz w:val="20"/>
          <w:szCs w:val="20"/>
          <w:lang w:val="en-US"/>
        </w:rPr>
        <w:t>JANUARY 15, 2016 / LE 15 JANVIER 2016</w:t>
      </w:r>
    </w:p>
    <w:p w:rsidR="005C3B9D" w:rsidRPr="005C3B9D" w:rsidRDefault="005C3B9D" w:rsidP="005C3B9D">
      <w:pPr>
        <w:rPr>
          <w:sz w:val="20"/>
          <w:szCs w:val="20"/>
          <w:lang w:val="en-US"/>
        </w:rPr>
      </w:pPr>
    </w:p>
    <w:p w:rsidR="00146A70" w:rsidRPr="00146A70" w:rsidRDefault="00146A70" w:rsidP="00146A70">
      <w:pPr>
        <w:ind w:left="1440" w:hanging="1440"/>
        <w:jc w:val="both"/>
        <w:rPr>
          <w:rFonts w:eastAsia="Times New Roman" w:cs="Times New Roman"/>
          <w:sz w:val="20"/>
          <w:szCs w:val="20"/>
          <w:lang w:val="en-US"/>
        </w:rPr>
      </w:pPr>
      <w:r w:rsidRPr="00146A70">
        <w:rPr>
          <w:rFonts w:eastAsia="Times New Roman" w:cs="Times New Roman"/>
          <w:b/>
          <w:sz w:val="20"/>
          <w:szCs w:val="20"/>
          <w:lang w:val="en-US"/>
        </w:rPr>
        <w:fldChar w:fldCharType="begin"/>
      </w:r>
      <w:r w:rsidRPr="00146A70">
        <w:rPr>
          <w:rFonts w:eastAsia="Times New Roman" w:cs="Times New Roman"/>
          <w:b/>
          <w:sz w:val="20"/>
          <w:szCs w:val="20"/>
          <w:lang w:val="en-US"/>
        </w:rPr>
        <w:instrText xml:space="preserve"> SEQ CHAPTER \h \r 1</w:instrText>
      </w:r>
      <w:r w:rsidRPr="00146A70">
        <w:rPr>
          <w:rFonts w:eastAsia="Times New Roman" w:cs="Times New Roman"/>
          <w:b/>
          <w:sz w:val="20"/>
          <w:szCs w:val="20"/>
          <w:lang w:val="en-US"/>
        </w:rPr>
        <w:fldChar w:fldCharType="end"/>
      </w:r>
      <w:r w:rsidRPr="00146A70">
        <w:rPr>
          <w:rFonts w:eastAsia="Times New Roman" w:cs="Times New Roman"/>
          <w:b/>
          <w:sz w:val="20"/>
          <w:szCs w:val="20"/>
          <w:lang w:val="en-US"/>
        </w:rPr>
        <w:t>36223</w:t>
      </w:r>
      <w:r w:rsidRPr="00146A70">
        <w:rPr>
          <w:rFonts w:eastAsia="Times New Roman" w:cs="Times New Roman"/>
          <w:color w:val="FF0000"/>
          <w:sz w:val="20"/>
          <w:szCs w:val="20"/>
          <w:lang w:val="en-US"/>
        </w:rPr>
        <w:tab/>
      </w:r>
      <w:r w:rsidRPr="00146A70">
        <w:rPr>
          <w:rFonts w:eastAsia="Times New Roman" w:cs="Times New Roman"/>
          <w:b/>
          <w:sz w:val="20"/>
          <w:szCs w:val="20"/>
          <w:u w:val="single"/>
          <w:lang w:val="en-US"/>
        </w:rPr>
        <w:t>Canadian Pacific Railway Company v. Attorney General of Canada and Canadian Transportation Agency – and – Railway Association of Canada</w:t>
      </w:r>
      <w:r w:rsidRPr="00146A70">
        <w:rPr>
          <w:rFonts w:eastAsia="Times New Roman" w:cs="Times New Roman"/>
          <w:b/>
          <w:sz w:val="20"/>
          <w:szCs w:val="20"/>
          <w:lang w:val="en-US"/>
        </w:rPr>
        <w:t xml:space="preserve"> </w:t>
      </w:r>
      <w:r w:rsidRPr="00146A70">
        <w:rPr>
          <w:rFonts w:eastAsia="Times New Roman" w:cs="Times New Roman"/>
          <w:iCs/>
          <w:sz w:val="20"/>
          <w:szCs w:val="20"/>
          <w:lang w:val="en-US"/>
        </w:rPr>
        <w:t>(F.C.)</w:t>
      </w:r>
    </w:p>
    <w:p w:rsidR="00146A70" w:rsidRPr="00146A70" w:rsidRDefault="00146A70" w:rsidP="00146A70">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146A70">
        <w:rPr>
          <w:rFonts w:eastAsia="Times New Roman" w:cs="Times New Roman"/>
          <w:b/>
          <w:sz w:val="20"/>
          <w:szCs w:val="20"/>
          <w:lang w:val="en-US"/>
        </w:rPr>
        <w:t>2016 SCC 1 / 2016 CSC 1</w:t>
      </w:r>
    </w:p>
    <w:p w:rsidR="00146A70" w:rsidRPr="00146A70" w:rsidRDefault="00146A70" w:rsidP="00146A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146A70" w:rsidRPr="00146A70" w:rsidRDefault="00146A70" w:rsidP="00146A70">
      <w:pPr>
        <w:ind w:left="1440" w:hanging="1440"/>
        <w:rPr>
          <w:rFonts w:eastAsia="Times New Roman" w:cs="Times New Roman"/>
          <w:sz w:val="20"/>
          <w:szCs w:val="20"/>
          <w:u w:val="single"/>
          <w:lang w:val="en-US"/>
        </w:rPr>
      </w:pPr>
      <w:r w:rsidRPr="00146A70">
        <w:rPr>
          <w:rFonts w:eastAsia="Times New Roman" w:cs="Times New Roman"/>
          <w:sz w:val="20"/>
          <w:szCs w:val="20"/>
          <w:lang w:val="en-US"/>
        </w:rPr>
        <w:t>Coram:</w:t>
      </w:r>
      <w:r w:rsidRPr="00146A70">
        <w:rPr>
          <w:rFonts w:eastAsia="Times New Roman" w:cs="Times New Roman"/>
          <w:sz w:val="20"/>
          <w:szCs w:val="20"/>
          <w:lang w:val="en-US"/>
        </w:rPr>
        <w:tab/>
      </w:r>
      <w:r w:rsidRPr="00146A70">
        <w:rPr>
          <w:rFonts w:eastAsia="Times New Roman" w:cs="Times New Roman"/>
          <w:sz w:val="20"/>
          <w:szCs w:val="20"/>
          <w:u w:val="single"/>
          <w:lang w:val="en-US"/>
        </w:rPr>
        <w:t xml:space="preserve">McLachlin C.J. and Abella, Cromwell, Moldaver, Karakatsanis, Wagner, Gascon, Côté and Brown JJ. </w:t>
      </w:r>
    </w:p>
    <w:p w:rsidR="00146A70" w:rsidRPr="00146A70" w:rsidRDefault="00146A70" w:rsidP="00146A70">
      <w:pPr>
        <w:ind w:left="1440" w:hanging="1440"/>
        <w:jc w:val="both"/>
        <w:rPr>
          <w:rFonts w:eastAsia="Times New Roman" w:cs="Times New Roman"/>
          <w:sz w:val="20"/>
          <w:szCs w:val="20"/>
          <w:u w:val="single"/>
          <w:lang w:val="en-US"/>
        </w:rPr>
      </w:pPr>
    </w:p>
    <w:p w:rsidR="00146A70" w:rsidRPr="00146A70" w:rsidRDefault="00146A70" w:rsidP="00146A70">
      <w:pPr>
        <w:jc w:val="both"/>
        <w:rPr>
          <w:sz w:val="20"/>
          <w:szCs w:val="20"/>
        </w:rPr>
      </w:pPr>
      <w:r w:rsidRPr="00146A70">
        <w:rPr>
          <w:sz w:val="20"/>
          <w:szCs w:val="20"/>
        </w:rPr>
        <w:t>The appeal from the judgment of the Federal Court of Appeal, Number 14-A-56, dated October 28, 2014, heard on December 9, 2015, is dismissed with costs to the Attorney General of Canada.</w:t>
      </w:r>
    </w:p>
    <w:p w:rsidR="00146A70" w:rsidRPr="00146A70" w:rsidRDefault="00146A70" w:rsidP="00146A70">
      <w:pPr>
        <w:jc w:val="both"/>
        <w:rPr>
          <w:sz w:val="20"/>
          <w:szCs w:val="20"/>
        </w:rPr>
      </w:pPr>
    </w:p>
    <w:p w:rsidR="00146A70" w:rsidRPr="00146A70" w:rsidRDefault="00146A70" w:rsidP="00146A70">
      <w:pPr>
        <w:jc w:val="both"/>
        <w:rPr>
          <w:sz w:val="20"/>
          <w:szCs w:val="20"/>
          <w:lang w:val="fr-CA"/>
        </w:rPr>
      </w:pPr>
      <w:r w:rsidRPr="00146A70">
        <w:rPr>
          <w:sz w:val="20"/>
          <w:szCs w:val="20"/>
          <w:lang w:val="fr-CA"/>
        </w:rPr>
        <w:t>L’appel interjeté contre l’arrêt de la Cour d’appel fédérale, numéro 14-A-56, en date du 28 octobre 2014, entendu le 9 décembre 2015, est rejeté avec dépens en faveur du procureur général du Canada.</w:t>
      </w:r>
    </w:p>
    <w:p w:rsidR="005C3B9D" w:rsidRPr="00146A70" w:rsidRDefault="005C3B9D" w:rsidP="005C3B9D">
      <w:pPr>
        <w:rPr>
          <w:sz w:val="20"/>
          <w:szCs w:val="20"/>
          <w:lang w:val="fr-CA"/>
        </w:rPr>
      </w:pPr>
    </w:p>
    <w:p w:rsidR="005C3B9D" w:rsidRPr="003B3977" w:rsidRDefault="00CD76E4" w:rsidP="005C3B9D">
      <w:pPr>
        <w:spacing w:line="0" w:lineRule="atLeast"/>
        <w:rPr>
          <w:sz w:val="20"/>
          <w:szCs w:val="20"/>
        </w:rPr>
      </w:pPr>
      <w:r>
        <w:rPr>
          <w:b/>
          <w:sz w:val="20"/>
          <w:szCs w:val="20"/>
        </w:rPr>
        <w:pict>
          <v:rect id="_x0000_i1086" style="width:144.3pt;height:1pt" o:hrpct="300" o:hralign="center" o:hrstd="t" o:hrnoshade="t" o:hr="t" fillcolor="black [3213]" stroked="f"/>
        </w:pict>
      </w:r>
    </w:p>
    <w:p w:rsidR="005C3B9D" w:rsidRDefault="005C3B9D" w:rsidP="005C3B9D">
      <w:pPr>
        <w:spacing w:line="0" w:lineRule="atLeast"/>
        <w:rPr>
          <w:sz w:val="20"/>
          <w:szCs w:val="20"/>
        </w:rPr>
      </w:pPr>
    </w:p>
    <w:p w:rsidR="005C3B9D" w:rsidRDefault="005C3B9D" w:rsidP="005C3B9D">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3B9D" w:rsidRPr="003B3977" w:rsidRDefault="005C3B9D" w:rsidP="005C3B9D">
      <w:pPr>
        <w:rPr>
          <w:rFonts w:cs="Times New Roman"/>
          <w:i/>
          <w:sz w:val="20"/>
          <w:szCs w:val="20"/>
        </w:rPr>
      </w:pPr>
    </w:p>
    <w:p w:rsidR="005C3B9D" w:rsidRPr="00106F8B" w:rsidRDefault="005C3B9D" w:rsidP="005C3B9D">
      <w:pPr>
        <w:ind w:left="1440" w:hanging="1440"/>
        <w:jc w:val="both"/>
        <w:rPr>
          <w:sz w:val="20"/>
          <w:szCs w:val="20"/>
          <w:lang w:val="en-US"/>
        </w:rPr>
      </w:pPr>
      <w:r w:rsidRPr="00106F8B">
        <w:rPr>
          <w:rFonts w:eastAsia="Calibri"/>
          <w:i/>
          <w:sz w:val="20"/>
          <w:szCs w:val="20"/>
          <w:lang w:val="en-US"/>
        </w:rPr>
        <w:t>Canadian Pacific Railway Company v. Attorney General of Canada</w:t>
      </w:r>
      <w:r>
        <w:rPr>
          <w:rFonts w:eastAsia="Calibri"/>
          <w:i/>
          <w:sz w:val="20"/>
          <w:szCs w:val="20"/>
          <w:lang w:val="en-US"/>
        </w:rPr>
        <w:t xml:space="preserve"> et al.</w:t>
      </w:r>
      <w:r w:rsidRPr="00106F8B">
        <w:rPr>
          <w:sz w:val="20"/>
          <w:szCs w:val="20"/>
          <w:lang w:val="en-US"/>
        </w:rPr>
        <w:t xml:space="preserve"> (</w:t>
      </w:r>
      <w:r>
        <w:rPr>
          <w:sz w:val="20"/>
          <w:szCs w:val="20"/>
          <w:lang w:val="en-US"/>
        </w:rPr>
        <w:t>F.C.</w:t>
      </w:r>
      <w:r w:rsidRPr="00106F8B">
        <w:rPr>
          <w:sz w:val="20"/>
          <w:szCs w:val="20"/>
          <w:lang w:val="en-US"/>
        </w:rPr>
        <w:t>) (</w:t>
      </w:r>
      <w:hyperlink r:id="rId111" w:history="1">
        <w:r>
          <w:rPr>
            <w:rStyle w:val="Hyperlink"/>
            <w:sz w:val="20"/>
            <w:szCs w:val="20"/>
            <w:lang w:val="en-US"/>
          </w:rPr>
          <w:t>36223</w:t>
        </w:r>
      </w:hyperlink>
      <w:r w:rsidRPr="00106F8B">
        <w:rPr>
          <w:sz w:val="20"/>
          <w:szCs w:val="20"/>
          <w:lang w:val="en-US"/>
        </w:rPr>
        <w:t>)</w:t>
      </w:r>
    </w:p>
    <w:p w:rsidR="005C3B9D" w:rsidRPr="009F704D" w:rsidRDefault="005C3B9D" w:rsidP="005C3B9D">
      <w:pPr>
        <w:jc w:val="both"/>
        <w:rPr>
          <w:sz w:val="20"/>
          <w:szCs w:val="20"/>
        </w:rPr>
      </w:pPr>
      <w:r w:rsidRPr="009F704D">
        <w:rPr>
          <w:b/>
          <w:sz w:val="20"/>
          <w:szCs w:val="20"/>
        </w:rPr>
        <w:t xml:space="preserve">Indexed as: </w:t>
      </w:r>
      <w:r w:rsidRPr="009F704D">
        <w:rPr>
          <w:sz w:val="20"/>
          <w:szCs w:val="20"/>
        </w:rPr>
        <w:t xml:space="preserve">Canadian Pacific Railway Co. </w:t>
      </w:r>
      <w:r w:rsidRPr="009F704D">
        <w:rPr>
          <w:i/>
          <w:sz w:val="20"/>
          <w:szCs w:val="20"/>
        </w:rPr>
        <w:t>v.</w:t>
      </w:r>
      <w:r w:rsidRPr="009F704D">
        <w:rPr>
          <w:sz w:val="20"/>
          <w:szCs w:val="20"/>
        </w:rPr>
        <w:t xml:space="preserve"> Canada (Attorney General)</w:t>
      </w:r>
      <w:r w:rsidRPr="009F704D">
        <w:rPr>
          <w:rStyle w:val="SCCRespondentForIndexChar"/>
          <w:rFonts w:eastAsiaTheme="minorHAnsi"/>
          <w:sz w:val="20"/>
        </w:rPr>
        <w:t xml:space="preserve"> / </w:t>
      </w:r>
      <w:r w:rsidRPr="009F704D">
        <w:rPr>
          <w:sz w:val="20"/>
          <w:szCs w:val="20"/>
        </w:rPr>
        <w:t xml:space="preserve">Compagnie de chemin de fer Canadien Pacifique </w:t>
      </w:r>
      <w:r w:rsidRPr="009F704D">
        <w:rPr>
          <w:i/>
          <w:sz w:val="20"/>
          <w:szCs w:val="20"/>
        </w:rPr>
        <w:t>c.</w:t>
      </w:r>
      <w:r w:rsidRPr="009F704D">
        <w:rPr>
          <w:sz w:val="20"/>
          <w:szCs w:val="20"/>
        </w:rPr>
        <w:t xml:space="preserve"> Canada (Procureur général)</w:t>
      </w:r>
    </w:p>
    <w:p w:rsidR="005C3B9D" w:rsidRPr="005C3B9D" w:rsidRDefault="005C3B9D" w:rsidP="005C3B9D">
      <w:pPr>
        <w:pStyle w:val="SCCSystemYear"/>
        <w:jc w:val="both"/>
        <w:rPr>
          <w:sz w:val="20"/>
        </w:rPr>
      </w:pPr>
      <w:r w:rsidRPr="005C3B9D">
        <w:rPr>
          <w:sz w:val="20"/>
        </w:rPr>
        <w:t>Neutral citation:  2016 SCC 1 / Référence neutre : 2016 CSC 1</w:t>
      </w:r>
    </w:p>
    <w:p w:rsidR="005C3B9D" w:rsidRPr="00106F8B" w:rsidRDefault="005C3B9D" w:rsidP="005C3B9D">
      <w:pPr>
        <w:rPr>
          <w:rFonts w:cs="Times New Roman"/>
          <w:sz w:val="20"/>
          <w:szCs w:val="20"/>
          <w:lang w:val="fr-CA"/>
        </w:rPr>
      </w:pPr>
      <w:r w:rsidRPr="00106F8B">
        <w:rPr>
          <w:rFonts w:cs="Times New Roman"/>
          <w:sz w:val="20"/>
          <w:szCs w:val="20"/>
          <w:lang w:val="fr-CA"/>
        </w:rPr>
        <w:t>Hearing:  December 9, 2015 / Judgment:  January 15, 2016</w:t>
      </w:r>
    </w:p>
    <w:p w:rsidR="005C3B9D" w:rsidRPr="003B3977" w:rsidRDefault="005C3B9D" w:rsidP="005C3B9D">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 xml:space="preserve">9 décembre </w:t>
      </w:r>
      <w:r w:rsidRPr="003B3977">
        <w:rPr>
          <w:rFonts w:cs="Times New Roman"/>
          <w:sz w:val="20"/>
          <w:szCs w:val="20"/>
          <w:lang w:val="fr-CA"/>
        </w:rPr>
        <w:t>201</w:t>
      </w:r>
      <w:r>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15 janvi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Pr>
          <w:rFonts w:cs="Times New Roman"/>
          <w:sz w:val="20"/>
          <w:szCs w:val="20"/>
          <w:lang w:val="fr-CA"/>
        </w:rPr>
        <w:t>6</w:t>
      </w:r>
    </w:p>
    <w:p w:rsidR="005C3B9D" w:rsidRPr="003B3977" w:rsidRDefault="00CD76E4" w:rsidP="005C3B9D">
      <w:pPr>
        <w:rPr>
          <w:rFonts w:cs="Times New Roman"/>
          <w:sz w:val="20"/>
          <w:szCs w:val="20"/>
          <w:lang w:val="fr-CA"/>
        </w:rPr>
      </w:pPr>
      <w:r>
        <w:rPr>
          <w:rFonts w:cs="Times New Roman"/>
          <w:i/>
          <w:sz w:val="20"/>
          <w:szCs w:val="20"/>
        </w:rPr>
        <w:pict>
          <v:rect id="_x0000_i1089" style="width:480.95pt;height:1pt" o:hralign="center" o:hrstd="t" o:hrnoshade="t" o:hr="t" fillcolor="black [3213]" stroked="f"/>
        </w:pict>
      </w:r>
    </w:p>
    <w:p w:rsidR="005C3B9D" w:rsidRPr="00106F8B" w:rsidRDefault="005C3B9D" w:rsidP="005C3B9D">
      <w:pPr>
        <w:rPr>
          <w:rFonts w:cs="Times New Roman"/>
          <w:sz w:val="20"/>
          <w:szCs w:val="20"/>
          <w:lang w:val="fr-CA"/>
        </w:rPr>
      </w:pPr>
    </w:p>
    <w:p w:rsidR="005C3B9D" w:rsidRPr="005A1E5C" w:rsidRDefault="005C3B9D" w:rsidP="005C3B9D">
      <w:pPr>
        <w:jc w:val="both"/>
        <w:rPr>
          <w:sz w:val="20"/>
          <w:szCs w:val="20"/>
        </w:rPr>
      </w:pPr>
      <w:r w:rsidRPr="005A1E5C">
        <w:rPr>
          <w:sz w:val="20"/>
          <w:szCs w:val="20"/>
        </w:rPr>
        <w:t xml:space="preserve">Present:  </w:t>
      </w:r>
      <w:r w:rsidRPr="00106F8B">
        <w:rPr>
          <w:sz w:val="20"/>
          <w:szCs w:val="20"/>
        </w:rPr>
        <w:t>McLachlin C.J. and Abella, Cromwell, Moldaver, Karakatsanis, Wagner, Gascon, Côté and Brown JJ.</w:t>
      </w:r>
    </w:p>
    <w:p w:rsidR="005C3B9D" w:rsidRPr="00146A70" w:rsidRDefault="005C3B9D" w:rsidP="00146A70">
      <w:pPr>
        <w:pStyle w:val="SCCNormalDoubleSpacing"/>
        <w:spacing w:line="240" w:lineRule="auto"/>
        <w:rPr>
          <w:sz w:val="20"/>
        </w:rPr>
      </w:pPr>
    </w:p>
    <w:p w:rsidR="00146A70" w:rsidRDefault="00146A70" w:rsidP="00146A70">
      <w:pPr>
        <w:pStyle w:val="SCCNormalDoubleSpacing"/>
        <w:spacing w:line="240" w:lineRule="auto"/>
        <w:rPr>
          <w:i/>
          <w:sz w:val="20"/>
        </w:rPr>
      </w:pPr>
      <w:r w:rsidRPr="00146A70">
        <w:rPr>
          <w:sz w:val="20"/>
        </w:rPr>
        <w:tab/>
      </w:r>
      <w:r w:rsidRPr="00146A70">
        <w:rPr>
          <w:i/>
          <w:sz w:val="20"/>
        </w:rPr>
        <w:t>Administrative law — Boards and tribunals — Regulatory boards — Canadian Transportation Agency — Transportation law — Railways — Regulatory process — Presumption Agency acted properly in amending rail regulations — No facts adduced rebutting presumption — Regulations Amending the Railway Interswitching Regulations, SOR/2014</w:t>
      </w:r>
      <w:r w:rsidRPr="00146A70">
        <w:rPr>
          <w:i/>
          <w:sz w:val="20"/>
        </w:rPr>
        <w:noBreakHyphen/>
        <w:t>193.</w:t>
      </w:r>
    </w:p>
    <w:p w:rsidR="00146A70" w:rsidRPr="00146A70" w:rsidRDefault="00146A70" w:rsidP="00146A70">
      <w:pPr>
        <w:pStyle w:val="SCCNormalDoubleSpacing"/>
        <w:spacing w:line="240" w:lineRule="auto"/>
        <w:rPr>
          <w:i/>
          <w:sz w:val="20"/>
          <w:lang w:val="en-US"/>
        </w:rPr>
      </w:pPr>
    </w:p>
    <w:p w:rsidR="00146A70" w:rsidRPr="00146A70" w:rsidRDefault="00146A70" w:rsidP="00146A70">
      <w:pPr>
        <w:pStyle w:val="SCCNormalDoubleSpacing"/>
        <w:spacing w:line="240" w:lineRule="auto"/>
        <w:rPr>
          <w:sz w:val="20"/>
        </w:rPr>
      </w:pPr>
      <w:r w:rsidRPr="00146A70">
        <w:rPr>
          <w:sz w:val="20"/>
        </w:rPr>
        <w:tab/>
      </w:r>
      <w:r w:rsidRPr="00146A70">
        <w:rPr>
          <w:i/>
          <w:sz w:val="20"/>
        </w:rPr>
        <w:t>Held:</w:t>
      </w:r>
      <w:r w:rsidRPr="00146A70">
        <w:rPr>
          <w:sz w:val="20"/>
        </w:rPr>
        <w:t xml:space="preserve"> The appeal should be dismissed.</w:t>
      </w:r>
    </w:p>
    <w:p w:rsidR="00146A70" w:rsidRDefault="00146A70" w:rsidP="00146A70">
      <w:pPr>
        <w:pStyle w:val="SCCNormalDoubleSpacing"/>
        <w:spacing w:line="240" w:lineRule="auto"/>
        <w:rPr>
          <w:sz w:val="20"/>
        </w:rPr>
      </w:pPr>
    </w:p>
    <w:p w:rsidR="00146A70" w:rsidRPr="00146A70" w:rsidRDefault="00146A70" w:rsidP="00146A70">
      <w:pPr>
        <w:pStyle w:val="SCCNormalDoubleSpacing"/>
        <w:spacing w:line="240" w:lineRule="auto"/>
        <w:rPr>
          <w:sz w:val="20"/>
        </w:rPr>
      </w:pPr>
      <w:r w:rsidRPr="00146A70">
        <w:rPr>
          <w:sz w:val="20"/>
        </w:rPr>
        <w:tab/>
        <w:t>APPEAL from a judgment of the Federal Court of Appeal (Noël C.J. and Dawson and Webb JJ.A.), No. 14</w:t>
      </w:r>
      <w:r w:rsidRPr="00146A70">
        <w:rPr>
          <w:sz w:val="20"/>
        </w:rPr>
        <w:noBreakHyphen/>
        <w:t>A</w:t>
      </w:r>
      <w:r w:rsidRPr="00146A70">
        <w:rPr>
          <w:sz w:val="20"/>
        </w:rPr>
        <w:noBreakHyphen/>
        <w:t xml:space="preserve">56, dated October 28, 2014, dismissing an application for leave to appeal, pursuant to s. 41 of the </w:t>
      </w:r>
      <w:r w:rsidRPr="00146A70">
        <w:rPr>
          <w:i/>
          <w:sz w:val="20"/>
        </w:rPr>
        <w:t>Canada Transportation Act</w:t>
      </w:r>
      <w:r w:rsidRPr="00146A70">
        <w:rPr>
          <w:sz w:val="20"/>
        </w:rPr>
        <w:t xml:space="preserve">, the </w:t>
      </w:r>
      <w:r w:rsidRPr="00146A70">
        <w:rPr>
          <w:i/>
          <w:sz w:val="20"/>
          <w:lang w:val="en-US"/>
        </w:rPr>
        <w:t>Regulations Amending the</w:t>
      </w:r>
      <w:r w:rsidRPr="00146A70">
        <w:rPr>
          <w:sz w:val="20"/>
          <w:lang w:val="en-US"/>
        </w:rPr>
        <w:t xml:space="preserve"> </w:t>
      </w:r>
      <w:r w:rsidRPr="00146A70">
        <w:rPr>
          <w:i/>
          <w:sz w:val="20"/>
          <w:lang w:val="en-US"/>
        </w:rPr>
        <w:t>Railway Interswitching Regulations</w:t>
      </w:r>
      <w:r w:rsidRPr="00146A70">
        <w:rPr>
          <w:sz w:val="20"/>
        </w:rPr>
        <w:t xml:space="preserve"> issued by the Canadian Transportation Agency. Appeal dismissed.</w:t>
      </w:r>
    </w:p>
    <w:p w:rsidR="00146A70" w:rsidRDefault="00146A70" w:rsidP="00146A70">
      <w:pPr>
        <w:pStyle w:val="SCCNormalDoubleSpacing"/>
        <w:spacing w:line="240" w:lineRule="auto"/>
        <w:rPr>
          <w:i/>
          <w:sz w:val="20"/>
        </w:rPr>
      </w:pPr>
    </w:p>
    <w:p w:rsidR="00146A70" w:rsidRPr="00146A70" w:rsidRDefault="00146A70" w:rsidP="00146A70">
      <w:pPr>
        <w:pStyle w:val="SCCNormalDoubleSpacing"/>
        <w:spacing w:line="240" w:lineRule="auto"/>
        <w:rPr>
          <w:sz w:val="20"/>
        </w:rPr>
      </w:pPr>
      <w:r w:rsidRPr="00146A70">
        <w:rPr>
          <w:i/>
          <w:sz w:val="20"/>
        </w:rPr>
        <w:tab/>
        <w:t>Douglas C. Hodson, Q.C.,</w:t>
      </w:r>
      <w:r w:rsidRPr="00146A70">
        <w:rPr>
          <w:sz w:val="20"/>
        </w:rPr>
        <w:t xml:space="preserve"> and </w:t>
      </w:r>
      <w:r w:rsidRPr="00146A70">
        <w:rPr>
          <w:i/>
          <w:sz w:val="20"/>
        </w:rPr>
        <w:t>Kristen A. MacDonald</w:t>
      </w:r>
      <w:r w:rsidRPr="00146A70">
        <w:rPr>
          <w:sz w:val="20"/>
        </w:rPr>
        <w:t>, for the appellant.</w:t>
      </w:r>
    </w:p>
    <w:p w:rsidR="00146A70" w:rsidRDefault="00146A70" w:rsidP="00146A70">
      <w:pPr>
        <w:pStyle w:val="SCCNormalDoubleSpacing"/>
        <w:spacing w:line="240" w:lineRule="auto"/>
        <w:rPr>
          <w:i/>
          <w:sz w:val="20"/>
        </w:rPr>
      </w:pPr>
    </w:p>
    <w:p w:rsidR="00146A70" w:rsidRPr="00146A70" w:rsidRDefault="00146A70" w:rsidP="00146A70">
      <w:pPr>
        <w:pStyle w:val="SCCNormalDoubleSpacing"/>
        <w:spacing w:line="240" w:lineRule="auto"/>
        <w:rPr>
          <w:sz w:val="20"/>
        </w:rPr>
      </w:pPr>
      <w:r w:rsidRPr="00146A70">
        <w:rPr>
          <w:i/>
          <w:sz w:val="20"/>
        </w:rPr>
        <w:tab/>
        <w:t>Mark R. Kindrachuk, Q.C.</w:t>
      </w:r>
      <w:r w:rsidRPr="00146A70">
        <w:rPr>
          <w:sz w:val="20"/>
        </w:rPr>
        <w:t xml:space="preserve">, and </w:t>
      </w:r>
      <w:r w:rsidRPr="00146A70">
        <w:rPr>
          <w:i/>
          <w:sz w:val="20"/>
        </w:rPr>
        <w:t>Alexander Pless</w:t>
      </w:r>
      <w:r w:rsidRPr="00146A70">
        <w:rPr>
          <w:sz w:val="20"/>
        </w:rPr>
        <w:t>, for the respondent the Attorney General of Canada.</w:t>
      </w:r>
    </w:p>
    <w:p w:rsidR="00146A70" w:rsidRDefault="00146A70" w:rsidP="00146A70">
      <w:pPr>
        <w:pStyle w:val="SCCNormalDoubleSpacing"/>
        <w:spacing w:line="240" w:lineRule="auto"/>
        <w:rPr>
          <w:i/>
          <w:sz w:val="20"/>
        </w:rPr>
      </w:pPr>
    </w:p>
    <w:p w:rsidR="00146A70" w:rsidRPr="00146A70" w:rsidRDefault="00146A70" w:rsidP="00146A70">
      <w:pPr>
        <w:pStyle w:val="SCCNormalDoubleSpacing"/>
        <w:spacing w:line="240" w:lineRule="auto"/>
        <w:rPr>
          <w:sz w:val="20"/>
        </w:rPr>
      </w:pPr>
      <w:r w:rsidRPr="00146A70">
        <w:rPr>
          <w:i/>
          <w:sz w:val="20"/>
        </w:rPr>
        <w:tab/>
        <w:t>Valérie Lagacé</w:t>
      </w:r>
      <w:r w:rsidRPr="00146A70">
        <w:rPr>
          <w:sz w:val="20"/>
        </w:rPr>
        <w:t>, for the respondent the Canadian Transportation Agency.</w:t>
      </w:r>
    </w:p>
    <w:p w:rsidR="00146A70" w:rsidRDefault="00146A70" w:rsidP="00146A70">
      <w:pPr>
        <w:pStyle w:val="SCCNormalDoubleSpacing"/>
        <w:spacing w:line="240" w:lineRule="auto"/>
        <w:rPr>
          <w:i/>
          <w:sz w:val="20"/>
        </w:rPr>
      </w:pPr>
    </w:p>
    <w:p w:rsidR="00146A70" w:rsidRPr="00146A70" w:rsidRDefault="00146A70" w:rsidP="00146A70">
      <w:pPr>
        <w:pStyle w:val="SCCNormalDoubleSpacing"/>
        <w:spacing w:line="240" w:lineRule="auto"/>
        <w:rPr>
          <w:sz w:val="20"/>
        </w:rPr>
      </w:pPr>
      <w:r w:rsidRPr="00146A70">
        <w:rPr>
          <w:i/>
          <w:sz w:val="20"/>
        </w:rPr>
        <w:tab/>
        <w:t xml:space="preserve">Nadia Effendi </w:t>
      </w:r>
      <w:r w:rsidRPr="00146A70">
        <w:rPr>
          <w:sz w:val="20"/>
        </w:rPr>
        <w:t>and</w:t>
      </w:r>
      <w:r w:rsidRPr="00146A70">
        <w:rPr>
          <w:i/>
          <w:sz w:val="20"/>
        </w:rPr>
        <w:t xml:space="preserve"> Guy J. Pratte</w:t>
      </w:r>
      <w:r w:rsidRPr="00146A70">
        <w:rPr>
          <w:sz w:val="20"/>
        </w:rPr>
        <w:t>, for the intervener.</w:t>
      </w:r>
    </w:p>
    <w:p w:rsidR="00146A70" w:rsidRDefault="00146A70" w:rsidP="00146A70">
      <w:pPr>
        <w:pStyle w:val="SCCLawFirm"/>
        <w:spacing w:line="240" w:lineRule="auto"/>
        <w:rPr>
          <w:sz w:val="20"/>
        </w:rPr>
      </w:pPr>
    </w:p>
    <w:p w:rsidR="00146A70" w:rsidRPr="00146A70" w:rsidRDefault="00146A70" w:rsidP="00146A70">
      <w:pPr>
        <w:pStyle w:val="SCCLawFirm"/>
        <w:spacing w:line="240" w:lineRule="auto"/>
        <w:rPr>
          <w:sz w:val="20"/>
        </w:rPr>
      </w:pPr>
      <w:r w:rsidRPr="00146A70">
        <w:rPr>
          <w:sz w:val="20"/>
        </w:rPr>
        <w:tab/>
        <w:t>Solicitors for the appellant: MacPherson Leslie &amp; Tyerman, Saskatoon.</w:t>
      </w:r>
    </w:p>
    <w:p w:rsidR="00146A70" w:rsidRDefault="00146A70" w:rsidP="00146A70">
      <w:pPr>
        <w:pStyle w:val="SCCLawFirm"/>
        <w:spacing w:line="240" w:lineRule="auto"/>
        <w:rPr>
          <w:sz w:val="20"/>
        </w:rPr>
      </w:pPr>
    </w:p>
    <w:p w:rsidR="00146A70" w:rsidRPr="00146A70" w:rsidRDefault="00146A70" w:rsidP="00146A70">
      <w:pPr>
        <w:pStyle w:val="SCCLawFirm"/>
        <w:spacing w:line="240" w:lineRule="auto"/>
        <w:rPr>
          <w:sz w:val="20"/>
        </w:rPr>
      </w:pPr>
      <w:r w:rsidRPr="00146A70">
        <w:rPr>
          <w:sz w:val="20"/>
        </w:rPr>
        <w:tab/>
        <w:t>Solicitor for the respondent the Attorney General of Canada: Attorney General of Canada, Saskatoon.</w:t>
      </w:r>
    </w:p>
    <w:p w:rsidR="00146A70" w:rsidRDefault="00146A70" w:rsidP="00146A70">
      <w:pPr>
        <w:pStyle w:val="SCCLawFirm"/>
        <w:spacing w:line="240" w:lineRule="auto"/>
        <w:rPr>
          <w:sz w:val="20"/>
        </w:rPr>
      </w:pPr>
    </w:p>
    <w:p w:rsidR="00146A70" w:rsidRPr="00146A70" w:rsidRDefault="00146A70" w:rsidP="00146A70">
      <w:pPr>
        <w:pStyle w:val="SCCLawFirm"/>
        <w:spacing w:line="240" w:lineRule="auto"/>
        <w:rPr>
          <w:sz w:val="20"/>
        </w:rPr>
      </w:pPr>
      <w:r w:rsidRPr="00146A70">
        <w:rPr>
          <w:sz w:val="20"/>
        </w:rPr>
        <w:tab/>
        <w:t>Solicitor for the respondent the Canada Transportation Agency: Canada Transportation Agency, Gatineau.</w:t>
      </w:r>
    </w:p>
    <w:p w:rsidR="00146A70" w:rsidRDefault="00146A70" w:rsidP="00146A70">
      <w:pPr>
        <w:pStyle w:val="SCCLawFirm"/>
        <w:spacing w:line="240" w:lineRule="auto"/>
        <w:rPr>
          <w:sz w:val="20"/>
        </w:rPr>
      </w:pPr>
    </w:p>
    <w:p w:rsidR="00146A70" w:rsidRPr="00146A70" w:rsidRDefault="00146A70" w:rsidP="00146A70">
      <w:pPr>
        <w:pStyle w:val="SCCLawFirm"/>
        <w:spacing w:line="240" w:lineRule="auto"/>
        <w:rPr>
          <w:sz w:val="20"/>
        </w:rPr>
      </w:pPr>
      <w:r w:rsidRPr="00146A70">
        <w:rPr>
          <w:sz w:val="20"/>
        </w:rPr>
        <w:tab/>
        <w:t>Solicitors for the intervener: Borden Ladner Gervais, Toronto.</w:t>
      </w:r>
    </w:p>
    <w:p w:rsidR="0052229C" w:rsidRPr="002B68C3" w:rsidRDefault="0052229C" w:rsidP="0052229C">
      <w:pPr>
        <w:rPr>
          <w:rFonts w:cs="Times New Roman"/>
          <w:sz w:val="20"/>
          <w:szCs w:val="20"/>
          <w:lang w:val="fr-CA"/>
        </w:rPr>
      </w:pPr>
      <w:r w:rsidRPr="002B68C3">
        <w:rPr>
          <w:rFonts w:cs="Times New Roman"/>
          <w:sz w:val="20"/>
          <w:szCs w:val="20"/>
          <w:lang w:val="fr-CA"/>
        </w:rPr>
        <w:t>________________________</w:t>
      </w:r>
    </w:p>
    <w:p w:rsidR="0052229C" w:rsidRPr="002B68C3" w:rsidRDefault="0052229C" w:rsidP="0052229C">
      <w:pPr>
        <w:rPr>
          <w:rFonts w:cs="Times New Roman"/>
          <w:sz w:val="20"/>
          <w:szCs w:val="20"/>
          <w:lang w:val="fr-CA"/>
        </w:rPr>
      </w:pPr>
    </w:p>
    <w:p w:rsidR="005C3B9D" w:rsidRPr="006919A1" w:rsidRDefault="005C3B9D" w:rsidP="005C3B9D">
      <w:pPr>
        <w:jc w:val="both"/>
        <w:rPr>
          <w:sz w:val="20"/>
          <w:szCs w:val="20"/>
          <w:lang w:val="fr-CA"/>
        </w:rPr>
      </w:pPr>
      <w:r>
        <w:rPr>
          <w:sz w:val="20"/>
          <w:szCs w:val="20"/>
          <w:lang w:val="fr-CA"/>
        </w:rPr>
        <w:t xml:space="preserve">Présents : La juge en chef </w:t>
      </w:r>
      <w:r w:rsidRPr="00106F8B">
        <w:rPr>
          <w:sz w:val="20"/>
          <w:szCs w:val="20"/>
          <w:lang w:val="fr-CA"/>
        </w:rPr>
        <w:t xml:space="preserve">McLachlin </w:t>
      </w:r>
      <w:r>
        <w:rPr>
          <w:sz w:val="20"/>
          <w:szCs w:val="20"/>
          <w:lang w:val="fr-CA"/>
        </w:rPr>
        <w:t xml:space="preserve">et les juges </w:t>
      </w:r>
      <w:r w:rsidRPr="00106F8B">
        <w:rPr>
          <w:sz w:val="20"/>
          <w:szCs w:val="20"/>
          <w:lang w:val="fr-CA"/>
        </w:rPr>
        <w:t xml:space="preserve">Abella, Cromwell, Moldaver, Karakatsanis, Wagner, Gascon, Côté </w:t>
      </w:r>
      <w:r>
        <w:rPr>
          <w:sz w:val="20"/>
          <w:szCs w:val="20"/>
          <w:lang w:val="fr-CA"/>
        </w:rPr>
        <w:t>et</w:t>
      </w:r>
      <w:r w:rsidRPr="00106F8B">
        <w:rPr>
          <w:sz w:val="20"/>
          <w:szCs w:val="20"/>
          <w:lang w:val="fr-CA"/>
        </w:rPr>
        <w:t xml:space="preserve"> Brown</w:t>
      </w:r>
      <w:r>
        <w:rPr>
          <w:sz w:val="20"/>
          <w:szCs w:val="20"/>
          <w:lang w:val="fr-CA"/>
        </w:rPr>
        <w:t>.</w:t>
      </w:r>
    </w:p>
    <w:p w:rsidR="005C3B9D" w:rsidRPr="00146A70" w:rsidRDefault="005C3B9D" w:rsidP="00146A70">
      <w:pPr>
        <w:pStyle w:val="SCCNormalDoubleSpacing"/>
        <w:spacing w:line="240" w:lineRule="auto"/>
        <w:rPr>
          <w:sz w:val="20"/>
          <w:lang w:val="fr-CA"/>
        </w:rPr>
      </w:pPr>
    </w:p>
    <w:p w:rsidR="00146A70" w:rsidRPr="00146A70" w:rsidRDefault="00146A70" w:rsidP="00146A70">
      <w:pPr>
        <w:pStyle w:val="SCCNormalDoubleSpacing"/>
        <w:spacing w:line="240" w:lineRule="auto"/>
        <w:rPr>
          <w:i/>
          <w:sz w:val="20"/>
          <w:lang w:val="fr-CA"/>
        </w:rPr>
      </w:pPr>
      <w:r w:rsidRPr="00146A70">
        <w:rPr>
          <w:sz w:val="20"/>
          <w:lang w:val="fr-CA"/>
        </w:rPr>
        <w:tab/>
      </w:r>
      <w:r w:rsidRPr="00146A70">
        <w:rPr>
          <w:i/>
          <w:sz w:val="20"/>
          <w:lang w:val="fr-CA"/>
        </w:rPr>
        <w:t xml:space="preserve">Droit administratif — Organismes et tribunaux administratifs — Organismes de réglementation — Office des transports du Canada — Droit des transports — Chemins de fer — Processus réglementaire — Présomption que l’Office a agi correctement lors de la modification du règlement relatif aux chemins de fer — Aucun fait produit susceptible de réfuter la présomption — </w:t>
      </w:r>
      <w:r w:rsidRPr="00146A70">
        <w:rPr>
          <w:i/>
          <w:sz w:val="20"/>
          <w:lang w:val="fr-FR"/>
        </w:rPr>
        <w:t>Règlement modifiant le Règlement sur l’interconnexion du trafic ferroviaire</w:t>
      </w:r>
      <w:r w:rsidRPr="00146A70">
        <w:rPr>
          <w:sz w:val="20"/>
          <w:lang w:val="fr-FR"/>
        </w:rPr>
        <w:t xml:space="preserve">, </w:t>
      </w:r>
      <w:r w:rsidRPr="00146A70">
        <w:rPr>
          <w:i/>
          <w:sz w:val="20"/>
          <w:lang w:val="fr-FR"/>
        </w:rPr>
        <w:t>DORS/2014</w:t>
      </w:r>
      <w:r w:rsidRPr="00146A70">
        <w:rPr>
          <w:i/>
          <w:sz w:val="20"/>
          <w:lang w:val="fr-FR"/>
        </w:rPr>
        <w:noBreakHyphen/>
        <w:t>193.</w:t>
      </w:r>
    </w:p>
    <w:p w:rsidR="00146A70" w:rsidRDefault="00146A70" w:rsidP="00146A70">
      <w:pPr>
        <w:pStyle w:val="SCCNormalDoubleSpacing"/>
        <w:spacing w:line="240" w:lineRule="auto"/>
        <w:rPr>
          <w:sz w:val="20"/>
          <w:lang w:val="fr-CA"/>
        </w:rPr>
      </w:pPr>
    </w:p>
    <w:p w:rsidR="00146A70" w:rsidRPr="00146A70" w:rsidRDefault="00146A70" w:rsidP="00146A70">
      <w:pPr>
        <w:pStyle w:val="SCCNormalDoubleSpacing"/>
        <w:spacing w:line="240" w:lineRule="auto"/>
        <w:rPr>
          <w:sz w:val="20"/>
          <w:lang w:val="fr-CA"/>
        </w:rPr>
      </w:pPr>
      <w:r w:rsidRPr="00146A70">
        <w:rPr>
          <w:sz w:val="20"/>
          <w:lang w:val="fr-CA"/>
        </w:rPr>
        <w:tab/>
      </w:r>
      <w:r w:rsidRPr="00146A70">
        <w:rPr>
          <w:i/>
          <w:sz w:val="20"/>
          <w:lang w:val="fr-CA"/>
        </w:rPr>
        <w:t>Arrêt</w:t>
      </w:r>
      <w:r w:rsidRPr="00146A70">
        <w:rPr>
          <w:sz w:val="20"/>
          <w:lang w:val="fr-CA"/>
        </w:rPr>
        <w:t> : Le pourvoi est rejeté.</w:t>
      </w:r>
    </w:p>
    <w:p w:rsidR="00146A70" w:rsidRDefault="00146A70" w:rsidP="00146A70">
      <w:pPr>
        <w:pStyle w:val="SCCNormalDoubleSpacing"/>
        <w:spacing w:line="240" w:lineRule="auto"/>
        <w:rPr>
          <w:sz w:val="20"/>
          <w:lang w:val="fr-CA"/>
        </w:rPr>
      </w:pPr>
    </w:p>
    <w:p w:rsidR="00146A70" w:rsidRPr="00146A70" w:rsidRDefault="00146A70" w:rsidP="00146A70">
      <w:pPr>
        <w:pStyle w:val="SCCNormalDoubleSpacing"/>
        <w:spacing w:line="240" w:lineRule="auto"/>
        <w:rPr>
          <w:sz w:val="20"/>
          <w:lang w:val="fr-CA"/>
        </w:rPr>
      </w:pPr>
      <w:r w:rsidRPr="00146A70">
        <w:rPr>
          <w:sz w:val="20"/>
          <w:lang w:val="fr-CA"/>
        </w:rPr>
        <w:tab/>
        <w:t>POURVOI contre un arrêt de la Cour d’appel fédérale (le juge en chef Noël et les juges Dawson et Webb), n</w:t>
      </w:r>
      <w:r w:rsidRPr="00146A70">
        <w:rPr>
          <w:sz w:val="20"/>
          <w:vertAlign w:val="superscript"/>
          <w:lang w:val="fr-CA"/>
        </w:rPr>
        <w:t>o</w:t>
      </w:r>
      <w:r w:rsidRPr="00146A70">
        <w:rPr>
          <w:sz w:val="20"/>
          <w:lang w:val="fr-CA"/>
        </w:rPr>
        <w:t> 14</w:t>
      </w:r>
      <w:r w:rsidRPr="00146A70">
        <w:rPr>
          <w:sz w:val="20"/>
          <w:lang w:val="fr-CA"/>
        </w:rPr>
        <w:noBreakHyphen/>
        <w:t>A</w:t>
      </w:r>
      <w:r w:rsidRPr="00146A70">
        <w:rPr>
          <w:sz w:val="20"/>
          <w:lang w:val="fr-CA"/>
        </w:rPr>
        <w:noBreakHyphen/>
        <w:t xml:space="preserve">56, daté du 28 octobre 2014, qui a rejeté une demande d’autorisation d’appel, présentée en application de l’art. 41 </w:t>
      </w:r>
      <w:r w:rsidRPr="00146A70">
        <w:rPr>
          <w:sz w:val="20"/>
          <w:lang w:val="fr-CA"/>
        </w:rPr>
        <w:lastRenderedPageBreak/>
        <w:t xml:space="preserve">de la </w:t>
      </w:r>
      <w:r w:rsidRPr="00146A70">
        <w:rPr>
          <w:i/>
          <w:sz w:val="20"/>
          <w:lang w:val="fr-CA"/>
        </w:rPr>
        <w:t>Loi sur les transports au Canada</w:t>
      </w:r>
      <w:r w:rsidRPr="00146A70">
        <w:rPr>
          <w:sz w:val="20"/>
          <w:lang w:val="fr-CA"/>
        </w:rPr>
        <w:t xml:space="preserve">, du </w:t>
      </w:r>
      <w:r w:rsidRPr="00146A70">
        <w:rPr>
          <w:i/>
          <w:sz w:val="20"/>
          <w:lang w:val="fr-CA"/>
        </w:rPr>
        <w:t>Règlement modifiant le Règlement sur l’interconnexion du trafic ferroviaire</w:t>
      </w:r>
      <w:r w:rsidRPr="00146A70">
        <w:rPr>
          <w:sz w:val="20"/>
          <w:lang w:val="fr-CA"/>
        </w:rPr>
        <w:t xml:space="preserve"> pris par l’Office des transports du Canada. Pourvoi rejeté.</w:t>
      </w:r>
    </w:p>
    <w:p w:rsidR="00146A70" w:rsidRDefault="00146A70" w:rsidP="00146A70">
      <w:pPr>
        <w:pStyle w:val="SCCNormalDoubleSpacing"/>
        <w:spacing w:line="240" w:lineRule="auto"/>
        <w:rPr>
          <w:i/>
          <w:sz w:val="20"/>
          <w:lang w:val="fr-CA"/>
        </w:rPr>
      </w:pPr>
    </w:p>
    <w:p w:rsidR="00146A70" w:rsidRPr="00146A70" w:rsidRDefault="00146A70" w:rsidP="00146A70">
      <w:pPr>
        <w:pStyle w:val="SCCNormalDoubleSpacing"/>
        <w:spacing w:line="240" w:lineRule="auto"/>
        <w:rPr>
          <w:sz w:val="20"/>
          <w:lang w:val="fr-CA"/>
        </w:rPr>
      </w:pPr>
      <w:r w:rsidRPr="00146A70">
        <w:rPr>
          <w:i/>
          <w:sz w:val="20"/>
          <w:lang w:val="fr-CA"/>
        </w:rPr>
        <w:tab/>
        <w:t>Douglas C. Hodson, c.r.,</w:t>
      </w:r>
      <w:r w:rsidRPr="00146A70">
        <w:rPr>
          <w:sz w:val="20"/>
          <w:lang w:val="fr-CA"/>
        </w:rPr>
        <w:t xml:space="preserve"> et </w:t>
      </w:r>
      <w:r w:rsidRPr="00146A70">
        <w:rPr>
          <w:i/>
          <w:sz w:val="20"/>
          <w:lang w:val="fr-CA"/>
        </w:rPr>
        <w:t>Kristen A. MacDonald</w:t>
      </w:r>
      <w:r w:rsidRPr="00146A70">
        <w:rPr>
          <w:sz w:val="20"/>
          <w:lang w:val="fr-CA"/>
        </w:rPr>
        <w:t>, pour l’appelante.</w:t>
      </w:r>
    </w:p>
    <w:p w:rsidR="00146A70" w:rsidRDefault="00146A70" w:rsidP="00146A70">
      <w:pPr>
        <w:pStyle w:val="SCCNormalDoubleSpacing"/>
        <w:spacing w:line="240" w:lineRule="auto"/>
        <w:rPr>
          <w:i/>
          <w:sz w:val="20"/>
          <w:lang w:val="fr-CA"/>
        </w:rPr>
      </w:pPr>
    </w:p>
    <w:p w:rsidR="00146A70" w:rsidRPr="00146A70" w:rsidRDefault="00146A70" w:rsidP="00146A70">
      <w:pPr>
        <w:pStyle w:val="SCCNormalDoubleSpacing"/>
        <w:spacing w:line="240" w:lineRule="auto"/>
        <w:rPr>
          <w:sz w:val="20"/>
          <w:lang w:val="fr-CA"/>
        </w:rPr>
      </w:pPr>
      <w:r w:rsidRPr="00146A70">
        <w:rPr>
          <w:i/>
          <w:sz w:val="20"/>
          <w:lang w:val="fr-CA"/>
        </w:rPr>
        <w:tab/>
        <w:t>Mark R. Kindrachuk, c.r.,</w:t>
      </w:r>
      <w:r w:rsidRPr="00146A70">
        <w:rPr>
          <w:sz w:val="20"/>
          <w:lang w:val="fr-CA"/>
        </w:rPr>
        <w:t xml:space="preserve"> et </w:t>
      </w:r>
      <w:r w:rsidRPr="00146A70">
        <w:rPr>
          <w:i/>
          <w:sz w:val="20"/>
          <w:lang w:val="fr-CA"/>
        </w:rPr>
        <w:t>Alexander Pless</w:t>
      </w:r>
      <w:r w:rsidRPr="00146A70">
        <w:rPr>
          <w:sz w:val="20"/>
          <w:lang w:val="fr-CA"/>
        </w:rPr>
        <w:t>, pour l’intimé le procureur général du Canada.</w:t>
      </w:r>
    </w:p>
    <w:p w:rsidR="00146A70" w:rsidRDefault="00146A70" w:rsidP="00146A70">
      <w:pPr>
        <w:pStyle w:val="SCCNormalDoubleSpacing"/>
        <w:spacing w:line="240" w:lineRule="auto"/>
        <w:rPr>
          <w:i/>
          <w:sz w:val="20"/>
          <w:lang w:val="fr-CA"/>
        </w:rPr>
      </w:pPr>
    </w:p>
    <w:p w:rsidR="00146A70" w:rsidRPr="00146A70" w:rsidRDefault="00146A70" w:rsidP="00146A70">
      <w:pPr>
        <w:pStyle w:val="SCCNormalDoubleSpacing"/>
        <w:spacing w:line="240" w:lineRule="auto"/>
        <w:rPr>
          <w:sz w:val="20"/>
          <w:lang w:val="fr-CA"/>
        </w:rPr>
      </w:pPr>
      <w:r w:rsidRPr="00146A70">
        <w:rPr>
          <w:i/>
          <w:sz w:val="20"/>
          <w:lang w:val="fr-CA"/>
        </w:rPr>
        <w:tab/>
        <w:t>Valérie Lagacé</w:t>
      </w:r>
      <w:r w:rsidRPr="00146A70">
        <w:rPr>
          <w:sz w:val="20"/>
          <w:lang w:val="fr-CA"/>
        </w:rPr>
        <w:t>, pour l’intimé l’Office des transports du Canada.</w:t>
      </w:r>
    </w:p>
    <w:p w:rsidR="00146A70" w:rsidRDefault="00146A70" w:rsidP="00146A70">
      <w:pPr>
        <w:pStyle w:val="SCCNormalDoubleSpacing"/>
        <w:spacing w:line="240" w:lineRule="auto"/>
        <w:rPr>
          <w:i/>
          <w:sz w:val="20"/>
          <w:lang w:val="fr-CA"/>
        </w:rPr>
      </w:pPr>
    </w:p>
    <w:p w:rsidR="00146A70" w:rsidRPr="00146A70" w:rsidRDefault="00146A70" w:rsidP="00146A70">
      <w:pPr>
        <w:pStyle w:val="SCCNormalDoubleSpacing"/>
        <w:spacing w:line="240" w:lineRule="auto"/>
        <w:rPr>
          <w:sz w:val="20"/>
          <w:lang w:val="fr-CA"/>
        </w:rPr>
      </w:pPr>
      <w:r w:rsidRPr="00146A70">
        <w:rPr>
          <w:i/>
          <w:sz w:val="20"/>
          <w:lang w:val="fr-CA"/>
        </w:rPr>
        <w:tab/>
        <w:t xml:space="preserve">Nadia Effendi </w:t>
      </w:r>
      <w:r w:rsidRPr="00146A70">
        <w:rPr>
          <w:sz w:val="20"/>
          <w:lang w:val="fr-CA"/>
        </w:rPr>
        <w:t>et</w:t>
      </w:r>
      <w:r w:rsidRPr="00146A70">
        <w:rPr>
          <w:i/>
          <w:sz w:val="20"/>
          <w:lang w:val="fr-CA"/>
        </w:rPr>
        <w:t xml:space="preserve"> Guy J. Pratte</w:t>
      </w:r>
      <w:r w:rsidRPr="00146A70">
        <w:rPr>
          <w:sz w:val="20"/>
          <w:lang w:val="fr-CA"/>
        </w:rPr>
        <w:t>, pour l’intervenante.</w:t>
      </w:r>
    </w:p>
    <w:p w:rsidR="00146A70" w:rsidRDefault="00146A70" w:rsidP="00146A70">
      <w:pPr>
        <w:pStyle w:val="SCCLawFirm"/>
        <w:spacing w:line="240" w:lineRule="auto"/>
        <w:rPr>
          <w:sz w:val="20"/>
          <w:lang w:val="fr-CA"/>
        </w:rPr>
      </w:pPr>
    </w:p>
    <w:p w:rsidR="00146A70" w:rsidRPr="00146A70" w:rsidRDefault="00146A70" w:rsidP="00146A70">
      <w:pPr>
        <w:pStyle w:val="SCCLawFirm"/>
        <w:spacing w:line="240" w:lineRule="auto"/>
        <w:rPr>
          <w:sz w:val="20"/>
          <w:lang w:val="fr-CA"/>
        </w:rPr>
      </w:pPr>
      <w:r w:rsidRPr="00146A70">
        <w:rPr>
          <w:sz w:val="20"/>
          <w:lang w:val="fr-CA"/>
        </w:rPr>
        <w:tab/>
        <w:t>Procureurs de l’appelante : MacPherson Leslie &amp; Tyerman, Saskatoon.</w:t>
      </w:r>
    </w:p>
    <w:p w:rsidR="00146A70" w:rsidRDefault="00146A70" w:rsidP="00146A70">
      <w:pPr>
        <w:pStyle w:val="SCCLawFirm"/>
        <w:spacing w:line="240" w:lineRule="auto"/>
        <w:rPr>
          <w:sz w:val="20"/>
          <w:lang w:val="fr-CA"/>
        </w:rPr>
      </w:pPr>
    </w:p>
    <w:p w:rsidR="00146A70" w:rsidRPr="00146A70" w:rsidRDefault="00146A70" w:rsidP="00146A70">
      <w:pPr>
        <w:pStyle w:val="SCCLawFirm"/>
        <w:spacing w:line="240" w:lineRule="auto"/>
        <w:rPr>
          <w:sz w:val="20"/>
          <w:lang w:val="fr-CA"/>
        </w:rPr>
      </w:pPr>
      <w:r w:rsidRPr="00146A70">
        <w:rPr>
          <w:sz w:val="20"/>
          <w:lang w:val="fr-CA"/>
        </w:rPr>
        <w:tab/>
        <w:t>Procureur de l’intimé le procureur général du Canada : Procureur général du Canada, Saskatoon.</w:t>
      </w:r>
    </w:p>
    <w:p w:rsidR="00146A70" w:rsidRDefault="00146A70" w:rsidP="00146A70">
      <w:pPr>
        <w:pStyle w:val="SCCLawFirm"/>
        <w:spacing w:line="240" w:lineRule="auto"/>
        <w:rPr>
          <w:sz w:val="20"/>
          <w:lang w:val="fr-CA"/>
        </w:rPr>
      </w:pPr>
    </w:p>
    <w:p w:rsidR="00146A70" w:rsidRPr="00146A70" w:rsidRDefault="00146A70" w:rsidP="00146A70">
      <w:pPr>
        <w:pStyle w:val="SCCLawFirm"/>
        <w:spacing w:line="240" w:lineRule="auto"/>
        <w:rPr>
          <w:sz w:val="20"/>
          <w:lang w:val="fr-CA"/>
        </w:rPr>
      </w:pPr>
      <w:r w:rsidRPr="00146A70">
        <w:rPr>
          <w:sz w:val="20"/>
          <w:lang w:val="fr-CA"/>
        </w:rPr>
        <w:tab/>
        <w:t>Procureur de l’intimé l’Office des transports du Canada : Office des transports du Canada, Gatineau.</w:t>
      </w:r>
    </w:p>
    <w:p w:rsidR="00146A70" w:rsidRDefault="00146A70" w:rsidP="00146A70">
      <w:pPr>
        <w:pStyle w:val="SCCLawFirm"/>
        <w:spacing w:line="240" w:lineRule="auto"/>
        <w:rPr>
          <w:sz w:val="20"/>
          <w:lang w:val="fr-CA"/>
        </w:rPr>
      </w:pPr>
    </w:p>
    <w:p w:rsidR="00146A70" w:rsidRPr="00146A70" w:rsidRDefault="00146A70" w:rsidP="00146A70">
      <w:pPr>
        <w:pStyle w:val="SCCLawFirm"/>
        <w:spacing w:line="240" w:lineRule="auto"/>
        <w:rPr>
          <w:sz w:val="20"/>
          <w:lang w:val="fr-CA"/>
        </w:rPr>
      </w:pPr>
      <w:r w:rsidRPr="00146A70">
        <w:rPr>
          <w:sz w:val="20"/>
          <w:lang w:val="fr-CA"/>
        </w:rPr>
        <w:tab/>
        <w:t>Procureurs de l’intervenante : Borden Ladner Gervais, Toronto.</w:t>
      </w:r>
    </w:p>
    <w:p w:rsidR="003B3977" w:rsidRPr="00146A70" w:rsidRDefault="003B3977" w:rsidP="005C6840">
      <w:pPr>
        <w:rPr>
          <w:rFonts w:cs="Times New Roman"/>
          <w:sz w:val="20"/>
          <w:szCs w:val="20"/>
          <w:lang w:val="fr-CA"/>
        </w:rPr>
      </w:pPr>
    </w:p>
    <w:p w:rsidR="00902E51" w:rsidRDefault="00CD76E4" w:rsidP="00902E51">
      <w:pPr>
        <w:rPr>
          <w:rFonts w:cs="Times New Roman"/>
          <w:sz w:val="20"/>
          <w:szCs w:val="20"/>
          <w:lang w:val="fr-CA"/>
        </w:rPr>
      </w:pPr>
      <w:r>
        <w:rPr>
          <w:rFonts w:cs="Times New Roman"/>
          <w:sz w:val="20"/>
          <w:szCs w:val="20"/>
          <w:lang w:val="fr-CA"/>
        </w:rPr>
        <w:pict>
          <v:rect id="_x0000_i1090" style="width:144.3pt;height:1pt" o:hrpct="300" o:hralign="center" o:hrstd="t" o:hrnoshade="t" o:hr="t" fillcolor="black [3213]" stroked="f"/>
        </w:pict>
      </w:r>
    </w:p>
    <w:p w:rsidR="005C3B9D" w:rsidRDefault="005C3B9D" w:rsidP="00902E51">
      <w:pPr>
        <w:rPr>
          <w:rFonts w:cs="Times New Roman"/>
          <w:sz w:val="20"/>
          <w:szCs w:val="20"/>
          <w:lang w:val="fr-CA"/>
        </w:rPr>
      </w:pPr>
    </w:p>
    <w:p w:rsidR="005C3B9D" w:rsidRDefault="005C3B9D" w:rsidP="00902E51">
      <w:pPr>
        <w:rPr>
          <w:rFonts w:cs="Times New Roman"/>
          <w:sz w:val="20"/>
          <w:szCs w:val="20"/>
          <w:lang w:val="fr-CA"/>
        </w:rPr>
      </w:pPr>
    </w:p>
    <w:p w:rsidR="005C3B9D" w:rsidRPr="005C3B9D" w:rsidRDefault="005C3B9D" w:rsidP="00902E51">
      <w:pPr>
        <w:rPr>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12"/>
          <w:headerReference w:type="default" r:id="rId113"/>
          <w:footerReference w:type="even" r:id="rId114"/>
          <w:footerReference w:type="default" r:id="rId115"/>
          <w:headerReference w:type="first" r:id="rId116"/>
          <w:footerReference w:type="first" r:id="rId117"/>
          <w:pgSz w:w="12240" w:h="15840"/>
          <w:pgMar w:top="720" w:right="965" w:bottom="1080" w:left="1656" w:header="576" w:footer="960" w:gutter="0"/>
          <w:cols w:space="720"/>
          <w:titlePg/>
          <w:docGrid w:linePitch="272"/>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8F5FE2">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DECEMBER - DÉCEMBRE</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M</w:t>
            </w:r>
          </w:p>
          <w:p w:rsidR="008902B1" w:rsidRPr="002E0C7E" w:rsidRDefault="008902B1" w:rsidP="008F5FE2">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8F5FE2">
            <w:pPr>
              <w:widowControl w:val="0"/>
              <w:jc w:val="center"/>
              <w:rPr>
                <w:rFonts w:ascii="Arial" w:hAnsi="Arial"/>
                <w:b/>
                <w:sz w:val="14"/>
              </w:rPr>
            </w:pPr>
            <w:r>
              <w:rPr>
                <w:rFonts w:ascii="Arial" w:hAnsi="Arial"/>
                <w:b/>
                <w:sz w:val="14"/>
              </w:rPr>
              <w:t>M</w:t>
            </w:r>
          </w:p>
          <w:p w:rsidR="008902B1" w:rsidRPr="002E0C7E" w:rsidRDefault="008902B1" w:rsidP="008F5FE2">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8F5FE2">
            <w:pPr>
              <w:widowControl w:val="0"/>
              <w:jc w:val="center"/>
              <w:rPr>
                <w:rFonts w:ascii="Arial" w:hAnsi="Arial"/>
                <w:b/>
                <w:sz w:val="14"/>
              </w:rPr>
            </w:pPr>
            <w:r w:rsidRPr="002A4724">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F5FE2">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8F5FE2">
            <w:pPr>
              <w:widowControl w:val="0"/>
              <w:jc w:val="center"/>
              <w:rPr>
                <w:rFonts w:ascii="Arial" w:hAnsi="Arial"/>
                <w:b/>
                <w:sz w:val="14"/>
              </w:rPr>
            </w:pPr>
            <w:r w:rsidRPr="002A4724">
              <w:rPr>
                <w:rFonts w:ascii="Arial" w:hAnsi="Arial"/>
                <w:b/>
                <w:sz w:val="14"/>
              </w:rPr>
              <w:t>M</w:t>
            </w:r>
          </w:p>
          <w:p w:rsidR="008902B1" w:rsidRPr="002E0C7E" w:rsidRDefault="008902B1" w:rsidP="008F5FE2">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8F5FE2">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MARCH - MARS</w:t>
            </w:r>
          </w:p>
        </w:tc>
      </w:tr>
      <w:tr w:rsidR="008902B1" w:rsidRPr="002E0C7E" w:rsidTr="008F5FE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8F5FE2">
            <w:pPr>
              <w:widowControl w:val="0"/>
              <w:jc w:val="center"/>
              <w:rPr>
                <w:rFonts w:ascii="Arial" w:hAnsi="Arial"/>
                <w:b/>
                <w:sz w:val="14"/>
              </w:rPr>
            </w:pPr>
            <w:r w:rsidRPr="00CD2D42">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8F5FE2">
            <w:pPr>
              <w:widowControl w:val="0"/>
              <w:jc w:val="center"/>
              <w:rPr>
                <w:rFonts w:ascii="Arial" w:hAnsi="Arial"/>
                <w:b/>
                <w:sz w:val="14"/>
              </w:rPr>
            </w:pPr>
            <w:r>
              <w:rPr>
                <w:rFonts w:ascii="Arial" w:hAnsi="Arial"/>
                <w:b/>
                <w:sz w:val="14"/>
              </w:rPr>
              <w:t>M</w:t>
            </w: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8F5FE2">
            <w:pPr>
              <w:widowControl w:val="0"/>
              <w:jc w:val="center"/>
              <w:rPr>
                <w:rFonts w:ascii="Arial" w:hAnsi="Arial"/>
                <w:b/>
                <w:sz w:val="14"/>
              </w:rPr>
            </w:pPr>
            <w:r>
              <w:rPr>
                <w:rFonts w:ascii="Arial" w:hAnsi="Arial"/>
                <w:b/>
                <w:sz w:val="14"/>
              </w:rPr>
              <w:t>M</w:t>
            </w: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8F5FE2">
            <w:pPr>
              <w:widowControl w:val="0"/>
              <w:jc w:val="center"/>
              <w:rPr>
                <w:rFonts w:ascii="Arial" w:hAnsi="Arial"/>
                <w:b/>
                <w:sz w:val="14"/>
              </w:rPr>
            </w:pPr>
            <w:r>
              <w:rPr>
                <w:rFonts w:ascii="Arial" w:hAnsi="Arial"/>
                <w:b/>
                <w:sz w:val="14"/>
              </w:rPr>
              <w:t>M</w:t>
            </w:r>
          </w:p>
          <w:p w:rsidR="008902B1" w:rsidRPr="002E0C7E" w:rsidRDefault="008902B1" w:rsidP="008F5FE2">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F5FE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8F5FE2">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8F5FE2">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F5FE2">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F5FE2">
            <w:pPr>
              <w:widowControl w:val="0"/>
              <w:jc w:val="center"/>
              <w:rPr>
                <w:rFonts w:ascii="Arial" w:hAnsi="Arial"/>
                <w:sz w:val="14"/>
              </w:rPr>
            </w:pPr>
            <w:r w:rsidRPr="002E0C7E">
              <w:rPr>
                <w:rFonts w:ascii="Arial" w:hAnsi="Arial"/>
                <w:b/>
                <w:sz w:val="14"/>
              </w:rPr>
              <w:t>JUNE - JUIN</w:t>
            </w:r>
          </w:p>
        </w:tc>
      </w:tr>
      <w:tr w:rsidR="008902B1" w:rsidRPr="002E0C7E" w:rsidTr="008F5FE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S</w:t>
            </w:r>
          </w:p>
          <w:p w:rsidR="008902B1" w:rsidRPr="002E0C7E" w:rsidRDefault="008902B1" w:rsidP="008F5FE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M</w:t>
            </w:r>
          </w:p>
          <w:p w:rsidR="008902B1" w:rsidRPr="002E0C7E" w:rsidRDefault="008902B1" w:rsidP="008F5FE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W</w:t>
            </w:r>
          </w:p>
          <w:p w:rsidR="008902B1" w:rsidRPr="002E0C7E" w:rsidRDefault="008902B1" w:rsidP="008F5FE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T</w:t>
            </w:r>
          </w:p>
          <w:p w:rsidR="008902B1" w:rsidRPr="002E0C7E" w:rsidRDefault="008902B1" w:rsidP="008F5FE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sidRPr="002E0C7E">
              <w:rPr>
                <w:rFonts w:ascii="Arial" w:hAnsi="Arial"/>
                <w:sz w:val="14"/>
              </w:rPr>
              <w:t>F</w:t>
            </w:r>
          </w:p>
          <w:p w:rsidR="008902B1" w:rsidRPr="002E0C7E" w:rsidRDefault="008902B1" w:rsidP="008F5FE2">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r>
              <w:rPr>
                <w:rFonts w:ascii="Arial" w:hAnsi="Arial"/>
                <w:sz w:val="14"/>
              </w:rPr>
              <w:t>S</w:t>
            </w:r>
          </w:p>
          <w:p w:rsidR="008902B1" w:rsidRPr="002E0C7E" w:rsidRDefault="008902B1" w:rsidP="008F5FE2">
            <w:pPr>
              <w:widowControl w:val="0"/>
              <w:jc w:val="center"/>
              <w:rPr>
                <w:rFonts w:ascii="Arial" w:hAnsi="Arial"/>
                <w:sz w:val="14"/>
              </w:rPr>
            </w:pPr>
            <w:r>
              <w:rPr>
                <w:rFonts w:ascii="Arial" w:hAnsi="Arial"/>
                <w:sz w:val="14"/>
              </w:rPr>
              <w:t>S</w:t>
            </w:r>
          </w:p>
        </w:tc>
      </w:tr>
      <w:tr w:rsidR="008902B1" w:rsidRPr="002E0C7E" w:rsidTr="008F5FE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11</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8F5FE2">
            <w:pPr>
              <w:widowControl w:val="0"/>
              <w:jc w:val="center"/>
              <w:rPr>
                <w:rFonts w:ascii="Arial" w:hAnsi="Arial"/>
                <w:b/>
                <w:sz w:val="14"/>
              </w:rPr>
            </w:pPr>
          </w:p>
          <w:p w:rsidR="008902B1" w:rsidRPr="002E0C7E" w:rsidRDefault="008902B1" w:rsidP="008F5FE2">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8F5FE2">
            <w:pPr>
              <w:widowControl w:val="0"/>
              <w:jc w:val="center"/>
              <w:rPr>
                <w:rFonts w:ascii="Arial" w:hAnsi="Arial"/>
                <w:b/>
                <w:sz w:val="14"/>
              </w:rPr>
            </w:pPr>
            <w:r w:rsidRPr="002453E3">
              <w:rPr>
                <w:rFonts w:ascii="Arial" w:hAnsi="Arial"/>
                <w:b/>
                <w:sz w:val="14"/>
              </w:rPr>
              <w:t>M</w:t>
            </w: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8F5FE2">
            <w:pPr>
              <w:widowControl w:val="0"/>
              <w:jc w:val="center"/>
              <w:rPr>
                <w:rFonts w:ascii="Arial" w:hAnsi="Arial"/>
                <w:b/>
                <w:sz w:val="14"/>
              </w:rPr>
            </w:pPr>
            <w:r>
              <w:rPr>
                <w:rFonts w:ascii="Arial" w:hAnsi="Arial"/>
                <w:b/>
                <w:sz w:val="14"/>
              </w:rPr>
              <w:t>M</w:t>
            </w: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18</w:t>
            </w:r>
          </w:p>
        </w:tc>
      </w:tr>
      <w:tr w:rsidR="008902B1" w:rsidRPr="002E0C7E" w:rsidTr="008F5FE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8F5FE2">
            <w:pPr>
              <w:widowControl w:val="0"/>
              <w:jc w:val="center"/>
              <w:rPr>
                <w:rFonts w:ascii="Arial" w:hAnsi="Arial"/>
                <w:b/>
                <w:sz w:val="14"/>
              </w:rPr>
            </w:pPr>
            <w:r w:rsidRPr="0049680E">
              <w:rPr>
                <w:rFonts w:ascii="Arial" w:hAnsi="Arial"/>
                <w:b/>
                <w:sz w:val="14"/>
              </w:rPr>
              <w:t>M</w:t>
            </w:r>
          </w:p>
          <w:p w:rsidR="008902B1" w:rsidRPr="002E0C7E" w:rsidRDefault="008902B1" w:rsidP="008F5FE2">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8F5FE2">
            <w:pPr>
              <w:widowControl w:val="0"/>
              <w:jc w:val="center"/>
              <w:rPr>
                <w:rFonts w:ascii="Arial" w:hAnsi="Arial"/>
                <w:b/>
                <w:sz w:val="14"/>
              </w:rPr>
            </w:pPr>
            <w:r>
              <w:rPr>
                <w:rFonts w:ascii="Arial" w:hAnsi="Arial"/>
                <w:b/>
                <w:sz w:val="14"/>
              </w:rPr>
              <w:t>H</w:t>
            </w:r>
          </w:p>
          <w:p w:rsidR="008902B1" w:rsidRPr="002E0C7E" w:rsidRDefault="008902B1" w:rsidP="008F5FE2">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8F5FE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F5FE2">
            <w:pPr>
              <w:widowControl w:val="0"/>
              <w:jc w:val="center"/>
              <w:rPr>
                <w:rFonts w:ascii="Arial" w:hAnsi="Arial"/>
                <w:sz w:val="14"/>
              </w:rPr>
            </w:pPr>
          </w:p>
          <w:p w:rsidR="008902B1" w:rsidRPr="002E0C7E" w:rsidRDefault="008902B1" w:rsidP="008F5FE2">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8F5FE2">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8F5FE2">
            <w:pPr>
              <w:widowControl w:val="0"/>
              <w:rPr>
                <w:rFonts w:ascii="Arial" w:hAnsi="Arial"/>
                <w:sz w:val="16"/>
              </w:rPr>
            </w:pPr>
            <w:r w:rsidRPr="002E0C7E">
              <w:rPr>
                <w:rFonts w:ascii="Arial" w:hAnsi="Arial"/>
                <w:sz w:val="16"/>
              </w:rPr>
              <w:t>Sittings of the court:</w:t>
            </w:r>
          </w:p>
          <w:p w:rsidR="008902B1" w:rsidRPr="002E0C7E" w:rsidRDefault="008902B1" w:rsidP="008F5FE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8F5FE2">
            <w:pPr>
              <w:widowControl w:val="0"/>
              <w:rPr>
                <w:rFonts w:ascii="Arial" w:hAnsi="Arial"/>
                <w:sz w:val="16"/>
              </w:rPr>
            </w:pPr>
          </w:p>
          <w:p w:rsidR="008902B1" w:rsidRPr="002E0C7E" w:rsidRDefault="008902B1" w:rsidP="008F5FE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F5FE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F5FE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8F5FE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F5F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8"/>
      <w:footerReference w:type="default" r:id="rId11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1A" w:rsidRDefault="001E541A" w:rsidP="00A87207">
      <w:r>
        <w:separator/>
      </w:r>
    </w:p>
  </w:endnote>
  <w:endnote w:type="continuationSeparator" w:id="0">
    <w:p w:rsidR="001E541A" w:rsidRDefault="001E541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pPr>
      <w:pStyle w:val="Footer"/>
      <w:rPr>
        <w:lang w:val="fr-CA"/>
      </w:rPr>
    </w:pPr>
    <w:r>
      <w:rPr>
        <w:lang w:val="fr-CA"/>
      </w:rPr>
      <w:pict>
        <v:rect id="_x0000_i1069" style="width:480.95pt;height:1pt" o:hralign="center" o:hrstd="t" o:hrnoshade="t" o:hr="t" fillcolor="black [3213]" stroked="f"/>
      </w:pict>
    </w:r>
  </w:p>
  <w:p w:rsidR="001E541A" w:rsidRDefault="001E541A" w:rsidP="00245129">
    <w:pPr>
      <w:tabs>
        <w:tab w:val="center" w:pos="4680"/>
      </w:tabs>
    </w:pPr>
    <w:r>
      <w:tab/>
    </w:r>
    <w:r w:rsidRPr="0009648D">
      <w:t xml:space="preserve">- </w:t>
    </w:r>
    <w:r>
      <w:fldChar w:fldCharType="begin"/>
    </w:r>
    <w:r>
      <w:instrText xml:space="preserve"> PAGE   \* MERGEFORMAT </w:instrText>
    </w:r>
    <w:r>
      <w:fldChar w:fldCharType="separate"/>
    </w:r>
    <w:r w:rsidR="00B26F8D">
      <w:rPr>
        <w:noProof/>
      </w:rPr>
      <w:t>12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EB2B90">
    <w:pPr>
      <w:tabs>
        <w:tab w:val="center" w:pos="4680"/>
      </w:tabs>
    </w:pPr>
    <w:r>
      <w:pict>
        <v:rect id="_x0000_i1071" style="width:480.95pt;height:1pt" o:hralign="center" o:hrstd="t" o:hrnoshade="t" o:hr="t" fillcolor="black" stroked="f"/>
      </w:pict>
    </w:r>
  </w:p>
  <w:p w:rsidR="001E541A" w:rsidRPr="002864CC" w:rsidRDefault="001E541A" w:rsidP="00EB2B90">
    <w:pPr>
      <w:tabs>
        <w:tab w:val="center" w:pos="4680"/>
      </w:tabs>
    </w:pPr>
    <w:r w:rsidRPr="002864CC">
      <w:tab/>
      <w:t xml:space="preserve">- </w:t>
    </w:r>
    <w:r>
      <w:fldChar w:fldCharType="begin"/>
    </w:r>
    <w:r>
      <w:instrText xml:space="preserve"> PAGE   \* MERGEFORMAT </w:instrText>
    </w:r>
    <w:r>
      <w:fldChar w:fldCharType="separate"/>
    </w:r>
    <w:r w:rsidR="00CD76E4">
      <w:rPr>
        <w:noProof/>
      </w:rPr>
      <w:t>43</w:t>
    </w:r>
    <w:r>
      <w:rPr>
        <w:noProof/>
      </w:rPr>
      <w:fldChar w:fldCharType="end"/>
    </w:r>
    <w:r w:rsidRPr="002864CC">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pPr>
      <w:pStyle w:val="Footer"/>
    </w:pPr>
    <w:r>
      <w:pict>
        <v:rect id="_x0000_i1072" style="width:480.95pt;height:1pt" o:hralign="center" o:hrstd="t" o:hrnoshade="t" o:hr="t" fillcolor="black" stroked="f"/>
      </w:pict>
    </w:r>
  </w:p>
  <w:p w:rsidR="001E541A" w:rsidRPr="002864CC" w:rsidRDefault="001E541A" w:rsidP="00EB2B90">
    <w:pPr>
      <w:tabs>
        <w:tab w:val="center" w:pos="4680"/>
      </w:tabs>
    </w:pPr>
    <w:r>
      <w:tab/>
      <w:t xml:space="preserve">- </w:t>
    </w:r>
    <w:r>
      <w:fldChar w:fldCharType="begin"/>
    </w:r>
    <w:r>
      <w:instrText xml:space="preserve"> PAGE   \* MERGEFORMAT </w:instrText>
    </w:r>
    <w:r>
      <w:fldChar w:fldCharType="separate"/>
    </w:r>
    <w:r w:rsidR="00CD76E4">
      <w:rPr>
        <w:noProof/>
      </w:rPr>
      <w:t>39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755F22">
    <w:pPr>
      <w:tabs>
        <w:tab w:val="left" w:pos="-1440"/>
        <w:tab w:val="left" w:pos="-720"/>
      </w:tabs>
    </w:pPr>
    <w:r>
      <w:pict>
        <v:rect id="_x0000_i1078" style="width:480.95pt;height:1pt" o:hralign="center" o:hrstd="t" o:hrnoshade="t" o:hr="t" fillcolor="black [3213]" stroked="f"/>
      </w:pict>
    </w:r>
  </w:p>
  <w:p w:rsidR="001E541A" w:rsidRDefault="001E541A" w:rsidP="00EB2B90">
    <w:pPr>
      <w:tabs>
        <w:tab w:val="center" w:pos="4680"/>
      </w:tabs>
    </w:pPr>
    <w:r>
      <w:tab/>
      <w:t xml:space="preserve">- </w:t>
    </w:r>
    <w:r>
      <w:fldChar w:fldCharType="begin"/>
    </w:r>
    <w:r>
      <w:instrText xml:space="preserve"> PAGE   \* MERGEFORMAT </w:instrText>
    </w:r>
    <w:r>
      <w:fldChar w:fldCharType="separate"/>
    </w:r>
    <w:r w:rsidR="00CD76E4">
      <w:rPr>
        <w:noProof/>
      </w:rPr>
      <w:t>49</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EB2B90">
    <w:pPr>
      <w:tabs>
        <w:tab w:val="center" w:pos="4680"/>
      </w:tabs>
    </w:pPr>
    <w:r>
      <w:pict>
        <v:rect id="_x0000_i1079" style="width:480.95pt;height:1pt" o:hralign="center" o:hrstd="t" o:hrnoshade="t" o:hr="t" fillcolor="black [3213]" stroked="f"/>
      </w:pict>
    </w:r>
  </w:p>
  <w:p w:rsidR="001E541A" w:rsidRPr="0031432F" w:rsidRDefault="001E541A" w:rsidP="00EB2B90">
    <w:pPr>
      <w:tabs>
        <w:tab w:val="center" w:pos="4680"/>
      </w:tabs>
    </w:pPr>
    <w:r>
      <w:tab/>
      <w:t xml:space="preserve">- </w:t>
    </w:r>
    <w:r>
      <w:fldChar w:fldCharType="begin"/>
    </w:r>
    <w:r>
      <w:instrText xml:space="preserve"> PAGE   \* MERGEFORMAT </w:instrText>
    </w:r>
    <w:r>
      <w:fldChar w:fldCharType="separate"/>
    </w:r>
    <w:r w:rsidR="00CD76E4">
      <w:rPr>
        <w:noProof/>
      </w:rPr>
      <w:t>44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732DB7">
    <w:r>
      <w:pict>
        <v:rect id="_x0000_i1084" style="width:480.95pt;height:1pt" o:hralign="center" o:hrstd="t" o:hrnoshade="t" o:hr="t" fillcolor="black" stroked="f"/>
      </w:pict>
    </w:r>
  </w:p>
  <w:p w:rsidR="001E541A" w:rsidRDefault="001E541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pPr>
      <w:pStyle w:val="Footer"/>
    </w:pPr>
    <w:r>
      <w:pict>
        <v:rect id="_x0000_i1085" style="width:480.95pt;height:1pt" o:hralign="center" o:hrstd="t" o:hrnoshade="t" o:hr="t" fillcolor="black" stroked="f"/>
      </w:pict>
    </w:r>
  </w:p>
  <w:p w:rsidR="001E541A" w:rsidRPr="00283C52" w:rsidRDefault="001E541A">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732DB7">
    <w:r>
      <w:pict>
        <v:rect id="_x0000_i1087" style="width:480.95pt;height:1pt" o:hralign="center" o:hrstd="t" o:hrnoshade="t" o:hr="t" fillcolor="black" stroked="f"/>
      </w:pict>
    </w:r>
  </w:p>
  <w:p w:rsidR="001E541A" w:rsidRDefault="001E541A">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pPr>
      <w:pStyle w:val="Footer"/>
    </w:pPr>
    <w:r>
      <w:pict>
        <v:rect id="_x0000_i1088" style="width:480.95pt;height:1pt" o:hralign="center" o:hrstd="t" o:hrnoshade="t" o:hr="t" fillcolor="black [3213]" stroked="f"/>
      </w:pict>
    </w:r>
  </w:p>
  <w:p w:rsidR="001E541A" w:rsidRPr="003C2C0F" w:rsidRDefault="001E541A" w:rsidP="00697C62">
    <w:pPr>
      <w:tabs>
        <w:tab w:val="center" w:pos="4680"/>
      </w:tabs>
    </w:pPr>
    <w:r>
      <w:tab/>
      <w:t xml:space="preserve">- </w:t>
    </w:r>
    <w:r>
      <w:fldChar w:fldCharType="begin"/>
    </w:r>
    <w:r>
      <w:instrText xml:space="preserve"> PAGE   \* MERGEFORMAT </w:instrText>
    </w:r>
    <w:r>
      <w:fldChar w:fldCharType="separate"/>
    </w:r>
    <w:r w:rsidR="00CD76E4">
      <w:rPr>
        <w:noProof/>
      </w:rPr>
      <w:t>54</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541A" w:rsidRDefault="00CD7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1E541A" w:rsidRDefault="001E541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D76E4">
      <w:rPr>
        <w:noProof/>
        <w:szCs w:val="24"/>
      </w:rPr>
      <w:t>56</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782AE4">
    <w:pPr>
      <w:tabs>
        <w:tab w:val="center" w:pos="4680"/>
      </w:tabs>
    </w:pPr>
    <w:r>
      <w:pict>
        <v:rect id="_x0000_i1092" style="width:480.95pt;height:1pt" o:hralign="center" o:hrstd="t" o:hrnoshade="t" o:hr="t" fillcolor="black [3213]" stroked="f"/>
      </w:pict>
    </w:r>
  </w:p>
  <w:p w:rsidR="001E541A" w:rsidRDefault="001E541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D76E4">
      <w:rPr>
        <w:noProof/>
        <w:szCs w:val="24"/>
      </w:rPr>
      <w:t>55</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Pr="00924065" w:rsidRDefault="001E541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A87207">
    <w:pPr>
      <w:pStyle w:val="Footer"/>
    </w:pPr>
    <w:r>
      <w:pict>
        <v:rect id="_x0000_i1033" style="width:480.95pt;height:1pt" o:hralign="center" o:hrstd="t" o:hrnoshade="t" o:hr="t" fillcolor="black [3213]" stroked="f"/>
      </w:pict>
    </w:r>
  </w:p>
  <w:p w:rsidR="001E541A" w:rsidRPr="00B7374B" w:rsidRDefault="001E54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755F22">
    <w:pPr>
      <w:tabs>
        <w:tab w:val="left" w:pos="-1440"/>
        <w:tab w:val="left" w:pos="-720"/>
      </w:tabs>
    </w:pPr>
    <w:r>
      <w:pict>
        <v:rect id="_x0000_i1034" style="width:480.95pt;height:1pt" o:hralign="center" o:hrstd="t" o:hrnoshade="t" o:hr="t" fillcolor="black [3213]" stroked="f"/>
      </w:pict>
    </w:r>
  </w:p>
  <w:p w:rsidR="001E541A" w:rsidRPr="00954D22" w:rsidRDefault="001E541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26F8D">
      <w:rPr>
        <w:noProof/>
        <w:szCs w:val="24"/>
      </w:rPr>
      <w:t>10</w:t>
    </w:r>
    <w:r>
      <w:rPr>
        <w:szCs w:val="24"/>
      </w:rPr>
      <w:fldChar w:fldCharType="end"/>
    </w:r>
    <w:r w:rsidRPr="00954D22">
      <w:rPr>
        <w:szCs w:val="24"/>
      </w:rPr>
      <w:t xml:space="preserve"> -</w:t>
    </w:r>
  </w:p>
  <w:p w:rsidR="001E541A" w:rsidRDefault="001E54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A87207">
    <w:pPr>
      <w:pStyle w:val="Footer"/>
    </w:pPr>
    <w:r>
      <w:pict>
        <v:rect id="_x0000_i1036" style="width:480.95pt;height:1pt" o:hralign="center" o:hrstd="t" o:hrnoshade="t" o:hr="t" fillcolor="black [3213]" stroked="f"/>
      </w:pict>
    </w:r>
  </w:p>
  <w:p w:rsidR="001E541A" w:rsidRPr="00B7374B" w:rsidRDefault="001E54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1E541A" w:rsidRPr="00954D22" w:rsidRDefault="001E541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26F8D">
      <w:rPr>
        <w:noProof/>
        <w:szCs w:val="24"/>
      </w:rPr>
      <w:t>11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541A" w:rsidRDefault="001E541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CD7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1E541A" w:rsidRPr="0009648D" w:rsidRDefault="001E541A" w:rsidP="00ED7E83">
    <w:pPr>
      <w:tabs>
        <w:tab w:val="center" w:pos="4680"/>
      </w:tabs>
    </w:pPr>
    <w:r>
      <w:tab/>
    </w:r>
    <w:r w:rsidRPr="0009648D">
      <w:t xml:space="preserve">- </w:t>
    </w:r>
    <w:r>
      <w:fldChar w:fldCharType="begin"/>
    </w:r>
    <w:r>
      <w:instrText xml:space="preserve"> PAGE   \* MERGEFORMAT </w:instrText>
    </w:r>
    <w:r>
      <w:fldChar w:fldCharType="separate"/>
    </w:r>
    <w:r w:rsidR="00CD76E4">
      <w:rPr>
        <w:noProof/>
      </w:rPr>
      <w:t>38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1A" w:rsidRDefault="001E541A" w:rsidP="00A87207">
      <w:r>
        <w:separator/>
      </w:r>
    </w:p>
  </w:footnote>
  <w:footnote w:type="continuationSeparator" w:id="0">
    <w:p w:rsidR="001E541A" w:rsidRDefault="001E541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tc>
        <w:tcPr>
          <w:tcW w:w="4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E541A" w:rsidRPr="000204A4"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1E541A" w:rsidRPr="000204A4"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E541A" w:rsidRPr="000204A4"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541A" w:rsidRPr="00890FEB" w:rsidTr="00245129">
      <w:tc>
        <w:tcPr>
          <w:tcW w:w="4200" w:type="dxa"/>
          <w:tcMar>
            <w:left w:w="0" w:type="dxa"/>
            <w:right w:w="0" w:type="dxa"/>
          </w:tcMar>
        </w:tcPr>
        <w:p w:rsidR="001E541A" w:rsidRPr="00890FEB" w:rsidRDefault="001E541A" w:rsidP="00E85994">
          <w:pPr>
            <w:rPr>
              <w:sz w:val="20"/>
              <w:szCs w:val="20"/>
            </w:rPr>
          </w:pPr>
          <w:r w:rsidRPr="00890FEB">
            <w:rPr>
              <w:sz w:val="20"/>
              <w:szCs w:val="20"/>
            </w:rPr>
            <w:t>JUDGMENT ON MOTION</w:t>
          </w:r>
        </w:p>
      </w:tc>
      <w:tc>
        <w:tcPr>
          <w:tcW w:w="1200" w:type="dxa"/>
          <w:tcMar>
            <w:left w:w="0" w:type="dxa"/>
            <w:right w:w="0" w:type="dxa"/>
          </w:tcMar>
        </w:tcPr>
        <w:p w:rsidR="001E541A" w:rsidRPr="00890FEB" w:rsidRDefault="001E541A" w:rsidP="00890FEB">
          <w:pPr>
            <w:jc w:val="center"/>
            <w:rPr>
              <w:sz w:val="20"/>
              <w:szCs w:val="20"/>
            </w:rPr>
          </w:pPr>
        </w:p>
        <w:p w:rsidR="001E541A" w:rsidRPr="00890FEB" w:rsidRDefault="001E541A" w:rsidP="00890FEB">
          <w:pPr>
            <w:jc w:val="center"/>
            <w:rPr>
              <w:sz w:val="20"/>
              <w:szCs w:val="20"/>
            </w:rPr>
          </w:pPr>
        </w:p>
      </w:tc>
      <w:tc>
        <w:tcPr>
          <w:tcW w:w="4080" w:type="dxa"/>
          <w:tcMar>
            <w:left w:w="0" w:type="dxa"/>
            <w:right w:w="0" w:type="dxa"/>
          </w:tcMar>
        </w:tcPr>
        <w:p w:rsidR="001E541A" w:rsidRPr="00890FEB" w:rsidRDefault="001E541A" w:rsidP="00890FEB">
          <w:pPr>
            <w:rPr>
              <w:sz w:val="20"/>
              <w:szCs w:val="20"/>
              <w:lang w:val="fr-CA"/>
            </w:rPr>
          </w:pPr>
          <w:r w:rsidRPr="00890FEB">
            <w:rPr>
              <w:sz w:val="20"/>
              <w:szCs w:val="20"/>
              <w:lang w:val="fr-CA"/>
            </w:rPr>
            <w:t>JUGEMENTS SUR REQUÊTES</w:t>
          </w:r>
        </w:p>
      </w:tc>
    </w:tr>
  </w:tbl>
  <w:p w:rsidR="001E541A" w:rsidRPr="002864CC" w:rsidRDefault="001E541A" w:rsidP="00EB2B90">
    <w:pPr>
      <w:rPr>
        <w:lang w:val="fr-CA"/>
      </w:rPr>
    </w:pPr>
  </w:p>
  <w:p w:rsidR="001E541A" w:rsidRPr="000204A4" w:rsidRDefault="001E541A" w:rsidP="00EB2B90">
    <w:pPr>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E541A">
      <w:tc>
        <w:tcPr>
          <w:tcW w:w="423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E541A"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541A"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E541A">
      <w:trPr>
        <w:gridAfter w:val="2"/>
        <w:wAfter w:w="5250" w:type="dxa"/>
      </w:trPr>
      <w:tc>
        <w:tcPr>
          <w:tcW w:w="4230" w:type="dxa"/>
          <w:tcMar>
            <w:left w:w="0" w:type="dxa"/>
            <w:right w:w="0" w:type="dxa"/>
          </w:tcMar>
        </w:tcPr>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E541A" w:rsidRPr="00755F22" w:rsidTr="00245129">
      <w:tc>
        <w:tcPr>
          <w:tcW w:w="4230" w:type="dxa"/>
          <w:tcMar>
            <w:left w:w="0" w:type="dxa"/>
            <w:right w:w="0" w:type="dxa"/>
          </w:tcMar>
        </w:tcPr>
        <w:p w:rsidR="001E541A" w:rsidRPr="00755F22" w:rsidRDefault="001E541A" w:rsidP="00831CA9">
          <w:pPr>
            <w:keepNext/>
            <w:keepLines/>
            <w:rPr>
              <w:sz w:val="20"/>
              <w:szCs w:val="20"/>
            </w:rPr>
          </w:pPr>
          <w:r w:rsidRPr="00755F22">
            <w:rPr>
              <w:sz w:val="20"/>
              <w:szCs w:val="20"/>
            </w:rPr>
            <w:t>MOTIONS</w:t>
          </w:r>
        </w:p>
      </w:tc>
      <w:tc>
        <w:tcPr>
          <w:tcW w:w="1170" w:type="dxa"/>
          <w:tcMar>
            <w:left w:w="0" w:type="dxa"/>
            <w:right w:w="0" w:type="dxa"/>
          </w:tcMar>
        </w:tcPr>
        <w:p w:rsidR="001E541A" w:rsidRPr="00755F22" w:rsidRDefault="001E541A" w:rsidP="00831CA9">
          <w:pPr>
            <w:keepLines/>
            <w:jc w:val="center"/>
            <w:rPr>
              <w:sz w:val="20"/>
              <w:szCs w:val="20"/>
            </w:rPr>
          </w:pPr>
        </w:p>
        <w:p w:rsidR="001E541A" w:rsidRPr="00755F22" w:rsidRDefault="001E541A" w:rsidP="00831CA9">
          <w:pPr>
            <w:keepLines/>
            <w:tabs>
              <w:tab w:val="left" w:pos="-1440"/>
              <w:tab w:val="left" w:pos="-720"/>
            </w:tabs>
            <w:jc w:val="center"/>
            <w:rPr>
              <w:sz w:val="20"/>
              <w:szCs w:val="20"/>
            </w:rPr>
          </w:pPr>
        </w:p>
      </w:tc>
      <w:tc>
        <w:tcPr>
          <w:tcW w:w="4080" w:type="dxa"/>
          <w:tcMar>
            <w:left w:w="0" w:type="dxa"/>
            <w:right w:w="0" w:type="dxa"/>
          </w:tcMar>
        </w:tcPr>
        <w:p w:rsidR="001E541A" w:rsidRPr="00BA6468" w:rsidRDefault="001E541A" w:rsidP="00BA6468">
          <w:pPr>
            <w:keepLines/>
            <w:rPr>
              <w:sz w:val="20"/>
              <w:szCs w:val="20"/>
              <w:lang w:val="fr-CA"/>
            </w:rPr>
          </w:pPr>
          <w:r w:rsidRPr="00BA6468">
            <w:rPr>
              <w:sz w:val="20"/>
              <w:szCs w:val="20"/>
              <w:lang w:val="fr-CA"/>
            </w:rPr>
            <w:t>REQUÊTES</w:t>
          </w:r>
        </w:p>
      </w:tc>
    </w:tr>
  </w:tbl>
  <w:p w:rsidR="001E541A" w:rsidRDefault="001E541A"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tc>
        <w:tcPr>
          <w:tcW w:w="4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541A" w:rsidRPr="00283C52"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E541A" w:rsidRPr="00283C52"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E541A" w:rsidRPr="00283C52"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rsidTr="00245129">
      <w:tc>
        <w:tcPr>
          <w:tcW w:w="4200" w:type="dxa"/>
          <w:tcMar>
            <w:left w:w="0" w:type="dxa"/>
            <w:right w:w="0" w:type="dxa"/>
          </w:tcMar>
        </w:tcPr>
        <w:p w:rsidR="001E541A" w:rsidRPr="00732DB7" w:rsidRDefault="001E541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E541A" w:rsidRPr="00732DB7" w:rsidRDefault="001E541A" w:rsidP="00732DB7">
          <w:pPr>
            <w:keepNext/>
            <w:keepLines/>
            <w:tabs>
              <w:tab w:val="left" w:pos="-1440"/>
              <w:tab w:val="left" w:pos="-720"/>
            </w:tabs>
            <w:jc w:val="center"/>
            <w:rPr>
              <w:sz w:val="20"/>
              <w:szCs w:val="20"/>
            </w:rPr>
          </w:pPr>
        </w:p>
        <w:p w:rsidR="001E541A" w:rsidRPr="00732DB7" w:rsidRDefault="001E541A" w:rsidP="00732DB7">
          <w:pPr>
            <w:keepNext/>
            <w:keepLines/>
            <w:tabs>
              <w:tab w:val="left" w:pos="-1440"/>
              <w:tab w:val="left" w:pos="-720"/>
            </w:tabs>
            <w:jc w:val="center"/>
            <w:rPr>
              <w:sz w:val="20"/>
              <w:szCs w:val="20"/>
            </w:rPr>
          </w:pPr>
        </w:p>
      </w:tc>
      <w:tc>
        <w:tcPr>
          <w:tcW w:w="4080" w:type="dxa"/>
          <w:tcMar>
            <w:left w:w="0" w:type="dxa"/>
            <w:right w:w="0" w:type="dxa"/>
          </w:tcMar>
        </w:tcPr>
        <w:p w:rsidR="001E541A" w:rsidRPr="00732DB7" w:rsidRDefault="001E541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E541A" w:rsidRPr="00283C52" w:rsidRDefault="001E541A" w:rsidP="003B53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tc>
        <w:tcPr>
          <w:tcW w:w="4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E541A" w:rsidRPr="003C2C0F"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E541A" w:rsidRPr="003C2C0F"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E541A" w:rsidRPr="003C2C0F"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rsidTr="00245129">
      <w:tc>
        <w:tcPr>
          <w:tcW w:w="4200" w:type="dxa"/>
          <w:tcMar>
            <w:left w:w="0" w:type="dxa"/>
            <w:right w:w="0" w:type="dxa"/>
          </w:tcMar>
        </w:tcPr>
        <w:p w:rsidR="001E541A" w:rsidRPr="00FF6EEC" w:rsidRDefault="001E541A" w:rsidP="00FF6EEC">
          <w:pPr>
            <w:rPr>
              <w:sz w:val="20"/>
              <w:szCs w:val="20"/>
            </w:rPr>
          </w:pPr>
          <w:r w:rsidRPr="00FF6EEC">
            <w:rPr>
              <w:sz w:val="20"/>
              <w:szCs w:val="20"/>
            </w:rPr>
            <w:t>PRONOUNCEMENTS OF APPEALS RESERVED</w:t>
          </w:r>
        </w:p>
      </w:tc>
      <w:tc>
        <w:tcPr>
          <w:tcW w:w="1200" w:type="dxa"/>
          <w:tcMar>
            <w:left w:w="0" w:type="dxa"/>
            <w:right w:w="0" w:type="dxa"/>
          </w:tcMar>
        </w:tcPr>
        <w:p w:rsidR="001E541A" w:rsidRPr="00FF6EEC" w:rsidRDefault="001E541A" w:rsidP="00FF6EEC">
          <w:pPr>
            <w:jc w:val="center"/>
            <w:rPr>
              <w:sz w:val="20"/>
              <w:szCs w:val="20"/>
            </w:rPr>
          </w:pPr>
        </w:p>
        <w:p w:rsidR="001E541A" w:rsidRPr="00FF6EEC" w:rsidRDefault="001E541A" w:rsidP="00FF6EEC">
          <w:pPr>
            <w:jc w:val="center"/>
            <w:rPr>
              <w:sz w:val="20"/>
              <w:szCs w:val="20"/>
            </w:rPr>
          </w:pPr>
        </w:p>
        <w:p w:rsidR="001E541A" w:rsidRPr="00FF6EEC" w:rsidRDefault="001E541A" w:rsidP="00FF6EEC">
          <w:pPr>
            <w:jc w:val="center"/>
            <w:rPr>
              <w:sz w:val="20"/>
              <w:szCs w:val="20"/>
            </w:rPr>
          </w:pPr>
        </w:p>
      </w:tc>
      <w:tc>
        <w:tcPr>
          <w:tcW w:w="4080" w:type="dxa"/>
          <w:tcMar>
            <w:left w:w="0" w:type="dxa"/>
            <w:right w:w="0" w:type="dxa"/>
          </w:tcMar>
        </w:tcPr>
        <w:p w:rsidR="001E541A" w:rsidRPr="00FF6EEC" w:rsidRDefault="001E541A" w:rsidP="00FF6EEC">
          <w:pPr>
            <w:rPr>
              <w:sz w:val="20"/>
              <w:szCs w:val="20"/>
              <w:lang w:val="fr-CA"/>
            </w:rPr>
          </w:pPr>
          <w:r w:rsidRPr="00FF6EEC">
            <w:rPr>
              <w:sz w:val="20"/>
              <w:szCs w:val="20"/>
              <w:lang w:val="fr-CA"/>
            </w:rPr>
            <w:t>JUGEMENTS RENDUS SUR LES APPELS EN DÉLIBÉRÉ</w:t>
          </w:r>
        </w:p>
      </w:tc>
    </w:tr>
  </w:tbl>
  <w:p w:rsidR="001E541A" w:rsidRPr="003C2C0F" w:rsidRDefault="001E541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E541A">
      <w:tc>
        <w:tcPr>
          <w:tcW w:w="423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E541A"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E541A"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E541A" w:rsidRPr="00782AE4" w:rsidTr="00245129">
      <w:tc>
        <w:tcPr>
          <w:tcW w:w="4230" w:type="dxa"/>
          <w:tcMar>
            <w:left w:w="0" w:type="dxa"/>
            <w:right w:w="0" w:type="dxa"/>
          </w:tcMar>
        </w:tcPr>
        <w:p w:rsidR="001E541A" w:rsidRPr="00782AE4" w:rsidRDefault="001E541A" w:rsidP="00102926">
          <w:pPr>
            <w:keepNext/>
            <w:keepLines/>
            <w:tabs>
              <w:tab w:val="left" w:pos="-1440"/>
              <w:tab w:val="left" w:pos="-720"/>
            </w:tabs>
            <w:rPr>
              <w:sz w:val="20"/>
              <w:szCs w:val="20"/>
            </w:rPr>
          </w:pPr>
          <w:r w:rsidRPr="00782AE4">
            <w:rPr>
              <w:sz w:val="20"/>
              <w:szCs w:val="20"/>
            </w:rPr>
            <w:t xml:space="preserve">HEADNOTES OF RECENT </w:t>
          </w:r>
        </w:p>
        <w:p w:rsidR="001E541A" w:rsidRPr="00782AE4"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E541A" w:rsidRDefault="001E541A" w:rsidP="00102926">
          <w:pPr>
            <w:keepNext/>
            <w:keepLines/>
            <w:tabs>
              <w:tab w:val="left" w:pos="-1440"/>
              <w:tab w:val="left" w:pos="-720"/>
            </w:tabs>
            <w:jc w:val="center"/>
            <w:rPr>
              <w:sz w:val="20"/>
              <w:szCs w:val="20"/>
            </w:rPr>
          </w:pPr>
        </w:p>
        <w:p w:rsidR="001E541A" w:rsidRDefault="001E541A" w:rsidP="00102926">
          <w:pPr>
            <w:keepNext/>
            <w:keepLines/>
            <w:tabs>
              <w:tab w:val="left" w:pos="-1440"/>
              <w:tab w:val="left" w:pos="-720"/>
            </w:tabs>
            <w:jc w:val="center"/>
            <w:rPr>
              <w:sz w:val="20"/>
              <w:szCs w:val="20"/>
            </w:rPr>
          </w:pPr>
        </w:p>
        <w:p w:rsidR="001E541A" w:rsidRPr="00782AE4" w:rsidRDefault="001E541A" w:rsidP="00102926">
          <w:pPr>
            <w:keepNext/>
            <w:keepLines/>
            <w:tabs>
              <w:tab w:val="left" w:pos="-1440"/>
              <w:tab w:val="left" w:pos="-720"/>
            </w:tabs>
            <w:jc w:val="center"/>
            <w:rPr>
              <w:sz w:val="20"/>
              <w:szCs w:val="20"/>
            </w:rPr>
          </w:pPr>
        </w:p>
      </w:tc>
      <w:tc>
        <w:tcPr>
          <w:tcW w:w="4080" w:type="dxa"/>
          <w:tcMar>
            <w:left w:w="0" w:type="dxa"/>
            <w:right w:w="0" w:type="dxa"/>
          </w:tcMar>
        </w:tcPr>
        <w:p w:rsidR="001E541A" w:rsidRPr="00102926"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E541A" w:rsidRPr="00782AE4" w:rsidRDefault="001E541A" w:rsidP="00102926">
          <w:pPr>
            <w:keepLines/>
            <w:tabs>
              <w:tab w:val="left" w:pos="-1440"/>
              <w:tab w:val="left" w:pos="-720"/>
            </w:tabs>
            <w:rPr>
              <w:sz w:val="20"/>
              <w:szCs w:val="20"/>
            </w:rPr>
          </w:pPr>
          <w:r w:rsidRPr="00102926">
            <w:rPr>
              <w:sz w:val="20"/>
              <w:szCs w:val="20"/>
              <w:lang w:val="fr-CA"/>
            </w:rPr>
            <w:t>RÉCENTS</w:t>
          </w:r>
        </w:p>
      </w:tc>
    </w:tr>
  </w:tbl>
  <w:p w:rsidR="001E541A" w:rsidRDefault="001E541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7" w:rsidRDefault="009C16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E541A" w:rsidRPr="0044776A" w:rsidTr="00245129">
      <w:tc>
        <w:tcPr>
          <w:tcW w:w="4290" w:type="dxa"/>
          <w:tcMar>
            <w:left w:w="0" w:type="dxa"/>
            <w:right w:w="0" w:type="dxa"/>
          </w:tcMar>
        </w:tcPr>
        <w:p w:rsidR="001E541A" w:rsidRPr="0044776A" w:rsidRDefault="001E541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E541A" w:rsidRPr="0044776A" w:rsidRDefault="001E541A" w:rsidP="002E2327">
          <w:pPr>
            <w:keepNext/>
            <w:keepLines/>
            <w:tabs>
              <w:tab w:val="left" w:pos="-1440"/>
              <w:tab w:val="left" w:pos="-720"/>
            </w:tabs>
            <w:jc w:val="center"/>
            <w:rPr>
              <w:sz w:val="20"/>
              <w:szCs w:val="20"/>
            </w:rPr>
          </w:pPr>
        </w:p>
        <w:p w:rsidR="001E541A" w:rsidRPr="0044776A" w:rsidRDefault="001E541A" w:rsidP="002E2327">
          <w:pPr>
            <w:keepNext/>
            <w:keepLines/>
            <w:tabs>
              <w:tab w:val="left" w:pos="-1440"/>
              <w:tab w:val="left" w:pos="-720"/>
            </w:tabs>
            <w:jc w:val="center"/>
            <w:rPr>
              <w:sz w:val="20"/>
              <w:szCs w:val="20"/>
            </w:rPr>
          </w:pPr>
        </w:p>
        <w:p w:rsidR="001E541A" w:rsidRPr="0044776A" w:rsidRDefault="001E541A" w:rsidP="002E2327">
          <w:pPr>
            <w:keepNext/>
            <w:keepLines/>
            <w:tabs>
              <w:tab w:val="left" w:pos="-1440"/>
              <w:tab w:val="left" w:pos="-720"/>
            </w:tabs>
            <w:jc w:val="center"/>
            <w:rPr>
              <w:sz w:val="20"/>
              <w:szCs w:val="20"/>
            </w:rPr>
          </w:pPr>
        </w:p>
      </w:tc>
      <w:tc>
        <w:tcPr>
          <w:tcW w:w="4320" w:type="dxa"/>
          <w:tcMar>
            <w:left w:w="0" w:type="dxa"/>
            <w:right w:w="0" w:type="dxa"/>
          </w:tcMar>
        </w:tcPr>
        <w:p w:rsidR="001E541A" w:rsidRPr="0044776A" w:rsidRDefault="001E541A" w:rsidP="002E2327">
          <w:pPr>
            <w:keepLines/>
            <w:rPr>
              <w:sz w:val="20"/>
              <w:szCs w:val="20"/>
              <w:lang w:val="fr-CA"/>
            </w:rPr>
          </w:pPr>
          <w:r w:rsidRPr="0044776A">
            <w:rPr>
              <w:sz w:val="20"/>
              <w:szCs w:val="20"/>
              <w:lang w:val="fr-CA"/>
            </w:rPr>
            <w:t>DEMANDES D'AUTORISATION D'APPEL DÉPOSÉES</w:t>
          </w:r>
        </w:p>
      </w:tc>
    </w:tr>
  </w:tbl>
  <w:p w:rsidR="001E541A" w:rsidRDefault="001E54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rsidTr="00245129">
      <w:tc>
        <w:tcPr>
          <w:tcW w:w="4200" w:type="dxa"/>
          <w:tcMar>
            <w:left w:w="0" w:type="dxa"/>
            <w:right w:w="0" w:type="dxa"/>
          </w:tcMar>
        </w:tcPr>
        <w:p w:rsidR="001E541A" w:rsidRPr="0044776A" w:rsidRDefault="001E541A" w:rsidP="0044776A">
          <w:pPr>
            <w:keepNext/>
            <w:keepLines/>
            <w:widowControl w:val="0"/>
            <w:rPr>
              <w:sz w:val="20"/>
              <w:szCs w:val="20"/>
            </w:rPr>
          </w:pPr>
          <w:r>
            <w:rPr>
              <w:sz w:val="20"/>
              <w:szCs w:val="20"/>
            </w:rPr>
            <w:t>APPLICATIONS FOR LEAVE</w:t>
          </w:r>
        </w:p>
        <w:p w:rsidR="001E541A" w:rsidRPr="0044776A" w:rsidRDefault="001E541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E541A" w:rsidRPr="0044776A" w:rsidRDefault="001E541A" w:rsidP="0044776A">
          <w:pPr>
            <w:keepNext/>
            <w:keepLines/>
            <w:widowControl w:val="0"/>
            <w:jc w:val="center"/>
            <w:rPr>
              <w:sz w:val="20"/>
              <w:szCs w:val="20"/>
            </w:rPr>
          </w:pPr>
        </w:p>
        <w:p w:rsidR="001E541A" w:rsidRPr="0044776A" w:rsidRDefault="001E541A" w:rsidP="0044776A">
          <w:pPr>
            <w:keepNext/>
            <w:keepLines/>
            <w:widowControl w:val="0"/>
            <w:jc w:val="center"/>
            <w:rPr>
              <w:sz w:val="20"/>
              <w:szCs w:val="20"/>
            </w:rPr>
          </w:pPr>
        </w:p>
        <w:p w:rsidR="001E541A" w:rsidRPr="0044776A" w:rsidRDefault="001E541A" w:rsidP="0044776A">
          <w:pPr>
            <w:keepNext/>
            <w:keepLines/>
            <w:widowControl w:val="0"/>
            <w:jc w:val="center"/>
            <w:rPr>
              <w:sz w:val="20"/>
              <w:szCs w:val="20"/>
            </w:rPr>
          </w:pPr>
        </w:p>
      </w:tc>
      <w:tc>
        <w:tcPr>
          <w:tcW w:w="4080" w:type="dxa"/>
          <w:tcMar>
            <w:left w:w="0" w:type="dxa"/>
            <w:right w:w="0" w:type="dxa"/>
          </w:tcMar>
        </w:tcPr>
        <w:p w:rsidR="001E541A" w:rsidRPr="0044776A" w:rsidRDefault="001E541A" w:rsidP="0044776A">
          <w:pPr>
            <w:keepLines/>
            <w:widowControl w:val="0"/>
            <w:rPr>
              <w:sz w:val="20"/>
              <w:szCs w:val="20"/>
              <w:lang w:val="fr-CA"/>
            </w:rPr>
          </w:pPr>
          <w:r w:rsidRPr="0044776A">
            <w:rPr>
              <w:sz w:val="20"/>
              <w:szCs w:val="20"/>
              <w:lang w:val="fr-CA"/>
            </w:rPr>
            <w:t>DEMANDES SOUMISES À LA COUR DEPUIS LA DERNIÈRE PARUTION</w:t>
          </w:r>
        </w:p>
        <w:p w:rsidR="001E541A" w:rsidRPr="0044776A" w:rsidRDefault="001E541A" w:rsidP="0044776A">
          <w:pPr>
            <w:widowControl w:val="0"/>
            <w:rPr>
              <w:sz w:val="20"/>
              <w:szCs w:val="20"/>
              <w:lang w:val="fr-CA"/>
            </w:rPr>
          </w:pPr>
        </w:p>
      </w:tc>
    </w:tr>
  </w:tbl>
  <w:p w:rsidR="001E541A" w:rsidRPr="002E2327" w:rsidRDefault="001E541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1A" w:rsidRDefault="001E54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tc>
        <w:tcPr>
          <w:tcW w:w="4200" w:type="dxa"/>
          <w:tcMar>
            <w:left w:w="0" w:type="dxa"/>
            <w:right w:w="0" w:type="dxa"/>
          </w:tcMar>
        </w:tcPr>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E541A"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E541A"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541A" w:rsidRPr="00FF6BA5"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E541A" w:rsidRPr="00FF6BA5"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E541A" w:rsidRPr="00FF6BA5"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E541A" w:rsidRPr="00FF6BA5" w:rsidRDefault="001E54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541A" w:rsidRPr="00B26F8D" w:rsidTr="00245129">
      <w:tc>
        <w:tcPr>
          <w:tcW w:w="4200" w:type="dxa"/>
          <w:tcMar>
            <w:left w:w="0" w:type="dxa"/>
            <w:right w:w="0" w:type="dxa"/>
          </w:tcMar>
        </w:tcPr>
        <w:p w:rsidR="001E541A" w:rsidRPr="00755F22"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E541A" w:rsidRPr="00755F22" w:rsidRDefault="001E541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E541A" w:rsidRPr="00755F22" w:rsidRDefault="001E54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E541A" w:rsidRPr="00755F22" w:rsidRDefault="001E54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E541A" w:rsidRPr="00755F22" w:rsidRDefault="001E541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E541A" w:rsidRPr="00755F22" w:rsidRDefault="001E541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E541A" w:rsidRPr="00FF6BA5" w:rsidRDefault="001E541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7899"/>
    <w:multiLevelType w:val="hybridMultilevel"/>
    <w:tmpl w:val="AFB07AB8"/>
    <w:lvl w:ilvl="0" w:tplc="50868AD8">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841D7D"/>
    <w:multiLevelType w:val="hybridMultilevel"/>
    <w:tmpl w:val="930E29DE"/>
    <w:lvl w:ilvl="0" w:tplc="2490F5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1304"/>
    <w:multiLevelType w:val="hybridMultilevel"/>
    <w:tmpl w:val="8EC2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9579A0"/>
    <w:multiLevelType w:val="hybridMultilevel"/>
    <w:tmpl w:val="8FDEE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B12BF1"/>
    <w:multiLevelType w:val="hybridMultilevel"/>
    <w:tmpl w:val="206654EA"/>
    <w:lvl w:ilvl="0" w:tplc="55FC0E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447AB"/>
    <w:multiLevelType w:val="hybridMultilevel"/>
    <w:tmpl w:val="F8C664F4"/>
    <w:lvl w:ilvl="0" w:tplc="6958BADC">
      <w:start w:val="1"/>
      <w:numFmt w:val="decimal"/>
      <w:lvlText w:val="%1."/>
      <w:lvlJc w:val="left"/>
      <w:pPr>
        <w:ind w:left="720" w:hanging="360"/>
      </w:pPr>
      <w:rPr>
        <w:rFonts w:ascii="Times New Roman" w:hAnsi="Times New Roman" w:cs="Times New Roman" w:hint="default"/>
        <w:b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53C9"/>
    <w:multiLevelType w:val="hybridMultilevel"/>
    <w:tmpl w:val="F8C664F4"/>
    <w:lvl w:ilvl="0" w:tplc="6958BADC">
      <w:start w:val="1"/>
      <w:numFmt w:val="decimal"/>
      <w:lvlText w:val="%1."/>
      <w:lvlJc w:val="left"/>
      <w:pPr>
        <w:ind w:left="720" w:hanging="360"/>
      </w:pPr>
      <w:rPr>
        <w:rFonts w:ascii="Times New Roman" w:hAnsi="Times New Roman" w:cs="Times New Roman" w:hint="default"/>
        <w:b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2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4"/>
    <w:rsid w:val="00002704"/>
    <w:rsid w:val="00020DC3"/>
    <w:rsid w:val="0003223B"/>
    <w:rsid w:val="000327B2"/>
    <w:rsid w:val="0004528B"/>
    <w:rsid w:val="00064FBA"/>
    <w:rsid w:val="00065C74"/>
    <w:rsid w:val="0007673F"/>
    <w:rsid w:val="00084932"/>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46A70"/>
    <w:rsid w:val="00164E6D"/>
    <w:rsid w:val="00183454"/>
    <w:rsid w:val="001B157C"/>
    <w:rsid w:val="001B4006"/>
    <w:rsid w:val="001B5C23"/>
    <w:rsid w:val="001D0D5F"/>
    <w:rsid w:val="001D6B8C"/>
    <w:rsid w:val="001E541A"/>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B68C3"/>
    <w:rsid w:val="002D72EB"/>
    <w:rsid w:val="002E2327"/>
    <w:rsid w:val="002E3583"/>
    <w:rsid w:val="002E5576"/>
    <w:rsid w:val="00316871"/>
    <w:rsid w:val="00331B52"/>
    <w:rsid w:val="003359D3"/>
    <w:rsid w:val="00355967"/>
    <w:rsid w:val="00382C47"/>
    <w:rsid w:val="00384384"/>
    <w:rsid w:val="003866AE"/>
    <w:rsid w:val="003A4F04"/>
    <w:rsid w:val="003B3977"/>
    <w:rsid w:val="003B53E9"/>
    <w:rsid w:val="003E1D4C"/>
    <w:rsid w:val="004137A0"/>
    <w:rsid w:val="00422D9A"/>
    <w:rsid w:val="00432989"/>
    <w:rsid w:val="00440E24"/>
    <w:rsid w:val="0044776A"/>
    <w:rsid w:val="00460AFC"/>
    <w:rsid w:val="0047471F"/>
    <w:rsid w:val="0048542F"/>
    <w:rsid w:val="004B195E"/>
    <w:rsid w:val="004B66B4"/>
    <w:rsid w:val="004B7F60"/>
    <w:rsid w:val="004C1AAC"/>
    <w:rsid w:val="004E1E0A"/>
    <w:rsid w:val="004F090E"/>
    <w:rsid w:val="00501F3C"/>
    <w:rsid w:val="00506A9B"/>
    <w:rsid w:val="0052229C"/>
    <w:rsid w:val="00527CC7"/>
    <w:rsid w:val="00571CA4"/>
    <w:rsid w:val="00582136"/>
    <w:rsid w:val="005C3B9D"/>
    <w:rsid w:val="005C6840"/>
    <w:rsid w:val="005D2B87"/>
    <w:rsid w:val="005E141F"/>
    <w:rsid w:val="005F1ED8"/>
    <w:rsid w:val="005F263E"/>
    <w:rsid w:val="00600252"/>
    <w:rsid w:val="00612A40"/>
    <w:rsid w:val="0062714A"/>
    <w:rsid w:val="00675479"/>
    <w:rsid w:val="00680709"/>
    <w:rsid w:val="00681F61"/>
    <w:rsid w:val="00696BF9"/>
    <w:rsid w:val="00697C62"/>
    <w:rsid w:val="006A329B"/>
    <w:rsid w:val="006A7EB8"/>
    <w:rsid w:val="006B6926"/>
    <w:rsid w:val="006C1C50"/>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8F5FE2"/>
    <w:rsid w:val="00902E51"/>
    <w:rsid w:val="00916053"/>
    <w:rsid w:val="00924065"/>
    <w:rsid w:val="00930D68"/>
    <w:rsid w:val="00932DB4"/>
    <w:rsid w:val="00941A4B"/>
    <w:rsid w:val="00946242"/>
    <w:rsid w:val="0095096B"/>
    <w:rsid w:val="00970CD3"/>
    <w:rsid w:val="009723FA"/>
    <w:rsid w:val="00984546"/>
    <w:rsid w:val="00996510"/>
    <w:rsid w:val="009C1677"/>
    <w:rsid w:val="009D1F15"/>
    <w:rsid w:val="009D555E"/>
    <w:rsid w:val="009F3024"/>
    <w:rsid w:val="009F39BA"/>
    <w:rsid w:val="00A0355E"/>
    <w:rsid w:val="00A26DB1"/>
    <w:rsid w:val="00A375D1"/>
    <w:rsid w:val="00A51D10"/>
    <w:rsid w:val="00A52A83"/>
    <w:rsid w:val="00A6552C"/>
    <w:rsid w:val="00A762FE"/>
    <w:rsid w:val="00A87207"/>
    <w:rsid w:val="00A935AA"/>
    <w:rsid w:val="00A956D3"/>
    <w:rsid w:val="00AB2201"/>
    <w:rsid w:val="00AB33BB"/>
    <w:rsid w:val="00AD1D34"/>
    <w:rsid w:val="00AD3259"/>
    <w:rsid w:val="00AF1715"/>
    <w:rsid w:val="00AF3904"/>
    <w:rsid w:val="00B010C0"/>
    <w:rsid w:val="00B26F8D"/>
    <w:rsid w:val="00B4740D"/>
    <w:rsid w:val="00B61629"/>
    <w:rsid w:val="00B7374B"/>
    <w:rsid w:val="00B90DC0"/>
    <w:rsid w:val="00BA116A"/>
    <w:rsid w:val="00BA5582"/>
    <w:rsid w:val="00BA6468"/>
    <w:rsid w:val="00BB1D44"/>
    <w:rsid w:val="00BD06DA"/>
    <w:rsid w:val="00BD4217"/>
    <w:rsid w:val="00BF25F3"/>
    <w:rsid w:val="00C1697B"/>
    <w:rsid w:val="00C21644"/>
    <w:rsid w:val="00C21CB5"/>
    <w:rsid w:val="00C45171"/>
    <w:rsid w:val="00C46376"/>
    <w:rsid w:val="00C50A5C"/>
    <w:rsid w:val="00C50FDF"/>
    <w:rsid w:val="00C63381"/>
    <w:rsid w:val="00C73D06"/>
    <w:rsid w:val="00C73E1B"/>
    <w:rsid w:val="00C759B4"/>
    <w:rsid w:val="00C77713"/>
    <w:rsid w:val="00C85BB7"/>
    <w:rsid w:val="00CA2DEA"/>
    <w:rsid w:val="00CB3520"/>
    <w:rsid w:val="00CB43D5"/>
    <w:rsid w:val="00CC4D84"/>
    <w:rsid w:val="00CD76E4"/>
    <w:rsid w:val="00CE198A"/>
    <w:rsid w:val="00CF08C8"/>
    <w:rsid w:val="00CF5C76"/>
    <w:rsid w:val="00D004FC"/>
    <w:rsid w:val="00D64901"/>
    <w:rsid w:val="00D76BDF"/>
    <w:rsid w:val="00D818B6"/>
    <w:rsid w:val="00D862C1"/>
    <w:rsid w:val="00D93B50"/>
    <w:rsid w:val="00D94028"/>
    <w:rsid w:val="00D94670"/>
    <w:rsid w:val="00DA27C8"/>
    <w:rsid w:val="00DA46F6"/>
    <w:rsid w:val="00DD0B49"/>
    <w:rsid w:val="00DE0502"/>
    <w:rsid w:val="00DE349D"/>
    <w:rsid w:val="00E06DFA"/>
    <w:rsid w:val="00E20A0A"/>
    <w:rsid w:val="00E240C2"/>
    <w:rsid w:val="00E356C7"/>
    <w:rsid w:val="00E414CA"/>
    <w:rsid w:val="00E41A5A"/>
    <w:rsid w:val="00E45FE4"/>
    <w:rsid w:val="00E64FA7"/>
    <w:rsid w:val="00E770CB"/>
    <w:rsid w:val="00E85994"/>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837D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AppellantInfoAppellantInfo">
    <w:name w:val="SCC.AppellantInfo.AppellantInfo"/>
    <w:basedOn w:val="Normal"/>
    <w:next w:val="Normal"/>
    <w:link w:val="SCCAppellantInfoAppellantInfoChar"/>
    <w:rsid w:val="005C3B9D"/>
    <w:rPr>
      <w:szCs w:val="24"/>
    </w:rPr>
  </w:style>
  <w:style w:type="character" w:customStyle="1" w:styleId="SCCAppellantInfoAppellantInfoChar">
    <w:name w:val="SCC.AppellantInfo.AppellantInfo Char"/>
    <w:basedOn w:val="DefaultParagraphFont"/>
    <w:link w:val="SCCAppellantInfoAppellantInfo"/>
    <w:rsid w:val="005C3B9D"/>
    <w:rPr>
      <w:szCs w:val="24"/>
      <w:lang w:val="en-CA"/>
    </w:rPr>
  </w:style>
  <w:style w:type="paragraph" w:customStyle="1" w:styleId="SCCLsocParty">
    <w:name w:val="SCC.Lsoc.Party"/>
    <w:basedOn w:val="Normal"/>
    <w:next w:val="Normal"/>
    <w:link w:val="SCCLsocPartyChar"/>
    <w:rsid w:val="005C3B9D"/>
    <w:pPr>
      <w:jc w:val="both"/>
    </w:pPr>
    <w:rPr>
      <w:b/>
    </w:rPr>
  </w:style>
  <w:style w:type="character" w:customStyle="1" w:styleId="SCCLsocPartyChar">
    <w:name w:val="SCC.Lsoc.Party Char"/>
    <w:basedOn w:val="DefaultParagraphFont"/>
    <w:link w:val="SCCLsocParty"/>
    <w:rsid w:val="005C3B9D"/>
    <w:rPr>
      <w:b/>
      <w:lang w:val="en-CA"/>
    </w:rPr>
  </w:style>
  <w:style w:type="table" w:customStyle="1" w:styleId="TableGrid2">
    <w:name w:val="Table Grid2"/>
    <w:basedOn w:val="TableNormal"/>
    <w:next w:val="TableGrid"/>
    <w:uiPriority w:val="59"/>
    <w:rsid w:val="005C3B9D"/>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3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9D"/>
    <w:rPr>
      <w:rFonts w:ascii="Segoe UI" w:hAnsi="Segoe UI" w:cs="Segoe UI"/>
      <w:sz w:val="18"/>
      <w:szCs w:val="18"/>
      <w:lang w:val="en-CA"/>
    </w:rPr>
  </w:style>
  <w:style w:type="table" w:customStyle="1" w:styleId="TableGrid3">
    <w:name w:val="Table Grid3"/>
    <w:basedOn w:val="TableNormal"/>
    <w:next w:val="TableGrid"/>
    <w:uiPriority w:val="59"/>
    <w:rsid w:val="005C3B9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C3B9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07673F"/>
    <w:pPr>
      <w:tabs>
        <w:tab w:val="left" w:pos="1166"/>
      </w:tabs>
      <w:spacing w:after="480" w:line="480" w:lineRule="auto"/>
    </w:pPr>
    <w:rPr>
      <w:rFonts w:eastAsia="Times New Roman" w:cs="Times New Roman"/>
      <w:smallCaps/>
      <w:szCs w:val="24"/>
      <w:lang w:val="en-CA" w:eastAsia="en-CA"/>
    </w:rPr>
  </w:style>
  <w:style w:type="table" w:customStyle="1" w:styleId="TableGrid31">
    <w:name w:val="Table Grid31"/>
    <w:basedOn w:val="TableNormal"/>
    <w:next w:val="TableGrid"/>
    <w:uiPriority w:val="59"/>
    <w:rsid w:val="00A26DB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14/2014bcsc121/2014bcsc121.html" TargetMode="External"/><Relationship Id="rId117" Type="http://schemas.openxmlformats.org/officeDocument/2006/relationships/footer" Target="footer25.xml"/><Relationship Id="rId21" Type="http://schemas.openxmlformats.org/officeDocument/2006/relationships/header" Target="header6.xml"/><Relationship Id="rId42" Type="http://schemas.openxmlformats.org/officeDocument/2006/relationships/hyperlink" Target="http://www.canlii.org/en/bc/bcca/doc/2015/2015bcca195/2015bcca195.html?autocompleteStr=2015%20bcca%20195&amp;autocompletePos=1" TargetMode="External"/><Relationship Id="rId47" Type="http://schemas.openxmlformats.org/officeDocument/2006/relationships/hyperlink" Target="http://canlii.ca/t/fs53d" TargetMode="External"/><Relationship Id="rId63" Type="http://schemas.openxmlformats.org/officeDocument/2006/relationships/hyperlink" Target="http://www.canlii.org/en/on/onsc/doc/2014/2014onsc5666/2014onsc5666.html?autocompleteStr=2014%20ONSC%205666&amp;autocompletePos=1" TargetMode="External"/><Relationship Id="rId68" Type="http://schemas.openxmlformats.org/officeDocument/2006/relationships/hyperlink" Target="http://www.canlii.org/en/on/onca/doc/2015/2015onca385/2015onca385.html?searchUrlHash=AAAAAAAAAAEAFzIwMTQgT05TQyA1NjcwIChDYW5MSUkpAAAAAQANLzIwMTRvbnNjNTY3MAE&amp;resultIndex=3" TargetMode="External"/><Relationship Id="rId84" Type="http://schemas.openxmlformats.org/officeDocument/2006/relationships/header" Target="header12.xml"/><Relationship Id="rId89" Type="http://schemas.openxmlformats.org/officeDocument/2006/relationships/header" Target="header14.xm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footer" Target="footer20.xml"/><Relationship Id="rId11" Type="http://schemas.openxmlformats.org/officeDocument/2006/relationships/header" Target="header1.xml"/><Relationship Id="rId32" Type="http://schemas.openxmlformats.org/officeDocument/2006/relationships/hyperlink" Target="http://www.canlii.org/en/sk/skca/doc/2015/2015skca43/2015skca43.html?resultIndex=6" TargetMode="External"/><Relationship Id="rId37" Type="http://schemas.openxmlformats.org/officeDocument/2006/relationships/hyperlink" Target="http://www.canlii.org/en/sk/skqb/doc/2013/2013skqb253/2013skqb253.html?autocompleteStr=lecaine&amp;autocompletePos=4" TargetMode="External"/><Relationship Id="rId53" Type="http://schemas.openxmlformats.org/officeDocument/2006/relationships/hyperlink" Target="http://canlii.ca/t/fz7zn" TargetMode="External"/><Relationship Id="rId58" Type="http://schemas.openxmlformats.org/officeDocument/2006/relationships/hyperlink" Target="http://www.canlii.org/en/on/onca/doc/2015/2015onca379/2015onca379.html?autocompleteStr=2015%20onca%20379&amp;autocompletePos=1" TargetMode="External"/><Relationship Id="rId74" Type="http://schemas.openxmlformats.org/officeDocument/2006/relationships/hyperlink" Target="http://www.canlii.org/en/bc/bcca/doc/2015/2015bcca277/2015bcca277.html?autocompleteStr=2015%20bcca%20277&amp;autocompletePos=1" TargetMode="External"/><Relationship Id="rId79" Type="http://schemas.openxmlformats.org/officeDocument/2006/relationships/footer" Target="footer8.xml"/><Relationship Id="rId102"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canlii.ca/t/ghk5x" TargetMode="External"/><Relationship Id="rId82" Type="http://schemas.openxmlformats.org/officeDocument/2006/relationships/footer" Target="footer10.xml"/><Relationship Id="rId90" Type="http://schemas.openxmlformats.org/officeDocument/2006/relationships/header" Target="header15.xml"/><Relationship Id="rId95" Type="http://schemas.openxmlformats.org/officeDocument/2006/relationships/hyperlink" Target="http://www.scc-csc.ca/case-dossier/info/sum-som-eng.aspx?cas=35591"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ca/doc/2015/2015bcca184/2015bcca184.html?resultIndex=1" TargetMode="External"/><Relationship Id="rId30" Type="http://schemas.openxmlformats.org/officeDocument/2006/relationships/hyperlink" Target="http://www.canlii.org/en/bc/bcca/doc/2015/2015bcca184/2015bcca184.html?resultIndex=1" TargetMode="External"/><Relationship Id="rId35" Type="http://schemas.openxmlformats.org/officeDocument/2006/relationships/hyperlink" Target="http://www.canlii.org/en/sk/skqb/doc/2013/2013skqb253/2013skqb253.html?autocompleteStr=lecaine&amp;autocompletePos=4" TargetMode="External"/><Relationship Id="rId43" Type="http://schemas.openxmlformats.org/officeDocument/2006/relationships/hyperlink" Target="http://canlii.ca/t/fs53d" TargetMode="External"/><Relationship Id="rId48" Type="http://schemas.openxmlformats.org/officeDocument/2006/relationships/hyperlink" Target="http://c-doc/L25/01/05/%3chttp:/canlii.ca/t/fw7z1" TargetMode="External"/><Relationship Id="rId56" Type="http://schemas.openxmlformats.org/officeDocument/2006/relationships/hyperlink" Target="https://www.canlii.org/en/ca/fca/doc/2015/2015fca149/2015fca149.html?autocompleteStr=2015FCA149&amp;autocompletePos=1" TargetMode="External"/><Relationship Id="rId64" Type="http://schemas.openxmlformats.org/officeDocument/2006/relationships/hyperlink" Target="http://www.canlii.org/en/on/onca/doc/2015/2015onca386/2015onca386.html?searchUrlHash=AAAAAAAAAAEAFzIwMTQgT05TQyA1NjY2IChDYW5MSUkpAAAAAQANLzIwMTRvbnNjNTY2NgE&amp;resultIndex=3" TargetMode="External"/><Relationship Id="rId69" Type="http://schemas.openxmlformats.org/officeDocument/2006/relationships/hyperlink" Target="http://www.canlii.org/en/on/onsc/doc/2014/2014onsc5670/2014onsc5670.html?autocompleteStr=2014%20ONSC%205670&amp;autocompletePos=1" TargetMode="External"/><Relationship Id="rId77" Type="http://schemas.openxmlformats.org/officeDocument/2006/relationships/header" Target="header8.xml"/><Relationship Id="rId100" Type="http://schemas.openxmlformats.org/officeDocument/2006/relationships/header" Target="header18.xml"/><Relationship Id="rId105" Type="http://schemas.openxmlformats.org/officeDocument/2006/relationships/header" Target="header20.xml"/><Relationship Id="rId113" Type="http://schemas.openxmlformats.org/officeDocument/2006/relationships/header" Target="header24.xml"/><Relationship Id="rId118" Type="http://schemas.openxmlformats.org/officeDocument/2006/relationships/header" Target="header26.xml"/><Relationship Id="rId8" Type="http://schemas.openxmlformats.org/officeDocument/2006/relationships/image" Target="media/image1.wmf"/><Relationship Id="rId51" Type="http://schemas.openxmlformats.org/officeDocument/2006/relationships/hyperlink" Target="http://canlii.ca/t/fz7zn" TargetMode="External"/><Relationship Id="rId72" Type="http://schemas.openxmlformats.org/officeDocument/2006/relationships/hyperlink" Target="http://www.canlii.org/en/bc/bcca/doc/2015/2015bcca277/2015bcca277.html?autocompleteStr=2015%20bcca%20277&amp;autocompletePos=1" TargetMode="External"/><Relationship Id="rId80" Type="http://schemas.openxmlformats.org/officeDocument/2006/relationships/footer" Target="footer9.xml"/><Relationship Id="rId85" Type="http://schemas.openxmlformats.org/officeDocument/2006/relationships/footer" Target="footer11.xml"/><Relationship Id="rId93" Type="http://schemas.openxmlformats.org/officeDocument/2006/relationships/header" Target="header16.xml"/><Relationship Id="rId98" Type="http://schemas.openxmlformats.org/officeDocument/2006/relationships/hyperlink" Target="http://www.scc-csc.ca/case-dossier/info/sum-som-eng.aspx?cas=36300"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sc/doc/2011/2011bcsc469/2011bcsc469.html?resultIndex=1" TargetMode="External"/><Relationship Id="rId33" Type="http://schemas.openxmlformats.org/officeDocument/2006/relationships/hyperlink" Target="http://www.canlii.org/en/sk/skqb/doc/2013/2013skqb254/2013skqb254.html?resultIndex=3" TargetMode="External"/><Relationship Id="rId38" Type="http://schemas.openxmlformats.org/officeDocument/2006/relationships/hyperlink" Target="http://www.canlii.org/en/sk/skca/doc/2015/2015skca43/2015skca43.html?resultIndex=6" TargetMode="External"/><Relationship Id="rId46" Type="http://schemas.openxmlformats.org/officeDocument/2006/relationships/hyperlink" Target="http://canlii.ca/t/g0qb6" TargetMode="External"/><Relationship Id="rId59" Type="http://schemas.openxmlformats.org/officeDocument/2006/relationships/hyperlink" Target="http://www.canlii.org/en/on/onsc/doc/2014/2014onsc6394/2014onsc6394.html?autocompleteStr=2014onsc6394&amp;autocompletePos=1" TargetMode="External"/><Relationship Id="rId67" Type="http://schemas.openxmlformats.org/officeDocument/2006/relationships/hyperlink" Target="http://www.canlii.org/en/on/onsc/doc/2014/2014onsc5670/2014onsc5670.html?autocompleteStr=2014%20ONSC%205670&amp;autocompletePos=1" TargetMode="External"/><Relationship Id="rId103" Type="http://schemas.openxmlformats.org/officeDocument/2006/relationships/header" Target="header19.xml"/><Relationship Id="rId108" Type="http://schemas.openxmlformats.org/officeDocument/2006/relationships/footer" Target="footer21.xml"/><Relationship Id="rId116" Type="http://schemas.openxmlformats.org/officeDocument/2006/relationships/header" Target="header25.xml"/><Relationship Id="rId20" Type="http://schemas.openxmlformats.org/officeDocument/2006/relationships/footer" Target="footer5.xml"/><Relationship Id="rId41" Type="http://schemas.openxmlformats.org/officeDocument/2006/relationships/hyperlink" Target="http://www.canlii.org/en/bc/bcsc/doc/2012/2012bcsc2025/2012bcsc2025.html?resultIndex=1" TargetMode="External"/><Relationship Id="rId54" Type="http://schemas.openxmlformats.org/officeDocument/2006/relationships/hyperlink" Target="http://canlii.ca/t/ghh4z" TargetMode="External"/><Relationship Id="rId62" Type="http://schemas.openxmlformats.org/officeDocument/2006/relationships/hyperlink" Target="http://canlii.ca/t/ghk5x" TargetMode="External"/><Relationship Id="rId70" Type="http://schemas.openxmlformats.org/officeDocument/2006/relationships/hyperlink" Target="http://www.canlii.org/en/on/onca/doc/2015/2015onca385/2015onca385.html?searchUrlHash=AAAAAAAAAAEAFzIwMTQgT05TQyA1NjcwIChDYW5MSUkpAAAAAQANLzIwMTRvbnNjNTY3MAE&amp;resultIndex=3" TargetMode="External"/><Relationship Id="rId75" Type="http://schemas.openxmlformats.org/officeDocument/2006/relationships/hyperlink" Target="http://www.canlii.org/en/on/onca/doc/2015/2015onca278/2015onca278.html?autocompleteStr=2015%20ONCA%20278&amp;autocompletePos=1" TargetMode="External"/><Relationship Id="rId83" Type="http://schemas.openxmlformats.org/officeDocument/2006/relationships/header" Target="header11.xm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hyperlink" Target="http://www.scc-csc.ca/case-dossier/info/sum-som-eng.aspx?cas=36167" TargetMode="External"/><Relationship Id="rId111" Type="http://schemas.openxmlformats.org/officeDocument/2006/relationships/hyperlink" Target="http://www.scc-csc.ca/case-dossier/info/sum-som-eng.aspx?cas=362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sc/doc/2011/2011bcsc469/2011bcsc469.html?resultIndex=1" TargetMode="External"/><Relationship Id="rId36" Type="http://schemas.openxmlformats.org/officeDocument/2006/relationships/hyperlink" Target="http://www.canlii.org/en/sk/skca/doc/2015/2015skca43/2015skca43.html?resultIndex=6" TargetMode="External"/><Relationship Id="rId49" Type="http://schemas.openxmlformats.org/officeDocument/2006/relationships/hyperlink" Target="http://canlii.ca/t/g0qb6" TargetMode="External"/><Relationship Id="rId57" Type="http://schemas.openxmlformats.org/officeDocument/2006/relationships/hyperlink" Target="http://www.canlii.org/en/on/onsc/doc/2014/2014onsc6394/2014onsc6394.html?autocompleteStr=2014onsc6394&amp;autocompletePos=1" TargetMode="External"/><Relationship Id="rId106" Type="http://schemas.openxmlformats.org/officeDocument/2006/relationships/header" Target="header21.xml"/><Relationship Id="rId114" Type="http://schemas.openxmlformats.org/officeDocument/2006/relationships/footer" Target="footer23.xml"/><Relationship Id="rId119" Type="http://schemas.openxmlformats.org/officeDocument/2006/relationships/footer" Target="footer26.xml"/><Relationship Id="rId10" Type="http://schemas.openxmlformats.org/officeDocument/2006/relationships/hyperlink" Target="http://www.scc-csc.ca" TargetMode="External"/><Relationship Id="rId31" Type="http://schemas.openxmlformats.org/officeDocument/2006/relationships/hyperlink" Target="http://www.canlii.org/en/sk/skqb/doc/2013/2013skqb254/2013skqb254.html?resultIndex=3" TargetMode="External"/><Relationship Id="rId44" Type="http://schemas.openxmlformats.org/officeDocument/2006/relationships/hyperlink" Target="http://c-doc/L25/01/05/%3chttp:/canlii.ca/t/fw7z1" TargetMode="External"/><Relationship Id="rId52" Type="http://schemas.openxmlformats.org/officeDocument/2006/relationships/hyperlink" Target="http://canlii.ca/t/ghh4z" TargetMode="External"/><Relationship Id="rId60" Type="http://schemas.openxmlformats.org/officeDocument/2006/relationships/hyperlink" Target="http://www.canlii.org/en/on/onca/doc/2015/2015onca379/2015onca379.html?autocompleteStr=2015%20onca%20379&amp;autocompletePos=1" TargetMode="External"/><Relationship Id="rId65" Type="http://schemas.openxmlformats.org/officeDocument/2006/relationships/hyperlink" Target="http://www.canlii.org/en/on/onsc/doc/2014/2014onsc5666/2014onsc5666.html?autocompleteStr=2014%20ONSC%205666&amp;autocompletePos=1" TargetMode="External"/><Relationship Id="rId73" Type="http://schemas.openxmlformats.org/officeDocument/2006/relationships/hyperlink" Target="http://www.canlii.org/en/bc/bcsc/doc/2014/2014bcsc602/2014bcsc602.html?resultIndex=1"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footer" Target="footer16.xml"/><Relationship Id="rId99" Type="http://schemas.openxmlformats.org/officeDocument/2006/relationships/header" Target="header17.xml"/><Relationship Id="rId10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bc/bcsc/doc/2012/2012bcsc2025/2012bcsc2025.html?resultIndex=1" TargetMode="External"/><Relationship Id="rId109" Type="http://schemas.openxmlformats.org/officeDocument/2006/relationships/header" Target="header22.xml"/><Relationship Id="rId34" Type="http://schemas.openxmlformats.org/officeDocument/2006/relationships/hyperlink" Target="http://www.canlii.org/en/sk/skca/doc/2015/2015skca43/2015skca43.html?resultIndex=6" TargetMode="External"/><Relationship Id="rId50" Type="http://schemas.openxmlformats.org/officeDocument/2006/relationships/hyperlink" Target="http://canlii.ca/t/g0qb6" TargetMode="External"/><Relationship Id="rId55" Type="http://schemas.openxmlformats.org/officeDocument/2006/relationships/hyperlink" Target="https://www.canlii.org/en/ca/fca/doc/2015/2015fca149/2015fca149.html?autocompleteStr=2015FCA149&amp;autocompletePos=1" TargetMode="External"/><Relationship Id="rId76" Type="http://schemas.openxmlformats.org/officeDocument/2006/relationships/hyperlink" Target="http://www.canlii.org/en/on/onca/doc/2015/2015onca278/2015onca278.html?autocompleteStr=2015%20ONCA%20278&amp;autocompletePos=1" TargetMode="External"/><Relationship Id="rId97" Type="http://schemas.openxmlformats.org/officeDocument/2006/relationships/hyperlink" Target="http://www.scc-csc.ca/case-dossier/info/sum-som-eng.aspx?cas=35982" TargetMode="External"/><Relationship Id="rId104" Type="http://schemas.openxmlformats.org/officeDocument/2006/relationships/footer" Target="footer19.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nlii.org/en/bc/bcsc/doc/2014/2014bcsc602/2014bcsc602.html?resultIndex=1" TargetMode="External"/><Relationship Id="rId92"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www.canlii.org/en/bc/bcsc/doc/2014/2014bcsc121/2014bcsc121.html" TargetMode="External"/><Relationship Id="rId24" Type="http://schemas.openxmlformats.org/officeDocument/2006/relationships/footer" Target="footer7.xml"/><Relationship Id="rId40" Type="http://schemas.openxmlformats.org/officeDocument/2006/relationships/hyperlink" Target="http://www.canlii.org/en/bc/bcca/doc/2015/2015bcca195/2015bcca195.html?autocompleteStr=2015%20bcca%20195&amp;autocompletePos=1" TargetMode="External"/><Relationship Id="rId45" Type="http://schemas.openxmlformats.org/officeDocument/2006/relationships/hyperlink" Target="http://canlii.ca/t/g0qb6" TargetMode="External"/><Relationship Id="rId66" Type="http://schemas.openxmlformats.org/officeDocument/2006/relationships/hyperlink" Target="http://www.canlii.org/en/on/onca/doc/2015/2015onca386/2015onca386.html?searchUrlHash=AAAAAAAAAAEAFzIwMTQgT05TQyA1NjY2IChDYW5MSUkpAAAAAQANLzIwMTRvbnNjNTY2NgE&amp;resultIndex=3" TargetMode="External"/><Relationship Id="rId87" Type="http://schemas.openxmlformats.org/officeDocument/2006/relationships/header" Target="header13.xml"/><Relationship Id="rId110" Type="http://schemas.openxmlformats.org/officeDocument/2006/relationships/footer" Target="footer22.xml"/><Relationship Id="rId11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52D9-649F-457C-8C2C-D15070CF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21565</Words>
  <Characters>122923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2016-01-14T18:21:00Z</dcterms:created>
  <dcterms:modified xsi:type="dcterms:W3CDTF">2016-01-18T20:11:00Z</dcterms:modified>
</cp:coreProperties>
</file>