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C2" w:rsidRDefault="003A0CC2"/>
    <w:p w:rsidR="00BF25F3" w:rsidRPr="002E2327" w:rsidRDefault="00382C47">
      <w:bookmarkStart w:id="0" w:name="_GoBack"/>
      <w:bookmarkEnd w:id="0"/>
      <w:r w:rsidRPr="002E2327">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A0CC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A0C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A0CC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A0C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A0CC2"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A0CC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A0CC2"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1400AD" w:rsidP="00F0068D">
      <w:pPr>
        <w:pBdr>
          <w:bottom w:val="single" w:sz="6" w:space="1" w:color="auto"/>
        </w:pBdr>
        <w:tabs>
          <w:tab w:val="center" w:pos="4680"/>
          <w:tab w:val="right" w:pos="9360"/>
        </w:tabs>
        <w:rPr>
          <w:lang w:val="fr-CA"/>
        </w:rPr>
      </w:pPr>
      <w:r>
        <w:rPr>
          <w:lang w:val="fr-CA"/>
        </w:rPr>
        <w:t>April 1</w:t>
      </w:r>
      <w:r w:rsidR="00440E24" w:rsidRPr="00675479">
        <w:rPr>
          <w:lang w:val="fr-CA"/>
        </w:rPr>
        <w:t>, 201</w:t>
      </w:r>
      <w:r w:rsidR="0030050B">
        <w:rPr>
          <w:lang w:val="fr-CA"/>
        </w:rPr>
        <w:t>6</w:t>
      </w:r>
      <w:r w:rsidR="00F0068D" w:rsidRPr="00675479">
        <w:rPr>
          <w:lang w:val="fr-CA"/>
        </w:rPr>
        <w:tab/>
      </w:r>
      <w:r>
        <w:rPr>
          <w:lang w:val="fr-CA"/>
        </w:rPr>
        <w:t>390</w:t>
      </w:r>
      <w:r w:rsidR="00F0068D" w:rsidRPr="00675479">
        <w:rPr>
          <w:lang w:val="fr-CA"/>
        </w:rPr>
        <w:t xml:space="preserve"> - </w:t>
      </w:r>
      <w:r w:rsidR="006552E6">
        <w:rPr>
          <w:lang w:val="fr-CA"/>
        </w:rPr>
        <w:t>401</w:t>
      </w:r>
      <w:r w:rsidR="00440E24" w:rsidRPr="00675479">
        <w:rPr>
          <w:lang w:val="fr-CA"/>
        </w:rPr>
        <w:tab/>
      </w:r>
      <w:r w:rsidR="00440E24" w:rsidRPr="002E2327">
        <w:rPr>
          <w:lang w:val="fr-CA"/>
        </w:rPr>
        <w:t>Le</w:t>
      </w:r>
      <w:r w:rsidR="00C73D06">
        <w:rPr>
          <w:lang w:val="fr-CA"/>
        </w:rPr>
        <w:t xml:space="preserve"> </w:t>
      </w:r>
      <w:r>
        <w:rPr>
          <w:lang w:val="fr-CA"/>
        </w:rPr>
        <w:t>1 avril</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1400AD" w:rsidRDefault="00440E24" w:rsidP="00440E24">
      <w:pPr>
        <w:pBdr>
          <w:bottom w:val="single" w:sz="6" w:space="1" w:color="auto"/>
        </w:pBdr>
        <w:tabs>
          <w:tab w:val="right" w:pos="9360"/>
        </w:tabs>
        <w:rPr>
          <w:sz w:val="18"/>
          <w:szCs w:val="18"/>
          <w:lang w:val="fr-CA"/>
        </w:rPr>
      </w:pPr>
      <w:r w:rsidRPr="001400AD">
        <w:rPr>
          <w:sz w:val="18"/>
          <w:szCs w:val="18"/>
          <w:lang w:val="fr-CA"/>
        </w:rPr>
        <w:t>© Supreme Court of Canada (</w:t>
      </w:r>
      <w:r w:rsidR="0030050B" w:rsidRPr="001400AD">
        <w:rPr>
          <w:sz w:val="18"/>
          <w:szCs w:val="18"/>
          <w:lang w:val="fr-CA"/>
        </w:rPr>
        <w:t>2016</w:t>
      </w:r>
      <w:r w:rsidRPr="001400AD">
        <w:rPr>
          <w:sz w:val="18"/>
          <w:szCs w:val="18"/>
          <w:lang w:val="fr-CA"/>
        </w:rPr>
        <w:t>)</w:t>
      </w:r>
      <w:r w:rsidRPr="001400AD">
        <w:rPr>
          <w:sz w:val="18"/>
          <w:szCs w:val="18"/>
          <w:lang w:val="fr-CA"/>
        </w:rPr>
        <w:tab/>
        <w:t>© Cour suprême du Canada (</w:t>
      </w:r>
      <w:r w:rsidR="0030050B" w:rsidRPr="001400AD">
        <w:rPr>
          <w:sz w:val="18"/>
          <w:szCs w:val="18"/>
          <w:lang w:val="fr-CA"/>
        </w:rPr>
        <w:t>2016</w:t>
      </w:r>
      <w:r w:rsidRPr="001400A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650F88">
            <w:pPr>
              <w:tabs>
                <w:tab w:val="right" w:pos="9360"/>
              </w:tabs>
              <w:rPr>
                <w:rFonts w:cs="Times New Roman"/>
                <w:sz w:val="20"/>
                <w:szCs w:val="20"/>
              </w:rPr>
            </w:pPr>
          </w:p>
        </w:tc>
        <w:tc>
          <w:tcPr>
            <w:tcW w:w="1980" w:type="dxa"/>
          </w:tcPr>
          <w:p w:rsidR="0095096B" w:rsidRPr="002E2327" w:rsidRDefault="0036030B" w:rsidP="0095096B">
            <w:pPr>
              <w:jc w:val="center"/>
              <w:rPr>
                <w:rFonts w:cs="Times New Roman"/>
                <w:sz w:val="20"/>
                <w:szCs w:val="20"/>
              </w:rPr>
            </w:pPr>
            <w:r>
              <w:rPr>
                <w:rFonts w:cs="Times New Roman"/>
                <w:sz w:val="20"/>
                <w:szCs w:val="20"/>
              </w:rPr>
              <w:t xml:space="preserve">390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391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6030B" w:rsidP="0095096B">
            <w:pPr>
              <w:jc w:val="center"/>
              <w:rPr>
                <w:rFonts w:cs="Times New Roman"/>
                <w:sz w:val="20"/>
                <w:szCs w:val="20"/>
              </w:rPr>
            </w:pPr>
            <w:r>
              <w:rPr>
                <w:rFonts w:cs="Times New Roman"/>
                <w:sz w:val="20"/>
                <w:szCs w:val="20"/>
              </w:rPr>
              <w:t xml:space="preserve">392 </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52E6" w:rsidP="0095096B">
            <w:pPr>
              <w:jc w:val="center"/>
              <w:rPr>
                <w:rFonts w:cs="Times New Roman"/>
                <w:sz w:val="20"/>
                <w:szCs w:val="20"/>
              </w:rPr>
            </w:pPr>
            <w:r>
              <w:rPr>
                <w:rFonts w:cs="Times New Roman"/>
                <w:sz w:val="20"/>
                <w:szCs w:val="20"/>
              </w:rPr>
              <w:t>393</w:t>
            </w:r>
            <w:r w:rsidR="0036030B">
              <w:rPr>
                <w:rFonts w:cs="Times New Roman"/>
                <w:sz w:val="20"/>
                <w:szCs w:val="20"/>
              </w:rPr>
              <w:t xml:space="preserve"> </w:t>
            </w:r>
            <w:r w:rsidR="0095096B" w:rsidRPr="002E2327">
              <w:rPr>
                <w:rFonts w:cs="Times New Roman"/>
                <w:sz w:val="20"/>
                <w:szCs w:val="20"/>
              </w:rPr>
              <w:t>-</w:t>
            </w:r>
            <w:r w:rsidR="0036030B">
              <w:rPr>
                <w:rFonts w:cs="Times New Roman"/>
                <w:sz w:val="20"/>
                <w:szCs w:val="20"/>
              </w:rPr>
              <w:t xml:space="preserve"> 39</w:t>
            </w:r>
            <w:r>
              <w:rPr>
                <w:rFonts w:cs="Times New Roman"/>
                <w:sz w:val="20"/>
                <w:szCs w:val="20"/>
              </w:rPr>
              <w:t>4</w:t>
            </w:r>
          </w:p>
          <w:p w:rsidR="0095096B" w:rsidRDefault="0095096B" w:rsidP="0095096B">
            <w:pPr>
              <w:jc w:val="center"/>
              <w:rPr>
                <w:rFonts w:cs="Times New Roman"/>
                <w:sz w:val="20"/>
                <w:szCs w:val="20"/>
              </w:rPr>
            </w:pPr>
          </w:p>
          <w:p w:rsidR="0036030B" w:rsidRPr="002E2327" w:rsidRDefault="0036030B" w:rsidP="0095096B">
            <w:pPr>
              <w:jc w:val="center"/>
              <w:rPr>
                <w:rFonts w:cs="Times New Roman"/>
                <w:sz w:val="20"/>
                <w:szCs w:val="20"/>
              </w:rPr>
            </w:pPr>
          </w:p>
          <w:p w:rsidR="0095096B" w:rsidRPr="002E2327" w:rsidRDefault="006552E6" w:rsidP="0095096B">
            <w:pPr>
              <w:jc w:val="center"/>
              <w:rPr>
                <w:rFonts w:cs="Times New Roman"/>
                <w:sz w:val="20"/>
                <w:szCs w:val="20"/>
              </w:rPr>
            </w:pPr>
            <w:r>
              <w:rPr>
                <w:rFonts w:cs="Times New Roman"/>
                <w:sz w:val="20"/>
                <w:szCs w:val="20"/>
              </w:rPr>
              <w:t>395</w:t>
            </w:r>
            <w:r w:rsidR="0036030B">
              <w:rPr>
                <w:rFonts w:cs="Times New Roman"/>
                <w:sz w:val="20"/>
                <w:szCs w:val="20"/>
              </w:rPr>
              <w:t xml:space="preserve"> </w:t>
            </w:r>
            <w:r w:rsidR="0095096B" w:rsidRPr="002E2327">
              <w:rPr>
                <w:rFonts w:cs="Times New Roman"/>
                <w:sz w:val="20"/>
                <w:szCs w:val="20"/>
              </w:rPr>
              <w:t>-</w:t>
            </w:r>
            <w:r w:rsidR="0036030B">
              <w:rPr>
                <w:rFonts w:cs="Times New Roman"/>
                <w:sz w:val="20"/>
                <w:szCs w:val="20"/>
              </w:rPr>
              <w:t xml:space="preserve"> 39</w:t>
            </w:r>
            <w:r>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6552E6" w:rsidP="0095096B">
            <w:pPr>
              <w:jc w:val="center"/>
              <w:rPr>
                <w:rFonts w:cs="Times New Roman"/>
                <w:sz w:val="20"/>
                <w:szCs w:val="20"/>
              </w:rPr>
            </w:pPr>
            <w:r>
              <w:rPr>
                <w:rFonts w:cs="Times New Roman"/>
                <w:sz w:val="20"/>
                <w:szCs w:val="20"/>
              </w:rPr>
              <w:t>397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52E6" w:rsidP="0095096B">
            <w:pPr>
              <w:jc w:val="center"/>
              <w:rPr>
                <w:rFonts w:cs="Times New Roman"/>
                <w:sz w:val="20"/>
                <w:szCs w:val="20"/>
              </w:rPr>
            </w:pPr>
            <w:r>
              <w:rPr>
                <w:rFonts w:cs="Times New Roman"/>
                <w:sz w:val="20"/>
                <w:szCs w:val="20"/>
              </w:rPr>
              <w:t>398</w:t>
            </w:r>
            <w:r w:rsidR="0036030B">
              <w:rPr>
                <w:rFonts w:cs="Times New Roman"/>
                <w:sz w:val="20"/>
                <w:szCs w:val="20"/>
              </w:rPr>
              <w:t xml:space="preserve"> </w:t>
            </w:r>
            <w:r w:rsidR="0095096B" w:rsidRPr="002E2327">
              <w:rPr>
                <w:rFonts w:cs="Times New Roman"/>
                <w:sz w:val="20"/>
                <w:szCs w:val="20"/>
              </w:rPr>
              <w:t>-</w:t>
            </w:r>
            <w:r w:rsidR="0036030B">
              <w:rPr>
                <w:rFonts w:cs="Times New Roman"/>
                <w:sz w:val="20"/>
                <w:szCs w:val="20"/>
              </w:rPr>
              <w:t xml:space="preserve"> 40</w:t>
            </w:r>
            <w:r>
              <w:rPr>
                <w:rFonts w:cs="Times New Roman"/>
                <w:sz w:val="20"/>
                <w:szCs w:val="20"/>
              </w:rPr>
              <w:t>1</w:t>
            </w:r>
          </w:p>
          <w:p w:rsidR="0095096B" w:rsidRPr="002E2327" w:rsidRDefault="0095096B" w:rsidP="0095096B">
            <w:pPr>
              <w:jc w:val="center"/>
              <w:rPr>
                <w:rFonts w:cs="Times New Roman"/>
                <w:sz w:val="20"/>
                <w:szCs w:val="20"/>
              </w:rPr>
            </w:pPr>
          </w:p>
          <w:p w:rsidR="00A87207" w:rsidRPr="002E2327" w:rsidRDefault="00A87207" w:rsidP="0095096B">
            <w:pPr>
              <w:tabs>
                <w:tab w:val="right" w:pos="9360"/>
              </w:tabs>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650F88" w:rsidRDefault="00650F88"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650F88" w:rsidRDefault="00650F88"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650F88" w:rsidRDefault="00650F88"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650F88">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3A0CC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p w:rsidR="00411597" w:rsidRPr="00C50A5C" w:rsidRDefault="0041159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11597" w:rsidRPr="00C21644" w:rsidTr="003B3977">
        <w:tc>
          <w:tcPr>
            <w:tcW w:w="4320" w:type="dxa"/>
            <w:shd w:val="clear" w:color="auto" w:fill="auto"/>
          </w:tcPr>
          <w:p w:rsidR="00411597" w:rsidRPr="00BA1C46" w:rsidRDefault="00411597" w:rsidP="003B3977">
            <w:pPr>
              <w:rPr>
                <w:b/>
                <w:sz w:val="20"/>
                <w:szCs w:val="20"/>
                <w:lang w:val="fr-CA"/>
              </w:rPr>
            </w:pPr>
            <w:r>
              <w:rPr>
                <w:b/>
                <w:sz w:val="20"/>
                <w:szCs w:val="20"/>
                <w:lang w:val="fr-CA"/>
              </w:rPr>
              <w:t>Verolin Spence et al.</w:t>
            </w:r>
          </w:p>
          <w:p w:rsidR="00411597" w:rsidRPr="00C21644" w:rsidRDefault="00411597" w:rsidP="003B3977">
            <w:pPr>
              <w:tabs>
                <w:tab w:val="left" w:pos="-1440"/>
                <w:tab w:val="left" w:pos="-720"/>
              </w:tabs>
              <w:rPr>
                <w:sz w:val="20"/>
                <w:szCs w:val="20"/>
                <w:lang w:val="fr-CA"/>
              </w:rPr>
            </w:pPr>
            <w:r w:rsidRPr="00C21644">
              <w:rPr>
                <w:sz w:val="20"/>
                <w:szCs w:val="20"/>
                <w:lang w:val="fr-CA"/>
              </w:rPr>
              <w:tab/>
            </w:r>
            <w:r>
              <w:rPr>
                <w:sz w:val="20"/>
                <w:szCs w:val="20"/>
                <w:lang w:val="fr-CA"/>
              </w:rPr>
              <w:t>Earl A. Cherniak, Q.C.</w:t>
            </w:r>
          </w:p>
          <w:p w:rsidR="00411597" w:rsidRPr="00F41B2E" w:rsidRDefault="00411597" w:rsidP="003B3977">
            <w:pPr>
              <w:tabs>
                <w:tab w:val="left" w:pos="-1440"/>
                <w:tab w:val="left" w:pos="-720"/>
              </w:tabs>
              <w:rPr>
                <w:sz w:val="20"/>
                <w:szCs w:val="20"/>
              </w:rPr>
            </w:pPr>
            <w:r w:rsidRPr="00C21644">
              <w:rPr>
                <w:sz w:val="20"/>
                <w:szCs w:val="20"/>
                <w:lang w:val="fr-CA"/>
              </w:rPr>
              <w:tab/>
            </w:r>
            <w:r w:rsidRPr="00F41B2E">
              <w:rPr>
                <w:sz w:val="20"/>
                <w:szCs w:val="20"/>
              </w:rPr>
              <w:t>Lerners LLP</w:t>
            </w:r>
          </w:p>
          <w:p w:rsidR="00411597" w:rsidRPr="00F41B2E" w:rsidRDefault="00411597" w:rsidP="003B3977">
            <w:pPr>
              <w:tabs>
                <w:tab w:val="left" w:pos="-1440"/>
                <w:tab w:val="left" w:pos="-720"/>
              </w:tabs>
              <w:rPr>
                <w:sz w:val="20"/>
                <w:szCs w:val="20"/>
              </w:rPr>
            </w:pPr>
          </w:p>
          <w:p w:rsidR="00411597" w:rsidRPr="00F41B2E" w:rsidRDefault="00411597" w:rsidP="003B3977">
            <w:pPr>
              <w:tabs>
                <w:tab w:val="left" w:pos="-1440"/>
                <w:tab w:val="left" w:pos="-720"/>
              </w:tabs>
              <w:rPr>
                <w:sz w:val="20"/>
                <w:szCs w:val="20"/>
              </w:rPr>
            </w:pPr>
            <w:r w:rsidRPr="00F41B2E">
              <w:rPr>
                <w:sz w:val="20"/>
                <w:szCs w:val="20"/>
              </w:rPr>
              <w:tab/>
              <w:t>v. (36904</w:t>
            </w:r>
            <w:r w:rsidR="00301A88">
              <w:rPr>
                <w:sz w:val="20"/>
                <w:szCs w:val="20"/>
              </w:rPr>
              <w:t>)</w:t>
            </w:r>
          </w:p>
          <w:p w:rsidR="00411597" w:rsidRPr="00F41B2E" w:rsidRDefault="00411597" w:rsidP="003B3977">
            <w:pPr>
              <w:tabs>
                <w:tab w:val="left" w:pos="-1440"/>
                <w:tab w:val="left" w:pos="-720"/>
              </w:tabs>
              <w:rPr>
                <w:sz w:val="20"/>
                <w:szCs w:val="20"/>
              </w:rPr>
            </w:pPr>
          </w:p>
          <w:p w:rsidR="00411597" w:rsidRPr="00F41B2E" w:rsidRDefault="00411597" w:rsidP="003B3977">
            <w:pPr>
              <w:tabs>
                <w:tab w:val="left" w:pos="-1440"/>
                <w:tab w:val="left" w:pos="-720"/>
              </w:tabs>
              <w:rPr>
                <w:b/>
                <w:sz w:val="20"/>
                <w:szCs w:val="20"/>
              </w:rPr>
            </w:pPr>
            <w:r w:rsidRPr="00F41B2E">
              <w:rPr>
                <w:b/>
                <w:sz w:val="20"/>
                <w:szCs w:val="20"/>
              </w:rPr>
              <w:t>BMO Trust Company (Ont.)</w:t>
            </w:r>
          </w:p>
          <w:p w:rsidR="00411597" w:rsidRPr="00F41B2E" w:rsidRDefault="00411597" w:rsidP="003B3977">
            <w:pPr>
              <w:tabs>
                <w:tab w:val="left" w:pos="-1440"/>
                <w:tab w:val="left" w:pos="-720"/>
              </w:tabs>
              <w:rPr>
                <w:sz w:val="20"/>
                <w:szCs w:val="20"/>
                <w:lang w:val="fr-CA"/>
              </w:rPr>
            </w:pPr>
            <w:r w:rsidRPr="00F41B2E">
              <w:rPr>
                <w:sz w:val="20"/>
                <w:szCs w:val="20"/>
              </w:rPr>
              <w:tab/>
            </w:r>
            <w:r w:rsidRPr="00F41B2E">
              <w:rPr>
                <w:sz w:val="20"/>
                <w:szCs w:val="20"/>
                <w:lang w:val="fr-CA"/>
              </w:rPr>
              <w:t xml:space="preserve">Justin W. </w:t>
            </w:r>
            <w:r>
              <w:rPr>
                <w:sz w:val="20"/>
                <w:szCs w:val="20"/>
                <w:lang w:val="fr-CA"/>
              </w:rPr>
              <w:t>d</w:t>
            </w:r>
            <w:r w:rsidRPr="00F41B2E">
              <w:rPr>
                <w:sz w:val="20"/>
                <w:szCs w:val="20"/>
                <w:lang w:val="fr-CA"/>
              </w:rPr>
              <w:t>e Vries</w:t>
            </w:r>
          </w:p>
          <w:p w:rsidR="00411597" w:rsidRPr="00F41B2E" w:rsidRDefault="00411597" w:rsidP="003B3977">
            <w:pPr>
              <w:tabs>
                <w:tab w:val="left" w:pos="-1440"/>
                <w:tab w:val="left" w:pos="-720"/>
              </w:tabs>
              <w:rPr>
                <w:sz w:val="20"/>
                <w:szCs w:val="20"/>
                <w:lang w:val="fr-CA"/>
              </w:rPr>
            </w:pPr>
            <w:r w:rsidRPr="00F41B2E">
              <w:rPr>
                <w:sz w:val="20"/>
                <w:szCs w:val="20"/>
                <w:lang w:val="fr-CA"/>
              </w:rPr>
              <w:tab/>
            </w:r>
            <w:r>
              <w:rPr>
                <w:sz w:val="20"/>
                <w:szCs w:val="20"/>
                <w:lang w:val="fr-CA"/>
              </w:rPr>
              <w:t>d</w:t>
            </w:r>
            <w:r w:rsidRPr="00F41B2E">
              <w:rPr>
                <w:sz w:val="20"/>
                <w:szCs w:val="20"/>
                <w:lang w:val="fr-CA"/>
              </w:rPr>
              <w:t>e Vr</w:t>
            </w:r>
            <w:r>
              <w:rPr>
                <w:sz w:val="20"/>
                <w:szCs w:val="20"/>
                <w:lang w:val="fr-CA"/>
              </w:rPr>
              <w:t>ies Litigation LLP</w:t>
            </w:r>
          </w:p>
          <w:p w:rsidR="00411597" w:rsidRPr="00F41B2E" w:rsidRDefault="00411597" w:rsidP="003B3977">
            <w:pPr>
              <w:tabs>
                <w:tab w:val="left" w:pos="-1440"/>
                <w:tab w:val="left" w:pos="-720"/>
              </w:tabs>
              <w:rPr>
                <w:sz w:val="20"/>
                <w:szCs w:val="20"/>
                <w:lang w:val="fr-CA"/>
              </w:rPr>
            </w:pPr>
          </w:p>
          <w:p w:rsidR="00411597" w:rsidRPr="00F41B2E" w:rsidRDefault="00411597" w:rsidP="003B3977">
            <w:pPr>
              <w:rPr>
                <w:sz w:val="20"/>
                <w:szCs w:val="20"/>
                <w:lang w:val="fr-CA"/>
              </w:rPr>
            </w:pPr>
            <w:r w:rsidRPr="00F41B2E">
              <w:rPr>
                <w:sz w:val="20"/>
                <w:szCs w:val="20"/>
                <w:lang w:val="fr-CA"/>
              </w:rPr>
              <w:t xml:space="preserve">FILING DATE: </w:t>
            </w:r>
            <w:r>
              <w:rPr>
                <w:sz w:val="20"/>
                <w:szCs w:val="20"/>
                <w:lang w:val="fr-CA"/>
              </w:rPr>
              <w:t>23.03.2016</w:t>
            </w:r>
          </w:p>
          <w:p w:rsidR="00411597" w:rsidRPr="00A935AA" w:rsidRDefault="003A0CC2" w:rsidP="00411597">
            <w:pPr>
              <w:rPr>
                <w:sz w:val="20"/>
                <w:szCs w:val="20"/>
              </w:rPr>
            </w:pPr>
            <w:r>
              <w:rPr>
                <w:sz w:val="20"/>
                <w:szCs w:val="20"/>
                <w:lang w:val="fr-CA"/>
              </w:rPr>
              <w:pict w14:anchorId="52946888">
                <v:rect id="_x0000_i1025" style="width:108pt;height:1pt" o:hrpct="0" o:hralign="center" o:hrstd="t" o:hrnoshade="t" o:hr="t" fillcolor="black [3213]" stroked="f"/>
              </w:pict>
            </w:r>
          </w:p>
        </w:tc>
        <w:tc>
          <w:tcPr>
            <w:tcW w:w="1181" w:type="dxa"/>
            <w:shd w:val="clear" w:color="auto" w:fill="auto"/>
          </w:tcPr>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F41B2E" w:rsidRDefault="00411597" w:rsidP="00242AEE">
            <w:pPr>
              <w:jc w:val="center"/>
              <w:rPr>
                <w:sz w:val="20"/>
                <w:szCs w:val="20"/>
                <w:lang w:val="fr-CA"/>
              </w:rPr>
            </w:pPr>
          </w:p>
          <w:p w:rsidR="00411597" w:rsidRPr="00A935AA" w:rsidRDefault="00411597" w:rsidP="00242AEE">
            <w:pPr>
              <w:jc w:val="center"/>
              <w:rPr>
                <w:sz w:val="20"/>
                <w:szCs w:val="20"/>
              </w:rPr>
            </w:pPr>
          </w:p>
        </w:tc>
        <w:tc>
          <w:tcPr>
            <w:tcW w:w="4320" w:type="dxa"/>
            <w:shd w:val="clear" w:color="auto" w:fill="auto"/>
          </w:tcPr>
          <w:p w:rsidR="00411597" w:rsidRPr="00DC6B21" w:rsidRDefault="00411597" w:rsidP="003B3977">
            <w:pPr>
              <w:keepNext/>
              <w:keepLines/>
              <w:tabs>
                <w:tab w:val="left" w:pos="-1440"/>
                <w:tab w:val="left" w:pos="-720"/>
              </w:tabs>
              <w:rPr>
                <w:b/>
                <w:sz w:val="20"/>
                <w:szCs w:val="20"/>
              </w:rPr>
            </w:pPr>
            <w:r w:rsidRPr="00DC6B21">
              <w:rPr>
                <w:b/>
                <w:sz w:val="20"/>
                <w:szCs w:val="20"/>
              </w:rPr>
              <w:t>Scott Gerard Beaudette</w:t>
            </w:r>
          </w:p>
          <w:p w:rsidR="00411597" w:rsidRPr="00DC6B21" w:rsidRDefault="00411597" w:rsidP="003B3977">
            <w:pPr>
              <w:keepNext/>
              <w:keepLines/>
              <w:tabs>
                <w:tab w:val="left" w:pos="-1440"/>
                <w:tab w:val="left" w:pos="-720"/>
              </w:tabs>
              <w:rPr>
                <w:sz w:val="20"/>
                <w:szCs w:val="20"/>
              </w:rPr>
            </w:pPr>
            <w:r w:rsidRPr="00DC6B21">
              <w:rPr>
                <w:sz w:val="20"/>
                <w:szCs w:val="20"/>
              </w:rPr>
              <w:tab/>
              <w:t xml:space="preserve">David J. </w:t>
            </w:r>
            <w:r>
              <w:rPr>
                <w:sz w:val="20"/>
                <w:szCs w:val="20"/>
              </w:rPr>
              <w:t>Martin</w:t>
            </w:r>
          </w:p>
          <w:p w:rsidR="00411597" w:rsidRPr="00DC6B21" w:rsidRDefault="00411597" w:rsidP="003B3977">
            <w:pPr>
              <w:keepNext/>
              <w:keepLines/>
              <w:tabs>
                <w:tab w:val="left" w:pos="-1440"/>
                <w:tab w:val="left" w:pos="-720"/>
              </w:tabs>
              <w:rPr>
                <w:sz w:val="20"/>
                <w:szCs w:val="20"/>
              </w:rPr>
            </w:pPr>
            <w:r w:rsidRPr="00DC6B21">
              <w:rPr>
                <w:sz w:val="20"/>
                <w:szCs w:val="20"/>
              </w:rPr>
              <w:tab/>
            </w:r>
            <w:r>
              <w:rPr>
                <w:sz w:val="20"/>
                <w:szCs w:val="20"/>
              </w:rPr>
              <w:t>Martin &amp; Associates</w:t>
            </w:r>
          </w:p>
          <w:p w:rsidR="00411597" w:rsidRPr="00DC6B21" w:rsidRDefault="00411597" w:rsidP="003B3977">
            <w:pPr>
              <w:keepNext/>
              <w:keepLines/>
              <w:tabs>
                <w:tab w:val="left" w:pos="-1440"/>
                <w:tab w:val="left" w:pos="-720"/>
              </w:tabs>
              <w:rPr>
                <w:sz w:val="20"/>
                <w:szCs w:val="20"/>
              </w:rPr>
            </w:pPr>
          </w:p>
          <w:p w:rsidR="00411597" w:rsidRPr="00A935AA" w:rsidRDefault="00411597" w:rsidP="003B3977">
            <w:pPr>
              <w:keepNext/>
              <w:keepLines/>
              <w:tabs>
                <w:tab w:val="left" w:pos="-1440"/>
                <w:tab w:val="left" w:pos="-720"/>
              </w:tabs>
              <w:rPr>
                <w:sz w:val="20"/>
                <w:szCs w:val="20"/>
              </w:rPr>
            </w:pPr>
            <w:r w:rsidRPr="00DC6B21">
              <w:rPr>
                <w:sz w:val="20"/>
                <w:szCs w:val="20"/>
              </w:rPr>
              <w:tab/>
            </w:r>
            <w:r w:rsidRPr="00A935AA">
              <w:rPr>
                <w:sz w:val="20"/>
                <w:szCs w:val="20"/>
              </w:rPr>
              <w:t>v. (3</w:t>
            </w:r>
            <w:r>
              <w:rPr>
                <w:sz w:val="20"/>
                <w:szCs w:val="20"/>
              </w:rPr>
              <w:t>6894</w:t>
            </w:r>
            <w:r w:rsidRPr="00A935AA">
              <w:rPr>
                <w:sz w:val="20"/>
                <w:szCs w:val="20"/>
              </w:rPr>
              <w:t>)</w:t>
            </w:r>
          </w:p>
          <w:p w:rsidR="00411597" w:rsidRPr="00A935AA" w:rsidRDefault="00411597" w:rsidP="003B3977">
            <w:pPr>
              <w:keepNext/>
              <w:keepLines/>
              <w:tabs>
                <w:tab w:val="left" w:pos="-1440"/>
                <w:tab w:val="left" w:pos="-720"/>
              </w:tabs>
              <w:rPr>
                <w:sz w:val="20"/>
                <w:szCs w:val="20"/>
              </w:rPr>
            </w:pPr>
          </w:p>
          <w:p w:rsidR="00411597" w:rsidRPr="00A935AA" w:rsidRDefault="00301A88" w:rsidP="003B3977">
            <w:pPr>
              <w:keepNext/>
              <w:keepLines/>
              <w:tabs>
                <w:tab w:val="left" w:pos="-1440"/>
                <w:tab w:val="left" w:pos="-720"/>
              </w:tabs>
              <w:rPr>
                <w:b/>
                <w:sz w:val="20"/>
                <w:szCs w:val="20"/>
              </w:rPr>
            </w:pPr>
            <w:r w:rsidRPr="003A0CC2">
              <w:rPr>
                <w:b/>
                <w:sz w:val="20"/>
                <w:szCs w:val="20"/>
              </w:rPr>
              <w:t>Alberta Securities</w:t>
            </w:r>
            <w:r w:rsidR="00411597" w:rsidRPr="003A0CC2">
              <w:rPr>
                <w:b/>
                <w:sz w:val="20"/>
                <w:szCs w:val="20"/>
              </w:rPr>
              <w:t xml:space="preserve"> Commission et al. </w:t>
            </w:r>
            <w:r w:rsidR="00411597" w:rsidRPr="00A935AA">
              <w:rPr>
                <w:b/>
                <w:sz w:val="20"/>
                <w:szCs w:val="20"/>
              </w:rPr>
              <w:t>(</w:t>
            </w:r>
            <w:r w:rsidR="00411597">
              <w:rPr>
                <w:b/>
                <w:sz w:val="20"/>
                <w:szCs w:val="20"/>
              </w:rPr>
              <w:t>Alta</w:t>
            </w:r>
            <w:r w:rsidR="00411597" w:rsidRPr="00A935AA">
              <w:rPr>
                <w:b/>
                <w:sz w:val="20"/>
                <w:szCs w:val="20"/>
              </w:rPr>
              <w:t>.)</w:t>
            </w:r>
          </w:p>
          <w:p w:rsidR="00411597" w:rsidRPr="00A935AA" w:rsidRDefault="00411597" w:rsidP="003B3977">
            <w:pPr>
              <w:keepNext/>
              <w:keepLines/>
              <w:tabs>
                <w:tab w:val="left" w:pos="-1440"/>
                <w:tab w:val="left" w:pos="-720"/>
              </w:tabs>
              <w:rPr>
                <w:sz w:val="20"/>
                <w:szCs w:val="20"/>
              </w:rPr>
            </w:pPr>
            <w:r w:rsidRPr="00A935AA">
              <w:rPr>
                <w:sz w:val="20"/>
                <w:szCs w:val="20"/>
              </w:rPr>
              <w:tab/>
            </w:r>
            <w:r>
              <w:rPr>
                <w:sz w:val="20"/>
                <w:szCs w:val="20"/>
              </w:rPr>
              <w:t>Don Young</w:t>
            </w:r>
          </w:p>
          <w:p w:rsidR="00411597" w:rsidRPr="00A935AA" w:rsidRDefault="00411597" w:rsidP="003B3977">
            <w:pPr>
              <w:keepNext/>
              <w:keepLines/>
              <w:tabs>
                <w:tab w:val="left" w:pos="-1440"/>
                <w:tab w:val="left" w:pos="-720"/>
              </w:tabs>
              <w:rPr>
                <w:sz w:val="20"/>
                <w:szCs w:val="20"/>
              </w:rPr>
            </w:pPr>
            <w:r w:rsidRPr="00A935AA">
              <w:rPr>
                <w:sz w:val="20"/>
                <w:szCs w:val="20"/>
              </w:rPr>
              <w:tab/>
            </w:r>
            <w:r>
              <w:rPr>
                <w:sz w:val="20"/>
                <w:szCs w:val="20"/>
              </w:rPr>
              <w:t>Alberta Securities Commission</w:t>
            </w:r>
          </w:p>
          <w:p w:rsidR="00411597" w:rsidRPr="00A935AA" w:rsidRDefault="00411597" w:rsidP="003B3977">
            <w:pPr>
              <w:keepNext/>
              <w:keepLines/>
              <w:tabs>
                <w:tab w:val="left" w:pos="-1440"/>
                <w:tab w:val="left" w:pos="-720"/>
              </w:tabs>
              <w:rPr>
                <w:sz w:val="20"/>
                <w:szCs w:val="20"/>
              </w:rPr>
            </w:pPr>
          </w:p>
          <w:p w:rsidR="00411597" w:rsidRPr="003A0CC2" w:rsidRDefault="00411597" w:rsidP="005F1ED8">
            <w:pPr>
              <w:rPr>
                <w:sz w:val="20"/>
                <w:szCs w:val="20"/>
              </w:rPr>
            </w:pPr>
            <w:r w:rsidRPr="00A935AA">
              <w:rPr>
                <w:sz w:val="20"/>
                <w:szCs w:val="20"/>
              </w:rPr>
              <w:t xml:space="preserve">FILING DATE: </w:t>
            </w:r>
            <w:r>
              <w:rPr>
                <w:sz w:val="20"/>
                <w:szCs w:val="20"/>
              </w:rPr>
              <w:t>11.03.2016</w:t>
            </w:r>
            <w:r w:rsidR="003A0CC2">
              <w:rPr>
                <w:sz w:val="20"/>
                <w:szCs w:val="20"/>
                <w:lang w:val="fr-CA"/>
              </w:rPr>
              <w:pict w14:anchorId="4FD77F99">
                <v:rect id="_x0000_i1026" style="width:108pt;height:1pt" o:hrpct="0" o:hralign="center" o:hrstd="t" o:hrnoshade="t" o:hr="t" fillcolor="black [3213]" stroked="f"/>
              </w:pict>
            </w:r>
          </w:p>
        </w:tc>
      </w:tr>
      <w:tr w:rsidR="00411597" w:rsidRPr="00A935AA" w:rsidTr="003B3977">
        <w:tc>
          <w:tcPr>
            <w:tcW w:w="4320" w:type="dxa"/>
            <w:shd w:val="clear" w:color="auto" w:fill="auto"/>
          </w:tcPr>
          <w:p w:rsidR="00411597" w:rsidRPr="00A935AA" w:rsidRDefault="00411597" w:rsidP="005F1ED8">
            <w:pPr>
              <w:rPr>
                <w:b/>
                <w:sz w:val="20"/>
                <w:szCs w:val="20"/>
              </w:rPr>
            </w:pPr>
            <w:r>
              <w:rPr>
                <w:b/>
                <w:sz w:val="20"/>
                <w:szCs w:val="20"/>
              </w:rPr>
              <w:t>Scott Galambos</w:t>
            </w:r>
          </w:p>
          <w:p w:rsidR="00411597" w:rsidRPr="00A935AA" w:rsidRDefault="00411597" w:rsidP="005F1ED8">
            <w:pPr>
              <w:tabs>
                <w:tab w:val="left" w:pos="-1440"/>
                <w:tab w:val="left" w:pos="-720"/>
              </w:tabs>
              <w:rPr>
                <w:sz w:val="20"/>
                <w:szCs w:val="20"/>
              </w:rPr>
            </w:pPr>
            <w:r w:rsidRPr="00A935AA">
              <w:rPr>
                <w:sz w:val="20"/>
                <w:szCs w:val="20"/>
              </w:rPr>
              <w:tab/>
            </w:r>
            <w:r>
              <w:rPr>
                <w:sz w:val="20"/>
                <w:szCs w:val="20"/>
              </w:rPr>
              <w:t>Scott Galambos</w:t>
            </w:r>
          </w:p>
          <w:p w:rsidR="00411597" w:rsidRPr="00A935AA" w:rsidRDefault="00411597" w:rsidP="005F1ED8">
            <w:pPr>
              <w:tabs>
                <w:tab w:val="left" w:pos="-1440"/>
                <w:tab w:val="left" w:pos="-720"/>
              </w:tabs>
              <w:rPr>
                <w:sz w:val="20"/>
                <w:szCs w:val="20"/>
              </w:rPr>
            </w:pPr>
          </w:p>
          <w:p w:rsidR="00411597" w:rsidRPr="00A935AA" w:rsidRDefault="00411597" w:rsidP="005F1ED8">
            <w:pPr>
              <w:tabs>
                <w:tab w:val="left" w:pos="-1440"/>
                <w:tab w:val="left" w:pos="-720"/>
              </w:tabs>
              <w:rPr>
                <w:sz w:val="20"/>
                <w:szCs w:val="20"/>
              </w:rPr>
            </w:pPr>
            <w:r w:rsidRPr="00A935AA">
              <w:rPr>
                <w:sz w:val="20"/>
                <w:szCs w:val="20"/>
              </w:rPr>
              <w:tab/>
              <w:t>v. (</w:t>
            </w:r>
            <w:r>
              <w:rPr>
                <w:sz w:val="20"/>
                <w:szCs w:val="20"/>
              </w:rPr>
              <w:t>36906</w:t>
            </w:r>
            <w:r w:rsidRPr="00A935AA">
              <w:rPr>
                <w:sz w:val="20"/>
                <w:szCs w:val="20"/>
              </w:rPr>
              <w:t>)</w:t>
            </w:r>
          </w:p>
          <w:p w:rsidR="00411597" w:rsidRPr="00A935AA" w:rsidRDefault="00411597" w:rsidP="005F1ED8">
            <w:pPr>
              <w:tabs>
                <w:tab w:val="left" w:pos="-1440"/>
                <w:tab w:val="left" w:pos="-720"/>
              </w:tabs>
              <w:rPr>
                <w:sz w:val="20"/>
                <w:szCs w:val="20"/>
              </w:rPr>
            </w:pPr>
          </w:p>
          <w:p w:rsidR="00411597" w:rsidRPr="00A935AA" w:rsidRDefault="00411597" w:rsidP="005F1ED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411597" w:rsidRPr="00A935AA" w:rsidRDefault="00411597" w:rsidP="005F1ED8">
            <w:pPr>
              <w:tabs>
                <w:tab w:val="left" w:pos="-1440"/>
                <w:tab w:val="left" w:pos="-720"/>
              </w:tabs>
              <w:rPr>
                <w:sz w:val="20"/>
                <w:szCs w:val="20"/>
              </w:rPr>
            </w:pPr>
            <w:r w:rsidRPr="00A935AA">
              <w:rPr>
                <w:sz w:val="20"/>
                <w:szCs w:val="20"/>
              </w:rPr>
              <w:tab/>
            </w:r>
            <w:r>
              <w:rPr>
                <w:sz w:val="20"/>
                <w:szCs w:val="20"/>
              </w:rPr>
              <w:t>Michael Fawcett</w:t>
            </w:r>
          </w:p>
          <w:p w:rsidR="00411597" w:rsidRPr="00A935AA" w:rsidRDefault="00411597" w:rsidP="005F1ED8">
            <w:pPr>
              <w:tabs>
                <w:tab w:val="left" w:pos="-1440"/>
                <w:tab w:val="left" w:pos="-720"/>
              </w:tabs>
              <w:rPr>
                <w:sz w:val="20"/>
                <w:szCs w:val="20"/>
              </w:rPr>
            </w:pPr>
            <w:r w:rsidRPr="00A935AA">
              <w:rPr>
                <w:sz w:val="20"/>
                <w:szCs w:val="20"/>
              </w:rPr>
              <w:tab/>
            </w:r>
            <w:r>
              <w:rPr>
                <w:sz w:val="20"/>
                <w:szCs w:val="20"/>
              </w:rPr>
              <w:t>A.G. of Ontario</w:t>
            </w:r>
          </w:p>
          <w:p w:rsidR="00411597" w:rsidRPr="00A935AA" w:rsidRDefault="00411597" w:rsidP="005F1ED8">
            <w:pPr>
              <w:tabs>
                <w:tab w:val="left" w:pos="-1440"/>
                <w:tab w:val="left" w:pos="-720"/>
              </w:tabs>
              <w:rPr>
                <w:sz w:val="20"/>
                <w:szCs w:val="20"/>
              </w:rPr>
            </w:pPr>
          </w:p>
          <w:p w:rsidR="00411597" w:rsidRPr="00A935AA" w:rsidRDefault="00411597" w:rsidP="005F1ED8">
            <w:pPr>
              <w:rPr>
                <w:sz w:val="20"/>
                <w:szCs w:val="20"/>
              </w:rPr>
            </w:pPr>
            <w:r w:rsidRPr="00A935AA">
              <w:rPr>
                <w:sz w:val="20"/>
                <w:szCs w:val="20"/>
              </w:rPr>
              <w:t xml:space="preserve">FILING DATE: </w:t>
            </w:r>
            <w:r>
              <w:rPr>
                <w:sz w:val="20"/>
                <w:szCs w:val="20"/>
              </w:rPr>
              <w:t>28.01.2016</w:t>
            </w:r>
          </w:p>
          <w:p w:rsidR="00411597" w:rsidRPr="00F41B2E" w:rsidRDefault="003A0CC2" w:rsidP="003B3977">
            <w:pPr>
              <w:rPr>
                <w:sz w:val="20"/>
                <w:szCs w:val="20"/>
                <w:lang w:val="fr-CA"/>
              </w:rPr>
            </w:pPr>
            <w:r>
              <w:rPr>
                <w:sz w:val="20"/>
                <w:szCs w:val="20"/>
                <w:lang w:val="fr-CA"/>
              </w:rPr>
              <w:pict w14:anchorId="18EF26C2">
                <v:rect id="_x0000_i1027" style="width:108pt;height:1pt" o:hrpct="0" o:hralign="center" o:hrstd="t" o:hrnoshade="t" o:hr="t" fillcolor="black [3213]" stroked="f"/>
              </w:pict>
            </w:r>
          </w:p>
        </w:tc>
        <w:tc>
          <w:tcPr>
            <w:tcW w:w="1181" w:type="dxa"/>
            <w:shd w:val="clear" w:color="auto" w:fill="auto"/>
          </w:tcPr>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Default="00411597" w:rsidP="00242AEE">
            <w:pPr>
              <w:jc w:val="center"/>
              <w:rPr>
                <w:sz w:val="20"/>
                <w:szCs w:val="20"/>
              </w:rPr>
            </w:pPr>
          </w:p>
          <w:p w:rsidR="00411597" w:rsidRPr="00F41B2E" w:rsidRDefault="00411597" w:rsidP="00242AEE">
            <w:pPr>
              <w:jc w:val="center"/>
              <w:rPr>
                <w:sz w:val="20"/>
                <w:szCs w:val="20"/>
                <w:lang w:val="fr-CA"/>
              </w:rPr>
            </w:pPr>
          </w:p>
        </w:tc>
        <w:tc>
          <w:tcPr>
            <w:tcW w:w="4320" w:type="dxa"/>
            <w:shd w:val="clear" w:color="auto" w:fill="auto"/>
          </w:tcPr>
          <w:p w:rsidR="00411597" w:rsidRDefault="00411597" w:rsidP="001B643B">
            <w:pPr>
              <w:rPr>
                <w:b/>
                <w:sz w:val="20"/>
                <w:szCs w:val="20"/>
              </w:rPr>
            </w:pPr>
            <w:r>
              <w:rPr>
                <w:b/>
                <w:sz w:val="20"/>
                <w:szCs w:val="20"/>
              </w:rPr>
              <w:t>F. Mary Mikhail et al.</w:t>
            </w:r>
          </w:p>
          <w:p w:rsidR="00411597" w:rsidRDefault="00411597" w:rsidP="001B643B">
            <w:pPr>
              <w:rPr>
                <w:sz w:val="20"/>
                <w:szCs w:val="20"/>
              </w:rPr>
            </w:pPr>
            <w:r>
              <w:rPr>
                <w:sz w:val="20"/>
                <w:szCs w:val="20"/>
              </w:rPr>
              <w:tab/>
              <w:t>F. Mary Mikhail</w:t>
            </w:r>
          </w:p>
          <w:p w:rsidR="00411597" w:rsidRDefault="00411597" w:rsidP="001B643B">
            <w:pPr>
              <w:rPr>
                <w:sz w:val="20"/>
                <w:szCs w:val="20"/>
              </w:rPr>
            </w:pPr>
          </w:p>
          <w:p w:rsidR="00411597" w:rsidRPr="00EC0789" w:rsidRDefault="00411597" w:rsidP="001B643B">
            <w:pPr>
              <w:rPr>
                <w:sz w:val="20"/>
                <w:szCs w:val="20"/>
                <w:lang w:val="fr-CA"/>
              </w:rPr>
            </w:pPr>
            <w:r>
              <w:rPr>
                <w:sz w:val="20"/>
                <w:szCs w:val="20"/>
              </w:rPr>
              <w:tab/>
            </w:r>
            <w:r w:rsidRPr="00EC0789">
              <w:rPr>
                <w:sz w:val="20"/>
                <w:szCs w:val="20"/>
                <w:lang w:val="fr-CA"/>
              </w:rPr>
              <w:t>v. (36873)</w:t>
            </w:r>
          </w:p>
          <w:p w:rsidR="00411597" w:rsidRPr="00EC0789" w:rsidRDefault="00411597" w:rsidP="001B643B">
            <w:pPr>
              <w:rPr>
                <w:sz w:val="20"/>
                <w:szCs w:val="20"/>
                <w:lang w:val="fr-CA"/>
              </w:rPr>
            </w:pPr>
          </w:p>
          <w:p w:rsidR="00411597" w:rsidRPr="00EC0789" w:rsidRDefault="00411597" w:rsidP="001B643B">
            <w:pPr>
              <w:rPr>
                <w:sz w:val="20"/>
                <w:szCs w:val="20"/>
              </w:rPr>
            </w:pPr>
            <w:r w:rsidRPr="008F2015">
              <w:rPr>
                <w:b/>
                <w:sz w:val="20"/>
                <w:szCs w:val="20"/>
                <w:lang w:val="fr-CA"/>
              </w:rPr>
              <w:t xml:space="preserve">Kenneth E. Howie et al. </w:t>
            </w:r>
            <w:r w:rsidRPr="00EC0789">
              <w:rPr>
                <w:b/>
                <w:sz w:val="20"/>
                <w:szCs w:val="20"/>
              </w:rPr>
              <w:t>(Ont.)</w:t>
            </w:r>
          </w:p>
          <w:p w:rsidR="00411597" w:rsidRPr="00EC0789" w:rsidRDefault="00411597" w:rsidP="001B643B">
            <w:pPr>
              <w:rPr>
                <w:sz w:val="20"/>
                <w:szCs w:val="20"/>
              </w:rPr>
            </w:pPr>
            <w:r w:rsidRPr="00EC0789">
              <w:rPr>
                <w:sz w:val="20"/>
                <w:szCs w:val="20"/>
              </w:rPr>
              <w:tab/>
              <w:t>H. Jason Hickman</w:t>
            </w:r>
          </w:p>
          <w:p w:rsidR="00411597" w:rsidRPr="00EC0789" w:rsidRDefault="00411597" w:rsidP="001B643B">
            <w:pPr>
              <w:rPr>
                <w:sz w:val="20"/>
                <w:szCs w:val="20"/>
              </w:rPr>
            </w:pPr>
            <w:r w:rsidRPr="00EC0789">
              <w:rPr>
                <w:sz w:val="20"/>
                <w:szCs w:val="20"/>
              </w:rPr>
              <w:tab/>
              <w:t>Laxton Glass LLP</w:t>
            </w:r>
          </w:p>
          <w:p w:rsidR="00411597" w:rsidRPr="00EC0789" w:rsidRDefault="00411597" w:rsidP="001B643B">
            <w:pPr>
              <w:rPr>
                <w:sz w:val="20"/>
                <w:szCs w:val="20"/>
              </w:rPr>
            </w:pPr>
          </w:p>
          <w:p w:rsidR="00411597" w:rsidRPr="00EC0789" w:rsidRDefault="00411597" w:rsidP="001B643B">
            <w:pPr>
              <w:rPr>
                <w:sz w:val="20"/>
                <w:szCs w:val="20"/>
              </w:rPr>
            </w:pPr>
            <w:r w:rsidRPr="00EC0789">
              <w:rPr>
                <w:sz w:val="20"/>
                <w:szCs w:val="20"/>
              </w:rPr>
              <w:t>FILING DATE : 05.02.2016</w:t>
            </w:r>
          </w:p>
          <w:p w:rsidR="00411597" w:rsidRPr="00A935AA" w:rsidRDefault="003A0CC2" w:rsidP="00DC6B21">
            <w:pPr>
              <w:rPr>
                <w:sz w:val="20"/>
                <w:szCs w:val="20"/>
              </w:rPr>
            </w:pPr>
            <w:r>
              <w:rPr>
                <w:sz w:val="20"/>
                <w:szCs w:val="20"/>
                <w:lang w:val="fr-CA"/>
              </w:rPr>
              <w:pict w14:anchorId="65E29579">
                <v:rect id="_x0000_i1028" style="width:108pt;height:1pt" o:hrpct="0" o:hralign="center" o:hrstd="t" o:hrnoshade="t" o:hr="t" fillcolor="black [3213]" stroked="f"/>
              </w:pict>
            </w:r>
          </w:p>
        </w:tc>
      </w:tr>
      <w:tr w:rsidR="00411597" w:rsidRPr="008F2015" w:rsidTr="003B3977">
        <w:tc>
          <w:tcPr>
            <w:tcW w:w="4320" w:type="dxa"/>
            <w:shd w:val="clear" w:color="auto" w:fill="auto"/>
          </w:tcPr>
          <w:p w:rsidR="00411597" w:rsidRPr="003A0CC2" w:rsidRDefault="00411597" w:rsidP="001B643B">
            <w:pPr>
              <w:rPr>
                <w:b/>
                <w:sz w:val="20"/>
                <w:szCs w:val="20"/>
              </w:rPr>
            </w:pPr>
            <w:r w:rsidRPr="003A0CC2">
              <w:rPr>
                <w:b/>
                <w:sz w:val="20"/>
                <w:szCs w:val="20"/>
              </w:rPr>
              <w:t>Gerald Dyke</w:t>
            </w:r>
          </w:p>
          <w:p w:rsidR="00411597" w:rsidRPr="003A0CC2" w:rsidRDefault="00411597" w:rsidP="001B643B">
            <w:pPr>
              <w:rPr>
                <w:sz w:val="20"/>
                <w:szCs w:val="20"/>
              </w:rPr>
            </w:pPr>
            <w:r w:rsidRPr="003A0CC2">
              <w:rPr>
                <w:b/>
                <w:sz w:val="20"/>
                <w:szCs w:val="20"/>
              </w:rPr>
              <w:tab/>
            </w:r>
            <w:r w:rsidRPr="003A0CC2">
              <w:rPr>
                <w:sz w:val="20"/>
                <w:szCs w:val="20"/>
              </w:rPr>
              <w:t>Lance Beechener</w:t>
            </w:r>
          </w:p>
          <w:p w:rsidR="00411597" w:rsidRPr="003A0CC2" w:rsidRDefault="00411597" w:rsidP="001B643B">
            <w:pPr>
              <w:rPr>
                <w:sz w:val="20"/>
                <w:szCs w:val="20"/>
              </w:rPr>
            </w:pPr>
            <w:r w:rsidRPr="003A0CC2">
              <w:rPr>
                <w:sz w:val="20"/>
                <w:szCs w:val="20"/>
              </w:rPr>
              <w:tab/>
              <w:t>Lockyer Campbell Posner</w:t>
            </w:r>
          </w:p>
          <w:p w:rsidR="00411597" w:rsidRPr="003A0CC2" w:rsidRDefault="00411597" w:rsidP="001B643B">
            <w:pPr>
              <w:rPr>
                <w:sz w:val="20"/>
                <w:szCs w:val="20"/>
              </w:rPr>
            </w:pPr>
          </w:p>
          <w:p w:rsidR="00411597" w:rsidRPr="003A0CC2" w:rsidRDefault="00411597" w:rsidP="001B643B">
            <w:pPr>
              <w:rPr>
                <w:sz w:val="20"/>
                <w:szCs w:val="20"/>
              </w:rPr>
            </w:pPr>
            <w:r w:rsidRPr="003A0CC2">
              <w:rPr>
                <w:sz w:val="20"/>
                <w:szCs w:val="20"/>
              </w:rPr>
              <w:tab/>
              <w:t>v. (36890)</w:t>
            </w:r>
          </w:p>
          <w:p w:rsidR="00411597" w:rsidRPr="003A0CC2" w:rsidRDefault="00411597" w:rsidP="001B643B">
            <w:pPr>
              <w:rPr>
                <w:sz w:val="20"/>
                <w:szCs w:val="20"/>
              </w:rPr>
            </w:pPr>
          </w:p>
          <w:p w:rsidR="00411597" w:rsidRPr="00EC0789" w:rsidRDefault="00411597" w:rsidP="001B643B">
            <w:pPr>
              <w:rPr>
                <w:b/>
                <w:sz w:val="20"/>
                <w:szCs w:val="20"/>
              </w:rPr>
            </w:pPr>
            <w:r w:rsidRPr="00EC0789">
              <w:rPr>
                <w:b/>
                <w:sz w:val="20"/>
                <w:szCs w:val="20"/>
              </w:rPr>
              <w:t>Her Majesty the Queen (Ont.)</w:t>
            </w:r>
          </w:p>
          <w:p w:rsidR="00411597" w:rsidRDefault="00411597" w:rsidP="001B643B">
            <w:pPr>
              <w:rPr>
                <w:sz w:val="20"/>
                <w:szCs w:val="20"/>
              </w:rPr>
            </w:pPr>
            <w:r w:rsidRPr="00EC0789">
              <w:rPr>
                <w:sz w:val="20"/>
                <w:szCs w:val="20"/>
              </w:rPr>
              <w:tab/>
            </w:r>
            <w:r>
              <w:rPr>
                <w:sz w:val="20"/>
                <w:szCs w:val="20"/>
              </w:rPr>
              <w:t>Andreea Baiasu</w:t>
            </w:r>
          </w:p>
          <w:p w:rsidR="00411597" w:rsidRDefault="00411597" w:rsidP="001B643B">
            <w:pPr>
              <w:rPr>
                <w:sz w:val="20"/>
                <w:szCs w:val="20"/>
              </w:rPr>
            </w:pPr>
            <w:r>
              <w:rPr>
                <w:sz w:val="20"/>
                <w:szCs w:val="20"/>
              </w:rPr>
              <w:tab/>
              <w:t>A.G. of Ontario</w:t>
            </w:r>
          </w:p>
          <w:p w:rsidR="00411597" w:rsidRDefault="00411597" w:rsidP="001B643B">
            <w:pPr>
              <w:rPr>
                <w:sz w:val="20"/>
                <w:szCs w:val="20"/>
              </w:rPr>
            </w:pPr>
          </w:p>
          <w:p w:rsidR="00411597" w:rsidRDefault="00411597" w:rsidP="001B643B">
            <w:pPr>
              <w:rPr>
                <w:sz w:val="20"/>
                <w:szCs w:val="20"/>
              </w:rPr>
            </w:pPr>
            <w:r>
              <w:rPr>
                <w:sz w:val="20"/>
                <w:szCs w:val="20"/>
              </w:rPr>
              <w:t>FILING DATE: 11.03.2016</w:t>
            </w:r>
          </w:p>
          <w:p w:rsidR="00411597" w:rsidRPr="00A935AA" w:rsidRDefault="003A0CC2" w:rsidP="005F1ED8">
            <w:pPr>
              <w:rPr>
                <w:sz w:val="20"/>
                <w:szCs w:val="20"/>
              </w:rPr>
            </w:pPr>
            <w:r>
              <w:rPr>
                <w:sz w:val="20"/>
                <w:szCs w:val="20"/>
                <w:lang w:val="fr-CA"/>
              </w:rPr>
              <w:pict w14:anchorId="5F9EF986">
                <v:rect id="_x0000_i1029" style="width:108pt;height:1pt" o:hrpct="0" o:hralign="center" o:hrstd="t" o:hrnoshade="t" o:hr="t" fillcolor="black [3213]" stroked="f"/>
              </w:pict>
            </w:r>
          </w:p>
        </w:tc>
        <w:tc>
          <w:tcPr>
            <w:tcW w:w="1181" w:type="dxa"/>
            <w:shd w:val="clear" w:color="auto" w:fill="auto"/>
          </w:tcPr>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EC0789" w:rsidRDefault="00411597" w:rsidP="00242AEE">
            <w:pPr>
              <w:jc w:val="center"/>
              <w:rPr>
                <w:sz w:val="20"/>
                <w:szCs w:val="20"/>
              </w:rPr>
            </w:pPr>
          </w:p>
          <w:p w:rsidR="00411597" w:rsidRPr="00A935AA" w:rsidRDefault="00411597" w:rsidP="00242AEE">
            <w:pPr>
              <w:jc w:val="center"/>
              <w:rPr>
                <w:sz w:val="20"/>
                <w:szCs w:val="20"/>
              </w:rPr>
            </w:pPr>
          </w:p>
        </w:tc>
        <w:tc>
          <w:tcPr>
            <w:tcW w:w="4320" w:type="dxa"/>
            <w:shd w:val="clear" w:color="auto" w:fill="auto"/>
          </w:tcPr>
          <w:p w:rsidR="00411597" w:rsidRDefault="00411597" w:rsidP="001B643B">
            <w:pPr>
              <w:rPr>
                <w:b/>
                <w:sz w:val="20"/>
                <w:szCs w:val="20"/>
              </w:rPr>
            </w:pPr>
            <w:r>
              <w:rPr>
                <w:b/>
                <w:sz w:val="20"/>
                <w:szCs w:val="20"/>
              </w:rPr>
              <w:t>James T. Grenon</w:t>
            </w:r>
          </w:p>
          <w:p w:rsidR="00411597" w:rsidRDefault="00411597" w:rsidP="001B643B">
            <w:pPr>
              <w:rPr>
                <w:sz w:val="20"/>
                <w:szCs w:val="20"/>
              </w:rPr>
            </w:pPr>
            <w:r>
              <w:rPr>
                <w:sz w:val="20"/>
                <w:szCs w:val="20"/>
              </w:rPr>
              <w:tab/>
              <w:t>Ronald J. Robinson</w:t>
            </w:r>
          </w:p>
          <w:p w:rsidR="00411597" w:rsidRDefault="00411597" w:rsidP="001B643B">
            <w:pPr>
              <w:rPr>
                <w:sz w:val="20"/>
                <w:szCs w:val="20"/>
              </w:rPr>
            </w:pPr>
          </w:p>
          <w:p w:rsidR="00411597" w:rsidRDefault="00411597" w:rsidP="001B643B">
            <w:pPr>
              <w:rPr>
                <w:sz w:val="20"/>
                <w:szCs w:val="20"/>
              </w:rPr>
            </w:pPr>
            <w:r>
              <w:rPr>
                <w:b/>
                <w:sz w:val="20"/>
                <w:szCs w:val="20"/>
              </w:rPr>
              <w:tab/>
            </w:r>
            <w:r>
              <w:rPr>
                <w:sz w:val="20"/>
                <w:szCs w:val="20"/>
              </w:rPr>
              <w:t>v. (36891)</w:t>
            </w:r>
          </w:p>
          <w:p w:rsidR="00411597" w:rsidRDefault="00411597" w:rsidP="001B643B">
            <w:pPr>
              <w:rPr>
                <w:sz w:val="20"/>
                <w:szCs w:val="20"/>
              </w:rPr>
            </w:pPr>
          </w:p>
          <w:p w:rsidR="00411597" w:rsidRDefault="00411597" w:rsidP="001B643B">
            <w:pPr>
              <w:rPr>
                <w:b/>
                <w:sz w:val="20"/>
                <w:szCs w:val="20"/>
              </w:rPr>
            </w:pPr>
            <w:r>
              <w:rPr>
                <w:b/>
                <w:sz w:val="20"/>
                <w:szCs w:val="20"/>
              </w:rPr>
              <w:t>Her Majesty the Queen (F.C.)</w:t>
            </w:r>
          </w:p>
          <w:p w:rsidR="00411597" w:rsidRDefault="00411597" w:rsidP="001B643B">
            <w:pPr>
              <w:rPr>
                <w:sz w:val="20"/>
                <w:szCs w:val="20"/>
              </w:rPr>
            </w:pPr>
            <w:r>
              <w:rPr>
                <w:sz w:val="20"/>
                <w:szCs w:val="20"/>
              </w:rPr>
              <w:tab/>
              <w:t>Wendy Bridges</w:t>
            </w:r>
          </w:p>
          <w:p w:rsidR="00411597" w:rsidRDefault="00411597" w:rsidP="001B643B">
            <w:pPr>
              <w:rPr>
                <w:sz w:val="20"/>
                <w:szCs w:val="20"/>
              </w:rPr>
            </w:pPr>
            <w:r>
              <w:rPr>
                <w:sz w:val="20"/>
                <w:szCs w:val="20"/>
              </w:rPr>
              <w:tab/>
              <w:t>A.G. of Canada</w:t>
            </w:r>
          </w:p>
          <w:p w:rsidR="00411597" w:rsidRDefault="00411597" w:rsidP="001B643B">
            <w:pPr>
              <w:rPr>
                <w:sz w:val="20"/>
                <w:szCs w:val="20"/>
              </w:rPr>
            </w:pPr>
          </w:p>
          <w:p w:rsidR="00411597" w:rsidRDefault="00411597" w:rsidP="001B643B">
            <w:pPr>
              <w:rPr>
                <w:sz w:val="20"/>
                <w:szCs w:val="20"/>
              </w:rPr>
            </w:pPr>
            <w:r>
              <w:rPr>
                <w:sz w:val="20"/>
                <w:szCs w:val="20"/>
              </w:rPr>
              <w:t>FILING DATE: 11.03.2016</w:t>
            </w:r>
          </w:p>
          <w:p w:rsidR="00411597" w:rsidRPr="008F2015" w:rsidRDefault="003A0CC2" w:rsidP="001B643B">
            <w:pPr>
              <w:rPr>
                <w:sz w:val="20"/>
                <w:szCs w:val="20"/>
                <w:lang w:val="fr-CA"/>
              </w:rPr>
            </w:pPr>
            <w:r>
              <w:rPr>
                <w:sz w:val="20"/>
                <w:szCs w:val="20"/>
                <w:lang w:val="fr-CA"/>
              </w:rPr>
              <w:pict w14:anchorId="07D1CEC2">
                <v:rect id="_x0000_i1030" style="width:108pt;height:1pt" o:hrpct="0" o:hralign="center" o:hrstd="t" o:hrnoshade="t" o:hr="t" fillcolor="black [3213]" stroked="f"/>
              </w:pict>
            </w:r>
          </w:p>
        </w:tc>
      </w:tr>
      <w:tr w:rsidR="00411597" w:rsidRPr="008F2015" w:rsidTr="003B3977">
        <w:trPr>
          <w:cantSplit/>
        </w:trPr>
        <w:tc>
          <w:tcPr>
            <w:tcW w:w="4320" w:type="dxa"/>
            <w:shd w:val="clear" w:color="auto" w:fill="auto"/>
          </w:tcPr>
          <w:p w:rsidR="00411597" w:rsidRPr="00B405D7" w:rsidRDefault="00411597" w:rsidP="005F1ED8">
            <w:pPr>
              <w:rPr>
                <w:b/>
                <w:sz w:val="20"/>
                <w:szCs w:val="20"/>
              </w:rPr>
            </w:pPr>
            <w:r w:rsidRPr="00B405D7">
              <w:rPr>
                <w:b/>
                <w:sz w:val="20"/>
                <w:szCs w:val="20"/>
              </w:rPr>
              <w:lastRenderedPageBreak/>
              <w:t>Leslie Podolski</w:t>
            </w:r>
          </w:p>
          <w:p w:rsidR="00411597" w:rsidRDefault="00411597" w:rsidP="005F1ED8">
            <w:pPr>
              <w:rPr>
                <w:sz w:val="20"/>
                <w:szCs w:val="20"/>
              </w:rPr>
            </w:pPr>
            <w:r>
              <w:rPr>
                <w:sz w:val="20"/>
                <w:szCs w:val="20"/>
              </w:rPr>
              <w:tab/>
              <w:t>Roger P. Thirkell</w:t>
            </w:r>
          </w:p>
          <w:p w:rsidR="00411597" w:rsidRDefault="00411597" w:rsidP="005F1ED8">
            <w:pPr>
              <w:rPr>
                <w:sz w:val="20"/>
                <w:szCs w:val="20"/>
              </w:rPr>
            </w:pPr>
            <w:r>
              <w:rPr>
                <w:sz w:val="20"/>
                <w:szCs w:val="20"/>
              </w:rPr>
              <w:tab/>
              <w:t>Thirkell &amp; Company</w:t>
            </w:r>
          </w:p>
          <w:p w:rsidR="00411597" w:rsidRDefault="00411597" w:rsidP="005F1ED8">
            <w:pPr>
              <w:rPr>
                <w:sz w:val="20"/>
                <w:szCs w:val="20"/>
              </w:rPr>
            </w:pPr>
          </w:p>
          <w:p w:rsidR="00411597" w:rsidRDefault="00411597" w:rsidP="005F1ED8">
            <w:pPr>
              <w:rPr>
                <w:sz w:val="20"/>
                <w:szCs w:val="20"/>
              </w:rPr>
            </w:pPr>
            <w:r>
              <w:rPr>
                <w:sz w:val="20"/>
                <w:szCs w:val="20"/>
              </w:rPr>
              <w:tab/>
              <w:t>v. (36895)</w:t>
            </w:r>
          </w:p>
          <w:p w:rsidR="00411597" w:rsidRDefault="00411597" w:rsidP="005F1ED8">
            <w:pPr>
              <w:rPr>
                <w:sz w:val="20"/>
                <w:szCs w:val="20"/>
              </w:rPr>
            </w:pPr>
          </w:p>
          <w:p w:rsidR="00411597" w:rsidRPr="00B405D7" w:rsidRDefault="00411597" w:rsidP="005F1ED8">
            <w:pPr>
              <w:rPr>
                <w:b/>
                <w:sz w:val="20"/>
                <w:szCs w:val="20"/>
              </w:rPr>
            </w:pPr>
            <w:r w:rsidRPr="00B405D7">
              <w:rPr>
                <w:b/>
                <w:sz w:val="20"/>
                <w:szCs w:val="20"/>
              </w:rPr>
              <w:t>Her Majesty the Queen (B.C.)</w:t>
            </w:r>
          </w:p>
          <w:p w:rsidR="00411597" w:rsidRDefault="00411597" w:rsidP="005F1ED8">
            <w:pPr>
              <w:rPr>
                <w:sz w:val="20"/>
                <w:szCs w:val="20"/>
              </w:rPr>
            </w:pPr>
            <w:r>
              <w:rPr>
                <w:sz w:val="20"/>
                <w:szCs w:val="20"/>
              </w:rPr>
              <w:tab/>
              <w:t xml:space="preserve">Michael J. Brundrett </w:t>
            </w:r>
          </w:p>
          <w:p w:rsidR="00411597" w:rsidRDefault="00411597" w:rsidP="005F1ED8">
            <w:pPr>
              <w:rPr>
                <w:sz w:val="20"/>
                <w:szCs w:val="20"/>
              </w:rPr>
            </w:pPr>
            <w:r>
              <w:rPr>
                <w:sz w:val="20"/>
                <w:szCs w:val="20"/>
              </w:rPr>
              <w:tab/>
              <w:t>A.G. of British Columbia</w:t>
            </w:r>
          </w:p>
          <w:p w:rsidR="00411597" w:rsidRDefault="00411597" w:rsidP="005F1ED8">
            <w:pPr>
              <w:rPr>
                <w:sz w:val="20"/>
                <w:szCs w:val="20"/>
              </w:rPr>
            </w:pPr>
          </w:p>
          <w:p w:rsidR="00411597" w:rsidRDefault="00411597" w:rsidP="0068612B">
            <w:pPr>
              <w:rPr>
                <w:sz w:val="20"/>
                <w:szCs w:val="20"/>
              </w:rPr>
            </w:pPr>
            <w:r>
              <w:rPr>
                <w:sz w:val="20"/>
                <w:szCs w:val="20"/>
              </w:rPr>
              <w:t>- </w:t>
            </w:r>
            <w:r w:rsidRPr="0068612B">
              <w:rPr>
                <w:sz w:val="20"/>
                <w:szCs w:val="20"/>
              </w:rPr>
              <w:t>and between</w:t>
            </w:r>
            <w:r>
              <w:rPr>
                <w:sz w:val="20"/>
                <w:szCs w:val="20"/>
              </w:rPr>
              <w:t> –</w:t>
            </w:r>
          </w:p>
          <w:p w:rsidR="00411597" w:rsidRDefault="00411597" w:rsidP="0068612B">
            <w:pPr>
              <w:rPr>
                <w:sz w:val="20"/>
                <w:szCs w:val="20"/>
              </w:rPr>
            </w:pPr>
          </w:p>
          <w:p w:rsidR="00411597" w:rsidRPr="00B405D7" w:rsidRDefault="00411597" w:rsidP="0068612B">
            <w:pPr>
              <w:rPr>
                <w:b/>
                <w:sz w:val="20"/>
                <w:szCs w:val="20"/>
              </w:rPr>
            </w:pPr>
            <w:r w:rsidRPr="00B405D7">
              <w:rPr>
                <w:b/>
                <w:sz w:val="20"/>
                <w:szCs w:val="20"/>
              </w:rPr>
              <w:t>Peter Man</w:t>
            </w:r>
            <w:r w:rsidR="00301A88">
              <w:rPr>
                <w:b/>
                <w:sz w:val="20"/>
                <w:szCs w:val="20"/>
              </w:rPr>
              <w:t>o</w:t>
            </w:r>
            <w:r w:rsidRPr="00B405D7">
              <w:rPr>
                <w:b/>
                <w:sz w:val="20"/>
                <w:szCs w:val="20"/>
              </w:rPr>
              <w:t>lakos</w:t>
            </w:r>
          </w:p>
          <w:p w:rsidR="00411597" w:rsidRDefault="00411597" w:rsidP="0068612B">
            <w:pPr>
              <w:rPr>
                <w:sz w:val="20"/>
                <w:szCs w:val="20"/>
              </w:rPr>
            </w:pPr>
            <w:r>
              <w:rPr>
                <w:sz w:val="20"/>
                <w:szCs w:val="20"/>
              </w:rPr>
              <w:tab/>
              <w:t>Matthew A. Nathanson</w:t>
            </w:r>
          </w:p>
          <w:p w:rsidR="00411597" w:rsidRDefault="00411597" w:rsidP="0068612B">
            <w:pPr>
              <w:rPr>
                <w:sz w:val="20"/>
                <w:szCs w:val="20"/>
              </w:rPr>
            </w:pPr>
          </w:p>
          <w:p w:rsidR="00411597" w:rsidRDefault="00411597" w:rsidP="0068612B">
            <w:pPr>
              <w:rPr>
                <w:sz w:val="20"/>
                <w:szCs w:val="20"/>
              </w:rPr>
            </w:pPr>
            <w:r>
              <w:rPr>
                <w:sz w:val="20"/>
                <w:szCs w:val="20"/>
              </w:rPr>
              <w:tab/>
              <w:t>v. (36895)</w:t>
            </w:r>
          </w:p>
          <w:p w:rsidR="00411597" w:rsidRDefault="00411597" w:rsidP="0068612B">
            <w:pPr>
              <w:rPr>
                <w:sz w:val="20"/>
                <w:szCs w:val="20"/>
              </w:rPr>
            </w:pPr>
          </w:p>
          <w:p w:rsidR="00411597" w:rsidRPr="00B405D7" w:rsidRDefault="00411597" w:rsidP="0068612B">
            <w:pPr>
              <w:rPr>
                <w:b/>
                <w:sz w:val="20"/>
                <w:szCs w:val="20"/>
              </w:rPr>
            </w:pPr>
            <w:r w:rsidRPr="00B405D7">
              <w:rPr>
                <w:b/>
                <w:sz w:val="20"/>
                <w:szCs w:val="20"/>
              </w:rPr>
              <w:t>Her Majesty the Queen (B.C.)</w:t>
            </w:r>
          </w:p>
          <w:p w:rsidR="00411597" w:rsidRDefault="00411597" w:rsidP="0068612B">
            <w:pPr>
              <w:rPr>
                <w:sz w:val="20"/>
                <w:szCs w:val="20"/>
              </w:rPr>
            </w:pPr>
            <w:r>
              <w:rPr>
                <w:sz w:val="20"/>
                <w:szCs w:val="20"/>
              </w:rPr>
              <w:tab/>
              <w:t xml:space="preserve">Michael J. Brundrett </w:t>
            </w:r>
          </w:p>
          <w:p w:rsidR="00411597" w:rsidRDefault="00411597" w:rsidP="0068612B">
            <w:pPr>
              <w:rPr>
                <w:sz w:val="20"/>
                <w:szCs w:val="20"/>
              </w:rPr>
            </w:pPr>
            <w:r>
              <w:rPr>
                <w:sz w:val="20"/>
                <w:szCs w:val="20"/>
              </w:rPr>
              <w:tab/>
              <w:t>A.G. of British Columbia</w:t>
            </w:r>
          </w:p>
          <w:p w:rsidR="00411597" w:rsidRDefault="00411597" w:rsidP="0068612B">
            <w:pPr>
              <w:rPr>
                <w:sz w:val="20"/>
                <w:szCs w:val="20"/>
              </w:rPr>
            </w:pPr>
          </w:p>
          <w:p w:rsidR="00411597" w:rsidRDefault="00411597" w:rsidP="0068612B">
            <w:pPr>
              <w:rPr>
                <w:sz w:val="20"/>
                <w:szCs w:val="20"/>
              </w:rPr>
            </w:pPr>
            <w:r>
              <w:rPr>
                <w:sz w:val="20"/>
                <w:szCs w:val="20"/>
              </w:rPr>
              <w:t>- </w:t>
            </w:r>
            <w:r w:rsidRPr="0068612B">
              <w:rPr>
                <w:sz w:val="20"/>
                <w:szCs w:val="20"/>
              </w:rPr>
              <w:t>and between</w:t>
            </w:r>
            <w:r>
              <w:rPr>
                <w:sz w:val="20"/>
                <w:szCs w:val="20"/>
              </w:rPr>
              <w:t> –</w:t>
            </w:r>
          </w:p>
          <w:p w:rsidR="00411597" w:rsidRDefault="00411597" w:rsidP="0068612B">
            <w:pPr>
              <w:rPr>
                <w:sz w:val="20"/>
                <w:szCs w:val="20"/>
              </w:rPr>
            </w:pPr>
          </w:p>
          <w:p w:rsidR="00411597" w:rsidRDefault="00411597" w:rsidP="0068612B">
            <w:pPr>
              <w:rPr>
                <w:sz w:val="20"/>
                <w:szCs w:val="20"/>
              </w:rPr>
            </w:pPr>
            <w:r w:rsidRPr="00B405D7">
              <w:rPr>
                <w:b/>
                <w:sz w:val="20"/>
                <w:szCs w:val="20"/>
              </w:rPr>
              <w:t>Sheldon O’Donnell</w:t>
            </w:r>
            <w:r>
              <w:rPr>
                <w:sz w:val="20"/>
                <w:szCs w:val="20"/>
              </w:rPr>
              <w:br/>
            </w:r>
            <w:r>
              <w:rPr>
                <w:sz w:val="20"/>
                <w:szCs w:val="20"/>
              </w:rPr>
              <w:tab/>
              <w:t>Clinton Bauman</w:t>
            </w:r>
            <w:r>
              <w:rPr>
                <w:sz w:val="20"/>
                <w:szCs w:val="20"/>
              </w:rPr>
              <w:br/>
            </w:r>
            <w:r>
              <w:rPr>
                <w:sz w:val="20"/>
                <w:szCs w:val="20"/>
              </w:rPr>
              <w:br/>
            </w:r>
            <w:r>
              <w:rPr>
                <w:sz w:val="20"/>
                <w:szCs w:val="20"/>
              </w:rPr>
              <w:tab/>
              <w:t>v. (36895)</w:t>
            </w:r>
          </w:p>
          <w:p w:rsidR="00411597" w:rsidRDefault="00411597" w:rsidP="0068612B">
            <w:pPr>
              <w:rPr>
                <w:sz w:val="20"/>
                <w:szCs w:val="20"/>
              </w:rPr>
            </w:pPr>
          </w:p>
          <w:p w:rsidR="00411597" w:rsidRPr="00B405D7" w:rsidRDefault="00411597" w:rsidP="0068612B">
            <w:pPr>
              <w:rPr>
                <w:b/>
                <w:sz w:val="20"/>
                <w:szCs w:val="20"/>
              </w:rPr>
            </w:pPr>
            <w:r w:rsidRPr="00B405D7">
              <w:rPr>
                <w:b/>
                <w:sz w:val="20"/>
                <w:szCs w:val="20"/>
              </w:rPr>
              <w:t>Her Majesty the Queen (B.C.)</w:t>
            </w:r>
          </w:p>
          <w:p w:rsidR="00411597" w:rsidRDefault="00411597" w:rsidP="0068612B">
            <w:pPr>
              <w:rPr>
                <w:sz w:val="20"/>
                <w:szCs w:val="20"/>
              </w:rPr>
            </w:pPr>
            <w:r>
              <w:rPr>
                <w:sz w:val="20"/>
                <w:szCs w:val="20"/>
              </w:rPr>
              <w:tab/>
              <w:t xml:space="preserve">Michael J. Brundrett </w:t>
            </w:r>
          </w:p>
          <w:p w:rsidR="00411597" w:rsidRDefault="00411597" w:rsidP="0068612B">
            <w:pPr>
              <w:rPr>
                <w:sz w:val="20"/>
                <w:szCs w:val="20"/>
              </w:rPr>
            </w:pPr>
            <w:r>
              <w:rPr>
                <w:sz w:val="20"/>
                <w:szCs w:val="20"/>
              </w:rPr>
              <w:tab/>
              <w:t>A.G. of British Columbia</w:t>
            </w:r>
          </w:p>
          <w:p w:rsidR="00411597" w:rsidRDefault="00411597" w:rsidP="0068612B">
            <w:pPr>
              <w:rPr>
                <w:sz w:val="20"/>
                <w:szCs w:val="20"/>
              </w:rPr>
            </w:pPr>
          </w:p>
          <w:p w:rsidR="00411597" w:rsidRDefault="00411597" w:rsidP="0068612B">
            <w:pPr>
              <w:rPr>
                <w:sz w:val="20"/>
                <w:szCs w:val="20"/>
              </w:rPr>
            </w:pPr>
            <w:r>
              <w:rPr>
                <w:sz w:val="20"/>
                <w:szCs w:val="20"/>
              </w:rPr>
              <w:t>FILING DATE: 11.03.2016</w:t>
            </w:r>
          </w:p>
          <w:p w:rsidR="00411597" w:rsidRPr="00EC0789" w:rsidRDefault="003A0CC2" w:rsidP="001B643B">
            <w:pPr>
              <w:rPr>
                <w:sz w:val="20"/>
                <w:szCs w:val="20"/>
              </w:rPr>
            </w:pPr>
            <w:r>
              <w:rPr>
                <w:sz w:val="20"/>
                <w:szCs w:val="20"/>
                <w:lang w:val="fr-CA"/>
              </w:rPr>
              <w:pict w14:anchorId="285C6D66">
                <v:rect id="_x0000_i1031" style="width:108pt;height:1pt" o:hrpct="0" o:hralign="center" o:hrstd="t" o:hrnoshade="t" o:hr="t" fillcolor="black [3213]" stroked="f"/>
              </w:pict>
            </w:r>
          </w:p>
        </w:tc>
        <w:tc>
          <w:tcPr>
            <w:tcW w:w="1181" w:type="dxa"/>
            <w:shd w:val="clear" w:color="auto" w:fill="auto"/>
          </w:tcPr>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A935AA" w:rsidRDefault="00411597" w:rsidP="00242AEE">
            <w:pPr>
              <w:jc w:val="center"/>
              <w:rPr>
                <w:sz w:val="20"/>
                <w:szCs w:val="20"/>
              </w:rPr>
            </w:pPr>
          </w:p>
          <w:p w:rsidR="00411597" w:rsidRPr="00EC0789" w:rsidRDefault="00411597" w:rsidP="00242AEE">
            <w:pPr>
              <w:jc w:val="center"/>
              <w:rPr>
                <w:sz w:val="20"/>
                <w:szCs w:val="20"/>
              </w:rPr>
            </w:pPr>
          </w:p>
        </w:tc>
        <w:tc>
          <w:tcPr>
            <w:tcW w:w="4320" w:type="dxa"/>
            <w:shd w:val="clear" w:color="auto" w:fill="auto"/>
          </w:tcPr>
          <w:p w:rsidR="00411597" w:rsidRPr="00EC0789" w:rsidRDefault="00411597" w:rsidP="001B643B">
            <w:pPr>
              <w:rPr>
                <w:sz w:val="20"/>
                <w:szCs w:val="20"/>
              </w:rPr>
            </w:pP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400AD">
          <w:headerReference w:type="default" r:id="rId11"/>
          <w:footerReference w:type="default" r:id="rId12"/>
          <w:headerReference w:type="first" r:id="rId13"/>
          <w:footerReference w:type="first" r:id="rId14"/>
          <w:pgSz w:w="12240" w:h="15840"/>
          <w:pgMar w:top="720" w:right="965" w:bottom="1080" w:left="1656" w:header="706" w:footer="706" w:gutter="0"/>
          <w:pgNumType w:start="39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A0CC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Default="00A463AE" w:rsidP="00CB3520">
      <w:pPr>
        <w:widowControl w:val="0"/>
        <w:rPr>
          <w:b/>
          <w:sz w:val="20"/>
          <w:szCs w:val="20"/>
        </w:rPr>
      </w:pPr>
      <w:r>
        <w:rPr>
          <w:b/>
          <w:sz w:val="20"/>
          <w:szCs w:val="20"/>
        </w:rPr>
        <w:t>MARCH 29, 2016</w:t>
      </w:r>
      <w:r w:rsidR="00CB3520" w:rsidRPr="00C50A5C">
        <w:rPr>
          <w:b/>
          <w:sz w:val="20"/>
          <w:szCs w:val="20"/>
        </w:rPr>
        <w:t xml:space="preserve"> / LE </w:t>
      </w:r>
      <w:r>
        <w:rPr>
          <w:b/>
          <w:sz w:val="20"/>
          <w:szCs w:val="20"/>
        </w:rPr>
        <w:t>29 MARS</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172853">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Default="00CB3520" w:rsidP="00CB3520">
      <w:pPr>
        <w:widowControl w:val="0"/>
        <w:jc w:val="center"/>
        <w:rPr>
          <w:b/>
          <w:sz w:val="20"/>
          <w:szCs w:val="20"/>
          <w:lang w:val="fr-CA"/>
        </w:rPr>
      </w:pPr>
      <w:r w:rsidRPr="00C50A5C">
        <w:rPr>
          <w:b/>
          <w:sz w:val="20"/>
          <w:szCs w:val="20"/>
          <w:lang w:val="fr-CA"/>
        </w:rPr>
        <w:t xml:space="preserve">La juge en chef McLachlin et les juges </w:t>
      </w:r>
      <w:r w:rsidR="00172853">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301A88" w:rsidP="00CB3520">
      <w:pPr>
        <w:pStyle w:val="ListParagraph"/>
        <w:widowControl w:val="0"/>
        <w:numPr>
          <w:ilvl w:val="0"/>
          <w:numId w:val="1"/>
        </w:numPr>
        <w:ind w:hanging="720"/>
        <w:jc w:val="both"/>
        <w:rPr>
          <w:sz w:val="20"/>
          <w:szCs w:val="20"/>
        </w:rPr>
      </w:pPr>
      <w:r>
        <w:rPr>
          <w:i/>
          <w:sz w:val="20"/>
          <w:szCs w:val="20"/>
        </w:rPr>
        <w:t>Barry David Brown</w:t>
      </w:r>
      <w:r w:rsidR="00CB3520" w:rsidRPr="009C5D38">
        <w:rPr>
          <w:i/>
          <w:sz w:val="20"/>
          <w:szCs w:val="20"/>
        </w:rPr>
        <w:t xml:space="preserve"> v. </w:t>
      </w:r>
      <w:r>
        <w:rPr>
          <w:i/>
          <w:sz w:val="20"/>
          <w:szCs w:val="20"/>
        </w:rPr>
        <w:t>Her Majesty the Queen</w:t>
      </w:r>
      <w:r w:rsidR="00CB3520" w:rsidRPr="009C5D38">
        <w:rPr>
          <w:sz w:val="20"/>
          <w:szCs w:val="20"/>
        </w:rPr>
        <w:t xml:space="preserve"> (</w:t>
      </w:r>
      <w:r>
        <w:rPr>
          <w:sz w:val="20"/>
          <w:szCs w:val="20"/>
        </w:rPr>
        <w:t>Alta.</w:t>
      </w:r>
      <w:r w:rsidR="00CB3520" w:rsidRPr="009C5D38">
        <w:rPr>
          <w:sz w:val="20"/>
          <w:szCs w:val="20"/>
        </w:rPr>
        <w:t>) (Crim.) (By Leave)</w:t>
      </w:r>
      <w:r w:rsidR="00CB3520" w:rsidRPr="00C50A5C">
        <w:rPr>
          <w:sz w:val="20"/>
          <w:szCs w:val="20"/>
        </w:rPr>
        <w:t xml:space="preserve"> (3</w:t>
      </w:r>
      <w:r>
        <w:rPr>
          <w:sz w:val="20"/>
          <w:szCs w:val="20"/>
        </w:rPr>
        <w:t>6780</w:t>
      </w:r>
      <w:r w:rsidR="00CB3520" w:rsidRPr="00C50A5C">
        <w:rPr>
          <w:sz w:val="20"/>
          <w:szCs w:val="20"/>
        </w:rPr>
        <w:t>)</w:t>
      </w:r>
    </w:p>
    <w:p w:rsidR="00CB3520" w:rsidRPr="00C50A5C" w:rsidRDefault="00CB3520" w:rsidP="00CB3520">
      <w:pPr>
        <w:widowControl w:val="0"/>
        <w:jc w:val="both"/>
        <w:rPr>
          <w:sz w:val="20"/>
          <w:szCs w:val="20"/>
        </w:rPr>
      </w:pPr>
    </w:p>
    <w:p w:rsidR="00CB3520" w:rsidRDefault="00172853" w:rsidP="00226269">
      <w:pPr>
        <w:pStyle w:val="ListParagraph"/>
        <w:widowControl w:val="0"/>
        <w:numPr>
          <w:ilvl w:val="0"/>
          <w:numId w:val="1"/>
        </w:numPr>
        <w:ind w:hanging="720"/>
        <w:jc w:val="both"/>
        <w:rPr>
          <w:sz w:val="20"/>
          <w:szCs w:val="20"/>
        </w:rPr>
      </w:pPr>
      <w:r>
        <w:rPr>
          <w:i/>
          <w:sz w:val="20"/>
          <w:szCs w:val="20"/>
        </w:rPr>
        <w:t>Ad Hoc Group of Bondholders v. Ernst &amp; Young Inc. in its capacity as Monitor et al.</w:t>
      </w:r>
      <w:r w:rsidR="00B7546A">
        <w:rPr>
          <w:sz w:val="20"/>
          <w:szCs w:val="20"/>
        </w:rPr>
        <w:t xml:space="preserve"> (Ont.) (Civil) (By Leave) (36778)</w:t>
      </w:r>
    </w:p>
    <w:p w:rsidR="00B7546A" w:rsidRPr="00B7546A" w:rsidRDefault="00B7546A" w:rsidP="00B7546A">
      <w:pPr>
        <w:pStyle w:val="ListParagraph"/>
        <w:rPr>
          <w:sz w:val="20"/>
          <w:szCs w:val="20"/>
        </w:rPr>
      </w:pPr>
    </w:p>
    <w:p w:rsidR="00B7546A" w:rsidRDefault="00B7546A" w:rsidP="00226269">
      <w:pPr>
        <w:pStyle w:val="ListParagraph"/>
        <w:widowControl w:val="0"/>
        <w:numPr>
          <w:ilvl w:val="0"/>
          <w:numId w:val="1"/>
        </w:numPr>
        <w:ind w:hanging="720"/>
        <w:jc w:val="both"/>
        <w:rPr>
          <w:sz w:val="20"/>
          <w:szCs w:val="20"/>
        </w:rPr>
      </w:pPr>
      <w:r w:rsidRPr="00B7546A">
        <w:rPr>
          <w:i/>
          <w:sz w:val="20"/>
          <w:szCs w:val="20"/>
        </w:rPr>
        <w:t xml:space="preserve">Hawkeye Power Corporation v. </w:t>
      </w:r>
      <w:r>
        <w:rPr>
          <w:i/>
          <w:sz w:val="20"/>
          <w:szCs w:val="20"/>
        </w:rPr>
        <w:t>Sigma Engineering Ltd. et al.</w:t>
      </w:r>
      <w:r>
        <w:rPr>
          <w:sz w:val="20"/>
          <w:szCs w:val="20"/>
        </w:rPr>
        <w:t xml:space="preserve"> (B.C.) (Civil) (By Leave) (36797)</w:t>
      </w:r>
    </w:p>
    <w:p w:rsidR="00B7546A" w:rsidRPr="00B7546A" w:rsidRDefault="00B7546A" w:rsidP="00B7546A">
      <w:pPr>
        <w:pStyle w:val="ListParagraph"/>
        <w:rPr>
          <w:sz w:val="20"/>
          <w:szCs w:val="20"/>
        </w:rPr>
      </w:pPr>
    </w:p>
    <w:p w:rsidR="00B7546A" w:rsidRDefault="00B7546A" w:rsidP="00226269">
      <w:pPr>
        <w:pStyle w:val="ListParagraph"/>
        <w:widowControl w:val="0"/>
        <w:numPr>
          <w:ilvl w:val="0"/>
          <w:numId w:val="1"/>
        </w:numPr>
        <w:ind w:hanging="720"/>
        <w:jc w:val="both"/>
        <w:rPr>
          <w:sz w:val="20"/>
          <w:szCs w:val="20"/>
        </w:rPr>
      </w:pPr>
      <w:r>
        <w:rPr>
          <w:i/>
          <w:sz w:val="20"/>
          <w:szCs w:val="20"/>
        </w:rPr>
        <w:t>Martin Green v. University of Winnipeg</w:t>
      </w:r>
      <w:r>
        <w:rPr>
          <w:sz w:val="20"/>
          <w:szCs w:val="20"/>
        </w:rPr>
        <w:t xml:space="preserve"> (Man.) (Civil) (By Leave) (36819)</w:t>
      </w:r>
    </w:p>
    <w:p w:rsidR="00B7546A" w:rsidRPr="00B7546A" w:rsidRDefault="00B7546A" w:rsidP="00B7546A">
      <w:pPr>
        <w:pStyle w:val="ListParagraph"/>
        <w:rPr>
          <w:sz w:val="20"/>
          <w:szCs w:val="20"/>
        </w:rPr>
      </w:pPr>
    </w:p>
    <w:p w:rsidR="00B7546A" w:rsidRDefault="00B7546A" w:rsidP="00226269">
      <w:pPr>
        <w:pStyle w:val="ListParagraph"/>
        <w:widowControl w:val="0"/>
        <w:numPr>
          <w:ilvl w:val="0"/>
          <w:numId w:val="1"/>
        </w:numPr>
        <w:ind w:hanging="720"/>
        <w:jc w:val="both"/>
        <w:rPr>
          <w:sz w:val="20"/>
          <w:szCs w:val="20"/>
        </w:rPr>
      </w:pPr>
      <w:r w:rsidRPr="00B7546A">
        <w:rPr>
          <w:i/>
          <w:sz w:val="20"/>
          <w:szCs w:val="20"/>
        </w:rPr>
        <w:t>Virginia Forsythe v. Her Majesty the Queen</w:t>
      </w:r>
      <w:r>
        <w:rPr>
          <w:sz w:val="20"/>
          <w:szCs w:val="20"/>
        </w:rPr>
        <w:t xml:space="preserve"> (F.C.) (Civil) (By Leave) (36806)</w:t>
      </w:r>
    </w:p>
    <w:p w:rsidR="00913C81" w:rsidRPr="00913C81" w:rsidRDefault="00913C81" w:rsidP="00913C81">
      <w:pPr>
        <w:pStyle w:val="ListParagraph"/>
        <w:rPr>
          <w:sz w:val="20"/>
          <w:szCs w:val="20"/>
        </w:rPr>
      </w:pPr>
    </w:p>
    <w:p w:rsidR="00913C81" w:rsidRDefault="00913C81" w:rsidP="00226269">
      <w:pPr>
        <w:pStyle w:val="ListParagraph"/>
        <w:widowControl w:val="0"/>
        <w:numPr>
          <w:ilvl w:val="0"/>
          <w:numId w:val="1"/>
        </w:numPr>
        <w:ind w:hanging="720"/>
        <w:jc w:val="both"/>
        <w:rPr>
          <w:sz w:val="20"/>
          <w:szCs w:val="20"/>
        </w:rPr>
      </w:pPr>
      <w:r>
        <w:rPr>
          <w:i/>
          <w:sz w:val="20"/>
          <w:szCs w:val="20"/>
        </w:rPr>
        <w:t>Luciano Branco v. Zurich Life Insurance Company Limited et al.</w:t>
      </w:r>
      <w:r>
        <w:rPr>
          <w:sz w:val="20"/>
          <w:szCs w:val="20"/>
        </w:rPr>
        <w:t xml:space="preserve"> (Sask.) (Civil) (By Leave) (36696)</w:t>
      </w:r>
    </w:p>
    <w:p w:rsidR="00CB3520" w:rsidRDefault="00CB3520" w:rsidP="00CB3520">
      <w:pPr>
        <w:widowControl w:val="0"/>
        <w:rPr>
          <w:sz w:val="20"/>
          <w:szCs w:val="20"/>
        </w:rPr>
      </w:pPr>
    </w:p>
    <w:p w:rsidR="00CB3520" w:rsidRPr="00913C81" w:rsidRDefault="00CB3520" w:rsidP="00CB3520">
      <w:pPr>
        <w:widowControl w:val="0"/>
        <w:jc w:val="center"/>
        <w:rPr>
          <w:b/>
          <w:sz w:val="20"/>
          <w:szCs w:val="20"/>
        </w:rPr>
      </w:pPr>
      <w:r w:rsidRPr="00913C81">
        <w:rPr>
          <w:b/>
          <w:sz w:val="20"/>
          <w:szCs w:val="20"/>
        </w:rPr>
        <w:t xml:space="preserve">CORAM: </w:t>
      </w:r>
      <w:r w:rsidR="00FA3373" w:rsidRPr="00913C81">
        <w:rPr>
          <w:b/>
          <w:sz w:val="20"/>
          <w:szCs w:val="20"/>
        </w:rPr>
        <w:t>Abella</w:t>
      </w:r>
      <w:r w:rsidRPr="00913C81">
        <w:rPr>
          <w:b/>
          <w:sz w:val="20"/>
          <w:szCs w:val="20"/>
        </w:rPr>
        <w:t xml:space="preserve">, Karakatsanis and </w:t>
      </w:r>
      <w:r w:rsidR="00913C81" w:rsidRPr="00913C81">
        <w:rPr>
          <w:b/>
          <w:sz w:val="20"/>
          <w:szCs w:val="20"/>
        </w:rPr>
        <w:t>Brown</w:t>
      </w:r>
      <w:r w:rsidRPr="00913C81">
        <w:rPr>
          <w:b/>
          <w:sz w:val="20"/>
          <w:szCs w:val="20"/>
        </w:rPr>
        <w:t xml:space="preserve"> JJ.</w:t>
      </w:r>
    </w:p>
    <w:p w:rsidR="00CB3520" w:rsidRDefault="00CB3520" w:rsidP="00CB3520">
      <w:pPr>
        <w:widowControl w:val="0"/>
        <w:jc w:val="center"/>
        <w:rPr>
          <w:b/>
          <w:sz w:val="20"/>
          <w:szCs w:val="20"/>
          <w:lang w:val="fr-CA"/>
        </w:rPr>
      </w:pPr>
      <w:r w:rsidRPr="00B7546A">
        <w:rPr>
          <w:b/>
          <w:sz w:val="20"/>
          <w:szCs w:val="20"/>
          <w:lang w:val="fr-CA"/>
        </w:rPr>
        <w:t xml:space="preserve">Les juges </w:t>
      </w:r>
      <w:r w:rsidR="00FA3373" w:rsidRPr="00B7546A">
        <w:rPr>
          <w:b/>
          <w:sz w:val="20"/>
          <w:szCs w:val="20"/>
          <w:lang w:val="fr-CA"/>
        </w:rPr>
        <w:t>Abella</w:t>
      </w:r>
      <w:r w:rsidRPr="00B7546A">
        <w:rPr>
          <w:b/>
          <w:sz w:val="20"/>
          <w:szCs w:val="20"/>
          <w:lang w:val="fr-CA"/>
        </w:rPr>
        <w:t xml:space="preserve">, Karakatsanis et </w:t>
      </w:r>
      <w:r w:rsidR="00913C81">
        <w:rPr>
          <w:b/>
          <w:sz w:val="20"/>
          <w:szCs w:val="20"/>
          <w:lang w:val="fr-CA"/>
        </w:rPr>
        <w:t>Brown</w:t>
      </w:r>
    </w:p>
    <w:p w:rsidR="00CB3520" w:rsidRPr="00B7546A" w:rsidRDefault="00CB3520" w:rsidP="00CB3520">
      <w:pPr>
        <w:widowControl w:val="0"/>
        <w:jc w:val="both"/>
        <w:rPr>
          <w:sz w:val="20"/>
          <w:szCs w:val="20"/>
          <w:lang w:val="fr-CA"/>
        </w:rPr>
      </w:pPr>
    </w:p>
    <w:p w:rsidR="00CB3520" w:rsidRPr="00913C81" w:rsidRDefault="00913C81" w:rsidP="00226269">
      <w:pPr>
        <w:pStyle w:val="ListParagraph"/>
        <w:widowControl w:val="0"/>
        <w:numPr>
          <w:ilvl w:val="0"/>
          <w:numId w:val="1"/>
        </w:numPr>
        <w:ind w:hanging="720"/>
        <w:jc w:val="both"/>
        <w:rPr>
          <w:sz w:val="20"/>
          <w:szCs w:val="20"/>
          <w:lang w:val="fr-CA"/>
        </w:rPr>
      </w:pPr>
      <w:r>
        <w:rPr>
          <w:i/>
          <w:sz w:val="20"/>
          <w:szCs w:val="20"/>
          <w:lang w:val="fr-CA"/>
        </w:rPr>
        <w:t xml:space="preserve">Mathieu Rouleau c. Sa Majesté la Reine </w:t>
      </w:r>
      <w:r>
        <w:rPr>
          <w:sz w:val="20"/>
          <w:szCs w:val="20"/>
          <w:lang w:val="fr-CA"/>
        </w:rPr>
        <w:t>(Qc) (Criminelle) (Autorisation) (36853)</w:t>
      </w:r>
      <w:r w:rsidR="00CB3520" w:rsidRPr="00913C81">
        <w:rPr>
          <w:i/>
          <w:sz w:val="20"/>
          <w:szCs w:val="20"/>
          <w:lang w:val="fr-CA"/>
        </w:rPr>
        <w:t xml:space="preserve"> </w:t>
      </w:r>
    </w:p>
    <w:p w:rsidR="00913C81" w:rsidRPr="00913C81" w:rsidRDefault="00913C81" w:rsidP="00913C81">
      <w:pPr>
        <w:widowControl w:val="0"/>
        <w:jc w:val="both"/>
        <w:rPr>
          <w:sz w:val="20"/>
          <w:szCs w:val="20"/>
          <w:lang w:val="fr-CA"/>
        </w:rPr>
      </w:pPr>
    </w:p>
    <w:p w:rsidR="00CB3520" w:rsidRDefault="00913C81" w:rsidP="00913C81">
      <w:pPr>
        <w:pStyle w:val="ListParagraph"/>
        <w:widowControl w:val="0"/>
        <w:numPr>
          <w:ilvl w:val="0"/>
          <w:numId w:val="1"/>
        </w:numPr>
        <w:ind w:hanging="720"/>
        <w:jc w:val="both"/>
        <w:rPr>
          <w:sz w:val="20"/>
          <w:szCs w:val="20"/>
        </w:rPr>
      </w:pPr>
      <w:r w:rsidRPr="00913C81">
        <w:rPr>
          <w:i/>
          <w:sz w:val="20"/>
          <w:szCs w:val="20"/>
        </w:rPr>
        <w:t>Zuri</w:t>
      </w:r>
      <w:r>
        <w:rPr>
          <w:i/>
          <w:sz w:val="20"/>
          <w:szCs w:val="20"/>
        </w:rPr>
        <w:t>c</w:t>
      </w:r>
      <w:r w:rsidRPr="00913C81">
        <w:rPr>
          <w:i/>
          <w:sz w:val="20"/>
          <w:szCs w:val="20"/>
        </w:rPr>
        <w:t>h Insurance Company v. TD General Insurance Company</w:t>
      </w:r>
      <w:r>
        <w:rPr>
          <w:sz w:val="20"/>
          <w:szCs w:val="20"/>
        </w:rPr>
        <w:t xml:space="preserve"> (Ont.) (Civil) (By Leave) (36803)</w:t>
      </w:r>
    </w:p>
    <w:p w:rsidR="00913C81" w:rsidRPr="00913C81" w:rsidRDefault="00913C81" w:rsidP="00913C81">
      <w:pPr>
        <w:pStyle w:val="ListParagraph"/>
        <w:rPr>
          <w:sz w:val="20"/>
          <w:szCs w:val="20"/>
        </w:rPr>
      </w:pPr>
    </w:p>
    <w:p w:rsidR="00913C81" w:rsidRDefault="00913C81" w:rsidP="00913C81">
      <w:pPr>
        <w:pStyle w:val="ListParagraph"/>
        <w:widowControl w:val="0"/>
        <w:numPr>
          <w:ilvl w:val="0"/>
          <w:numId w:val="1"/>
        </w:numPr>
        <w:ind w:hanging="720"/>
        <w:jc w:val="both"/>
        <w:rPr>
          <w:sz w:val="20"/>
          <w:szCs w:val="20"/>
        </w:rPr>
      </w:pPr>
      <w:r>
        <w:rPr>
          <w:i/>
          <w:sz w:val="20"/>
          <w:szCs w:val="20"/>
        </w:rPr>
        <w:t>Lombard General Insurance Company of Canada v. Intact Insurance Company of Canada</w:t>
      </w:r>
      <w:r>
        <w:rPr>
          <w:sz w:val="20"/>
          <w:szCs w:val="20"/>
        </w:rPr>
        <w:t xml:space="preserve"> (Ont.) (Civil) (By Leave) (36804)</w:t>
      </w:r>
    </w:p>
    <w:p w:rsidR="00524330" w:rsidRPr="00524330" w:rsidRDefault="00524330" w:rsidP="00524330">
      <w:pPr>
        <w:pStyle w:val="ListParagraph"/>
        <w:rPr>
          <w:sz w:val="20"/>
          <w:szCs w:val="20"/>
        </w:rPr>
      </w:pPr>
    </w:p>
    <w:p w:rsidR="00524330" w:rsidRDefault="00524330" w:rsidP="00913C81">
      <w:pPr>
        <w:pStyle w:val="ListParagraph"/>
        <w:widowControl w:val="0"/>
        <w:numPr>
          <w:ilvl w:val="0"/>
          <w:numId w:val="1"/>
        </w:numPr>
        <w:ind w:hanging="720"/>
        <w:jc w:val="both"/>
        <w:rPr>
          <w:sz w:val="20"/>
          <w:szCs w:val="20"/>
        </w:rPr>
      </w:pPr>
      <w:r w:rsidRPr="00524330">
        <w:rPr>
          <w:i/>
          <w:sz w:val="20"/>
          <w:szCs w:val="20"/>
          <w:lang w:val="fr-CA"/>
        </w:rPr>
        <w:t xml:space="preserve">Rainer Zenner v. Denyse Zenner </w:t>
      </w:r>
      <w:r w:rsidRPr="00524330">
        <w:rPr>
          <w:sz w:val="20"/>
          <w:szCs w:val="20"/>
          <w:lang w:val="fr-CA"/>
        </w:rPr>
        <w:t xml:space="preserve">(N.S.) </w:t>
      </w:r>
      <w:r>
        <w:rPr>
          <w:sz w:val="20"/>
          <w:szCs w:val="20"/>
        </w:rPr>
        <w:t>(Civil) (By Leave) (36796)</w:t>
      </w:r>
    </w:p>
    <w:p w:rsidR="00524330" w:rsidRPr="00524330" w:rsidRDefault="00524330" w:rsidP="00524330">
      <w:pPr>
        <w:pStyle w:val="ListParagraph"/>
        <w:rPr>
          <w:sz w:val="20"/>
          <w:szCs w:val="20"/>
        </w:rPr>
      </w:pPr>
    </w:p>
    <w:p w:rsidR="00524330" w:rsidRDefault="00524330" w:rsidP="00913C81">
      <w:pPr>
        <w:pStyle w:val="ListParagraph"/>
        <w:widowControl w:val="0"/>
        <w:numPr>
          <w:ilvl w:val="0"/>
          <w:numId w:val="1"/>
        </w:numPr>
        <w:ind w:hanging="720"/>
        <w:jc w:val="both"/>
        <w:rPr>
          <w:sz w:val="20"/>
          <w:szCs w:val="20"/>
          <w:lang w:val="fr-CA"/>
        </w:rPr>
      </w:pPr>
      <w:r w:rsidRPr="00524330">
        <w:rPr>
          <w:i/>
          <w:sz w:val="20"/>
          <w:szCs w:val="20"/>
          <w:lang w:val="fr-CA"/>
        </w:rPr>
        <w:t>Gandhi Jean-Pierre c. Conseil d’arbitrage des comptes d’honoraires des avocats du Barreau du Québec</w:t>
      </w:r>
      <w:r>
        <w:rPr>
          <w:sz w:val="20"/>
          <w:szCs w:val="20"/>
          <w:lang w:val="fr-CA"/>
        </w:rPr>
        <w:t xml:space="preserve"> (Qc) (Civile) (Autorisation)</w:t>
      </w:r>
      <w:r w:rsidR="00301A88">
        <w:rPr>
          <w:sz w:val="20"/>
          <w:szCs w:val="20"/>
          <w:lang w:val="fr-CA"/>
        </w:rPr>
        <w:t xml:space="preserve"> (36814)</w:t>
      </w:r>
    </w:p>
    <w:p w:rsidR="00524330" w:rsidRPr="00524330" w:rsidRDefault="00524330" w:rsidP="00524330">
      <w:pPr>
        <w:pStyle w:val="ListParagraph"/>
        <w:rPr>
          <w:sz w:val="20"/>
          <w:szCs w:val="20"/>
          <w:lang w:val="fr-CA"/>
        </w:rPr>
      </w:pPr>
    </w:p>
    <w:p w:rsidR="00524330" w:rsidRDefault="00524330" w:rsidP="00913C81">
      <w:pPr>
        <w:pStyle w:val="ListParagraph"/>
        <w:widowControl w:val="0"/>
        <w:numPr>
          <w:ilvl w:val="0"/>
          <w:numId w:val="1"/>
        </w:numPr>
        <w:ind w:hanging="720"/>
        <w:jc w:val="both"/>
        <w:rPr>
          <w:sz w:val="20"/>
          <w:szCs w:val="20"/>
        </w:rPr>
      </w:pPr>
      <w:r w:rsidRPr="00524330">
        <w:rPr>
          <w:i/>
          <w:sz w:val="20"/>
          <w:szCs w:val="20"/>
        </w:rPr>
        <w:t xml:space="preserve">D.D. v. Children’s Aid Society of Toronto et al. </w:t>
      </w:r>
      <w:r>
        <w:rPr>
          <w:sz w:val="20"/>
          <w:szCs w:val="20"/>
        </w:rPr>
        <w:t>(Ont.) (Civil) (By Leave) (36850)</w:t>
      </w:r>
    </w:p>
    <w:p w:rsidR="00524330" w:rsidRPr="00524330" w:rsidRDefault="00524330" w:rsidP="00524330">
      <w:pPr>
        <w:pStyle w:val="ListParagraph"/>
        <w:rPr>
          <w:sz w:val="20"/>
          <w:szCs w:val="20"/>
        </w:rPr>
      </w:pPr>
    </w:p>
    <w:p w:rsidR="00524330" w:rsidRPr="00524330" w:rsidRDefault="00524330" w:rsidP="00913C81">
      <w:pPr>
        <w:pStyle w:val="ListParagraph"/>
        <w:widowControl w:val="0"/>
        <w:numPr>
          <w:ilvl w:val="0"/>
          <w:numId w:val="1"/>
        </w:numPr>
        <w:ind w:hanging="720"/>
        <w:jc w:val="both"/>
        <w:rPr>
          <w:sz w:val="20"/>
          <w:szCs w:val="20"/>
        </w:rPr>
      </w:pPr>
      <w:r w:rsidRPr="00524330">
        <w:rPr>
          <w:i/>
          <w:sz w:val="20"/>
          <w:szCs w:val="20"/>
        </w:rPr>
        <w:t xml:space="preserve">Mariann Taylor Baptiste et al. v. Ontario Public Service Employees Union et al. </w:t>
      </w:r>
      <w:r w:rsidRPr="00524330">
        <w:rPr>
          <w:sz w:val="20"/>
          <w:szCs w:val="20"/>
        </w:rPr>
        <w:t xml:space="preserve">(Ont.) </w:t>
      </w:r>
      <w:r>
        <w:rPr>
          <w:sz w:val="20"/>
          <w:szCs w:val="20"/>
        </w:rPr>
        <w:t>(Civil) (By Leave) (36647)</w:t>
      </w:r>
    </w:p>
    <w:p w:rsidR="00CB3520" w:rsidRDefault="00CB3520" w:rsidP="00CB3520">
      <w:pPr>
        <w:widowControl w:val="0"/>
        <w:jc w:val="both"/>
        <w:rPr>
          <w:sz w:val="20"/>
          <w:szCs w:val="20"/>
        </w:rPr>
      </w:pPr>
    </w:p>
    <w:p w:rsidR="00CB3520" w:rsidRPr="00524330" w:rsidRDefault="00CB3520" w:rsidP="00CB3520">
      <w:pPr>
        <w:widowControl w:val="0"/>
        <w:jc w:val="center"/>
        <w:rPr>
          <w:b/>
          <w:sz w:val="20"/>
          <w:szCs w:val="20"/>
        </w:rPr>
      </w:pPr>
      <w:r w:rsidRPr="00524330">
        <w:rPr>
          <w:b/>
          <w:sz w:val="20"/>
          <w:szCs w:val="20"/>
        </w:rPr>
        <w:t xml:space="preserve">CORAM: </w:t>
      </w:r>
      <w:r w:rsidR="00FA3373" w:rsidRPr="00524330">
        <w:rPr>
          <w:b/>
          <w:sz w:val="20"/>
          <w:szCs w:val="20"/>
        </w:rPr>
        <w:t>Cromwell</w:t>
      </w:r>
      <w:r w:rsidR="00524330">
        <w:rPr>
          <w:b/>
          <w:sz w:val="20"/>
          <w:szCs w:val="20"/>
        </w:rPr>
        <w:t>, Wagner</w:t>
      </w:r>
      <w:r w:rsidR="00FA3373" w:rsidRPr="00524330">
        <w:rPr>
          <w:b/>
          <w:sz w:val="20"/>
          <w:szCs w:val="20"/>
        </w:rPr>
        <w:t xml:space="preserve"> </w:t>
      </w:r>
      <w:r w:rsidRPr="00524330">
        <w:rPr>
          <w:b/>
          <w:sz w:val="20"/>
          <w:szCs w:val="20"/>
        </w:rPr>
        <w:t xml:space="preserve">and </w:t>
      </w:r>
      <w:r w:rsidR="00524330">
        <w:rPr>
          <w:b/>
          <w:sz w:val="20"/>
          <w:szCs w:val="20"/>
        </w:rPr>
        <w:t>Côté</w:t>
      </w:r>
      <w:r w:rsidRPr="00524330">
        <w:rPr>
          <w:b/>
          <w:sz w:val="20"/>
          <w:szCs w:val="20"/>
        </w:rPr>
        <w:t xml:space="preserve"> JJ.</w:t>
      </w:r>
    </w:p>
    <w:p w:rsidR="00CB3520" w:rsidRDefault="00CB3520" w:rsidP="00CB3520">
      <w:pPr>
        <w:widowControl w:val="0"/>
        <w:jc w:val="center"/>
        <w:rPr>
          <w:b/>
          <w:sz w:val="20"/>
          <w:szCs w:val="20"/>
          <w:lang w:val="fr-CA"/>
        </w:rPr>
      </w:pPr>
      <w:r w:rsidRPr="00524330">
        <w:rPr>
          <w:b/>
          <w:sz w:val="20"/>
          <w:szCs w:val="20"/>
          <w:lang w:val="fr-CA"/>
        </w:rPr>
        <w:t xml:space="preserve">Les juges </w:t>
      </w:r>
      <w:r w:rsidR="00FA3373" w:rsidRPr="00524330">
        <w:rPr>
          <w:b/>
          <w:sz w:val="20"/>
          <w:szCs w:val="20"/>
          <w:lang w:val="fr-CA"/>
        </w:rPr>
        <w:t>Cromwell</w:t>
      </w:r>
      <w:r w:rsidR="00524330" w:rsidRPr="00524330">
        <w:rPr>
          <w:b/>
          <w:sz w:val="20"/>
          <w:szCs w:val="20"/>
          <w:lang w:val="fr-CA"/>
        </w:rPr>
        <w:t>, Wagner</w:t>
      </w:r>
      <w:r w:rsidR="00FA3373" w:rsidRPr="00524330">
        <w:rPr>
          <w:b/>
          <w:sz w:val="20"/>
          <w:szCs w:val="20"/>
          <w:lang w:val="fr-CA"/>
        </w:rPr>
        <w:t xml:space="preserve"> </w:t>
      </w:r>
      <w:r w:rsidRPr="00524330">
        <w:rPr>
          <w:b/>
          <w:sz w:val="20"/>
          <w:szCs w:val="20"/>
          <w:lang w:val="fr-CA"/>
        </w:rPr>
        <w:t xml:space="preserve">et </w:t>
      </w:r>
      <w:r w:rsidR="00524330">
        <w:rPr>
          <w:b/>
          <w:sz w:val="20"/>
          <w:szCs w:val="20"/>
          <w:lang w:val="fr-CA"/>
        </w:rPr>
        <w:t>Côté</w:t>
      </w:r>
    </w:p>
    <w:p w:rsidR="00CB3520" w:rsidRPr="00524330" w:rsidRDefault="00CB3520" w:rsidP="00CB3520">
      <w:pPr>
        <w:widowControl w:val="0"/>
        <w:jc w:val="both"/>
        <w:rPr>
          <w:sz w:val="20"/>
          <w:szCs w:val="20"/>
          <w:lang w:val="fr-CA"/>
        </w:rPr>
      </w:pPr>
    </w:p>
    <w:p w:rsidR="00CB3520" w:rsidRPr="00115C9E" w:rsidRDefault="00524330" w:rsidP="00CB3520">
      <w:pPr>
        <w:pStyle w:val="ListParagraph"/>
        <w:widowControl w:val="0"/>
        <w:numPr>
          <w:ilvl w:val="0"/>
          <w:numId w:val="1"/>
        </w:numPr>
        <w:ind w:hanging="720"/>
        <w:jc w:val="both"/>
        <w:rPr>
          <w:sz w:val="20"/>
          <w:szCs w:val="20"/>
        </w:rPr>
      </w:pPr>
      <w:r>
        <w:rPr>
          <w:i/>
          <w:sz w:val="20"/>
          <w:szCs w:val="20"/>
        </w:rPr>
        <w:t>Laura Marie Flatt v. Attorney General of Canad</w:t>
      </w:r>
      <w:r w:rsidR="00206FC5">
        <w:rPr>
          <w:i/>
          <w:sz w:val="20"/>
          <w:szCs w:val="20"/>
        </w:rPr>
        <w:t>a</w:t>
      </w:r>
      <w:r w:rsidR="00206FC5">
        <w:rPr>
          <w:sz w:val="20"/>
          <w:szCs w:val="20"/>
        </w:rPr>
        <w:t xml:space="preserve"> (F.C.) (Civil) (By Leave) (36800)</w:t>
      </w:r>
    </w:p>
    <w:p w:rsidR="00CB3520" w:rsidRPr="00115C9E" w:rsidRDefault="00CB3520" w:rsidP="00CB3520">
      <w:pPr>
        <w:widowControl w:val="0"/>
        <w:jc w:val="both"/>
        <w:rPr>
          <w:sz w:val="20"/>
          <w:szCs w:val="20"/>
        </w:rPr>
      </w:pPr>
    </w:p>
    <w:p w:rsidR="00206FC5" w:rsidRDefault="00206FC5" w:rsidP="00206FC5">
      <w:pPr>
        <w:pStyle w:val="ListParagraph"/>
        <w:widowControl w:val="0"/>
        <w:numPr>
          <w:ilvl w:val="0"/>
          <w:numId w:val="1"/>
        </w:numPr>
        <w:ind w:hanging="720"/>
        <w:jc w:val="both"/>
        <w:rPr>
          <w:sz w:val="20"/>
          <w:szCs w:val="20"/>
        </w:rPr>
      </w:pPr>
      <w:r w:rsidRPr="00206FC5">
        <w:rPr>
          <w:i/>
          <w:sz w:val="20"/>
          <w:szCs w:val="20"/>
        </w:rPr>
        <w:t>Whirlpool Canada LP v. Alliance Laundry Systems LLC</w:t>
      </w:r>
      <w:r w:rsidRPr="00206FC5">
        <w:rPr>
          <w:sz w:val="20"/>
          <w:szCs w:val="20"/>
        </w:rPr>
        <w:t xml:space="preserve"> (F.</w:t>
      </w:r>
      <w:r>
        <w:rPr>
          <w:sz w:val="20"/>
          <w:szCs w:val="20"/>
        </w:rPr>
        <w:t>C.) (Civil) (By Leave) (36782)</w:t>
      </w:r>
    </w:p>
    <w:p w:rsidR="00206FC5" w:rsidRPr="00206FC5" w:rsidRDefault="00206FC5" w:rsidP="00206FC5">
      <w:pPr>
        <w:pStyle w:val="ListParagraph"/>
        <w:rPr>
          <w:i/>
          <w:sz w:val="20"/>
          <w:szCs w:val="20"/>
        </w:rPr>
      </w:pPr>
    </w:p>
    <w:p w:rsidR="00206FC5" w:rsidRDefault="00206FC5" w:rsidP="00206FC5">
      <w:pPr>
        <w:pStyle w:val="ListParagraph"/>
        <w:widowControl w:val="0"/>
        <w:numPr>
          <w:ilvl w:val="0"/>
          <w:numId w:val="1"/>
        </w:numPr>
        <w:ind w:hanging="720"/>
        <w:jc w:val="both"/>
        <w:rPr>
          <w:sz w:val="20"/>
          <w:szCs w:val="20"/>
        </w:rPr>
      </w:pPr>
      <w:r w:rsidRPr="00206FC5">
        <w:rPr>
          <w:i/>
          <w:sz w:val="20"/>
          <w:szCs w:val="20"/>
        </w:rPr>
        <w:t>Ade Olumide v. Her Majesty the Queen in Right of Canada</w:t>
      </w:r>
      <w:r w:rsidRPr="00206FC5">
        <w:rPr>
          <w:sz w:val="20"/>
          <w:szCs w:val="20"/>
        </w:rPr>
        <w:t xml:space="preserve"> (F.</w:t>
      </w:r>
      <w:r>
        <w:rPr>
          <w:sz w:val="20"/>
          <w:szCs w:val="20"/>
        </w:rPr>
        <w:t>C.) (Civil) (By Leave) (36859)</w:t>
      </w:r>
    </w:p>
    <w:p w:rsidR="00206FC5" w:rsidRPr="00206FC5" w:rsidRDefault="00206FC5" w:rsidP="00206FC5">
      <w:pPr>
        <w:pStyle w:val="ListParagraph"/>
        <w:rPr>
          <w:i/>
          <w:sz w:val="20"/>
          <w:szCs w:val="20"/>
        </w:rPr>
      </w:pPr>
    </w:p>
    <w:p w:rsidR="00206FC5" w:rsidRDefault="00206FC5" w:rsidP="00206FC5">
      <w:pPr>
        <w:pStyle w:val="ListParagraph"/>
        <w:widowControl w:val="0"/>
        <w:numPr>
          <w:ilvl w:val="0"/>
          <w:numId w:val="1"/>
        </w:numPr>
        <w:ind w:hanging="720"/>
        <w:jc w:val="both"/>
        <w:rPr>
          <w:sz w:val="20"/>
          <w:szCs w:val="20"/>
        </w:rPr>
      </w:pPr>
      <w:r w:rsidRPr="00206FC5">
        <w:rPr>
          <w:i/>
          <w:sz w:val="20"/>
          <w:szCs w:val="20"/>
        </w:rPr>
        <w:t>Ade Olumide v. Her Majesty the Queen in Right of Canada</w:t>
      </w:r>
      <w:r w:rsidRPr="00206FC5">
        <w:rPr>
          <w:sz w:val="20"/>
          <w:szCs w:val="20"/>
        </w:rPr>
        <w:t xml:space="preserve"> (F.</w:t>
      </w:r>
      <w:r>
        <w:rPr>
          <w:sz w:val="20"/>
          <w:szCs w:val="20"/>
        </w:rPr>
        <w:t>C.) (Civil) (By Leave) (36860)</w:t>
      </w:r>
    </w:p>
    <w:p w:rsidR="00206FC5" w:rsidRPr="00206FC5" w:rsidRDefault="00206FC5" w:rsidP="00206FC5">
      <w:pPr>
        <w:pStyle w:val="ListParagraph"/>
        <w:rPr>
          <w:sz w:val="20"/>
          <w:szCs w:val="20"/>
        </w:rPr>
      </w:pPr>
    </w:p>
    <w:p w:rsidR="002E2327" w:rsidRDefault="00206FC5" w:rsidP="00206FC5">
      <w:pPr>
        <w:pStyle w:val="ListParagraph"/>
        <w:widowControl w:val="0"/>
        <w:numPr>
          <w:ilvl w:val="0"/>
          <w:numId w:val="1"/>
        </w:numPr>
        <w:ind w:hanging="720"/>
        <w:jc w:val="both"/>
        <w:rPr>
          <w:sz w:val="20"/>
          <w:szCs w:val="20"/>
        </w:rPr>
      </w:pPr>
      <w:r w:rsidRPr="00206FC5">
        <w:rPr>
          <w:i/>
          <w:sz w:val="20"/>
          <w:szCs w:val="20"/>
        </w:rPr>
        <w:t xml:space="preserve">Ade Olumide v. </w:t>
      </w:r>
      <w:r>
        <w:rPr>
          <w:i/>
          <w:sz w:val="20"/>
          <w:szCs w:val="20"/>
        </w:rPr>
        <w:t xml:space="preserve">Conservative Party of Canada </w:t>
      </w:r>
      <w:r w:rsidRPr="00206FC5">
        <w:rPr>
          <w:sz w:val="20"/>
          <w:szCs w:val="20"/>
        </w:rPr>
        <w:t>(F.</w:t>
      </w:r>
      <w:r>
        <w:rPr>
          <w:sz w:val="20"/>
          <w:szCs w:val="20"/>
        </w:rPr>
        <w:t>C.) (Civil) (By Leave) (36861)</w:t>
      </w:r>
    </w:p>
    <w:p w:rsidR="00206FC5" w:rsidRPr="00206FC5" w:rsidRDefault="00206FC5" w:rsidP="00206FC5">
      <w:pPr>
        <w:pStyle w:val="ListParagraph"/>
        <w:rPr>
          <w:sz w:val="20"/>
          <w:szCs w:val="20"/>
        </w:rPr>
      </w:pPr>
    </w:p>
    <w:p w:rsidR="00206FC5" w:rsidRDefault="00206FC5" w:rsidP="00206FC5">
      <w:pPr>
        <w:pStyle w:val="ListParagraph"/>
        <w:widowControl w:val="0"/>
        <w:numPr>
          <w:ilvl w:val="0"/>
          <w:numId w:val="1"/>
        </w:numPr>
        <w:ind w:hanging="720"/>
        <w:jc w:val="both"/>
        <w:rPr>
          <w:sz w:val="20"/>
          <w:szCs w:val="20"/>
          <w:lang w:val="fr-CA"/>
        </w:rPr>
      </w:pPr>
      <w:r w:rsidRPr="00206FC5">
        <w:rPr>
          <w:i/>
          <w:sz w:val="20"/>
          <w:szCs w:val="20"/>
          <w:lang w:val="fr-CA"/>
        </w:rPr>
        <w:t xml:space="preserve">Daniel Laforest c. </w:t>
      </w:r>
      <w:r>
        <w:rPr>
          <w:i/>
          <w:sz w:val="20"/>
          <w:szCs w:val="20"/>
          <w:lang w:val="fr-CA"/>
        </w:rPr>
        <w:t xml:space="preserve">Agence du revenu du Québec et autres </w:t>
      </w:r>
      <w:r>
        <w:rPr>
          <w:sz w:val="20"/>
          <w:szCs w:val="20"/>
          <w:lang w:val="fr-CA"/>
        </w:rPr>
        <w:t>(Qc) (Civile) (Autorisation)</w:t>
      </w:r>
      <w:r w:rsidR="00301A88">
        <w:rPr>
          <w:sz w:val="20"/>
          <w:szCs w:val="20"/>
          <w:lang w:val="fr-CA"/>
        </w:rPr>
        <w:t xml:space="preserve"> (36785)</w:t>
      </w:r>
    </w:p>
    <w:p w:rsidR="00D94028" w:rsidRPr="00206FC5" w:rsidRDefault="003A0CC2" w:rsidP="002E2327">
      <w:pPr>
        <w:widowControl w:val="0"/>
        <w:rPr>
          <w:sz w:val="20"/>
          <w:szCs w:val="20"/>
          <w:lang w:val="fr-CA"/>
        </w:rPr>
      </w:pPr>
      <w:r>
        <w:rPr>
          <w:sz w:val="20"/>
          <w:szCs w:val="20"/>
        </w:rPr>
        <w:pict>
          <v:rect id="_x0000_i1034" style="width:2in;height:1pt" o:hrpct="0" o:hralign="center" o:hrstd="t" o:hrnoshade="t" o:hr="t" fillcolor="black [3213]" stroked="f"/>
        </w:pict>
      </w:r>
    </w:p>
    <w:p w:rsidR="00D94028" w:rsidRPr="00206FC5" w:rsidRDefault="00D94028" w:rsidP="002E2327">
      <w:pPr>
        <w:widowControl w:val="0"/>
        <w:rPr>
          <w:sz w:val="20"/>
          <w:szCs w:val="20"/>
          <w:lang w:val="fr-CA"/>
        </w:rPr>
      </w:pPr>
    </w:p>
    <w:p w:rsidR="0044776A" w:rsidRPr="00206FC5" w:rsidRDefault="0044776A" w:rsidP="002E2327">
      <w:pPr>
        <w:widowControl w:val="0"/>
        <w:spacing w:line="0" w:lineRule="atLeast"/>
        <w:rPr>
          <w:sz w:val="20"/>
          <w:szCs w:val="20"/>
          <w:lang w:val="fr-CA"/>
        </w:rPr>
        <w:sectPr w:rsidR="0044776A" w:rsidRPr="00206FC5"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A0CC2" w:rsidTr="00ED7E83">
        <w:tc>
          <w:tcPr>
            <w:tcW w:w="4200" w:type="dxa"/>
            <w:tcMar>
              <w:left w:w="0" w:type="dxa"/>
              <w:right w:w="0" w:type="dxa"/>
            </w:tcMar>
          </w:tcPr>
          <w:p w:rsidR="008D292F" w:rsidRPr="00226269" w:rsidRDefault="008D292F" w:rsidP="00ED7E83">
            <w:pPr>
              <w:keepNext/>
              <w:keepLines/>
              <w:jc w:val="both"/>
              <w:rPr>
                <w:b/>
                <w:szCs w:val="24"/>
              </w:rPr>
            </w:pPr>
            <w:bookmarkStart w:id="1" w:name="QuickMark_1"/>
            <w:bookmarkEnd w:id="1"/>
            <w:r w:rsidRPr="00226269">
              <w:rPr>
                <w:b/>
                <w:szCs w:val="24"/>
              </w:rPr>
              <w:lastRenderedPageBreak/>
              <w:t>JUDGMENTS ON APPLICATIONS</w:t>
            </w:r>
          </w:p>
          <w:p w:rsidR="008D292F" w:rsidRPr="00226269" w:rsidRDefault="008D292F" w:rsidP="00ED7E83">
            <w:pPr>
              <w:keepNext/>
              <w:keepLines/>
              <w:jc w:val="both"/>
              <w:rPr>
                <w:b/>
                <w:szCs w:val="24"/>
              </w:rPr>
            </w:pPr>
            <w:r w:rsidRPr="00226269">
              <w:rPr>
                <w:b/>
                <w:szCs w:val="24"/>
              </w:rPr>
              <w:t>FOR LEAVE</w:t>
            </w:r>
          </w:p>
        </w:tc>
        <w:tc>
          <w:tcPr>
            <w:tcW w:w="1200" w:type="dxa"/>
            <w:tcMar>
              <w:left w:w="0" w:type="dxa"/>
              <w:right w:w="0" w:type="dxa"/>
            </w:tcMar>
          </w:tcPr>
          <w:p w:rsidR="008D292F" w:rsidRPr="00226269" w:rsidRDefault="008D292F" w:rsidP="008D292F">
            <w:pPr>
              <w:keepNext/>
              <w:keepLines/>
              <w:jc w:val="center"/>
              <w:rPr>
                <w:b/>
                <w:szCs w:val="24"/>
              </w:rPr>
            </w:pPr>
          </w:p>
          <w:p w:rsidR="008D292F" w:rsidRPr="00226269" w:rsidRDefault="008D292F" w:rsidP="008D292F">
            <w:pPr>
              <w:keepNext/>
              <w:keepLines/>
              <w:jc w:val="center"/>
              <w:rPr>
                <w:b/>
                <w:szCs w:val="24"/>
              </w:rPr>
            </w:pPr>
          </w:p>
          <w:p w:rsidR="008D292F" w:rsidRPr="00226269" w:rsidRDefault="008D292F" w:rsidP="008D292F">
            <w:pPr>
              <w:keepNext/>
              <w:keepLines/>
              <w:jc w:val="center"/>
              <w:rPr>
                <w:b/>
                <w:szCs w:val="24"/>
              </w:rPr>
            </w:pPr>
          </w:p>
        </w:tc>
        <w:tc>
          <w:tcPr>
            <w:tcW w:w="4080" w:type="dxa"/>
            <w:tcMar>
              <w:left w:w="0" w:type="dxa"/>
              <w:right w:w="0" w:type="dxa"/>
            </w:tcMar>
          </w:tcPr>
          <w:p w:rsidR="008D292F" w:rsidRPr="00206FC5" w:rsidRDefault="008D292F" w:rsidP="00ED7E83">
            <w:pPr>
              <w:keepNext/>
              <w:keepLines/>
              <w:jc w:val="both"/>
              <w:rPr>
                <w:b/>
                <w:szCs w:val="24"/>
                <w:lang w:val="fr-CA"/>
              </w:rPr>
            </w:pPr>
            <w:r w:rsidRPr="00206FC5">
              <w:rPr>
                <w:b/>
                <w:szCs w:val="24"/>
                <w:lang w:val="fr-CA"/>
              </w:rPr>
              <w:t>JUGEMENTS RENDUS SUR LES DEMANDES D’AUTORISATION</w:t>
            </w:r>
          </w:p>
        </w:tc>
      </w:tr>
    </w:tbl>
    <w:p w:rsidR="008D292F" w:rsidRPr="00206FC5" w:rsidRDefault="008D292F" w:rsidP="008D292F">
      <w:pPr>
        <w:rPr>
          <w:sz w:val="20"/>
          <w:szCs w:val="20"/>
          <w:lang w:val="fr-CA"/>
        </w:rPr>
      </w:pPr>
    </w:p>
    <w:p w:rsidR="000E2959" w:rsidRPr="00C50A5C" w:rsidRDefault="00C6503A" w:rsidP="000E2959">
      <w:pPr>
        <w:rPr>
          <w:b/>
          <w:sz w:val="20"/>
          <w:szCs w:val="20"/>
        </w:rPr>
      </w:pPr>
      <w:r w:rsidRPr="00206FC5">
        <w:rPr>
          <w:b/>
          <w:sz w:val="20"/>
          <w:szCs w:val="20"/>
          <w:lang w:val="fr-CA"/>
        </w:rPr>
        <w:t>MARCH 31, 201</w:t>
      </w:r>
      <w:r w:rsidRPr="00206FC5">
        <w:rPr>
          <w:b/>
          <w:sz w:val="20"/>
          <w:szCs w:val="20"/>
        </w:rPr>
        <w:t>6</w:t>
      </w:r>
      <w:r w:rsidR="000E2959" w:rsidRPr="00206FC5">
        <w:rPr>
          <w:b/>
          <w:sz w:val="20"/>
          <w:szCs w:val="20"/>
        </w:rPr>
        <w:t xml:space="preserve"> / LE </w:t>
      </w:r>
      <w:r w:rsidRPr="00206FC5">
        <w:rPr>
          <w:b/>
          <w:sz w:val="20"/>
          <w:szCs w:val="20"/>
        </w:rPr>
        <w:t>31 MARS</w:t>
      </w:r>
      <w:r w:rsidR="000E2959" w:rsidRPr="00206FC5">
        <w:rPr>
          <w:b/>
          <w:sz w:val="20"/>
          <w:szCs w:val="20"/>
        </w:rPr>
        <w:t xml:space="preserve"> </w:t>
      </w:r>
      <w:r w:rsidR="0030050B" w:rsidRPr="00206FC5">
        <w:rPr>
          <w:b/>
          <w:sz w:val="20"/>
          <w:szCs w:val="20"/>
        </w:rPr>
        <w:t>20</w:t>
      </w:r>
      <w:r w:rsidR="0030050B">
        <w:rPr>
          <w:b/>
          <w:sz w:val="20"/>
          <w:szCs w:val="20"/>
        </w:rPr>
        <w:t>16</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73D2C" w:rsidTr="0004528B">
        <w:trPr>
          <w:cantSplit/>
        </w:trPr>
        <w:tc>
          <w:tcPr>
            <w:tcW w:w="1458" w:type="dxa"/>
          </w:tcPr>
          <w:p w:rsidR="000E2959" w:rsidRPr="00A73D2C" w:rsidRDefault="00C6503A" w:rsidP="0004528B">
            <w:pPr>
              <w:rPr>
                <w:sz w:val="20"/>
                <w:szCs w:val="20"/>
              </w:rPr>
            </w:pPr>
            <w:r>
              <w:rPr>
                <w:rStyle w:val="SCCFileNumberChar"/>
                <w:sz w:val="20"/>
                <w:szCs w:val="20"/>
              </w:rPr>
              <w:t>36678</w:t>
            </w:r>
          </w:p>
          <w:p w:rsidR="000E2959" w:rsidRPr="00A73D2C" w:rsidRDefault="000E2959" w:rsidP="0004528B">
            <w:pPr>
              <w:rPr>
                <w:b/>
                <w:sz w:val="20"/>
                <w:szCs w:val="20"/>
                <w:lang w:val="fr-CA"/>
              </w:rPr>
            </w:pPr>
          </w:p>
        </w:tc>
        <w:tc>
          <w:tcPr>
            <w:tcW w:w="8118" w:type="dxa"/>
          </w:tcPr>
          <w:p w:rsidR="000E2959" w:rsidRPr="00A73D2C" w:rsidRDefault="00C6503A" w:rsidP="0004528B">
            <w:pPr>
              <w:rPr>
                <w:sz w:val="20"/>
                <w:szCs w:val="20"/>
              </w:rPr>
            </w:pPr>
            <w:r>
              <w:rPr>
                <w:rStyle w:val="SCCLsocChar"/>
                <w:sz w:val="20"/>
                <w:szCs w:val="20"/>
                <w:lang w:val="en-CA"/>
              </w:rPr>
              <w:t>Canadian Arab Federation (CAF) v. Minister of Citizenship and Immigration</w:t>
            </w:r>
            <w:r w:rsidR="000E2959" w:rsidRPr="00A73D2C">
              <w:rPr>
                <w:sz w:val="20"/>
                <w:szCs w:val="20"/>
              </w:rPr>
              <w:t xml:space="preserve"> (</w:t>
            </w:r>
            <w:r w:rsidR="000D72D5">
              <w:rPr>
                <w:sz w:val="20"/>
                <w:szCs w:val="20"/>
              </w:rPr>
              <w:t>F</w:t>
            </w:r>
            <w:r w:rsidR="000E2959" w:rsidRPr="00A73D2C">
              <w:rPr>
                <w:sz w:val="20"/>
                <w:szCs w:val="20"/>
              </w:rPr>
              <w:t>.</w:t>
            </w:r>
            <w:r w:rsidR="000D72D5">
              <w:rPr>
                <w:sz w:val="20"/>
                <w:szCs w:val="20"/>
              </w:rPr>
              <w:t>C.</w:t>
            </w:r>
            <w:r w:rsidR="000E2959" w:rsidRPr="00A73D2C">
              <w:rPr>
                <w:sz w:val="20"/>
                <w:szCs w:val="20"/>
              </w:rPr>
              <w:t>) (Civil) (By Leave)</w:t>
            </w:r>
          </w:p>
          <w:p w:rsidR="000E2959" w:rsidRPr="00A73D2C" w:rsidRDefault="000E2959" w:rsidP="0004528B">
            <w:pPr>
              <w:rPr>
                <w:sz w:val="20"/>
                <w:szCs w:val="20"/>
              </w:rPr>
            </w:pPr>
          </w:p>
        </w:tc>
      </w:tr>
      <w:tr w:rsidR="000E2959" w:rsidRPr="000D72D5" w:rsidTr="0004528B">
        <w:trPr>
          <w:cantSplit/>
        </w:trPr>
        <w:tc>
          <w:tcPr>
            <w:tcW w:w="1458" w:type="dxa"/>
          </w:tcPr>
          <w:p w:rsidR="000E2959" w:rsidRPr="000D72D5" w:rsidRDefault="000E2959" w:rsidP="0004528B">
            <w:pPr>
              <w:rPr>
                <w:sz w:val="20"/>
                <w:szCs w:val="20"/>
              </w:rPr>
            </w:pPr>
            <w:r w:rsidRPr="000D72D5">
              <w:rPr>
                <w:sz w:val="20"/>
                <w:szCs w:val="20"/>
              </w:rPr>
              <w:t>Coram :</w:t>
            </w:r>
          </w:p>
        </w:tc>
        <w:tc>
          <w:tcPr>
            <w:tcW w:w="8118" w:type="dxa"/>
          </w:tcPr>
          <w:p w:rsidR="000E2959" w:rsidRPr="000D72D5" w:rsidRDefault="000E2959" w:rsidP="0004528B">
            <w:pPr>
              <w:rPr>
                <w:sz w:val="20"/>
                <w:szCs w:val="20"/>
              </w:rPr>
            </w:pPr>
            <w:r w:rsidRPr="000D72D5">
              <w:rPr>
                <w:rStyle w:val="SCCCoramChar"/>
                <w:sz w:val="20"/>
                <w:szCs w:val="20"/>
                <w:lang w:val="en-CA"/>
              </w:rPr>
              <w:t>Karakatsanis</w:t>
            </w:r>
            <w:r w:rsidR="000D72D5" w:rsidRPr="000D72D5">
              <w:rPr>
                <w:rStyle w:val="SCCCoramChar"/>
                <w:sz w:val="20"/>
                <w:szCs w:val="20"/>
                <w:lang w:val="en-CA"/>
              </w:rPr>
              <w:t xml:space="preserve">, </w:t>
            </w:r>
            <w:r w:rsidRPr="000D72D5">
              <w:rPr>
                <w:rStyle w:val="SCCCoramChar"/>
                <w:sz w:val="20"/>
                <w:szCs w:val="20"/>
                <w:lang w:val="en-CA"/>
              </w:rPr>
              <w:t>Wagner</w:t>
            </w:r>
            <w:r w:rsidR="000D72D5" w:rsidRPr="000D72D5">
              <w:rPr>
                <w:rStyle w:val="SCCCoramChar"/>
                <w:sz w:val="20"/>
                <w:szCs w:val="20"/>
                <w:lang w:val="en-CA"/>
              </w:rPr>
              <w:t xml:space="preserve"> and Brown</w:t>
            </w:r>
            <w:r w:rsidRPr="000D72D5">
              <w:rPr>
                <w:rStyle w:val="SCCCoramChar"/>
                <w:sz w:val="20"/>
                <w:szCs w:val="20"/>
                <w:lang w:val="en-CA"/>
              </w:rPr>
              <w:t> JJ.</w:t>
            </w:r>
          </w:p>
          <w:p w:rsidR="000E2959" w:rsidRPr="000D72D5" w:rsidRDefault="000E2959" w:rsidP="0004528B">
            <w:pPr>
              <w:rPr>
                <w:sz w:val="20"/>
                <w:szCs w:val="20"/>
                <w:u w:val="single"/>
              </w:rPr>
            </w:pPr>
          </w:p>
        </w:tc>
      </w:tr>
      <w:tr w:rsidR="000E2959" w:rsidRPr="003A0CC2" w:rsidTr="0004528B">
        <w:trPr>
          <w:cantSplit/>
        </w:trPr>
        <w:tc>
          <w:tcPr>
            <w:tcW w:w="9576" w:type="dxa"/>
            <w:gridSpan w:val="2"/>
          </w:tcPr>
          <w:p w:rsidR="000E2959" w:rsidRPr="000D72D5" w:rsidRDefault="000D72D5" w:rsidP="0004528B">
            <w:pPr>
              <w:pStyle w:val="SCCShortJudgment"/>
              <w:rPr>
                <w:szCs w:val="20"/>
              </w:rPr>
            </w:pPr>
            <w:r w:rsidRPr="000D72D5">
              <w:rPr>
                <w:szCs w:val="20"/>
              </w:rPr>
              <w:t>The motion for an extension of time to serve and file the application for leave to appeal is granted. The application for leave to appeal from the judgment of the</w:t>
            </w:r>
            <w:bookmarkStart w:id="2" w:name="BM_1_"/>
            <w:bookmarkEnd w:id="2"/>
            <w:r w:rsidRPr="000D72D5">
              <w:rPr>
                <w:szCs w:val="20"/>
              </w:rPr>
              <w:t xml:space="preserve"> Federal Court of Appeal, Number A-68-14, 2015 FCA 168, dated July 24, 2015, is  dismissed with costs.</w:t>
            </w:r>
          </w:p>
          <w:p w:rsidR="000D72D5" w:rsidRPr="000D72D5" w:rsidRDefault="000D72D5" w:rsidP="0004528B">
            <w:pPr>
              <w:pStyle w:val="SCCShortJudgment"/>
              <w:rPr>
                <w:szCs w:val="20"/>
              </w:rPr>
            </w:pPr>
          </w:p>
          <w:p w:rsidR="000D72D5" w:rsidRPr="000D72D5" w:rsidRDefault="000D72D5" w:rsidP="0004528B">
            <w:pPr>
              <w:pStyle w:val="SCCShortJudgment"/>
              <w:rPr>
                <w:szCs w:val="20"/>
                <w:lang w:val="fr-CA"/>
              </w:rPr>
            </w:pPr>
            <w:r w:rsidRPr="000D72D5">
              <w:rPr>
                <w:szCs w:val="20"/>
                <w:lang w:val="fr-CA"/>
              </w:rPr>
              <w:t>La requête en prorogation du délai pour  signifier et déposer la demande d’autorisation d’appel est accueillie. La demande d’autorisation d’appel de l’arrêt de la Cour d’appel fédérale, numéro A-68-14, 2015 CFA 168, daté du 24 juillet 2015, est rejetée avec dépens.</w:t>
            </w:r>
          </w:p>
        </w:tc>
      </w:tr>
    </w:tbl>
    <w:p w:rsidR="000E2959" w:rsidRPr="000D72D5" w:rsidRDefault="000E2959" w:rsidP="000E2959">
      <w:pPr>
        <w:rPr>
          <w:sz w:val="20"/>
          <w:szCs w:val="20"/>
          <w:lang w:val="fr-CA"/>
        </w:rPr>
      </w:pPr>
    </w:p>
    <w:p w:rsidR="000E2959" w:rsidRPr="000D72D5" w:rsidRDefault="000E2959" w:rsidP="000E2959">
      <w:pPr>
        <w:rPr>
          <w:sz w:val="20"/>
          <w:szCs w:val="20"/>
          <w:u w:val="single"/>
        </w:rPr>
      </w:pPr>
      <w:r w:rsidRPr="000D72D5">
        <w:rPr>
          <w:sz w:val="20"/>
          <w:szCs w:val="20"/>
          <w:u w:val="single"/>
        </w:rPr>
        <w:t>CASE SUMMARY</w:t>
      </w:r>
    </w:p>
    <w:p w:rsidR="000E2959" w:rsidRPr="000D72D5"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72D5" w:rsidRPr="000D72D5" w:rsidTr="00226269">
        <w:tc>
          <w:tcPr>
            <w:tcW w:w="5000" w:type="pct"/>
            <w:gridSpan w:val="3"/>
          </w:tcPr>
          <w:p w:rsidR="000D72D5" w:rsidRPr="000D72D5" w:rsidRDefault="000D72D5" w:rsidP="000D72D5">
            <w:pPr>
              <w:autoSpaceDE w:val="0"/>
              <w:autoSpaceDN w:val="0"/>
              <w:adjustRightInd w:val="0"/>
              <w:jc w:val="both"/>
              <w:rPr>
                <w:rFonts w:eastAsia="Times New Roman" w:cs="Times New Roman"/>
                <w:sz w:val="20"/>
                <w:szCs w:val="20"/>
                <w:lang w:val="en-US" w:eastAsia="en-CA"/>
              </w:rPr>
            </w:pPr>
            <w:r w:rsidRPr="000D72D5">
              <w:rPr>
                <w:rFonts w:eastAsia="Times New Roman" w:cs="Times New Roman"/>
                <w:i/>
                <w:sz w:val="20"/>
                <w:szCs w:val="20"/>
                <w:lang w:eastAsia="en-CA"/>
              </w:rPr>
              <w:t>Canadian Charter of Rights and Freedoms</w:t>
            </w:r>
            <w:r w:rsidRPr="000D72D5">
              <w:rPr>
                <w:rFonts w:eastAsia="Times New Roman" w:cs="Times New Roman"/>
                <w:sz w:val="20"/>
                <w:szCs w:val="20"/>
                <w:lang w:eastAsia="en-CA"/>
              </w:rPr>
              <w:t xml:space="preserve">, s. 2(b) – Administrative law – Contracts with the Crown – Natural justice – Procedural fairness – Freedom of expression – </w:t>
            </w:r>
            <w:r w:rsidRPr="000D72D5">
              <w:rPr>
                <w:rFonts w:eastAsia="Times New Roman" w:cs="Times New Roman"/>
                <w:sz w:val="20"/>
                <w:szCs w:val="20"/>
                <w:lang w:val="en-US" w:eastAsia="en-CA"/>
              </w:rPr>
              <w:t xml:space="preserve">Whether and in what circumstances a duty of fairness is owed to a party denied access to contracts with the canadian government that have a “mix of public and private law” elements, particularly in circumstances where the Minister has publicly labelled the party as supporter of terrorism – Whether the </w:t>
            </w:r>
            <w:r w:rsidRPr="000D72D5">
              <w:rPr>
                <w:rFonts w:eastAsia="Times New Roman" w:cs="Times New Roman"/>
                <w:i/>
                <w:iCs/>
                <w:sz w:val="20"/>
                <w:szCs w:val="20"/>
                <w:lang w:val="en-US" w:eastAsia="en-CA"/>
              </w:rPr>
              <w:t xml:space="preserve">Charter </w:t>
            </w:r>
            <w:r w:rsidRPr="000D72D5">
              <w:rPr>
                <w:rFonts w:eastAsia="Times New Roman" w:cs="Times New Roman"/>
                <w:sz w:val="20"/>
                <w:szCs w:val="20"/>
                <w:lang w:val="en-US" w:eastAsia="en-CA"/>
              </w:rPr>
              <w:t>should be interpreted to provide a significantly lower level of protection for the freedoms of expression and association than that enjoyed by American citizens under the First Amendment of the Constitution of the United States.</w:t>
            </w:r>
          </w:p>
        </w:tc>
      </w:tr>
      <w:tr w:rsidR="000D72D5" w:rsidRPr="000D72D5" w:rsidTr="00226269">
        <w:tc>
          <w:tcPr>
            <w:tcW w:w="5000" w:type="pct"/>
            <w:gridSpan w:val="3"/>
          </w:tcPr>
          <w:p w:rsidR="000D72D5" w:rsidRPr="000D72D5" w:rsidRDefault="000D72D5" w:rsidP="000D72D5">
            <w:pPr>
              <w:jc w:val="both"/>
              <w:rPr>
                <w:sz w:val="20"/>
                <w:szCs w:val="20"/>
              </w:rPr>
            </w:pPr>
          </w:p>
        </w:tc>
      </w:tr>
      <w:tr w:rsidR="000D72D5" w:rsidRPr="000D72D5" w:rsidTr="00226269">
        <w:tc>
          <w:tcPr>
            <w:tcW w:w="5000" w:type="pct"/>
            <w:gridSpan w:val="3"/>
          </w:tcPr>
          <w:p w:rsidR="000D72D5" w:rsidRPr="000D72D5" w:rsidRDefault="000D72D5" w:rsidP="000D72D5">
            <w:pPr>
              <w:jc w:val="both"/>
              <w:rPr>
                <w:sz w:val="20"/>
                <w:szCs w:val="20"/>
              </w:rPr>
            </w:pPr>
            <w:r w:rsidRPr="000D72D5">
              <w:rPr>
                <w:sz w:val="20"/>
                <w:szCs w:val="20"/>
              </w:rPr>
              <w:t>For a number of years, the Canadian Arab Federation provided language instruction to newcomers to Canada through the federal government’s Language Instruction for Newcomers to Canada (“LINC”) program. The contribution agreement that governed the relationship between the Federation and the Department of Citizenship and Immigration Canada (“CIC”) from 2007 to 2009 expired on March 31, 2009. While the Federation and CIC entered into negotiations for the subsequent funding cycle, the then Minister of Citizenship and Immigration, Jason Kenney, decided that CIC would not enter into a further contribution agreement with the Federation. In a letter advising the Federation of this decision, he explained that the Federation had made public statements promoting hatred, anti-Semitism and support for the terrorist organizations Hamas and Hezbollah.</w:t>
            </w:r>
          </w:p>
          <w:p w:rsidR="000D72D5" w:rsidRPr="000D72D5" w:rsidRDefault="000D72D5" w:rsidP="000D72D5">
            <w:pPr>
              <w:jc w:val="both"/>
              <w:rPr>
                <w:sz w:val="20"/>
                <w:szCs w:val="20"/>
              </w:rPr>
            </w:pPr>
          </w:p>
        </w:tc>
      </w:tr>
      <w:tr w:rsidR="000D72D5" w:rsidRPr="000D72D5" w:rsidTr="00226269">
        <w:tc>
          <w:tcPr>
            <w:tcW w:w="2427" w:type="pct"/>
          </w:tcPr>
          <w:p w:rsidR="000D72D5" w:rsidRPr="000D72D5" w:rsidRDefault="000D72D5" w:rsidP="000D72D5">
            <w:pPr>
              <w:jc w:val="both"/>
              <w:rPr>
                <w:sz w:val="20"/>
                <w:szCs w:val="20"/>
              </w:rPr>
            </w:pPr>
            <w:r w:rsidRPr="000D72D5">
              <w:rPr>
                <w:sz w:val="20"/>
                <w:szCs w:val="20"/>
              </w:rPr>
              <w:t>December 23, 2013</w:t>
            </w:r>
          </w:p>
          <w:p w:rsidR="000D72D5" w:rsidRPr="000D72D5" w:rsidRDefault="000D72D5" w:rsidP="000D72D5">
            <w:pPr>
              <w:jc w:val="both"/>
              <w:rPr>
                <w:sz w:val="20"/>
                <w:szCs w:val="20"/>
              </w:rPr>
            </w:pPr>
            <w:r w:rsidRPr="000D72D5">
              <w:rPr>
                <w:sz w:val="20"/>
                <w:szCs w:val="20"/>
              </w:rPr>
              <w:t>Federal Court</w:t>
            </w:r>
          </w:p>
          <w:p w:rsidR="000D72D5" w:rsidRPr="000D72D5" w:rsidRDefault="000D72D5" w:rsidP="000D72D5">
            <w:pPr>
              <w:jc w:val="both"/>
              <w:rPr>
                <w:sz w:val="20"/>
                <w:szCs w:val="20"/>
              </w:rPr>
            </w:pPr>
            <w:r w:rsidRPr="000D72D5">
              <w:rPr>
                <w:sz w:val="20"/>
                <w:szCs w:val="20"/>
              </w:rPr>
              <w:t>(Zinn J.F.C.)</w:t>
            </w:r>
          </w:p>
        </w:tc>
        <w:tc>
          <w:tcPr>
            <w:tcW w:w="243" w:type="pct"/>
          </w:tcPr>
          <w:p w:rsidR="000D72D5" w:rsidRPr="000D72D5" w:rsidRDefault="000D72D5" w:rsidP="000D72D5">
            <w:pPr>
              <w:jc w:val="both"/>
              <w:rPr>
                <w:sz w:val="20"/>
                <w:szCs w:val="20"/>
              </w:rPr>
            </w:pPr>
          </w:p>
        </w:tc>
        <w:tc>
          <w:tcPr>
            <w:tcW w:w="2330" w:type="pct"/>
          </w:tcPr>
          <w:p w:rsidR="000D72D5" w:rsidRPr="000D72D5" w:rsidRDefault="000D72D5" w:rsidP="000D72D5">
            <w:pPr>
              <w:jc w:val="both"/>
              <w:rPr>
                <w:sz w:val="20"/>
                <w:szCs w:val="20"/>
              </w:rPr>
            </w:pPr>
            <w:r w:rsidRPr="000D72D5">
              <w:rPr>
                <w:rFonts w:eastAsia="Times New Roman" w:cs="Times New Roman"/>
                <w:sz w:val="20"/>
                <w:szCs w:val="20"/>
                <w:lang w:eastAsia="en-CA"/>
              </w:rPr>
              <w:t>Application for judicial review of Minister of Citizenship and Immigration’s decision, dismissed</w:t>
            </w:r>
          </w:p>
          <w:p w:rsidR="000D72D5" w:rsidRPr="000D72D5" w:rsidRDefault="000D72D5" w:rsidP="000D72D5">
            <w:pPr>
              <w:jc w:val="both"/>
              <w:rPr>
                <w:sz w:val="20"/>
                <w:szCs w:val="20"/>
              </w:rPr>
            </w:pPr>
          </w:p>
        </w:tc>
      </w:tr>
      <w:tr w:rsidR="000D72D5" w:rsidRPr="000D72D5" w:rsidTr="00226269">
        <w:tc>
          <w:tcPr>
            <w:tcW w:w="2427" w:type="pct"/>
          </w:tcPr>
          <w:p w:rsidR="000D72D5" w:rsidRPr="000D72D5" w:rsidRDefault="000D72D5" w:rsidP="000D72D5">
            <w:pPr>
              <w:jc w:val="both"/>
              <w:rPr>
                <w:sz w:val="20"/>
                <w:szCs w:val="20"/>
              </w:rPr>
            </w:pPr>
            <w:r w:rsidRPr="000D72D5">
              <w:rPr>
                <w:sz w:val="20"/>
                <w:szCs w:val="20"/>
              </w:rPr>
              <w:t>July 24, 2015</w:t>
            </w:r>
          </w:p>
          <w:p w:rsidR="000D72D5" w:rsidRPr="000D72D5" w:rsidRDefault="000D72D5" w:rsidP="000D72D5">
            <w:pPr>
              <w:jc w:val="both"/>
              <w:rPr>
                <w:sz w:val="20"/>
                <w:szCs w:val="20"/>
              </w:rPr>
            </w:pPr>
            <w:r w:rsidRPr="000D72D5">
              <w:rPr>
                <w:sz w:val="20"/>
                <w:szCs w:val="20"/>
              </w:rPr>
              <w:t>Federal Court of Appeal</w:t>
            </w:r>
          </w:p>
          <w:p w:rsidR="000D72D5" w:rsidRPr="000D72D5" w:rsidRDefault="000D72D5" w:rsidP="000D72D5">
            <w:pPr>
              <w:jc w:val="both"/>
              <w:rPr>
                <w:sz w:val="20"/>
                <w:szCs w:val="20"/>
              </w:rPr>
            </w:pPr>
            <w:r w:rsidRPr="000D72D5">
              <w:rPr>
                <w:sz w:val="20"/>
                <w:szCs w:val="20"/>
              </w:rPr>
              <w:t>(Dawson, Stratas and Scott JJ.A.)</w:t>
            </w:r>
          </w:p>
          <w:p w:rsidR="000D72D5" w:rsidRPr="000D72D5" w:rsidRDefault="000D72D5" w:rsidP="000D72D5">
            <w:pPr>
              <w:jc w:val="both"/>
              <w:rPr>
                <w:sz w:val="20"/>
                <w:szCs w:val="20"/>
              </w:rPr>
            </w:pPr>
          </w:p>
        </w:tc>
        <w:tc>
          <w:tcPr>
            <w:tcW w:w="243" w:type="pct"/>
          </w:tcPr>
          <w:p w:rsidR="000D72D5" w:rsidRPr="000D72D5" w:rsidRDefault="000D72D5" w:rsidP="000D72D5">
            <w:pPr>
              <w:jc w:val="both"/>
              <w:rPr>
                <w:sz w:val="20"/>
                <w:szCs w:val="20"/>
              </w:rPr>
            </w:pPr>
          </w:p>
        </w:tc>
        <w:tc>
          <w:tcPr>
            <w:tcW w:w="2330" w:type="pct"/>
          </w:tcPr>
          <w:p w:rsidR="000D72D5" w:rsidRPr="000D72D5" w:rsidRDefault="000D72D5" w:rsidP="000D72D5">
            <w:pPr>
              <w:jc w:val="both"/>
              <w:rPr>
                <w:sz w:val="20"/>
                <w:szCs w:val="20"/>
              </w:rPr>
            </w:pPr>
            <w:r w:rsidRPr="000D72D5">
              <w:rPr>
                <w:sz w:val="20"/>
                <w:szCs w:val="20"/>
              </w:rPr>
              <w:t>Appeal dismissed</w:t>
            </w:r>
          </w:p>
          <w:p w:rsidR="000D72D5" w:rsidRPr="000D72D5" w:rsidRDefault="000D72D5" w:rsidP="000D72D5">
            <w:pPr>
              <w:jc w:val="both"/>
              <w:rPr>
                <w:sz w:val="20"/>
                <w:szCs w:val="20"/>
              </w:rPr>
            </w:pPr>
          </w:p>
        </w:tc>
      </w:tr>
      <w:tr w:rsidR="000D72D5" w:rsidRPr="000D72D5" w:rsidTr="00226269">
        <w:tc>
          <w:tcPr>
            <w:tcW w:w="2427" w:type="pct"/>
          </w:tcPr>
          <w:p w:rsidR="000D72D5" w:rsidRPr="000D72D5" w:rsidRDefault="000D72D5" w:rsidP="000D72D5">
            <w:pPr>
              <w:jc w:val="both"/>
              <w:rPr>
                <w:sz w:val="20"/>
                <w:szCs w:val="20"/>
              </w:rPr>
            </w:pPr>
            <w:r w:rsidRPr="000D72D5">
              <w:rPr>
                <w:sz w:val="20"/>
                <w:szCs w:val="20"/>
              </w:rPr>
              <w:t>October 14, 2015</w:t>
            </w:r>
          </w:p>
          <w:p w:rsidR="000D72D5" w:rsidRPr="000D72D5" w:rsidRDefault="000D72D5" w:rsidP="000D72D5">
            <w:pPr>
              <w:jc w:val="both"/>
              <w:rPr>
                <w:sz w:val="20"/>
                <w:szCs w:val="20"/>
              </w:rPr>
            </w:pPr>
            <w:r w:rsidRPr="000D72D5">
              <w:rPr>
                <w:sz w:val="20"/>
                <w:szCs w:val="20"/>
              </w:rPr>
              <w:t>Supreme Court of Canada</w:t>
            </w:r>
          </w:p>
        </w:tc>
        <w:tc>
          <w:tcPr>
            <w:tcW w:w="243" w:type="pct"/>
          </w:tcPr>
          <w:p w:rsidR="000D72D5" w:rsidRPr="000D72D5" w:rsidRDefault="000D72D5" w:rsidP="000D72D5">
            <w:pPr>
              <w:jc w:val="both"/>
              <w:rPr>
                <w:sz w:val="20"/>
                <w:szCs w:val="20"/>
              </w:rPr>
            </w:pPr>
          </w:p>
        </w:tc>
        <w:tc>
          <w:tcPr>
            <w:tcW w:w="2330" w:type="pct"/>
          </w:tcPr>
          <w:p w:rsidR="000D72D5" w:rsidRPr="000D72D5" w:rsidRDefault="000D72D5" w:rsidP="000D72D5">
            <w:pPr>
              <w:jc w:val="both"/>
              <w:rPr>
                <w:sz w:val="20"/>
                <w:szCs w:val="20"/>
              </w:rPr>
            </w:pPr>
            <w:r w:rsidRPr="000D72D5">
              <w:rPr>
                <w:sz w:val="20"/>
                <w:szCs w:val="20"/>
              </w:rPr>
              <w:t>Motion to extend time to serve and file application for leave to appeal and application for leave to appeal filed</w:t>
            </w:r>
          </w:p>
        </w:tc>
      </w:tr>
    </w:tbl>
    <w:p w:rsidR="000E2959" w:rsidRPr="000D72D5" w:rsidRDefault="003A0CC2" w:rsidP="000E2959">
      <w:pPr>
        <w:rPr>
          <w:sz w:val="20"/>
          <w:szCs w:val="20"/>
        </w:rPr>
      </w:pPr>
      <w:r>
        <w:rPr>
          <w:sz w:val="20"/>
          <w:szCs w:val="20"/>
          <w:lang w:val="fr-CA"/>
        </w:rPr>
        <w:pict>
          <v:rect id="_x0000_i1037" style="width:2in;height:1pt" o:hrpct="0" o:hralign="center" o:hrstd="t" o:hrnoshade="t" o:hr="t" fillcolor="black [3213]" stroked="f"/>
        </w:pict>
      </w:r>
    </w:p>
    <w:p w:rsidR="000E2959" w:rsidRDefault="000E2959" w:rsidP="000E2959">
      <w:pPr>
        <w:rPr>
          <w:sz w:val="20"/>
          <w:szCs w:val="20"/>
        </w:rPr>
      </w:pPr>
    </w:p>
    <w:p w:rsidR="000D72D5" w:rsidRDefault="000D72D5" w:rsidP="000E2959">
      <w:pPr>
        <w:rPr>
          <w:sz w:val="20"/>
          <w:szCs w:val="20"/>
        </w:rPr>
      </w:pPr>
    </w:p>
    <w:p w:rsidR="000D72D5" w:rsidRDefault="000D72D5" w:rsidP="000E2959">
      <w:pPr>
        <w:rPr>
          <w:sz w:val="20"/>
          <w:szCs w:val="20"/>
        </w:rPr>
      </w:pPr>
    </w:p>
    <w:p w:rsidR="000D72D5" w:rsidRDefault="000D72D5" w:rsidP="000E2959">
      <w:pPr>
        <w:rPr>
          <w:sz w:val="20"/>
          <w:szCs w:val="20"/>
        </w:rPr>
      </w:pPr>
    </w:p>
    <w:p w:rsidR="009412E2" w:rsidRDefault="009412E2" w:rsidP="000E2959">
      <w:pPr>
        <w:rPr>
          <w:sz w:val="20"/>
          <w:szCs w:val="20"/>
        </w:rPr>
      </w:pPr>
    </w:p>
    <w:p w:rsidR="000D72D5" w:rsidRPr="000D72D5" w:rsidRDefault="000D72D5" w:rsidP="000E2959">
      <w:pPr>
        <w:rPr>
          <w:sz w:val="20"/>
          <w:szCs w:val="20"/>
        </w:rPr>
      </w:pPr>
    </w:p>
    <w:p w:rsidR="000E2959" w:rsidRPr="000D72D5" w:rsidRDefault="000E2959" w:rsidP="000E2959">
      <w:pPr>
        <w:rPr>
          <w:sz w:val="20"/>
          <w:szCs w:val="20"/>
          <w:u w:val="single"/>
          <w:lang w:val="fr-CA"/>
        </w:rPr>
      </w:pPr>
      <w:r w:rsidRPr="000D72D5">
        <w:rPr>
          <w:sz w:val="20"/>
          <w:szCs w:val="20"/>
          <w:u w:val="single"/>
          <w:lang w:val="fr-CA"/>
        </w:rPr>
        <w:lastRenderedPageBreak/>
        <w:t>RÉSUMÉ DE L’AFFAIRE</w:t>
      </w:r>
    </w:p>
    <w:p w:rsidR="000E2959" w:rsidRPr="000D72D5"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D72D5" w:rsidRPr="003A0CC2" w:rsidTr="00226269">
        <w:tc>
          <w:tcPr>
            <w:tcW w:w="5000" w:type="pct"/>
            <w:gridSpan w:val="3"/>
          </w:tcPr>
          <w:p w:rsidR="000D72D5" w:rsidRPr="000D72D5" w:rsidRDefault="000D72D5" w:rsidP="00226269">
            <w:pPr>
              <w:autoSpaceDE w:val="0"/>
              <w:autoSpaceDN w:val="0"/>
              <w:adjustRightInd w:val="0"/>
              <w:rPr>
                <w:rFonts w:eastAsia="Times New Roman" w:cs="Times New Roman"/>
                <w:sz w:val="20"/>
                <w:szCs w:val="20"/>
                <w:lang w:val="fr-CA" w:eastAsia="en-CA"/>
              </w:rPr>
            </w:pPr>
            <w:r w:rsidRPr="000D72D5">
              <w:rPr>
                <w:rFonts w:eastAsia="Times New Roman" w:cs="Times New Roman"/>
                <w:i/>
                <w:sz w:val="20"/>
                <w:szCs w:val="20"/>
                <w:lang w:val="fr-CA" w:eastAsia="en-CA"/>
              </w:rPr>
              <w:t>Charte des droits</w:t>
            </w:r>
            <w:r w:rsidRPr="000D72D5">
              <w:rPr>
                <w:rFonts w:eastAsia="Times New Roman" w:cs="Times New Roman"/>
                <w:sz w:val="20"/>
                <w:szCs w:val="20"/>
                <w:lang w:val="fr-CA" w:eastAsia="en-CA"/>
              </w:rPr>
              <w:t>, al. 2</w:t>
            </w:r>
            <w:r w:rsidRPr="000D72D5">
              <w:rPr>
                <w:rFonts w:eastAsia="Times New Roman" w:cs="Times New Roman"/>
                <w:i/>
                <w:sz w:val="20"/>
                <w:szCs w:val="20"/>
                <w:lang w:val="fr-CA" w:eastAsia="en-CA"/>
              </w:rPr>
              <w:t>b</w:t>
            </w:r>
            <w:r w:rsidRPr="000D72D5">
              <w:rPr>
                <w:rFonts w:eastAsia="Times New Roman" w:cs="Times New Roman"/>
                <w:sz w:val="20"/>
                <w:szCs w:val="20"/>
                <w:lang w:val="fr-CA" w:eastAsia="en-CA"/>
              </w:rPr>
              <w:t xml:space="preserve">) – Droit administratif – Contrats avec l’État – Justice naturelle – Équité procédurale – Liberté d’expression – Existe-t-il un devoir d’équité envers une partie à qui on a refusé l’accès à des contrats avec l’État canadien, contrats qui comportent des aspects « de droit privé et de droit public », tout particulièrement lorsque le ministre a dit publiquement de la partie qu’elle soutient le terrorisme et, dans l’affirmative, dans quelles circonstances? – Faut-il donner à la </w:t>
            </w:r>
            <w:r w:rsidRPr="000D72D5">
              <w:rPr>
                <w:rFonts w:eastAsia="Times New Roman" w:cs="Times New Roman"/>
                <w:i/>
                <w:sz w:val="20"/>
                <w:szCs w:val="20"/>
                <w:lang w:val="fr-CA" w:eastAsia="en-CA"/>
              </w:rPr>
              <w:t>Charte</w:t>
            </w:r>
            <w:r w:rsidRPr="000D72D5">
              <w:rPr>
                <w:rFonts w:eastAsia="Times New Roman" w:cs="Times New Roman"/>
                <w:sz w:val="20"/>
                <w:szCs w:val="20"/>
                <w:lang w:val="fr-CA" w:eastAsia="en-CA"/>
              </w:rPr>
              <w:t xml:space="preserve"> une interprétation selon laquelle elle accorderait aux libertés d’expression et d’association qu’elle garantit une protection nettement moindre que celle qu’offre aux citoyens américains le premier amendement de la Constitution des États-Unis?</w:t>
            </w:r>
          </w:p>
        </w:tc>
      </w:tr>
      <w:tr w:rsidR="000D72D5" w:rsidRPr="003A0CC2" w:rsidTr="00226269">
        <w:tc>
          <w:tcPr>
            <w:tcW w:w="5000" w:type="pct"/>
            <w:gridSpan w:val="3"/>
          </w:tcPr>
          <w:p w:rsidR="000D72D5" w:rsidRPr="000D72D5" w:rsidRDefault="000D72D5" w:rsidP="00226269">
            <w:pPr>
              <w:rPr>
                <w:sz w:val="20"/>
                <w:szCs w:val="20"/>
                <w:lang w:val="fr-CA"/>
              </w:rPr>
            </w:pPr>
          </w:p>
        </w:tc>
      </w:tr>
      <w:tr w:rsidR="000D72D5" w:rsidRPr="003A0CC2" w:rsidTr="00226269">
        <w:tc>
          <w:tcPr>
            <w:tcW w:w="5000" w:type="pct"/>
            <w:gridSpan w:val="3"/>
          </w:tcPr>
          <w:p w:rsidR="000D72D5" w:rsidRPr="000D72D5" w:rsidRDefault="000D72D5" w:rsidP="00226269">
            <w:pPr>
              <w:rPr>
                <w:sz w:val="20"/>
                <w:szCs w:val="20"/>
                <w:lang w:val="fr-CA"/>
              </w:rPr>
            </w:pPr>
            <w:r w:rsidRPr="000D72D5">
              <w:rPr>
                <w:sz w:val="20"/>
                <w:szCs w:val="20"/>
                <w:lang w:val="fr-CA"/>
              </w:rPr>
              <w:t>Pendant plusieurs années, la Fédération Canado-Arabe a donné des cours de langue aux nouveaux arrivants au Canada par l’entremise du programme fédéral Cours de langue pour les immigrants au Canada (« CLIC »). L’entente de contribution régissant les rapports entre la Fédération et le ministère de la Citoyenneté et de l’Immigration (« CIC ») de 2007 à 2009 a expiré le 31 mars 2009. Au cours des négociations entreprises pour le cycle de financement suivant, le ministre de l’époque, Jason Kenney, a décidé que son ministère ne conclurait aucune nouvelle entente de contribution avec la Fédération. Dans la lettre informant la Fédération de sa décision, il a expliqué qu’elle avait fait des déclarations publiques fomentant la haine et l’antisémitisme et appuyant les organisations terroristes Hamas et Hezbollah.</w:t>
            </w:r>
          </w:p>
          <w:p w:rsidR="000D72D5" w:rsidRPr="000D72D5" w:rsidRDefault="000D72D5" w:rsidP="00226269">
            <w:pPr>
              <w:rPr>
                <w:sz w:val="20"/>
                <w:szCs w:val="20"/>
                <w:lang w:val="fr-CA"/>
              </w:rPr>
            </w:pPr>
          </w:p>
        </w:tc>
      </w:tr>
      <w:tr w:rsidR="000D72D5" w:rsidRPr="003A0CC2" w:rsidTr="00226269">
        <w:tc>
          <w:tcPr>
            <w:tcW w:w="2427" w:type="pct"/>
          </w:tcPr>
          <w:p w:rsidR="000D72D5" w:rsidRPr="000D72D5" w:rsidRDefault="000D72D5" w:rsidP="00226269">
            <w:pPr>
              <w:rPr>
                <w:sz w:val="20"/>
                <w:szCs w:val="20"/>
                <w:lang w:val="fr-CA"/>
              </w:rPr>
            </w:pPr>
            <w:r w:rsidRPr="000D72D5">
              <w:rPr>
                <w:sz w:val="20"/>
                <w:szCs w:val="20"/>
                <w:lang w:val="fr-CA"/>
              </w:rPr>
              <w:t>Le 23 décembre 2013</w:t>
            </w:r>
          </w:p>
          <w:p w:rsidR="000D72D5" w:rsidRPr="000D72D5" w:rsidRDefault="000D72D5" w:rsidP="00226269">
            <w:pPr>
              <w:rPr>
                <w:sz w:val="20"/>
                <w:szCs w:val="20"/>
                <w:lang w:val="fr-CA"/>
              </w:rPr>
            </w:pPr>
            <w:r w:rsidRPr="000D72D5">
              <w:rPr>
                <w:sz w:val="20"/>
                <w:szCs w:val="20"/>
                <w:lang w:val="fr-CA"/>
              </w:rPr>
              <w:t>Cour fédérale</w:t>
            </w:r>
          </w:p>
          <w:p w:rsidR="000D72D5" w:rsidRPr="000D72D5" w:rsidRDefault="000D72D5" w:rsidP="00226269">
            <w:pPr>
              <w:rPr>
                <w:sz w:val="20"/>
                <w:szCs w:val="20"/>
                <w:lang w:val="fr-CA"/>
              </w:rPr>
            </w:pPr>
            <w:r w:rsidRPr="000D72D5">
              <w:rPr>
                <w:sz w:val="20"/>
                <w:szCs w:val="20"/>
                <w:lang w:val="fr-CA"/>
              </w:rPr>
              <w:t>(Juge Zinn)</w:t>
            </w:r>
          </w:p>
        </w:tc>
        <w:tc>
          <w:tcPr>
            <w:tcW w:w="243" w:type="pct"/>
          </w:tcPr>
          <w:p w:rsidR="000D72D5" w:rsidRPr="000D72D5" w:rsidRDefault="000D72D5" w:rsidP="00226269">
            <w:pPr>
              <w:rPr>
                <w:sz w:val="20"/>
                <w:szCs w:val="20"/>
                <w:lang w:val="fr-CA"/>
              </w:rPr>
            </w:pPr>
          </w:p>
        </w:tc>
        <w:tc>
          <w:tcPr>
            <w:tcW w:w="2330" w:type="pct"/>
          </w:tcPr>
          <w:p w:rsidR="000D72D5" w:rsidRPr="000D72D5" w:rsidRDefault="000D72D5" w:rsidP="00226269">
            <w:pPr>
              <w:rPr>
                <w:sz w:val="20"/>
                <w:szCs w:val="20"/>
                <w:lang w:val="fr-CA"/>
              </w:rPr>
            </w:pPr>
            <w:r w:rsidRPr="000D72D5">
              <w:rPr>
                <w:rFonts w:eastAsia="Times New Roman" w:cs="Times New Roman"/>
                <w:sz w:val="20"/>
                <w:szCs w:val="20"/>
                <w:lang w:val="fr-CA" w:eastAsia="en-CA"/>
              </w:rPr>
              <w:t>Rejet de la demande de contrôle judiciaire à l’encontre de la décision rendue par le ministre de la Citoyenneté et de l’Immigration.</w:t>
            </w:r>
          </w:p>
          <w:p w:rsidR="000D72D5" w:rsidRPr="000D72D5" w:rsidRDefault="000D72D5" w:rsidP="00226269">
            <w:pPr>
              <w:rPr>
                <w:sz w:val="20"/>
                <w:szCs w:val="20"/>
                <w:lang w:val="fr-CA"/>
              </w:rPr>
            </w:pPr>
          </w:p>
        </w:tc>
      </w:tr>
      <w:tr w:rsidR="000D72D5" w:rsidRPr="000D72D5" w:rsidTr="00226269">
        <w:tc>
          <w:tcPr>
            <w:tcW w:w="2427" w:type="pct"/>
          </w:tcPr>
          <w:p w:rsidR="000D72D5" w:rsidRPr="000D72D5" w:rsidRDefault="000D72D5" w:rsidP="00226269">
            <w:pPr>
              <w:rPr>
                <w:sz w:val="20"/>
                <w:szCs w:val="20"/>
                <w:lang w:val="fr-CA"/>
              </w:rPr>
            </w:pPr>
            <w:r w:rsidRPr="000D72D5">
              <w:rPr>
                <w:sz w:val="20"/>
                <w:szCs w:val="20"/>
                <w:lang w:val="fr-CA"/>
              </w:rPr>
              <w:t>Le 24 juillet 2015</w:t>
            </w:r>
          </w:p>
          <w:p w:rsidR="000D72D5" w:rsidRPr="000D72D5" w:rsidRDefault="000D72D5" w:rsidP="00226269">
            <w:pPr>
              <w:rPr>
                <w:sz w:val="20"/>
                <w:szCs w:val="20"/>
                <w:lang w:val="fr-CA"/>
              </w:rPr>
            </w:pPr>
            <w:r w:rsidRPr="000D72D5">
              <w:rPr>
                <w:sz w:val="20"/>
                <w:szCs w:val="20"/>
                <w:lang w:val="fr-CA"/>
              </w:rPr>
              <w:t>Cour d’appel fédérale</w:t>
            </w:r>
          </w:p>
          <w:p w:rsidR="000D72D5" w:rsidRPr="000D72D5" w:rsidRDefault="000D72D5" w:rsidP="00226269">
            <w:pPr>
              <w:rPr>
                <w:sz w:val="20"/>
                <w:szCs w:val="20"/>
                <w:lang w:val="fr-CA"/>
              </w:rPr>
            </w:pPr>
            <w:r w:rsidRPr="000D72D5">
              <w:rPr>
                <w:sz w:val="20"/>
                <w:szCs w:val="20"/>
                <w:lang w:val="fr-CA"/>
              </w:rPr>
              <w:t>(Juges Dawson, Stratas et Scott)</w:t>
            </w:r>
          </w:p>
          <w:p w:rsidR="000D72D5" w:rsidRPr="000D72D5" w:rsidRDefault="000D72D5" w:rsidP="00226269">
            <w:pPr>
              <w:rPr>
                <w:sz w:val="20"/>
                <w:szCs w:val="20"/>
                <w:lang w:val="fr-CA"/>
              </w:rPr>
            </w:pPr>
          </w:p>
        </w:tc>
        <w:tc>
          <w:tcPr>
            <w:tcW w:w="243" w:type="pct"/>
          </w:tcPr>
          <w:p w:rsidR="000D72D5" w:rsidRPr="000D72D5" w:rsidRDefault="000D72D5" w:rsidP="00226269">
            <w:pPr>
              <w:rPr>
                <w:sz w:val="20"/>
                <w:szCs w:val="20"/>
                <w:lang w:val="fr-CA"/>
              </w:rPr>
            </w:pPr>
          </w:p>
        </w:tc>
        <w:tc>
          <w:tcPr>
            <w:tcW w:w="2330" w:type="pct"/>
          </w:tcPr>
          <w:p w:rsidR="000D72D5" w:rsidRPr="000D72D5" w:rsidRDefault="000D72D5" w:rsidP="00226269">
            <w:pPr>
              <w:rPr>
                <w:sz w:val="20"/>
                <w:szCs w:val="20"/>
                <w:lang w:val="fr-CA"/>
              </w:rPr>
            </w:pPr>
            <w:r w:rsidRPr="000D72D5">
              <w:rPr>
                <w:sz w:val="20"/>
                <w:szCs w:val="20"/>
                <w:lang w:val="fr-CA"/>
              </w:rPr>
              <w:t>Rejet de l’appel.</w:t>
            </w:r>
          </w:p>
          <w:p w:rsidR="000D72D5" w:rsidRPr="000D72D5" w:rsidRDefault="000D72D5" w:rsidP="00226269">
            <w:pPr>
              <w:rPr>
                <w:sz w:val="20"/>
                <w:szCs w:val="20"/>
                <w:lang w:val="fr-CA"/>
              </w:rPr>
            </w:pPr>
          </w:p>
        </w:tc>
      </w:tr>
      <w:tr w:rsidR="000D72D5" w:rsidRPr="003A0CC2" w:rsidTr="00226269">
        <w:tc>
          <w:tcPr>
            <w:tcW w:w="2427" w:type="pct"/>
          </w:tcPr>
          <w:p w:rsidR="000D72D5" w:rsidRPr="000D72D5" w:rsidRDefault="000D72D5" w:rsidP="00226269">
            <w:pPr>
              <w:rPr>
                <w:sz w:val="20"/>
                <w:szCs w:val="20"/>
                <w:lang w:val="fr-CA"/>
              </w:rPr>
            </w:pPr>
            <w:r w:rsidRPr="000D72D5">
              <w:rPr>
                <w:sz w:val="20"/>
                <w:szCs w:val="20"/>
                <w:lang w:val="fr-CA"/>
              </w:rPr>
              <w:t>Le 14 octobre 2015</w:t>
            </w:r>
          </w:p>
          <w:p w:rsidR="000D72D5" w:rsidRPr="000D72D5" w:rsidRDefault="000D72D5" w:rsidP="00226269">
            <w:pPr>
              <w:rPr>
                <w:sz w:val="20"/>
                <w:szCs w:val="20"/>
                <w:lang w:val="fr-CA"/>
              </w:rPr>
            </w:pPr>
            <w:r w:rsidRPr="000D72D5">
              <w:rPr>
                <w:sz w:val="20"/>
                <w:szCs w:val="20"/>
                <w:lang w:val="fr-CA"/>
              </w:rPr>
              <w:t>Cour suprême du Canada</w:t>
            </w:r>
          </w:p>
          <w:p w:rsidR="000D72D5" w:rsidRPr="000D72D5" w:rsidRDefault="000D72D5" w:rsidP="00226269">
            <w:pPr>
              <w:rPr>
                <w:sz w:val="20"/>
                <w:szCs w:val="20"/>
                <w:lang w:val="fr-CA"/>
              </w:rPr>
            </w:pPr>
          </w:p>
        </w:tc>
        <w:tc>
          <w:tcPr>
            <w:tcW w:w="243" w:type="pct"/>
          </w:tcPr>
          <w:p w:rsidR="000D72D5" w:rsidRPr="000D72D5" w:rsidRDefault="000D72D5" w:rsidP="00226269">
            <w:pPr>
              <w:rPr>
                <w:sz w:val="20"/>
                <w:szCs w:val="20"/>
                <w:lang w:val="fr-CA"/>
              </w:rPr>
            </w:pPr>
          </w:p>
        </w:tc>
        <w:tc>
          <w:tcPr>
            <w:tcW w:w="2330" w:type="pct"/>
          </w:tcPr>
          <w:p w:rsidR="000D72D5" w:rsidRPr="000D72D5" w:rsidRDefault="000D72D5" w:rsidP="00226269">
            <w:pPr>
              <w:rPr>
                <w:sz w:val="20"/>
                <w:szCs w:val="20"/>
                <w:lang w:val="fr-CA"/>
              </w:rPr>
            </w:pPr>
            <w:r w:rsidRPr="000D72D5">
              <w:rPr>
                <w:sz w:val="20"/>
                <w:szCs w:val="20"/>
                <w:lang w:val="fr-CA"/>
              </w:rPr>
              <w:t xml:space="preserve">Dépôt de la requête en prorogation du délai de signification et de dépôt de la demande d’autorisation d’appel et dépôt de la demande d’autorisation d’appel. </w:t>
            </w:r>
          </w:p>
        </w:tc>
      </w:tr>
    </w:tbl>
    <w:p w:rsidR="000E2959" w:rsidRPr="000D72D5" w:rsidRDefault="003A0CC2" w:rsidP="000E2959">
      <w:pPr>
        <w:rPr>
          <w:sz w:val="20"/>
          <w:szCs w:val="20"/>
        </w:rPr>
      </w:pPr>
      <w:r>
        <w:rPr>
          <w:sz w:val="20"/>
          <w:szCs w:val="20"/>
          <w:lang w:val="fr-CA"/>
        </w:rPr>
        <w:pict>
          <v:rect id="_x0000_i1038"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5C0071" w:rsidRDefault="00890FEB" w:rsidP="00890FEB">
      <w:pPr>
        <w:rPr>
          <w:rFonts w:cs="Times New Roman"/>
          <w:sz w:val="20"/>
          <w:szCs w:val="20"/>
        </w:rPr>
      </w:pPr>
    </w:p>
    <w:p w:rsidR="005C0071" w:rsidRPr="005C0071" w:rsidRDefault="005C0071" w:rsidP="005C0071">
      <w:pPr>
        <w:tabs>
          <w:tab w:val="left" w:pos="-1440"/>
          <w:tab w:val="left" w:pos="-720"/>
        </w:tabs>
        <w:jc w:val="both"/>
        <w:rPr>
          <w:rFonts w:cs="Times New Roman"/>
          <w:sz w:val="20"/>
          <w:szCs w:val="20"/>
          <w:lang w:val="fr-CA"/>
        </w:rPr>
      </w:pPr>
      <w:r w:rsidRPr="005C0071">
        <w:rPr>
          <w:rFonts w:cs="Times New Roman"/>
          <w:sz w:val="20"/>
          <w:szCs w:val="20"/>
          <w:lang w:val="fr-CA"/>
        </w:rPr>
        <w:t>21.03.2016</w:t>
      </w:r>
    </w:p>
    <w:p w:rsidR="005C0071" w:rsidRPr="005C0071" w:rsidRDefault="005C0071" w:rsidP="005C0071">
      <w:pPr>
        <w:tabs>
          <w:tab w:val="left" w:pos="-1440"/>
          <w:tab w:val="left" w:pos="-720"/>
        </w:tabs>
        <w:jc w:val="both"/>
        <w:rPr>
          <w:rFonts w:cs="Times New Roman"/>
          <w:sz w:val="20"/>
          <w:szCs w:val="20"/>
          <w:lang w:val="fr-CA"/>
        </w:rPr>
      </w:pPr>
    </w:p>
    <w:p w:rsidR="005C0071" w:rsidRPr="005C0071" w:rsidRDefault="005C0071" w:rsidP="005C0071">
      <w:pPr>
        <w:tabs>
          <w:tab w:val="left" w:pos="-1440"/>
          <w:tab w:val="left" w:pos="-720"/>
        </w:tabs>
        <w:jc w:val="both"/>
        <w:rPr>
          <w:rFonts w:cs="Times New Roman"/>
          <w:sz w:val="20"/>
          <w:szCs w:val="20"/>
          <w:lang w:val="fr-CA"/>
        </w:rPr>
      </w:pPr>
      <w:r w:rsidRPr="005C0071">
        <w:rPr>
          <w:rFonts w:cs="Times New Roman"/>
          <w:sz w:val="20"/>
          <w:szCs w:val="20"/>
          <w:lang w:val="fr-CA"/>
        </w:rPr>
        <w:t>Before / Devant :   THE CHIEF JUSTICE / LA JUGE EN CHEF</w:t>
      </w:r>
    </w:p>
    <w:p w:rsidR="005C0071" w:rsidRPr="005C0071" w:rsidRDefault="005C0071" w:rsidP="005C0071">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5C0071" w:rsidRPr="003A0CC2" w:rsidTr="00226269">
        <w:trPr>
          <w:trHeight w:val="151"/>
        </w:trPr>
        <w:tc>
          <w:tcPr>
            <w:tcW w:w="4338" w:type="dxa"/>
          </w:tcPr>
          <w:p w:rsidR="005C0071" w:rsidRPr="005C0071" w:rsidRDefault="005C0071" w:rsidP="00226269">
            <w:pPr>
              <w:tabs>
                <w:tab w:val="left" w:pos="-1440"/>
                <w:tab w:val="left" w:pos="-720"/>
              </w:tabs>
              <w:jc w:val="both"/>
              <w:rPr>
                <w:rFonts w:cs="Times New Roman"/>
                <w:sz w:val="20"/>
                <w:szCs w:val="20"/>
                <w:lang w:val="fr-CA"/>
              </w:rPr>
            </w:pPr>
            <w:r w:rsidRPr="005C0071">
              <w:rPr>
                <w:rFonts w:cs="Times New Roman"/>
                <w:b/>
                <w:bCs/>
                <w:sz w:val="20"/>
                <w:szCs w:val="20"/>
                <w:lang w:val="en-GB"/>
              </w:rPr>
              <w:t>Motion to state constitutional questions</w:t>
            </w:r>
            <w:r w:rsidRPr="005C0071">
              <w:rPr>
                <w:rFonts w:cs="Times New Roman"/>
                <w:sz w:val="20"/>
                <w:szCs w:val="20"/>
              </w:rPr>
              <w:t xml:space="preserve"> </w:t>
            </w:r>
            <w:r w:rsidRPr="005C0071">
              <w:rPr>
                <w:rFonts w:cs="Times New Roman"/>
                <w:sz w:val="20"/>
                <w:szCs w:val="20"/>
              </w:rPr>
              <w:fldChar w:fldCharType="begin"/>
            </w:r>
            <w:r w:rsidRPr="005C0071">
              <w:rPr>
                <w:rFonts w:cs="Times New Roman"/>
                <w:sz w:val="20"/>
                <w:szCs w:val="20"/>
                <w:lang w:val="fr-CA"/>
              </w:rPr>
              <w:instrText xml:space="preserve"> SEQ CHAPTER \h \r 1</w:instrText>
            </w:r>
            <w:r w:rsidRPr="005C0071">
              <w:rPr>
                <w:rFonts w:cs="Times New Roman"/>
                <w:sz w:val="20"/>
                <w:szCs w:val="20"/>
              </w:rPr>
              <w:fldChar w:fldCharType="end"/>
            </w:r>
          </w:p>
        </w:tc>
        <w:tc>
          <w:tcPr>
            <w:tcW w:w="1170" w:type="dxa"/>
          </w:tcPr>
          <w:p w:rsidR="005C0071" w:rsidRPr="005C0071" w:rsidRDefault="005C0071" w:rsidP="00226269">
            <w:pPr>
              <w:jc w:val="both"/>
              <w:rPr>
                <w:rFonts w:cs="Times New Roman"/>
                <w:sz w:val="20"/>
                <w:szCs w:val="20"/>
                <w:lang w:val="fr-CA"/>
              </w:rPr>
            </w:pPr>
          </w:p>
          <w:p w:rsidR="005C0071" w:rsidRPr="005C0071" w:rsidRDefault="005C0071" w:rsidP="00226269">
            <w:pPr>
              <w:jc w:val="both"/>
              <w:rPr>
                <w:rFonts w:cs="Times New Roman"/>
                <w:sz w:val="20"/>
                <w:szCs w:val="20"/>
                <w:lang w:val="fr-CA"/>
              </w:rPr>
            </w:pPr>
          </w:p>
        </w:tc>
        <w:tc>
          <w:tcPr>
            <w:tcW w:w="4327" w:type="dxa"/>
          </w:tcPr>
          <w:p w:rsidR="005C0071" w:rsidRPr="005C0071" w:rsidRDefault="005C0071" w:rsidP="00226269">
            <w:pPr>
              <w:jc w:val="both"/>
              <w:rPr>
                <w:rFonts w:cs="Times New Roman"/>
                <w:b/>
                <w:sz w:val="20"/>
                <w:szCs w:val="20"/>
                <w:lang w:val="fr-CA"/>
              </w:rPr>
            </w:pPr>
            <w:r w:rsidRPr="005C0071">
              <w:rPr>
                <w:rFonts w:cs="Times New Roman"/>
                <w:b/>
                <w:bCs/>
                <w:sz w:val="20"/>
                <w:szCs w:val="20"/>
                <w:lang w:val="fr-CA"/>
              </w:rPr>
              <w:t>Requête en formulation de questions constitutionnelles</w:t>
            </w:r>
            <w:r w:rsidRPr="005C0071">
              <w:rPr>
                <w:rFonts w:cs="Times New Roman"/>
                <w:b/>
                <w:sz w:val="20"/>
                <w:szCs w:val="20"/>
                <w:lang w:val="fr-CA"/>
              </w:rPr>
              <w:t xml:space="preserve"> </w:t>
            </w:r>
            <w:r w:rsidRPr="005C0071">
              <w:rPr>
                <w:rFonts w:cs="Times New Roman"/>
                <w:b/>
                <w:sz w:val="20"/>
                <w:szCs w:val="20"/>
              </w:rPr>
              <w:fldChar w:fldCharType="begin"/>
            </w:r>
            <w:r w:rsidRPr="005C0071">
              <w:rPr>
                <w:rFonts w:cs="Times New Roman"/>
                <w:b/>
                <w:sz w:val="20"/>
                <w:szCs w:val="20"/>
                <w:lang w:val="fr-CA"/>
              </w:rPr>
              <w:instrText xml:space="preserve"> SEQ CHAPTER \h \r 1</w:instrText>
            </w:r>
            <w:r w:rsidRPr="005C0071">
              <w:rPr>
                <w:rFonts w:cs="Times New Roman"/>
                <w:b/>
                <w:sz w:val="20"/>
                <w:szCs w:val="20"/>
              </w:rPr>
              <w:fldChar w:fldCharType="end"/>
            </w:r>
            <w:r w:rsidRPr="005C0071">
              <w:rPr>
                <w:rFonts w:cs="Times New Roman"/>
                <w:b/>
                <w:sz w:val="20"/>
                <w:szCs w:val="20"/>
              </w:rPr>
              <w:fldChar w:fldCharType="begin"/>
            </w:r>
            <w:r w:rsidRPr="005C0071">
              <w:rPr>
                <w:rFonts w:cs="Times New Roman"/>
                <w:b/>
                <w:sz w:val="20"/>
                <w:szCs w:val="20"/>
                <w:lang w:val="fr-CA"/>
              </w:rPr>
              <w:instrText xml:space="preserve"> SEQ CHAPTER \h \r 1</w:instrText>
            </w:r>
            <w:r w:rsidRPr="005C0071">
              <w:rPr>
                <w:rFonts w:cs="Times New Roman"/>
                <w:b/>
                <w:sz w:val="20"/>
                <w:szCs w:val="20"/>
              </w:rPr>
              <w:fldChar w:fldCharType="end"/>
            </w:r>
          </w:p>
        </w:tc>
      </w:tr>
      <w:tr w:rsidR="005C0071" w:rsidRPr="005C0071" w:rsidTr="00226269">
        <w:trPr>
          <w:trHeight w:val="150"/>
        </w:trPr>
        <w:tc>
          <w:tcPr>
            <w:tcW w:w="4338" w:type="dxa"/>
          </w:tcPr>
          <w:p w:rsidR="005C0071" w:rsidRPr="005C0071" w:rsidRDefault="005C0071" w:rsidP="00226269">
            <w:pPr>
              <w:tabs>
                <w:tab w:val="left" w:pos="-1440"/>
                <w:tab w:val="left" w:pos="-720"/>
              </w:tabs>
              <w:jc w:val="both"/>
              <w:rPr>
                <w:rFonts w:cs="Times New Roman"/>
                <w:sz w:val="20"/>
                <w:szCs w:val="20"/>
              </w:rPr>
            </w:pPr>
            <w:r w:rsidRPr="005C0071">
              <w:rPr>
                <w:rFonts w:cs="Times New Roman"/>
                <w:sz w:val="20"/>
                <w:szCs w:val="20"/>
              </w:rPr>
              <w:t>British Columbia Teachers’ Federation, on behalf of all members of the British Columbia Teachers’ Federation</w:t>
            </w:r>
          </w:p>
          <w:p w:rsidR="005C0071" w:rsidRPr="005C0071" w:rsidRDefault="005C0071" w:rsidP="00226269">
            <w:pPr>
              <w:tabs>
                <w:tab w:val="left" w:pos="-1440"/>
                <w:tab w:val="left" w:pos="-720"/>
              </w:tabs>
              <w:jc w:val="both"/>
              <w:rPr>
                <w:rFonts w:cs="Times New Roman"/>
                <w:sz w:val="20"/>
                <w:szCs w:val="20"/>
              </w:rPr>
            </w:pPr>
          </w:p>
          <w:p w:rsidR="005C0071" w:rsidRPr="005C0071" w:rsidRDefault="005C0071" w:rsidP="00226269">
            <w:pPr>
              <w:tabs>
                <w:tab w:val="left" w:pos="-1440"/>
                <w:tab w:val="left" w:pos="-720"/>
              </w:tabs>
              <w:jc w:val="both"/>
              <w:rPr>
                <w:rFonts w:cs="Times New Roman"/>
                <w:sz w:val="20"/>
                <w:szCs w:val="20"/>
              </w:rPr>
            </w:pPr>
            <w:r w:rsidRPr="005C0071">
              <w:rPr>
                <w:rFonts w:cs="Times New Roman"/>
                <w:sz w:val="20"/>
                <w:szCs w:val="20"/>
              </w:rPr>
              <w:tab/>
              <w:t>v. (36500)</w:t>
            </w:r>
          </w:p>
          <w:p w:rsidR="005C0071" w:rsidRPr="005C0071" w:rsidRDefault="005C0071" w:rsidP="00226269">
            <w:pPr>
              <w:tabs>
                <w:tab w:val="left" w:pos="-1440"/>
                <w:tab w:val="left" w:pos="-720"/>
              </w:tabs>
              <w:jc w:val="both"/>
              <w:rPr>
                <w:rFonts w:cs="Times New Roman"/>
                <w:sz w:val="20"/>
                <w:szCs w:val="20"/>
              </w:rPr>
            </w:pPr>
          </w:p>
          <w:p w:rsidR="005C0071" w:rsidRPr="005C0071" w:rsidRDefault="005C0071" w:rsidP="00226269">
            <w:pPr>
              <w:tabs>
                <w:tab w:val="left" w:pos="-1440"/>
                <w:tab w:val="left" w:pos="-720"/>
              </w:tabs>
              <w:jc w:val="both"/>
              <w:rPr>
                <w:rFonts w:cs="Times New Roman"/>
                <w:sz w:val="20"/>
                <w:szCs w:val="20"/>
              </w:rPr>
            </w:pPr>
            <w:r w:rsidRPr="005C0071">
              <w:rPr>
                <w:rFonts w:cs="Times New Roman"/>
                <w:sz w:val="20"/>
                <w:szCs w:val="20"/>
              </w:rPr>
              <w:t xml:space="preserve">Her Majesty the Queen in Right of the Province of British Columbia (B.C.) </w:t>
            </w:r>
          </w:p>
        </w:tc>
        <w:tc>
          <w:tcPr>
            <w:tcW w:w="1170" w:type="dxa"/>
          </w:tcPr>
          <w:p w:rsidR="005C0071" w:rsidRPr="005C0071" w:rsidRDefault="005C0071" w:rsidP="00226269">
            <w:pPr>
              <w:jc w:val="both"/>
              <w:rPr>
                <w:rFonts w:cs="Times New Roman"/>
                <w:sz w:val="20"/>
                <w:szCs w:val="20"/>
              </w:rPr>
            </w:pPr>
          </w:p>
        </w:tc>
        <w:tc>
          <w:tcPr>
            <w:tcW w:w="4327" w:type="dxa"/>
          </w:tcPr>
          <w:p w:rsidR="005C0071" w:rsidRPr="005C0071" w:rsidRDefault="005C0071" w:rsidP="00226269">
            <w:pPr>
              <w:jc w:val="both"/>
              <w:rPr>
                <w:rFonts w:cs="Times New Roman"/>
                <w:sz w:val="20"/>
                <w:szCs w:val="20"/>
              </w:rPr>
            </w:pPr>
          </w:p>
        </w:tc>
      </w:tr>
    </w:tbl>
    <w:p w:rsidR="005C0071" w:rsidRPr="005C0071" w:rsidRDefault="005C0071" w:rsidP="005C0071">
      <w:pPr>
        <w:tabs>
          <w:tab w:val="left" w:pos="-1440"/>
          <w:tab w:val="left" w:pos="-720"/>
        </w:tabs>
        <w:jc w:val="both"/>
        <w:rPr>
          <w:rFonts w:cs="Times New Roman"/>
          <w:sz w:val="20"/>
          <w:szCs w:val="20"/>
        </w:rPr>
      </w:pPr>
    </w:p>
    <w:p w:rsidR="005C0071" w:rsidRPr="005C0071" w:rsidRDefault="005C0071" w:rsidP="005C0071">
      <w:pPr>
        <w:tabs>
          <w:tab w:val="left" w:pos="-1440"/>
          <w:tab w:val="left" w:pos="-720"/>
        </w:tabs>
        <w:jc w:val="both"/>
        <w:rPr>
          <w:rFonts w:cs="Times New Roman"/>
          <w:b/>
          <w:sz w:val="20"/>
          <w:szCs w:val="20"/>
        </w:rPr>
      </w:pPr>
      <w:r w:rsidRPr="005C0071">
        <w:rPr>
          <w:rFonts w:cs="Times New Roman"/>
          <w:b/>
          <w:sz w:val="20"/>
          <w:szCs w:val="20"/>
        </w:rPr>
        <w:t>GRANTED / ACCORDÉE</w:t>
      </w:r>
    </w:p>
    <w:p w:rsidR="005C0071" w:rsidRPr="005C0071" w:rsidRDefault="005C0071" w:rsidP="005C0071">
      <w:pPr>
        <w:tabs>
          <w:tab w:val="left" w:pos="-1440"/>
          <w:tab w:val="left" w:pos="-720"/>
        </w:tabs>
        <w:jc w:val="both"/>
        <w:rPr>
          <w:rFonts w:cs="Times New Roman"/>
          <w:sz w:val="20"/>
          <w:szCs w:val="20"/>
        </w:rPr>
      </w:pPr>
    </w:p>
    <w:p w:rsidR="005C0071" w:rsidRPr="005C0071" w:rsidRDefault="005C0071" w:rsidP="005C0071">
      <w:pPr>
        <w:rPr>
          <w:rFonts w:cs="Times New Roman"/>
          <w:sz w:val="20"/>
          <w:szCs w:val="20"/>
        </w:rPr>
      </w:pPr>
      <w:r w:rsidRPr="005C0071">
        <w:rPr>
          <w:rFonts w:cs="Times New Roman"/>
          <w:b/>
          <w:bCs/>
          <w:sz w:val="20"/>
          <w:szCs w:val="20"/>
        </w:rPr>
        <w:t>UPON APPLICATION</w:t>
      </w:r>
      <w:r w:rsidRPr="005C0071">
        <w:rPr>
          <w:rFonts w:cs="Times New Roman"/>
          <w:sz w:val="20"/>
          <w:szCs w:val="20"/>
        </w:rPr>
        <w:t xml:space="preserve"> by the appellant </w:t>
      </w:r>
      <w:r w:rsidRPr="005C0071">
        <w:rPr>
          <w:rFonts w:cs="Times New Roman"/>
          <w:sz w:val="20"/>
          <w:szCs w:val="20"/>
        </w:rPr>
        <w:fldChar w:fldCharType="begin"/>
      </w:r>
      <w:r w:rsidRPr="005C0071">
        <w:rPr>
          <w:rFonts w:cs="Times New Roman"/>
          <w:sz w:val="20"/>
          <w:szCs w:val="20"/>
        </w:rPr>
        <w:instrText xml:space="preserve"> SEQ CHAPTER \h \r 1</w:instrText>
      </w:r>
      <w:r w:rsidRPr="005C0071">
        <w:rPr>
          <w:rFonts w:cs="Times New Roman"/>
          <w:sz w:val="20"/>
          <w:szCs w:val="20"/>
        </w:rPr>
        <w:fldChar w:fldCharType="end"/>
      </w:r>
      <w:r w:rsidRPr="005C0071">
        <w:rPr>
          <w:rFonts w:cs="Times New Roman"/>
          <w:sz w:val="20"/>
          <w:szCs w:val="20"/>
        </w:rPr>
        <w:t>for an order stating constitutional questions in the above appeal;</w:t>
      </w:r>
    </w:p>
    <w:p w:rsidR="005C0071" w:rsidRPr="005C0071" w:rsidRDefault="005C0071" w:rsidP="005C0071">
      <w:pPr>
        <w:rPr>
          <w:rFonts w:cs="Times New Roman"/>
          <w:sz w:val="20"/>
          <w:szCs w:val="20"/>
        </w:rPr>
      </w:pPr>
    </w:p>
    <w:p w:rsidR="005C0071" w:rsidRPr="005C0071" w:rsidRDefault="005C0071" w:rsidP="005C0071">
      <w:pPr>
        <w:rPr>
          <w:rFonts w:cs="Times New Roman"/>
          <w:sz w:val="20"/>
          <w:szCs w:val="20"/>
        </w:rPr>
      </w:pPr>
      <w:r w:rsidRPr="005C0071">
        <w:rPr>
          <w:rFonts w:cs="Times New Roman"/>
          <w:b/>
          <w:bCs/>
          <w:sz w:val="20"/>
          <w:szCs w:val="20"/>
        </w:rPr>
        <w:t>AND THE MATERIAL FILED</w:t>
      </w:r>
      <w:r w:rsidRPr="005C0071">
        <w:rPr>
          <w:rFonts w:cs="Times New Roman"/>
          <w:sz w:val="20"/>
          <w:szCs w:val="20"/>
        </w:rPr>
        <w:t xml:space="preserve"> having been read;</w:t>
      </w:r>
    </w:p>
    <w:p w:rsidR="005C0071" w:rsidRPr="005C0071" w:rsidRDefault="005C0071" w:rsidP="005C0071">
      <w:pPr>
        <w:rPr>
          <w:rFonts w:cs="Times New Roman"/>
          <w:sz w:val="20"/>
          <w:szCs w:val="20"/>
        </w:rPr>
      </w:pPr>
    </w:p>
    <w:p w:rsidR="005C0071" w:rsidRPr="005C0071" w:rsidRDefault="005C0071" w:rsidP="005C0071">
      <w:pPr>
        <w:rPr>
          <w:rFonts w:cs="Times New Roman"/>
          <w:bCs/>
          <w:sz w:val="20"/>
          <w:szCs w:val="20"/>
        </w:rPr>
      </w:pPr>
      <w:r w:rsidRPr="005C0071">
        <w:rPr>
          <w:rFonts w:cs="Times New Roman"/>
          <w:b/>
          <w:bCs/>
          <w:sz w:val="20"/>
          <w:szCs w:val="20"/>
        </w:rPr>
        <w:t>IT IS HEREBY ORDERED THAT THE CONSTITUTIONAL QUESTIONS BE STATED AS FOLLOWS:</w:t>
      </w:r>
    </w:p>
    <w:p w:rsidR="005C0071" w:rsidRPr="005C0071" w:rsidRDefault="005C0071" w:rsidP="005C0071">
      <w:pPr>
        <w:rPr>
          <w:rFonts w:cs="Times New Roman"/>
          <w:bCs/>
          <w:sz w:val="20"/>
          <w:szCs w:val="20"/>
        </w:rPr>
      </w:pPr>
    </w:p>
    <w:p w:rsidR="005C0071" w:rsidRPr="005C0071" w:rsidRDefault="005C0071" w:rsidP="005C0071">
      <w:pPr>
        <w:pStyle w:val="ListParagraph"/>
        <w:numPr>
          <w:ilvl w:val="0"/>
          <w:numId w:val="10"/>
        </w:numPr>
        <w:contextualSpacing w:val="0"/>
        <w:rPr>
          <w:rFonts w:cs="Times New Roman"/>
          <w:color w:val="1A1A1A"/>
          <w:sz w:val="20"/>
          <w:szCs w:val="20"/>
        </w:rPr>
      </w:pPr>
      <w:r w:rsidRPr="005C0071">
        <w:rPr>
          <w:rFonts w:cs="Times New Roman"/>
          <w:color w:val="1A1A1A"/>
          <w:sz w:val="20"/>
          <w:szCs w:val="20"/>
        </w:rPr>
        <w:t xml:space="preserve">Do sections 8, 13 and 24 of the </w:t>
      </w:r>
      <w:r w:rsidRPr="005C0071">
        <w:rPr>
          <w:rFonts w:cs="Times New Roman"/>
          <w:i/>
          <w:iCs/>
          <w:sz w:val="20"/>
          <w:szCs w:val="20"/>
        </w:rPr>
        <w:t>Education Improvement Act</w:t>
      </w:r>
      <w:r w:rsidRPr="005C0071">
        <w:rPr>
          <w:rFonts w:cs="Times New Roman"/>
          <w:color w:val="1A1A1A"/>
          <w:sz w:val="20"/>
          <w:szCs w:val="20"/>
        </w:rPr>
        <w:t xml:space="preserve">, S.B.C. 2012, c. 3, infringe section 2(d) of the </w:t>
      </w:r>
      <w:r w:rsidRPr="005C0071">
        <w:rPr>
          <w:rFonts w:cs="Times New Roman"/>
          <w:i/>
          <w:color w:val="1A1A1A"/>
          <w:sz w:val="20"/>
          <w:szCs w:val="20"/>
        </w:rPr>
        <w:t>Canadian Charter of Rights and Freedoms</w:t>
      </w:r>
      <w:r w:rsidRPr="005C0071">
        <w:rPr>
          <w:rFonts w:cs="Times New Roman"/>
          <w:color w:val="1A1A1A"/>
          <w:sz w:val="20"/>
          <w:szCs w:val="20"/>
        </w:rPr>
        <w:t xml:space="preserve">? </w:t>
      </w:r>
    </w:p>
    <w:p w:rsidR="005C0071" w:rsidRPr="005C0071" w:rsidRDefault="005C0071" w:rsidP="005C0071">
      <w:pPr>
        <w:pStyle w:val="ListParagraph"/>
        <w:contextualSpacing w:val="0"/>
        <w:rPr>
          <w:rFonts w:cs="Times New Roman"/>
          <w:color w:val="1A1A1A"/>
          <w:sz w:val="20"/>
          <w:szCs w:val="20"/>
        </w:rPr>
      </w:pPr>
    </w:p>
    <w:p w:rsidR="005C0071" w:rsidRPr="005C0071" w:rsidRDefault="005C0071" w:rsidP="005C0071">
      <w:pPr>
        <w:pStyle w:val="ListParagraph"/>
        <w:numPr>
          <w:ilvl w:val="0"/>
          <w:numId w:val="10"/>
        </w:numPr>
        <w:contextualSpacing w:val="0"/>
        <w:rPr>
          <w:rFonts w:cs="Times New Roman"/>
          <w:color w:val="1A1A1A"/>
          <w:sz w:val="20"/>
          <w:szCs w:val="20"/>
        </w:rPr>
      </w:pPr>
      <w:r w:rsidRPr="005C0071">
        <w:rPr>
          <w:rFonts w:cs="Times New Roman"/>
          <w:color w:val="1A1A1A"/>
          <w:sz w:val="20"/>
          <w:szCs w:val="20"/>
        </w:rPr>
        <w:t xml:space="preserve">If so, are the infringements reasonable limits prescribed by law as can be demonstrably justified in a free and democratic society under section 1 of the </w:t>
      </w:r>
      <w:r w:rsidRPr="005C0071">
        <w:rPr>
          <w:rFonts w:cs="Times New Roman"/>
          <w:i/>
          <w:color w:val="1A1A1A"/>
          <w:sz w:val="20"/>
          <w:szCs w:val="20"/>
        </w:rPr>
        <w:t>Canadian Charter of Rights and Freedoms</w:t>
      </w:r>
      <w:r w:rsidRPr="005C0071">
        <w:rPr>
          <w:rFonts w:cs="Times New Roman"/>
          <w:color w:val="1A1A1A"/>
          <w:sz w:val="20"/>
          <w:szCs w:val="20"/>
        </w:rPr>
        <w:t>?</w:t>
      </w:r>
    </w:p>
    <w:p w:rsidR="005C0071" w:rsidRPr="005C0071" w:rsidRDefault="005C0071" w:rsidP="005C0071">
      <w:pPr>
        <w:pStyle w:val="ListParagraph"/>
        <w:contextualSpacing w:val="0"/>
        <w:rPr>
          <w:rFonts w:cs="Times New Roman"/>
          <w:color w:val="1A1A1A"/>
          <w:sz w:val="20"/>
          <w:szCs w:val="20"/>
        </w:rPr>
      </w:pPr>
    </w:p>
    <w:p w:rsidR="005C0071" w:rsidRPr="005C0071" w:rsidRDefault="005C0071" w:rsidP="005C0071">
      <w:pPr>
        <w:rPr>
          <w:rFonts w:cs="Times New Roman"/>
          <w:sz w:val="20"/>
          <w:szCs w:val="20"/>
        </w:rPr>
      </w:pPr>
      <w:r w:rsidRPr="005C0071">
        <w:rPr>
          <w:rFonts w:cs="Times New Roman"/>
          <w:sz w:val="20"/>
          <w:szCs w:val="20"/>
        </w:rPr>
        <w:t xml:space="preserve">Any attorney general who intervenes pursuant to par. 61(4) of the </w:t>
      </w:r>
      <w:r w:rsidRPr="005C0071">
        <w:rPr>
          <w:rFonts w:cs="Times New Roman"/>
          <w:i/>
          <w:sz w:val="20"/>
          <w:szCs w:val="20"/>
        </w:rPr>
        <w:t>Rules of the Supreme Court of Canada</w:t>
      </w:r>
      <w:r w:rsidRPr="005C0071">
        <w:rPr>
          <w:rFonts w:cs="Times New Roman"/>
          <w:sz w:val="20"/>
          <w:szCs w:val="20"/>
        </w:rPr>
        <w:t xml:space="preserve"> shall pay the appellant and respondent the costs of any additional disbursements they incur as a result of the intervention.</w:t>
      </w:r>
    </w:p>
    <w:p w:rsidR="005C0071" w:rsidRPr="005C0071" w:rsidRDefault="005C0071" w:rsidP="005C0071">
      <w:pPr>
        <w:rPr>
          <w:rFonts w:cs="Times New Roman"/>
          <w:b/>
          <w:bCs/>
          <w:sz w:val="20"/>
          <w:szCs w:val="20"/>
        </w:rPr>
      </w:pPr>
    </w:p>
    <w:p w:rsidR="005C0071" w:rsidRPr="005C0071" w:rsidRDefault="005C0071" w:rsidP="005C0071">
      <w:pPr>
        <w:rPr>
          <w:rFonts w:cs="Times New Roman"/>
          <w:b/>
          <w:bCs/>
          <w:sz w:val="20"/>
          <w:szCs w:val="20"/>
        </w:rPr>
      </w:pPr>
    </w:p>
    <w:p w:rsidR="005C0071" w:rsidRPr="005C0071" w:rsidRDefault="005C0071" w:rsidP="005C0071">
      <w:pPr>
        <w:rPr>
          <w:rFonts w:cs="Times New Roman"/>
          <w:b/>
          <w:bCs/>
          <w:sz w:val="20"/>
          <w:szCs w:val="20"/>
        </w:rPr>
      </w:pPr>
    </w:p>
    <w:p w:rsidR="005C0071" w:rsidRPr="005C0071" w:rsidRDefault="005C0071" w:rsidP="005C0071">
      <w:pPr>
        <w:rPr>
          <w:rFonts w:cs="Times New Roman"/>
          <w:sz w:val="20"/>
          <w:szCs w:val="20"/>
          <w:lang w:val="fr-CA"/>
        </w:rPr>
      </w:pPr>
      <w:r w:rsidRPr="005C0071">
        <w:rPr>
          <w:rFonts w:cs="Times New Roman"/>
          <w:b/>
          <w:bCs/>
          <w:sz w:val="20"/>
          <w:szCs w:val="20"/>
          <w:lang w:val="fr-CA"/>
        </w:rPr>
        <w:t>À LA SUITE DE LA DEMANDE</w:t>
      </w:r>
      <w:r w:rsidRPr="005C0071">
        <w:rPr>
          <w:rFonts w:cs="Times New Roman"/>
          <w:sz w:val="20"/>
          <w:szCs w:val="20"/>
          <w:lang w:val="fr-CA"/>
        </w:rPr>
        <w:t xml:space="preserve"> de l’appelante visant à obtenir la formulation de questions constitutionnelles dans l’appel susmentionné;</w:t>
      </w:r>
    </w:p>
    <w:p w:rsidR="005C0071" w:rsidRPr="005C0071" w:rsidRDefault="005C0071" w:rsidP="005C0071">
      <w:pPr>
        <w:rPr>
          <w:rFonts w:cs="Times New Roman"/>
          <w:sz w:val="20"/>
          <w:szCs w:val="20"/>
          <w:lang w:val="fr-CA"/>
        </w:rPr>
      </w:pPr>
    </w:p>
    <w:p w:rsidR="005C0071" w:rsidRPr="005C0071" w:rsidRDefault="005C0071" w:rsidP="005C0071">
      <w:pPr>
        <w:rPr>
          <w:rFonts w:cs="Times New Roman"/>
          <w:sz w:val="20"/>
          <w:szCs w:val="20"/>
          <w:lang w:val="fr-CA"/>
        </w:rPr>
      </w:pPr>
      <w:r w:rsidRPr="005C0071">
        <w:rPr>
          <w:rFonts w:cs="Times New Roman"/>
          <w:b/>
          <w:bCs/>
          <w:sz w:val="20"/>
          <w:szCs w:val="20"/>
          <w:lang w:val="fr-CA"/>
        </w:rPr>
        <w:t>ET APRÈS AVOIR LU</w:t>
      </w:r>
      <w:r w:rsidRPr="005C0071">
        <w:rPr>
          <w:rFonts w:cs="Times New Roman"/>
          <w:sz w:val="20"/>
          <w:szCs w:val="20"/>
          <w:lang w:val="fr-CA"/>
        </w:rPr>
        <w:t xml:space="preserve"> la documentation déposée,</w:t>
      </w:r>
    </w:p>
    <w:p w:rsidR="005C0071" w:rsidRPr="005C0071" w:rsidRDefault="005C0071" w:rsidP="005C0071">
      <w:pPr>
        <w:rPr>
          <w:rFonts w:cs="Times New Roman"/>
          <w:sz w:val="20"/>
          <w:szCs w:val="20"/>
          <w:lang w:val="fr-CA"/>
        </w:rPr>
      </w:pPr>
    </w:p>
    <w:p w:rsidR="005C0071" w:rsidRPr="005C0071" w:rsidRDefault="005C0071" w:rsidP="005C0071">
      <w:pPr>
        <w:rPr>
          <w:rFonts w:cs="Times New Roman"/>
          <w:b/>
          <w:bCs/>
          <w:sz w:val="20"/>
          <w:szCs w:val="20"/>
          <w:lang w:val="fr-CA"/>
        </w:rPr>
      </w:pPr>
      <w:r w:rsidRPr="005C0071">
        <w:rPr>
          <w:rFonts w:cs="Times New Roman"/>
          <w:b/>
          <w:bCs/>
          <w:sz w:val="20"/>
          <w:szCs w:val="20"/>
          <w:lang w:val="fr-CA"/>
        </w:rPr>
        <w:t>LES QUESTIONS CONSTITUTIONNELLES SUIVANTES SONT FORMULÉES :</w:t>
      </w:r>
    </w:p>
    <w:p w:rsidR="005C0071" w:rsidRPr="005C0071" w:rsidRDefault="005C0071" w:rsidP="005C0071">
      <w:pPr>
        <w:rPr>
          <w:rFonts w:cs="Times New Roman"/>
          <w:b/>
          <w:bCs/>
          <w:sz w:val="20"/>
          <w:szCs w:val="20"/>
          <w:lang w:val="fr-CA"/>
        </w:rPr>
      </w:pPr>
    </w:p>
    <w:p w:rsidR="005C0071" w:rsidRPr="005C0071" w:rsidRDefault="005C0071" w:rsidP="005C0071">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color w:val="1A1A1A"/>
          <w:sz w:val="20"/>
          <w:szCs w:val="20"/>
          <w:lang w:val="fr-CA"/>
        </w:rPr>
      </w:pPr>
      <w:r w:rsidRPr="005C0071">
        <w:rPr>
          <w:rFonts w:cs="Times New Roman"/>
          <w:sz w:val="20"/>
          <w:szCs w:val="20"/>
          <w:lang w:val="fr-CA"/>
        </w:rPr>
        <w:t xml:space="preserve">Les articles 8, 13 et 24 de la </w:t>
      </w:r>
      <w:r w:rsidRPr="005C0071">
        <w:rPr>
          <w:rFonts w:cs="Times New Roman"/>
          <w:i/>
          <w:sz w:val="20"/>
          <w:szCs w:val="20"/>
          <w:lang w:val="fr-CA"/>
        </w:rPr>
        <w:t>Education Improvement Act</w:t>
      </w:r>
      <w:r w:rsidRPr="005C0071">
        <w:rPr>
          <w:rFonts w:cs="Times New Roman"/>
          <w:sz w:val="20"/>
          <w:szCs w:val="20"/>
          <w:lang w:val="fr-CA"/>
        </w:rPr>
        <w:t>, S.B.C. 2012, c. 3, portent-ils atteinte à l’alinéa 2(d) de la</w:t>
      </w:r>
      <w:r w:rsidRPr="005C0071">
        <w:rPr>
          <w:rFonts w:cs="Times New Roman"/>
          <w:color w:val="1F497D"/>
          <w:sz w:val="20"/>
          <w:szCs w:val="20"/>
          <w:lang w:val="fr-CA"/>
        </w:rPr>
        <w:t xml:space="preserve"> </w:t>
      </w:r>
      <w:r w:rsidRPr="005C0071">
        <w:rPr>
          <w:rFonts w:cs="Times New Roman"/>
          <w:i/>
          <w:color w:val="1A1A1A"/>
          <w:sz w:val="20"/>
          <w:szCs w:val="20"/>
          <w:lang w:val="fr-CA"/>
        </w:rPr>
        <w:t>Charte canadienne des droits et libertés</w:t>
      </w:r>
      <w:r w:rsidRPr="005C0071">
        <w:rPr>
          <w:rFonts w:cs="Times New Roman"/>
          <w:sz w:val="20"/>
          <w:szCs w:val="20"/>
          <w:lang w:val="fr-CA"/>
        </w:rPr>
        <w:t>?</w:t>
      </w:r>
    </w:p>
    <w:p w:rsidR="005C0071" w:rsidRPr="005C0071" w:rsidRDefault="005C0071" w:rsidP="005C0071">
      <w:pPr>
        <w:pStyle w:val="ListParagraph"/>
        <w:rPr>
          <w:rFonts w:cs="Times New Roman"/>
          <w:color w:val="1A1A1A"/>
          <w:sz w:val="20"/>
          <w:szCs w:val="20"/>
          <w:lang w:val="fr-CA"/>
        </w:rPr>
      </w:pPr>
    </w:p>
    <w:p w:rsidR="005C0071" w:rsidRPr="005C0071" w:rsidRDefault="005C0071" w:rsidP="005C0071">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color w:val="1A1A1A"/>
          <w:sz w:val="20"/>
          <w:szCs w:val="20"/>
          <w:lang w:val="fr-CA"/>
        </w:rPr>
      </w:pPr>
      <w:r w:rsidRPr="005C0071">
        <w:rPr>
          <w:rFonts w:cs="Times New Roman"/>
          <w:sz w:val="20"/>
          <w:szCs w:val="20"/>
          <w:lang w:val="fr-CA"/>
        </w:rPr>
        <w:t xml:space="preserve">Dans l’affirmative, s’agit-il d’atteintes portées par une règle de droit dans des limites qui sont raisonnables et dont la justification peut se démontrer dans le cadre d’une société libre et démocratique suivant l’article premier de la </w:t>
      </w:r>
      <w:r w:rsidRPr="005C0071">
        <w:rPr>
          <w:rFonts w:cs="Times New Roman"/>
          <w:i/>
          <w:sz w:val="20"/>
          <w:szCs w:val="20"/>
          <w:lang w:val="fr-CA"/>
        </w:rPr>
        <w:t>Charte canadienne des droits et libertés</w:t>
      </w:r>
      <w:r w:rsidRPr="005C0071">
        <w:rPr>
          <w:rFonts w:cs="Times New Roman"/>
          <w:sz w:val="20"/>
          <w:szCs w:val="20"/>
          <w:lang w:val="fr-CA"/>
        </w:rPr>
        <w:t>?</w:t>
      </w:r>
    </w:p>
    <w:p w:rsidR="005C0071" w:rsidRPr="005C0071" w:rsidRDefault="005C0071" w:rsidP="005C0071">
      <w:pPr>
        <w:rPr>
          <w:rFonts w:cs="Times New Roman"/>
          <w:sz w:val="20"/>
          <w:szCs w:val="20"/>
          <w:lang w:val="fr-CA"/>
        </w:rPr>
      </w:pPr>
    </w:p>
    <w:p w:rsidR="005C0071" w:rsidRPr="005C0071" w:rsidRDefault="005C0071" w:rsidP="005C0071">
      <w:pPr>
        <w:rPr>
          <w:rFonts w:cs="Times New Roman"/>
          <w:sz w:val="20"/>
          <w:szCs w:val="20"/>
          <w:lang w:val="fr-FR"/>
        </w:rPr>
      </w:pPr>
      <w:r w:rsidRPr="005C0071">
        <w:rPr>
          <w:rFonts w:cs="Times New Roman"/>
          <w:sz w:val="20"/>
          <w:szCs w:val="20"/>
          <w:lang w:val="fr-CA"/>
        </w:rPr>
        <w:t>T</w:t>
      </w:r>
      <w:r w:rsidRPr="005C0071">
        <w:rPr>
          <w:rFonts w:cs="Times New Roman"/>
          <w:sz w:val="20"/>
          <w:szCs w:val="20"/>
          <w:lang w:val="fr-FR"/>
        </w:rPr>
        <w:t xml:space="preserve">out procureur général qui interviendra en vertu du par. 61(4) des </w:t>
      </w:r>
      <w:r w:rsidRPr="005C0071">
        <w:rPr>
          <w:rFonts w:cs="Times New Roman"/>
          <w:i/>
          <w:iCs/>
          <w:sz w:val="20"/>
          <w:szCs w:val="20"/>
          <w:lang w:val="fr-FR"/>
        </w:rPr>
        <w:t>Règles de la Cour suprême du Canada</w:t>
      </w:r>
      <w:r w:rsidRPr="005C0071">
        <w:rPr>
          <w:rFonts w:cs="Times New Roman"/>
          <w:sz w:val="20"/>
          <w:szCs w:val="20"/>
          <w:lang w:val="fr-FR"/>
        </w:rPr>
        <w:t xml:space="preserve"> sera tenu de payer à l’appelante et à l’intimée les dépens supplémentaires résultant de son intervention.</w:t>
      </w:r>
    </w:p>
    <w:p w:rsidR="005C0071" w:rsidRPr="005C0071" w:rsidRDefault="005C0071" w:rsidP="005C0071">
      <w:pPr>
        <w:rPr>
          <w:rFonts w:cs="Times New Roman"/>
          <w:sz w:val="20"/>
          <w:szCs w:val="20"/>
          <w:lang w:val="fr-FR"/>
        </w:rPr>
      </w:pPr>
    </w:p>
    <w:p w:rsidR="005C0071" w:rsidRPr="005C0071" w:rsidRDefault="003A0CC2" w:rsidP="005C0071">
      <w:pPr>
        <w:tabs>
          <w:tab w:val="left" w:pos="-1440"/>
          <w:tab w:val="left" w:pos="-720"/>
        </w:tabs>
        <w:jc w:val="both"/>
        <w:rPr>
          <w:rFonts w:cs="Times New Roman"/>
          <w:sz w:val="20"/>
          <w:szCs w:val="20"/>
        </w:rPr>
      </w:pPr>
      <w:r>
        <w:rPr>
          <w:rFonts w:cs="Times New Roman"/>
          <w:sz w:val="20"/>
          <w:szCs w:val="20"/>
          <w:lang w:val="fr-CA"/>
        </w:rPr>
        <w:pict>
          <v:rect id="_x0000_i1041" style="width:2in;height:1pt" o:hrpct="0" o:hralign="center" o:hrstd="t" o:hrnoshade="t" o:hr="t" fillcolor="black [3213]" stroked="f"/>
        </w:pict>
      </w:r>
    </w:p>
    <w:p w:rsidR="005C0071" w:rsidRPr="005C0071" w:rsidRDefault="005C0071" w:rsidP="005C0071">
      <w:pPr>
        <w:tabs>
          <w:tab w:val="left" w:pos="-1440"/>
          <w:tab w:val="left" w:pos="-720"/>
        </w:tabs>
        <w:jc w:val="both"/>
        <w:rPr>
          <w:rFonts w:cs="Times New Roman"/>
          <w:sz w:val="20"/>
          <w:szCs w:val="20"/>
        </w:rPr>
      </w:pPr>
    </w:p>
    <w:p w:rsidR="005C0071" w:rsidRPr="005C0071" w:rsidRDefault="005C0071" w:rsidP="005C0071">
      <w:pPr>
        <w:tabs>
          <w:tab w:val="left" w:pos="-1440"/>
          <w:tab w:val="left" w:pos="-720"/>
        </w:tabs>
        <w:jc w:val="both"/>
        <w:rPr>
          <w:rFonts w:cs="Times New Roman"/>
          <w:sz w:val="20"/>
          <w:szCs w:val="20"/>
        </w:rPr>
      </w:pPr>
    </w:p>
    <w:p w:rsidR="005C0071" w:rsidRPr="005C0071" w:rsidRDefault="005C0071" w:rsidP="005C0071">
      <w:pPr>
        <w:tabs>
          <w:tab w:val="left" w:pos="-1440"/>
          <w:tab w:val="left" w:pos="-720"/>
        </w:tabs>
        <w:jc w:val="both"/>
        <w:rPr>
          <w:rFonts w:cs="Times New Roman"/>
          <w:sz w:val="20"/>
          <w:szCs w:val="20"/>
          <w:lang w:val="fr-CA"/>
        </w:rPr>
      </w:pPr>
      <w:r w:rsidRPr="005C0071">
        <w:rPr>
          <w:rFonts w:cs="Times New Roman"/>
          <w:sz w:val="20"/>
          <w:szCs w:val="20"/>
          <w:lang w:val="fr-CA"/>
        </w:rPr>
        <w:lastRenderedPageBreak/>
        <w:t>23.03.2016</w:t>
      </w:r>
    </w:p>
    <w:p w:rsidR="005C0071" w:rsidRPr="005C0071" w:rsidRDefault="005C0071" w:rsidP="005C0071">
      <w:pPr>
        <w:tabs>
          <w:tab w:val="left" w:pos="-1440"/>
          <w:tab w:val="left" w:pos="-720"/>
        </w:tabs>
        <w:jc w:val="both"/>
        <w:rPr>
          <w:rFonts w:cs="Times New Roman"/>
          <w:sz w:val="20"/>
          <w:szCs w:val="20"/>
          <w:lang w:val="fr-CA"/>
        </w:rPr>
      </w:pPr>
    </w:p>
    <w:p w:rsidR="005C0071" w:rsidRPr="005C0071" w:rsidRDefault="005C0071" w:rsidP="005C0071">
      <w:pPr>
        <w:tabs>
          <w:tab w:val="left" w:pos="-1440"/>
          <w:tab w:val="left" w:pos="-720"/>
        </w:tabs>
        <w:jc w:val="both"/>
        <w:rPr>
          <w:rFonts w:cs="Times New Roman"/>
          <w:sz w:val="20"/>
          <w:szCs w:val="20"/>
        </w:rPr>
      </w:pPr>
      <w:r w:rsidRPr="005C0071">
        <w:rPr>
          <w:rFonts w:cs="Times New Roman"/>
          <w:sz w:val="20"/>
          <w:szCs w:val="20"/>
        </w:rPr>
        <w:t>Before / Devant:   THE REGISTRAR / LE REGISTRAIRE</w:t>
      </w:r>
    </w:p>
    <w:p w:rsidR="005C0071" w:rsidRPr="005C0071" w:rsidRDefault="005C0071" w:rsidP="005C007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5C0071" w:rsidRPr="003A0CC2" w:rsidTr="00226269">
        <w:tc>
          <w:tcPr>
            <w:tcW w:w="4338" w:type="dxa"/>
          </w:tcPr>
          <w:p w:rsidR="005C0071" w:rsidRPr="005C0071" w:rsidRDefault="005C0071" w:rsidP="00226269">
            <w:pPr>
              <w:tabs>
                <w:tab w:val="left" w:pos="-1440"/>
                <w:tab w:val="left" w:pos="-720"/>
              </w:tabs>
              <w:jc w:val="both"/>
              <w:rPr>
                <w:rFonts w:cs="Times New Roman"/>
                <w:b/>
                <w:sz w:val="20"/>
                <w:szCs w:val="20"/>
              </w:rPr>
            </w:pPr>
            <w:r w:rsidRPr="005C0071">
              <w:rPr>
                <w:rFonts w:cs="Times New Roman"/>
                <w:sz w:val="20"/>
                <w:szCs w:val="20"/>
              </w:rPr>
              <w:fldChar w:fldCharType="begin"/>
            </w:r>
            <w:r w:rsidRPr="005C0071">
              <w:rPr>
                <w:rFonts w:cs="Times New Roman"/>
                <w:sz w:val="20"/>
                <w:szCs w:val="20"/>
              </w:rPr>
              <w:instrText xml:space="preserve"> SEQ CHAPTER \h \r 1</w:instrText>
            </w:r>
            <w:r w:rsidRPr="005C0071">
              <w:rPr>
                <w:rFonts w:cs="Times New Roman"/>
                <w:sz w:val="20"/>
                <w:szCs w:val="20"/>
              </w:rPr>
              <w:fldChar w:fldCharType="end"/>
            </w:r>
            <w:r w:rsidRPr="005C0071">
              <w:rPr>
                <w:rFonts w:cs="Times New Roman"/>
                <w:b/>
                <w:bCs/>
                <w:sz w:val="20"/>
                <w:szCs w:val="20"/>
              </w:rPr>
              <w:t>Motion to extend time</w:t>
            </w:r>
          </w:p>
        </w:tc>
        <w:tc>
          <w:tcPr>
            <w:tcW w:w="1170" w:type="dxa"/>
          </w:tcPr>
          <w:p w:rsidR="005C0071" w:rsidRPr="005C0071" w:rsidRDefault="005C0071" w:rsidP="00226269">
            <w:pPr>
              <w:tabs>
                <w:tab w:val="left" w:pos="-1440"/>
                <w:tab w:val="left" w:pos="-720"/>
              </w:tabs>
              <w:jc w:val="both"/>
              <w:rPr>
                <w:rFonts w:cs="Times New Roman"/>
                <w:sz w:val="20"/>
                <w:szCs w:val="20"/>
              </w:rPr>
            </w:pPr>
          </w:p>
          <w:p w:rsidR="005C0071" w:rsidRPr="005C0071" w:rsidRDefault="005C0071" w:rsidP="00226269">
            <w:pPr>
              <w:tabs>
                <w:tab w:val="left" w:pos="-1440"/>
                <w:tab w:val="left" w:pos="-720"/>
              </w:tabs>
              <w:jc w:val="both"/>
              <w:rPr>
                <w:rFonts w:cs="Times New Roman"/>
                <w:sz w:val="20"/>
                <w:szCs w:val="20"/>
              </w:rPr>
            </w:pPr>
          </w:p>
        </w:tc>
        <w:tc>
          <w:tcPr>
            <w:tcW w:w="4327" w:type="dxa"/>
          </w:tcPr>
          <w:p w:rsidR="005C0071" w:rsidRPr="005C0071" w:rsidRDefault="005C0071" w:rsidP="00226269">
            <w:pPr>
              <w:tabs>
                <w:tab w:val="left" w:pos="-1440"/>
                <w:tab w:val="left" w:pos="-720"/>
              </w:tabs>
              <w:jc w:val="both"/>
              <w:rPr>
                <w:rFonts w:cs="Times New Roman"/>
                <w:sz w:val="20"/>
                <w:szCs w:val="20"/>
                <w:lang w:val="fr-CA"/>
              </w:rPr>
            </w:pPr>
            <w:r w:rsidRPr="005C0071">
              <w:rPr>
                <w:rFonts w:cs="Times New Roman"/>
                <w:b/>
                <w:bCs/>
                <w:color w:val="000000"/>
                <w:sz w:val="20"/>
                <w:szCs w:val="20"/>
                <w:lang w:val="fr-CA"/>
              </w:rPr>
              <w:t>Requête en prorogation de délai</w:t>
            </w:r>
            <w:r w:rsidRPr="005C0071">
              <w:rPr>
                <w:rFonts w:cs="Times New Roman"/>
                <w:sz w:val="20"/>
                <w:szCs w:val="20"/>
                <w:lang w:val="fr-CA"/>
              </w:rPr>
              <w:t xml:space="preserve"> </w:t>
            </w:r>
            <w:r w:rsidRPr="005C0071">
              <w:rPr>
                <w:rFonts w:cs="Times New Roman"/>
                <w:sz w:val="20"/>
                <w:szCs w:val="20"/>
              </w:rPr>
              <w:fldChar w:fldCharType="begin"/>
            </w:r>
            <w:r w:rsidRPr="005C0071">
              <w:rPr>
                <w:rFonts w:cs="Times New Roman"/>
                <w:sz w:val="20"/>
                <w:szCs w:val="20"/>
                <w:lang w:val="fr-CA"/>
              </w:rPr>
              <w:instrText xml:space="preserve"> SEQ CHAPTER \h \r 1</w:instrText>
            </w:r>
            <w:r w:rsidRPr="005C0071">
              <w:rPr>
                <w:rFonts w:cs="Times New Roman"/>
                <w:sz w:val="20"/>
                <w:szCs w:val="20"/>
              </w:rPr>
              <w:fldChar w:fldCharType="end"/>
            </w:r>
            <w:r w:rsidRPr="005C0071">
              <w:rPr>
                <w:rFonts w:cs="Times New Roman"/>
                <w:sz w:val="20"/>
                <w:szCs w:val="20"/>
              </w:rPr>
              <w:fldChar w:fldCharType="begin"/>
            </w:r>
            <w:r w:rsidRPr="005C0071">
              <w:rPr>
                <w:rFonts w:cs="Times New Roman"/>
                <w:sz w:val="20"/>
                <w:szCs w:val="20"/>
                <w:lang w:val="fr-CA"/>
              </w:rPr>
              <w:instrText xml:space="preserve"> SEQ CHAPTER \h \r 1</w:instrText>
            </w:r>
            <w:r w:rsidRPr="005C0071">
              <w:rPr>
                <w:rFonts w:cs="Times New Roman"/>
                <w:sz w:val="20"/>
                <w:szCs w:val="20"/>
              </w:rPr>
              <w:fldChar w:fldCharType="end"/>
            </w:r>
          </w:p>
        </w:tc>
      </w:tr>
      <w:tr w:rsidR="005C0071" w:rsidRPr="005C0071" w:rsidTr="00226269">
        <w:tc>
          <w:tcPr>
            <w:tcW w:w="4338" w:type="dxa"/>
          </w:tcPr>
          <w:p w:rsidR="005C0071" w:rsidRPr="005C0071" w:rsidRDefault="005C0071" w:rsidP="00226269">
            <w:pPr>
              <w:tabs>
                <w:tab w:val="left" w:pos="-1440"/>
                <w:tab w:val="left" w:pos="-720"/>
              </w:tabs>
              <w:jc w:val="both"/>
              <w:rPr>
                <w:rFonts w:cs="Times New Roman"/>
                <w:sz w:val="20"/>
                <w:szCs w:val="20"/>
                <w:lang w:val="fr-CA"/>
              </w:rPr>
            </w:pPr>
            <w:r w:rsidRPr="005C0071">
              <w:rPr>
                <w:rFonts w:cs="Times New Roman"/>
                <w:sz w:val="20"/>
                <w:szCs w:val="20"/>
                <w:lang w:val="fr-CA"/>
              </w:rPr>
              <w:t>Lee Carter et al.</w:t>
            </w:r>
          </w:p>
          <w:p w:rsidR="005C0071" w:rsidRPr="005C0071" w:rsidRDefault="005C0071" w:rsidP="00226269">
            <w:pPr>
              <w:tabs>
                <w:tab w:val="left" w:pos="-1440"/>
                <w:tab w:val="left" w:pos="-720"/>
              </w:tabs>
              <w:jc w:val="both"/>
              <w:rPr>
                <w:rFonts w:cs="Times New Roman"/>
                <w:sz w:val="20"/>
                <w:szCs w:val="20"/>
                <w:lang w:val="fr-CA"/>
              </w:rPr>
            </w:pPr>
          </w:p>
          <w:p w:rsidR="005C0071" w:rsidRPr="005C0071" w:rsidRDefault="005C0071" w:rsidP="00226269">
            <w:pPr>
              <w:tabs>
                <w:tab w:val="left" w:pos="-1440"/>
                <w:tab w:val="left" w:pos="-720"/>
              </w:tabs>
              <w:jc w:val="both"/>
              <w:rPr>
                <w:rFonts w:cs="Times New Roman"/>
                <w:sz w:val="20"/>
                <w:szCs w:val="20"/>
                <w:lang w:val="fr-CA"/>
              </w:rPr>
            </w:pPr>
            <w:r w:rsidRPr="005C0071">
              <w:rPr>
                <w:rFonts w:cs="Times New Roman"/>
                <w:sz w:val="20"/>
                <w:szCs w:val="20"/>
                <w:lang w:val="fr-CA"/>
              </w:rPr>
              <w:tab/>
              <w:t>v. (35591)</w:t>
            </w:r>
          </w:p>
          <w:p w:rsidR="005C0071" w:rsidRPr="005C0071" w:rsidRDefault="005C0071" w:rsidP="00226269">
            <w:pPr>
              <w:tabs>
                <w:tab w:val="left" w:pos="-1440"/>
                <w:tab w:val="left" w:pos="-720"/>
              </w:tabs>
              <w:jc w:val="both"/>
              <w:rPr>
                <w:rFonts w:cs="Times New Roman"/>
                <w:sz w:val="20"/>
                <w:szCs w:val="20"/>
                <w:lang w:val="fr-CA"/>
              </w:rPr>
            </w:pPr>
          </w:p>
          <w:p w:rsidR="005C0071" w:rsidRPr="005C0071" w:rsidRDefault="005C0071" w:rsidP="00226269">
            <w:pPr>
              <w:tabs>
                <w:tab w:val="left" w:pos="-1440"/>
                <w:tab w:val="left" w:pos="-720"/>
              </w:tabs>
              <w:jc w:val="both"/>
              <w:rPr>
                <w:rFonts w:cs="Times New Roman"/>
                <w:sz w:val="20"/>
                <w:szCs w:val="20"/>
              </w:rPr>
            </w:pPr>
            <w:r w:rsidRPr="005C0071">
              <w:rPr>
                <w:rFonts w:cs="Times New Roman"/>
                <w:sz w:val="20"/>
                <w:szCs w:val="20"/>
              </w:rPr>
              <w:t>Attorney General of Canada et al. (B.C.)</w:t>
            </w:r>
          </w:p>
        </w:tc>
        <w:tc>
          <w:tcPr>
            <w:tcW w:w="1170" w:type="dxa"/>
          </w:tcPr>
          <w:p w:rsidR="005C0071" w:rsidRPr="005C0071" w:rsidRDefault="005C0071" w:rsidP="00226269">
            <w:pPr>
              <w:tabs>
                <w:tab w:val="left" w:pos="-1440"/>
                <w:tab w:val="left" w:pos="-720"/>
              </w:tabs>
              <w:jc w:val="both"/>
              <w:rPr>
                <w:rFonts w:cs="Times New Roman"/>
                <w:sz w:val="20"/>
                <w:szCs w:val="20"/>
              </w:rPr>
            </w:pPr>
          </w:p>
        </w:tc>
        <w:tc>
          <w:tcPr>
            <w:tcW w:w="4327" w:type="dxa"/>
          </w:tcPr>
          <w:p w:rsidR="005C0071" w:rsidRPr="005C0071" w:rsidRDefault="005C0071" w:rsidP="00226269">
            <w:pPr>
              <w:tabs>
                <w:tab w:val="left" w:pos="-1440"/>
                <w:tab w:val="left" w:pos="-720"/>
              </w:tabs>
              <w:jc w:val="both"/>
              <w:rPr>
                <w:rFonts w:cs="Times New Roman"/>
                <w:sz w:val="20"/>
                <w:szCs w:val="20"/>
              </w:rPr>
            </w:pPr>
          </w:p>
        </w:tc>
      </w:tr>
    </w:tbl>
    <w:p w:rsidR="005C0071" w:rsidRPr="005C0071" w:rsidRDefault="005C0071" w:rsidP="005C0071">
      <w:pPr>
        <w:tabs>
          <w:tab w:val="left" w:pos="-1440"/>
          <w:tab w:val="left" w:pos="-720"/>
        </w:tabs>
        <w:jc w:val="both"/>
        <w:rPr>
          <w:rFonts w:cs="Times New Roman"/>
          <w:sz w:val="20"/>
          <w:szCs w:val="20"/>
        </w:rPr>
      </w:pPr>
    </w:p>
    <w:p w:rsidR="005C0071" w:rsidRPr="005C0071" w:rsidRDefault="005C0071" w:rsidP="005C0071">
      <w:pPr>
        <w:tabs>
          <w:tab w:val="left" w:pos="-1440"/>
          <w:tab w:val="left" w:pos="-720"/>
        </w:tabs>
        <w:jc w:val="both"/>
        <w:rPr>
          <w:rFonts w:cs="Times New Roman"/>
          <w:b/>
          <w:sz w:val="20"/>
          <w:szCs w:val="20"/>
        </w:rPr>
      </w:pPr>
      <w:r w:rsidRPr="005C0071">
        <w:rPr>
          <w:rFonts w:cs="Times New Roman"/>
          <w:b/>
          <w:sz w:val="20"/>
          <w:szCs w:val="20"/>
        </w:rPr>
        <w:t>GRANTED / ACCORDÉE</w:t>
      </w:r>
    </w:p>
    <w:p w:rsidR="005C0071" w:rsidRPr="005C0071" w:rsidRDefault="005C0071" w:rsidP="005C0071">
      <w:pPr>
        <w:tabs>
          <w:tab w:val="left" w:pos="-1440"/>
          <w:tab w:val="left" w:pos="-720"/>
        </w:tabs>
        <w:jc w:val="both"/>
        <w:rPr>
          <w:rFonts w:cs="Times New Roman"/>
          <w:sz w:val="20"/>
          <w:szCs w:val="20"/>
        </w:rPr>
      </w:pPr>
    </w:p>
    <w:p w:rsidR="005C0071" w:rsidRPr="005C0071" w:rsidRDefault="005C0071" w:rsidP="005C0071">
      <w:pPr>
        <w:widowControl w:val="0"/>
        <w:autoSpaceDE w:val="0"/>
        <w:autoSpaceDN w:val="0"/>
        <w:adjustRightInd w:val="0"/>
        <w:spacing w:line="233" w:lineRule="auto"/>
        <w:jc w:val="both"/>
        <w:rPr>
          <w:rFonts w:eastAsiaTheme="minorEastAsia" w:cs="Times New Roman"/>
          <w:sz w:val="20"/>
          <w:szCs w:val="20"/>
        </w:rPr>
      </w:pPr>
      <w:r w:rsidRPr="005C0071">
        <w:rPr>
          <w:rFonts w:eastAsiaTheme="minorEastAsia" w:cs="Times New Roman"/>
          <w:b/>
          <w:sz w:val="20"/>
          <w:szCs w:val="20"/>
        </w:rPr>
        <w:t>UPON APPLICATION</w:t>
      </w:r>
      <w:r w:rsidRPr="005C0071">
        <w:rPr>
          <w:rFonts w:eastAsiaTheme="minorEastAsia" w:cs="Times New Roman"/>
          <w:sz w:val="20"/>
          <w:szCs w:val="20"/>
        </w:rPr>
        <w:t xml:space="preserve"> by the appellants for an order extending the time to serve and file their reply to the response to the bill of costs to March 17, 2016;</w:t>
      </w:r>
    </w:p>
    <w:p w:rsidR="005C0071" w:rsidRPr="005C0071" w:rsidRDefault="005C0071" w:rsidP="005C0071">
      <w:pPr>
        <w:widowControl w:val="0"/>
        <w:autoSpaceDE w:val="0"/>
        <w:autoSpaceDN w:val="0"/>
        <w:adjustRightInd w:val="0"/>
        <w:spacing w:line="233" w:lineRule="auto"/>
        <w:jc w:val="both"/>
        <w:rPr>
          <w:rFonts w:eastAsiaTheme="minorEastAsia" w:cs="Times New Roman"/>
          <w:sz w:val="20"/>
          <w:szCs w:val="20"/>
        </w:rPr>
      </w:pPr>
    </w:p>
    <w:p w:rsidR="005C0071" w:rsidRPr="005C0071" w:rsidRDefault="005C0071" w:rsidP="005C0071">
      <w:pPr>
        <w:widowControl w:val="0"/>
        <w:autoSpaceDE w:val="0"/>
        <w:autoSpaceDN w:val="0"/>
        <w:adjustRightInd w:val="0"/>
        <w:spacing w:line="233" w:lineRule="auto"/>
        <w:jc w:val="both"/>
        <w:rPr>
          <w:rFonts w:eastAsiaTheme="minorEastAsia" w:cs="Times New Roman"/>
          <w:sz w:val="20"/>
          <w:szCs w:val="20"/>
        </w:rPr>
      </w:pPr>
      <w:r w:rsidRPr="005C0071">
        <w:rPr>
          <w:rFonts w:eastAsiaTheme="minorEastAsia" w:cs="Times New Roman"/>
          <w:b/>
          <w:bCs/>
          <w:sz w:val="20"/>
          <w:szCs w:val="20"/>
        </w:rPr>
        <w:t>AND THE MATERIAL FILED</w:t>
      </w:r>
      <w:r w:rsidRPr="005C0071">
        <w:rPr>
          <w:rFonts w:eastAsiaTheme="minorEastAsia" w:cs="Times New Roman"/>
          <w:sz w:val="20"/>
          <w:szCs w:val="20"/>
        </w:rPr>
        <w:t xml:space="preserve"> having been read;</w:t>
      </w:r>
    </w:p>
    <w:p w:rsidR="005C0071" w:rsidRPr="005C0071" w:rsidRDefault="005C0071" w:rsidP="005C0071">
      <w:pPr>
        <w:widowControl w:val="0"/>
        <w:autoSpaceDE w:val="0"/>
        <w:autoSpaceDN w:val="0"/>
        <w:adjustRightInd w:val="0"/>
        <w:spacing w:line="233" w:lineRule="auto"/>
        <w:jc w:val="both"/>
        <w:rPr>
          <w:rFonts w:eastAsiaTheme="minorEastAsia" w:cs="Times New Roman"/>
          <w:sz w:val="20"/>
          <w:szCs w:val="20"/>
        </w:rPr>
      </w:pPr>
    </w:p>
    <w:p w:rsidR="005C0071" w:rsidRPr="005C0071" w:rsidRDefault="005C0071" w:rsidP="005C0071">
      <w:pPr>
        <w:widowControl w:val="0"/>
        <w:autoSpaceDE w:val="0"/>
        <w:autoSpaceDN w:val="0"/>
        <w:adjustRightInd w:val="0"/>
        <w:spacing w:line="233" w:lineRule="auto"/>
        <w:jc w:val="both"/>
        <w:rPr>
          <w:rFonts w:eastAsiaTheme="minorEastAsia" w:cs="Times New Roman"/>
          <w:b/>
          <w:bCs/>
          <w:sz w:val="20"/>
          <w:szCs w:val="20"/>
        </w:rPr>
      </w:pPr>
      <w:r w:rsidRPr="005C0071">
        <w:rPr>
          <w:rFonts w:eastAsiaTheme="minorEastAsia" w:cs="Times New Roman"/>
          <w:b/>
          <w:bCs/>
          <w:sz w:val="20"/>
          <w:szCs w:val="20"/>
        </w:rPr>
        <w:t>IT IS HEREBY ORDERED THAT:</w:t>
      </w:r>
    </w:p>
    <w:p w:rsidR="005C0071" w:rsidRPr="005C0071" w:rsidRDefault="005C0071" w:rsidP="005C0071">
      <w:pPr>
        <w:widowControl w:val="0"/>
        <w:autoSpaceDE w:val="0"/>
        <w:autoSpaceDN w:val="0"/>
        <w:adjustRightInd w:val="0"/>
        <w:spacing w:line="233" w:lineRule="auto"/>
        <w:jc w:val="both"/>
        <w:rPr>
          <w:rFonts w:eastAsiaTheme="minorEastAsia" w:cs="Times New Roman"/>
          <w:b/>
          <w:bCs/>
          <w:sz w:val="20"/>
          <w:szCs w:val="20"/>
        </w:rPr>
      </w:pPr>
    </w:p>
    <w:p w:rsidR="005C0071" w:rsidRPr="005C0071" w:rsidRDefault="005C0071" w:rsidP="005C0071">
      <w:pPr>
        <w:widowControl w:val="0"/>
        <w:autoSpaceDE w:val="0"/>
        <w:autoSpaceDN w:val="0"/>
        <w:adjustRightInd w:val="0"/>
        <w:jc w:val="both"/>
        <w:rPr>
          <w:rFonts w:eastAsiaTheme="minorEastAsia" w:cs="Times New Roman"/>
          <w:sz w:val="20"/>
          <w:szCs w:val="20"/>
          <w:lang w:val="fr-CA"/>
        </w:rPr>
      </w:pPr>
      <w:r w:rsidRPr="005C0071">
        <w:rPr>
          <w:rFonts w:eastAsiaTheme="minorEastAsia" w:cs="Times New Roman"/>
          <w:sz w:val="20"/>
          <w:szCs w:val="20"/>
          <w:lang w:val="fr-CA"/>
        </w:rPr>
        <w:t xml:space="preserve">The motion is granted.  </w:t>
      </w:r>
    </w:p>
    <w:p w:rsidR="005C0071" w:rsidRPr="005C0071" w:rsidRDefault="005C0071" w:rsidP="005C0071">
      <w:pPr>
        <w:tabs>
          <w:tab w:val="left" w:pos="-1440"/>
          <w:tab w:val="left" w:pos="-720"/>
        </w:tabs>
        <w:jc w:val="both"/>
        <w:rPr>
          <w:rFonts w:cs="Times New Roman"/>
          <w:sz w:val="20"/>
          <w:szCs w:val="20"/>
          <w:lang w:val="fr-CA"/>
        </w:rPr>
      </w:pPr>
    </w:p>
    <w:p w:rsidR="005C0071" w:rsidRPr="005C0071" w:rsidRDefault="005C0071" w:rsidP="005C0071">
      <w:pPr>
        <w:tabs>
          <w:tab w:val="left" w:pos="-1440"/>
          <w:tab w:val="left" w:pos="-720"/>
        </w:tabs>
        <w:jc w:val="both"/>
        <w:rPr>
          <w:rFonts w:cs="Times New Roman"/>
          <w:sz w:val="20"/>
          <w:szCs w:val="20"/>
          <w:lang w:val="fr-CA"/>
        </w:rPr>
      </w:pPr>
    </w:p>
    <w:p w:rsidR="005C0071" w:rsidRPr="005C0071" w:rsidRDefault="005C0071" w:rsidP="005C0071">
      <w:pPr>
        <w:tabs>
          <w:tab w:val="left" w:pos="-1440"/>
          <w:tab w:val="left" w:pos="-720"/>
        </w:tabs>
        <w:jc w:val="both"/>
        <w:rPr>
          <w:rFonts w:cs="Times New Roman"/>
          <w:sz w:val="20"/>
          <w:szCs w:val="20"/>
          <w:lang w:val="fr-CA"/>
        </w:rPr>
      </w:pPr>
    </w:p>
    <w:p w:rsidR="005C0071" w:rsidRPr="005C0071" w:rsidRDefault="005C0071" w:rsidP="005C0071">
      <w:pPr>
        <w:spacing w:line="233" w:lineRule="auto"/>
        <w:jc w:val="both"/>
        <w:rPr>
          <w:rFonts w:cs="Times New Roman"/>
          <w:sz w:val="20"/>
          <w:szCs w:val="20"/>
          <w:lang w:val="fr-CA"/>
        </w:rPr>
      </w:pPr>
      <w:r w:rsidRPr="005C0071">
        <w:rPr>
          <w:rFonts w:cs="Times New Roman"/>
          <w:b/>
          <w:sz w:val="20"/>
          <w:szCs w:val="20"/>
          <w:lang w:val="fr-CA"/>
        </w:rPr>
        <w:t>À LA SUITE DE LA DEMANDE</w:t>
      </w:r>
      <w:r w:rsidRPr="005C0071">
        <w:rPr>
          <w:rFonts w:cs="Times New Roman"/>
          <w:sz w:val="20"/>
          <w:szCs w:val="20"/>
          <w:lang w:val="fr-CA"/>
        </w:rPr>
        <w:t xml:space="preserve"> des appelants sollicitant la prorogation du délai pour signifier et déposer leur réplique à la réponse au mémoire de frais au 17 mars 2016;</w:t>
      </w:r>
    </w:p>
    <w:p w:rsidR="005C0071" w:rsidRPr="005C0071" w:rsidRDefault="005C0071" w:rsidP="005C0071">
      <w:pPr>
        <w:spacing w:line="233" w:lineRule="auto"/>
        <w:jc w:val="both"/>
        <w:rPr>
          <w:rFonts w:cs="Times New Roman"/>
          <w:sz w:val="20"/>
          <w:szCs w:val="20"/>
          <w:lang w:val="fr-CA"/>
        </w:rPr>
      </w:pPr>
    </w:p>
    <w:p w:rsidR="005C0071" w:rsidRPr="005C0071" w:rsidRDefault="005C0071" w:rsidP="005C0071">
      <w:pPr>
        <w:spacing w:line="233" w:lineRule="auto"/>
        <w:jc w:val="both"/>
        <w:rPr>
          <w:rFonts w:cs="Times New Roman"/>
          <w:sz w:val="20"/>
          <w:szCs w:val="20"/>
          <w:lang w:val="fr-CA"/>
        </w:rPr>
      </w:pPr>
      <w:r w:rsidRPr="005C0071">
        <w:rPr>
          <w:rFonts w:cs="Times New Roman"/>
          <w:b/>
          <w:sz w:val="20"/>
          <w:szCs w:val="20"/>
          <w:lang w:val="fr-CA"/>
        </w:rPr>
        <w:t>ET APRÈS EXAMEN</w:t>
      </w:r>
      <w:r w:rsidRPr="005C0071">
        <w:rPr>
          <w:rFonts w:cs="Times New Roman"/>
          <w:sz w:val="20"/>
          <w:szCs w:val="20"/>
          <w:lang w:val="fr-CA"/>
        </w:rPr>
        <w:t xml:space="preserve"> des documents déposés;</w:t>
      </w:r>
    </w:p>
    <w:p w:rsidR="005C0071" w:rsidRPr="005C0071" w:rsidRDefault="005C0071" w:rsidP="005C0071">
      <w:pPr>
        <w:spacing w:line="233" w:lineRule="auto"/>
        <w:jc w:val="both"/>
        <w:rPr>
          <w:rFonts w:cs="Times New Roman"/>
          <w:sz w:val="20"/>
          <w:szCs w:val="20"/>
          <w:lang w:val="fr-CA"/>
        </w:rPr>
      </w:pPr>
    </w:p>
    <w:p w:rsidR="005C0071" w:rsidRPr="005C0071" w:rsidRDefault="005C0071" w:rsidP="005C0071">
      <w:pPr>
        <w:spacing w:line="233" w:lineRule="auto"/>
        <w:jc w:val="both"/>
        <w:rPr>
          <w:rFonts w:cs="Times New Roman"/>
          <w:b/>
          <w:sz w:val="20"/>
          <w:szCs w:val="20"/>
          <w:lang w:val="fr-CA"/>
        </w:rPr>
      </w:pPr>
      <w:r w:rsidRPr="005C0071">
        <w:rPr>
          <w:rFonts w:cs="Times New Roman"/>
          <w:b/>
          <w:sz w:val="20"/>
          <w:szCs w:val="20"/>
          <w:lang w:val="fr-CA"/>
        </w:rPr>
        <w:t>IL EST ORDONNÉ CE QUI SUIT :</w:t>
      </w:r>
    </w:p>
    <w:p w:rsidR="005C0071" w:rsidRPr="005C0071" w:rsidRDefault="005C0071" w:rsidP="005C0071">
      <w:pPr>
        <w:spacing w:line="233" w:lineRule="auto"/>
        <w:jc w:val="both"/>
        <w:rPr>
          <w:rFonts w:cs="Times New Roman"/>
          <w:sz w:val="20"/>
          <w:szCs w:val="20"/>
          <w:lang w:val="fr-CA"/>
        </w:rPr>
      </w:pPr>
    </w:p>
    <w:p w:rsidR="005C0071" w:rsidRPr="005C0071" w:rsidRDefault="005C0071" w:rsidP="005C0071">
      <w:pPr>
        <w:spacing w:line="233" w:lineRule="auto"/>
        <w:jc w:val="both"/>
        <w:rPr>
          <w:rFonts w:cs="Times New Roman"/>
          <w:sz w:val="20"/>
          <w:szCs w:val="20"/>
          <w:lang w:val="fr-CA"/>
        </w:rPr>
      </w:pPr>
      <w:r w:rsidRPr="005C0071">
        <w:rPr>
          <w:rFonts w:cs="Times New Roman"/>
          <w:sz w:val="20"/>
          <w:szCs w:val="20"/>
          <w:lang w:val="fr-CA"/>
        </w:rPr>
        <w:t>La requête est accueillie.</w:t>
      </w:r>
    </w:p>
    <w:p w:rsidR="005C0071" w:rsidRPr="005C0071" w:rsidRDefault="005C0071" w:rsidP="005C0071">
      <w:pPr>
        <w:tabs>
          <w:tab w:val="left" w:pos="-1440"/>
          <w:tab w:val="left" w:pos="-720"/>
        </w:tabs>
        <w:jc w:val="both"/>
        <w:rPr>
          <w:rFonts w:cs="Times New Roman"/>
          <w:sz w:val="20"/>
          <w:szCs w:val="20"/>
        </w:rPr>
      </w:pPr>
    </w:p>
    <w:p w:rsidR="005C0071" w:rsidRPr="005C0071" w:rsidRDefault="003A0CC2" w:rsidP="005C0071">
      <w:pPr>
        <w:tabs>
          <w:tab w:val="left" w:pos="-1440"/>
          <w:tab w:val="left" w:pos="-720"/>
        </w:tabs>
        <w:jc w:val="both"/>
        <w:rPr>
          <w:rFonts w:cs="Times New Roman"/>
          <w:sz w:val="20"/>
          <w:szCs w:val="20"/>
        </w:rPr>
      </w:pPr>
      <w:r>
        <w:rPr>
          <w:rFonts w:cs="Times New Roman"/>
          <w:sz w:val="20"/>
          <w:szCs w:val="20"/>
          <w:lang w:val="fr-CA"/>
        </w:rPr>
        <w:pict>
          <v:rect id="_x0000_i1042" style="width:2in;height:1pt" o:hrpct="0" o:hralign="center" o:hrstd="t" o:hrnoshade="t" o:hr="t" fillcolor="black [3213]" stroked="f"/>
        </w:pict>
      </w:r>
    </w:p>
    <w:p w:rsidR="00CA2DEA" w:rsidRPr="005C0071" w:rsidRDefault="00CA2DEA" w:rsidP="0010587F">
      <w:pPr>
        <w:tabs>
          <w:tab w:val="left" w:pos="-1440"/>
          <w:tab w:val="left" w:pos="-720"/>
        </w:tabs>
        <w:jc w:val="both"/>
        <w:rPr>
          <w:rFonts w:cs="Times New Roman"/>
          <w:sz w:val="20"/>
          <w:szCs w:val="20"/>
          <w:lang w:val="fr-CA"/>
        </w:rPr>
      </w:pPr>
    </w:p>
    <w:p w:rsidR="00890FEB" w:rsidRPr="005C0071" w:rsidRDefault="00890FEB" w:rsidP="00831CA9">
      <w:pPr>
        <w:jc w:val="both"/>
        <w:rPr>
          <w:rFonts w:cs="Times New Roman"/>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A0CC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650F88" w:rsidRDefault="00650F88" w:rsidP="005F1ED8">
            <w:pPr>
              <w:rPr>
                <w:sz w:val="20"/>
                <w:szCs w:val="20"/>
                <w:lang w:val="fr-CA"/>
              </w:rPr>
            </w:pPr>
            <w:r w:rsidRPr="00650F88">
              <w:rPr>
                <w:sz w:val="20"/>
                <w:szCs w:val="20"/>
                <w:lang w:val="fr-CA"/>
              </w:rPr>
              <w:t>29.03.2016</w:t>
            </w:r>
          </w:p>
          <w:p w:rsidR="0086340B" w:rsidRPr="00650F88" w:rsidRDefault="0086340B" w:rsidP="005F1ED8">
            <w:pPr>
              <w:rPr>
                <w:sz w:val="20"/>
                <w:szCs w:val="20"/>
                <w:lang w:val="fr-CA"/>
              </w:rPr>
            </w:pPr>
          </w:p>
          <w:p w:rsidR="0086340B" w:rsidRPr="00650F88" w:rsidRDefault="00650F88" w:rsidP="005F1ED8">
            <w:pPr>
              <w:rPr>
                <w:b/>
                <w:sz w:val="20"/>
                <w:szCs w:val="20"/>
                <w:lang w:val="fr-CA"/>
              </w:rPr>
            </w:pPr>
            <w:r w:rsidRPr="00650F88">
              <w:rPr>
                <w:b/>
                <w:sz w:val="20"/>
                <w:szCs w:val="20"/>
                <w:lang w:val="fr-CA"/>
              </w:rPr>
              <w:t>Jean-Louis Savard</w:t>
            </w:r>
          </w:p>
          <w:p w:rsidR="0086340B" w:rsidRPr="00650F88" w:rsidRDefault="0086340B" w:rsidP="005F1ED8">
            <w:pPr>
              <w:rPr>
                <w:b/>
                <w:sz w:val="20"/>
                <w:szCs w:val="20"/>
                <w:lang w:val="fr-CA"/>
              </w:rPr>
            </w:pPr>
          </w:p>
          <w:p w:rsidR="0086340B" w:rsidRPr="00650F88" w:rsidRDefault="0086340B" w:rsidP="005F1ED8">
            <w:pPr>
              <w:rPr>
                <w:b/>
                <w:sz w:val="20"/>
                <w:szCs w:val="20"/>
                <w:lang w:val="fr-CA"/>
              </w:rPr>
            </w:pPr>
            <w:r w:rsidRPr="00650F88">
              <w:rPr>
                <w:b/>
                <w:sz w:val="20"/>
                <w:szCs w:val="20"/>
                <w:lang w:val="fr-CA"/>
              </w:rPr>
              <w:tab/>
            </w:r>
            <w:r w:rsidR="00650F88" w:rsidRPr="00650F88">
              <w:rPr>
                <w:b/>
                <w:sz w:val="20"/>
                <w:szCs w:val="20"/>
                <w:lang w:val="fr-CA"/>
              </w:rPr>
              <w:t>c</w:t>
            </w:r>
            <w:r w:rsidRPr="00650F88">
              <w:rPr>
                <w:b/>
                <w:sz w:val="20"/>
                <w:szCs w:val="20"/>
                <w:lang w:val="fr-CA"/>
              </w:rPr>
              <w:t>. (</w:t>
            </w:r>
            <w:r w:rsidR="00650F88" w:rsidRPr="00650F88">
              <w:rPr>
                <w:b/>
                <w:sz w:val="20"/>
                <w:szCs w:val="20"/>
                <w:lang w:val="fr-CA"/>
              </w:rPr>
              <w:t>36908</w:t>
            </w:r>
            <w:r w:rsidRPr="00650F88">
              <w:rPr>
                <w:b/>
                <w:sz w:val="20"/>
                <w:szCs w:val="20"/>
                <w:lang w:val="fr-CA"/>
              </w:rPr>
              <w:t>)</w:t>
            </w:r>
          </w:p>
          <w:p w:rsidR="0086340B" w:rsidRPr="00650F88" w:rsidRDefault="0086340B" w:rsidP="005F1ED8">
            <w:pPr>
              <w:rPr>
                <w:b/>
                <w:sz w:val="20"/>
                <w:szCs w:val="20"/>
                <w:lang w:val="fr-CA"/>
              </w:rPr>
            </w:pPr>
          </w:p>
          <w:p w:rsidR="0086340B" w:rsidRPr="00650F88" w:rsidRDefault="00650F88" w:rsidP="005F1ED8">
            <w:pPr>
              <w:rPr>
                <w:b/>
                <w:sz w:val="20"/>
                <w:szCs w:val="20"/>
                <w:lang w:val="fr-CA"/>
              </w:rPr>
            </w:pPr>
            <w:r w:rsidRPr="00650F88">
              <w:rPr>
                <w:b/>
                <w:sz w:val="20"/>
                <w:szCs w:val="20"/>
                <w:lang w:val="fr-CA"/>
              </w:rPr>
              <w:t>Sa Majesté la Reine (Qc)</w:t>
            </w:r>
          </w:p>
          <w:p w:rsidR="0086340B" w:rsidRPr="00650F88" w:rsidRDefault="0086340B" w:rsidP="005F1ED8">
            <w:pPr>
              <w:rPr>
                <w:sz w:val="20"/>
                <w:szCs w:val="20"/>
                <w:lang w:val="fr-CA"/>
              </w:rPr>
            </w:pPr>
          </w:p>
          <w:p w:rsidR="0086340B" w:rsidRPr="003B3977" w:rsidRDefault="0086340B" w:rsidP="005F1ED8">
            <w:pPr>
              <w:rPr>
                <w:sz w:val="20"/>
                <w:szCs w:val="20"/>
              </w:rPr>
            </w:pPr>
            <w:r w:rsidRPr="003B3977">
              <w:rPr>
                <w:sz w:val="20"/>
                <w:szCs w:val="20"/>
              </w:rPr>
              <w:t>(</w:t>
            </w:r>
            <w:r w:rsidR="00650F88">
              <w:rPr>
                <w:sz w:val="20"/>
                <w:szCs w:val="20"/>
              </w:rPr>
              <w:t>De plein droit</w:t>
            </w:r>
            <w:r w:rsidRPr="003B3977">
              <w:rPr>
                <w:sz w:val="20"/>
                <w:szCs w:val="20"/>
              </w:rPr>
              <w:t>)</w:t>
            </w:r>
          </w:p>
          <w:p w:rsidR="0086340B" w:rsidRPr="003B3977" w:rsidRDefault="003A0CC2" w:rsidP="005F1ED8">
            <w:pPr>
              <w:rPr>
                <w:sz w:val="20"/>
                <w:szCs w:val="20"/>
                <w:lang w:val="fr-CA"/>
              </w:rPr>
            </w:pPr>
            <w:r>
              <w:rPr>
                <w:sz w:val="20"/>
                <w:szCs w:val="20"/>
                <w:lang w:val="fr-CA"/>
              </w:rPr>
              <w:pict>
                <v:rect id="_x0000_i104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411597" w:rsidRPr="003A0CC2" w:rsidRDefault="00411597" w:rsidP="00411597">
            <w:pPr>
              <w:rPr>
                <w:sz w:val="20"/>
                <w:szCs w:val="20"/>
                <w:lang w:val="fr-CA"/>
              </w:rPr>
            </w:pPr>
            <w:r w:rsidRPr="003A0CC2">
              <w:rPr>
                <w:sz w:val="20"/>
                <w:szCs w:val="20"/>
                <w:lang w:val="fr-CA"/>
              </w:rPr>
              <w:t>21.03.2016</w:t>
            </w:r>
          </w:p>
          <w:p w:rsidR="00411597" w:rsidRPr="003A0CC2" w:rsidRDefault="00411597" w:rsidP="00411597">
            <w:pPr>
              <w:rPr>
                <w:b/>
                <w:sz w:val="20"/>
                <w:szCs w:val="20"/>
                <w:lang w:val="fr-CA"/>
              </w:rPr>
            </w:pPr>
          </w:p>
          <w:p w:rsidR="00411597" w:rsidRPr="003A0CC2" w:rsidRDefault="00411597" w:rsidP="00411597">
            <w:pPr>
              <w:rPr>
                <w:b/>
                <w:sz w:val="20"/>
                <w:szCs w:val="20"/>
                <w:lang w:val="fr-CA"/>
              </w:rPr>
            </w:pPr>
            <w:r w:rsidRPr="003A0CC2">
              <w:rPr>
                <w:b/>
                <w:sz w:val="20"/>
                <w:szCs w:val="20"/>
                <w:lang w:val="fr-CA"/>
              </w:rPr>
              <w:t>Google Inc.</w:t>
            </w:r>
          </w:p>
          <w:p w:rsidR="00411597" w:rsidRPr="003A0CC2" w:rsidRDefault="00411597" w:rsidP="00411597">
            <w:pPr>
              <w:rPr>
                <w:b/>
                <w:sz w:val="20"/>
                <w:szCs w:val="20"/>
                <w:lang w:val="fr-CA"/>
              </w:rPr>
            </w:pPr>
          </w:p>
          <w:p w:rsidR="00411597" w:rsidRPr="003A0CC2" w:rsidRDefault="00411597" w:rsidP="00411597">
            <w:pPr>
              <w:rPr>
                <w:b/>
                <w:sz w:val="20"/>
                <w:szCs w:val="20"/>
                <w:lang w:val="fr-CA"/>
              </w:rPr>
            </w:pPr>
            <w:r w:rsidRPr="003A0CC2">
              <w:rPr>
                <w:b/>
                <w:sz w:val="20"/>
                <w:szCs w:val="20"/>
                <w:lang w:val="fr-CA"/>
              </w:rPr>
              <w:tab/>
              <w:t>v. (36602)</w:t>
            </w:r>
          </w:p>
          <w:p w:rsidR="00411597" w:rsidRPr="003A0CC2" w:rsidRDefault="00411597" w:rsidP="00411597">
            <w:pPr>
              <w:rPr>
                <w:sz w:val="20"/>
                <w:szCs w:val="20"/>
                <w:lang w:val="fr-CA"/>
              </w:rPr>
            </w:pPr>
          </w:p>
          <w:p w:rsidR="00411597" w:rsidRPr="00411597" w:rsidRDefault="00411597" w:rsidP="00411597">
            <w:pPr>
              <w:rPr>
                <w:b/>
                <w:sz w:val="20"/>
                <w:szCs w:val="20"/>
              </w:rPr>
            </w:pPr>
            <w:r w:rsidRPr="003A0CC2">
              <w:rPr>
                <w:b/>
                <w:sz w:val="20"/>
                <w:szCs w:val="20"/>
                <w:lang w:val="fr-CA"/>
              </w:rPr>
              <w:t xml:space="preserve">Equustek Solutions Inc. et al. </w:t>
            </w:r>
            <w:r w:rsidRPr="00915A43">
              <w:rPr>
                <w:b/>
                <w:sz w:val="20"/>
                <w:szCs w:val="20"/>
              </w:rPr>
              <w:t>(B.C.)</w:t>
            </w:r>
          </w:p>
          <w:p w:rsidR="00411597" w:rsidRPr="00915A43" w:rsidRDefault="00411597" w:rsidP="00411597">
            <w:pPr>
              <w:rPr>
                <w:sz w:val="20"/>
                <w:szCs w:val="20"/>
              </w:rPr>
            </w:pPr>
          </w:p>
          <w:p w:rsidR="00411597" w:rsidRPr="00915A43" w:rsidRDefault="00411597" w:rsidP="00411597">
            <w:pPr>
              <w:rPr>
                <w:sz w:val="20"/>
                <w:szCs w:val="20"/>
              </w:rPr>
            </w:pPr>
            <w:r>
              <w:rPr>
                <w:sz w:val="20"/>
                <w:szCs w:val="20"/>
              </w:rPr>
              <w:t>(By Leave)</w:t>
            </w:r>
          </w:p>
          <w:p w:rsidR="00411597" w:rsidRDefault="003A0CC2" w:rsidP="00411597">
            <w:pPr>
              <w:rPr>
                <w:sz w:val="20"/>
                <w:szCs w:val="20"/>
                <w:lang w:val="fr-CA"/>
              </w:rPr>
            </w:pPr>
            <w:r>
              <w:rPr>
                <w:sz w:val="20"/>
                <w:szCs w:val="20"/>
                <w:lang w:val="fr-CA"/>
              </w:rPr>
              <w:pict>
                <v:rect id="_x0000_i1046" style="width:108pt;height:1pt" o:hrpct="0" o:hralign="center" o:hrstd="t" o:hrnoshade="t" o:hr="t" fillcolor="black [3213]" stroked="f"/>
              </w:pict>
            </w:r>
          </w:p>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411597" w:rsidRPr="00411597" w:rsidRDefault="00411597" w:rsidP="00411597">
            <w:pPr>
              <w:rPr>
                <w:sz w:val="20"/>
                <w:szCs w:val="20"/>
              </w:rPr>
            </w:pPr>
            <w:r>
              <w:rPr>
                <w:sz w:val="20"/>
                <w:szCs w:val="20"/>
              </w:rPr>
              <w:t>18.03.2016</w:t>
            </w:r>
          </w:p>
          <w:p w:rsidR="00411597" w:rsidRDefault="00411597" w:rsidP="00411597">
            <w:pPr>
              <w:rPr>
                <w:b/>
                <w:sz w:val="20"/>
                <w:szCs w:val="20"/>
              </w:rPr>
            </w:pPr>
          </w:p>
          <w:p w:rsidR="00411597" w:rsidRPr="00915A43" w:rsidRDefault="00411597" w:rsidP="00411597">
            <w:pPr>
              <w:rPr>
                <w:b/>
                <w:sz w:val="20"/>
                <w:szCs w:val="20"/>
              </w:rPr>
            </w:pPr>
            <w:r w:rsidRPr="00915A43">
              <w:rPr>
                <w:b/>
                <w:sz w:val="20"/>
                <w:szCs w:val="20"/>
              </w:rPr>
              <w:t>Urban Communications Inc.</w:t>
            </w:r>
          </w:p>
          <w:p w:rsidR="00411597" w:rsidRPr="00915A43" w:rsidRDefault="00411597" w:rsidP="00411597">
            <w:pPr>
              <w:rPr>
                <w:sz w:val="20"/>
                <w:szCs w:val="20"/>
              </w:rPr>
            </w:pPr>
            <w:r w:rsidRPr="00915A43">
              <w:rPr>
                <w:sz w:val="20"/>
                <w:szCs w:val="20"/>
              </w:rPr>
              <w:tab/>
            </w:r>
          </w:p>
          <w:p w:rsidR="00411597" w:rsidRPr="00411597" w:rsidRDefault="00411597" w:rsidP="00411597">
            <w:pPr>
              <w:rPr>
                <w:b/>
                <w:sz w:val="20"/>
                <w:szCs w:val="20"/>
              </w:rPr>
            </w:pPr>
            <w:r w:rsidRPr="00915A43">
              <w:rPr>
                <w:sz w:val="20"/>
                <w:szCs w:val="20"/>
              </w:rPr>
              <w:tab/>
            </w:r>
            <w:r w:rsidRPr="00411597">
              <w:rPr>
                <w:b/>
                <w:sz w:val="20"/>
                <w:szCs w:val="20"/>
              </w:rPr>
              <w:t>v. (36639)</w:t>
            </w:r>
          </w:p>
          <w:p w:rsidR="00411597" w:rsidRPr="00915A43" w:rsidRDefault="00411597" w:rsidP="00411597">
            <w:pPr>
              <w:rPr>
                <w:sz w:val="20"/>
                <w:szCs w:val="20"/>
              </w:rPr>
            </w:pPr>
          </w:p>
          <w:p w:rsidR="00411597" w:rsidRDefault="00411597" w:rsidP="00411597">
            <w:pPr>
              <w:rPr>
                <w:sz w:val="20"/>
                <w:szCs w:val="20"/>
              </w:rPr>
            </w:pPr>
            <w:r w:rsidRPr="001400AD">
              <w:rPr>
                <w:b/>
                <w:sz w:val="20"/>
                <w:szCs w:val="20"/>
              </w:rPr>
              <w:t>BCNET Networking Society (B.C.)</w:t>
            </w:r>
          </w:p>
          <w:p w:rsidR="00411597" w:rsidRDefault="00411597" w:rsidP="00411597">
            <w:pPr>
              <w:rPr>
                <w:sz w:val="20"/>
                <w:szCs w:val="20"/>
              </w:rPr>
            </w:pPr>
            <w:r>
              <w:rPr>
                <w:sz w:val="20"/>
                <w:szCs w:val="20"/>
              </w:rPr>
              <w:tab/>
            </w:r>
          </w:p>
          <w:p w:rsidR="00411597" w:rsidRDefault="00411597" w:rsidP="00411597">
            <w:pPr>
              <w:rPr>
                <w:sz w:val="20"/>
                <w:szCs w:val="20"/>
              </w:rPr>
            </w:pPr>
            <w:r>
              <w:rPr>
                <w:sz w:val="20"/>
                <w:szCs w:val="20"/>
              </w:rPr>
              <w:t>(By Leave)</w:t>
            </w:r>
          </w:p>
          <w:p w:rsidR="00411597" w:rsidRPr="001400AD" w:rsidRDefault="003A0CC2" w:rsidP="00411597">
            <w:pPr>
              <w:rPr>
                <w:sz w:val="20"/>
                <w:szCs w:val="20"/>
              </w:rPr>
            </w:pPr>
            <w:r>
              <w:rPr>
                <w:sz w:val="20"/>
                <w:szCs w:val="20"/>
                <w:lang w:val="fr-CA"/>
              </w:rPr>
              <w:pict>
                <v:rect id="_x0000_i1047" style="width:106.1pt;height:1pt" o:hrpct="500" o:hralign="center" o:hrstd="t" o:hrnoshade="t" o:hr="t" fillcolor="black [3213]" stroked="f"/>
              </w:pict>
            </w:r>
          </w:p>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41159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3A0CC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915A43">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304BF7" w:rsidP="007C47C2">
      <w:pPr>
        <w:widowControl w:val="0"/>
        <w:rPr>
          <w:sz w:val="20"/>
          <w:szCs w:val="20"/>
          <w:lang w:val="fr-CA"/>
        </w:rPr>
      </w:pPr>
      <w:r>
        <w:rPr>
          <w:sz w:val="20"/>
          <w:szCs w:val="20"/>
          <w:lang w:val="fr-CA"/>
        </w:rPr>
        <w:t>24.03.2016</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 xml:space="preserve">La juge en chef McLachlin et les </w:t>
      </w:r>
      <w:r w:rsidR="00304BF7">
        <w:rPr>
          <w:sz w:val="20"/>
          <w:szCs w:val="20"/>
          <w:u w:val="single"/>
          <w:lang w:val="fr-CA"/>
        </w:rPr>
        <w:t>juges Abella, Cromwell, Moldaver, Karakatsanis, Wagner, Gascon, Côté et Brown</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A0CC2" w:rsidTr="001400AD">
        <w:tc>
          <w:tcPr>
            <w:tcW w:w="4380" w:type="dxa"/>
            <w:tcMar>
              <w:left w:w="0" w:type="dxa"/>
              <w:right w:w="0" w:type="dxa"/>
            </w:tcMar>
          </w:tcPr>
          <w:p w:rsidR="007C47C2" w:rsidRDefault="00304BF7" w:rsidP="001400AD">
            <w:pPr>
              <w:widowControl w:val="0"/>
              <w:rPr>
                <w:b/>
                <w:sz w:val="20"/>
                <w:szCs w:val="20"/>
                <w:lang w:val="fr-CA"/>
              </w:rPr>
            </w:pPr>
            <w:r>
              <w:rPr>
                <w:b/>
                <w:sz w:val="20"/>
                <w:szCs w:val="20"/>
                <w:lang w:val="fr-CA"/>
              </w:rPr>
              <w:t>Karine Lizotte, ès qualités de syndic adjoint de la Chambre de l’assurance de dommages</w:t>
            </w:r>
          </w:p>
          <w:p w:rsidR="007C47C2" w:rsidRDefault="007C47C2" w:rsidP="001400AD">
            <w:pPr>
              <w:widowControl w:val="0"/>
              <w:rPr>
                <w:b/>
                <w:sz w:val="20"/>
                <w:szCs w:val="20"/>
                <w:lang w:val="fr-CA"/>
              </w:rPr>
            </w:pPr>
          </w:p>
          <w:p w:rsidR="007C47C2" w:rsidRDefault="007C47C2" w:rsidP="001400AD">
            <w:pPr>
              <w:widowControl w:val="0"/>
              <w:rPr>
                <w:b/>
                <w:sz w:val="20"/>
                <w:szCs w:val="20"/>
                <w:lang w:val="fr-CA"/>
              </w:rPr>
            </w:pPr>
            <w:r>
              <w:rPr>
                <w:b/>
                <w:sz w:val="20"/>
                <w:szCs w:val="20"/>
                <w:lang w:val="fr-CA"/>
              </w:rPr>
              <w:tab/>
            </w:r>
            <w:r w:rsidRPr="00E75133">
              <w:rPr>
                <w:b/>
                <w:sz w:val="20"/>
                <w:szCs w:val="20"/>
                <w:lang w:val="fr-CA"/>
              </w:rPr>
              <w:t xml:space="preserve">c. </w:t>
            </w:r>
            <w:r w:rsidRPr="00E75133">
              <w:rPr>
                <w:sz w:val="20"/>
                <w:szCs w:val="20"/>
                <w:lang w:val="fr-CA"/>
              </w:rPr>
              <w:t>(</w:t>
            </w:r>
            <w:hyperlink r:id="rId37" w:history="1">
              <w:r w:rsidR="00304BF7">
                <w:rPr>
                  <w:rStyle w:val="Hyperlink"/>
                  <w:sz w:val="20"/>
                  <w:szCs w:val="20"/>
                  <w:lang w:val="fr-CA"/>
                </w:rPr>
                <w:t>36373</w:t>
              </w:r>
            </w:hyperlink>
            <w:r w:rsidRPr="00E75133">
              <w:rPr>
                <w:sz w:val="20"/>
                <w:szCs w:val="20"/>
                <w:lang w:val="fr-CA"/>
              </w:rPr>
              <w:t>)</w:t>
            </w:r>
          </w:p>
          <w:p w:rsidR="007C47C2" w:rsidRDefault="007C47C2" w:rsidP="001400AD">
            <w:pPr>
              <w:widowControl w:val="0"/>
              <w:rPr>
                <w:b/>
                <w:sz w:val="20"/>
                <w:szCs w:val="20"/>
                <w:lang w:val="fr-CA"/>
              </w:rPr>
            </w:pPr>
          </w:p>
          <w:p w:rsidR="007C47C2" w:rsidRPr="00EA0658" w:rsidRDefault="00304BF7" w:rsidP="001400AD">
            <w:pPr>
              <w:widowControl w:val="0"/>
              <w:rPr>
                <w:sz w:val="20"/>
                <w:szCs w:val="20"/>
                <w:lang w:val="fr-CA"/>
              </w:rPr>
            </w:pPr>
            <w:r>
              <w:rPr>
                <w:b/>
                <w:sz w:val="20"/>
                <w:szCs w:val="20"/>
                <w:lang w:val="fr-CA"/>
              </w:rPr>
              <w:t>Aviva, compagnie d’assurance du Canada et al.</w:t>
            </w:r>
            <w:r w:rsidR="007C47C2" w:rsidRPr="00E75133">
              <w:rPr>
                <w:b/>
                <w:sz w:val="20"/>
                <w:szCs w:val="20"/>
                <w:lang w:val="fr-CA"/>
              </w:rPr>
              <w:t xml:space="preserve"> (Qc) (Civile) (Autorisation)</w:t>
            </w:r>
            <w:r w:rsidR="007C47C2" w:rsidRPr="00E75133">
              <w:rPr>
                <w:sz w:val="20"/>
                <w:szCs w:val="20"/>
                <w:lang w:val="fr-CA"/>
              </w:rPr>
              <w:t xml:space="preserve"> </w:t>
            </w:r>
          </w:p>
        </w:tc>
        <w:tc>
          <w:tcPr>
            <w:tcW w:w="720" w:type="dxa"/>
            <w:tcMar>
              <w:left w:w="0" w:type="dxa"/>
              <w:right w:w="0" w:type="dxa"/>
            </w:tcMar>
          </w:tcPr>
          <w:p w:rsidR="007C47C2" w:rsidRPr="00EA0658" w:rsidRDefault="007C47C2" w:rsidP="001400AD">
            <w:pPr>
              <w:widowControl w:val="0"/>
              <w:jc w:val="center"/>
              <w:rPr>
                <w:sz w:val="20"/>
                <w:szCs w:val="20"/>
                <w:lang w:val="fr-CA"/>
              </w:rPr>
            </w:pPr>
          </w:p>
        </w:tc>
        <w:tc>
          <w:tcPr>
            <w:tcW w:w="4380" w:type="dxa"/>
            <w:tcMar>
              <w:left w:w="0" w:type="dxa"/>
              <w:right w:w="0" w:type="dxa"/>
            </w:tcMar>
          </w:tcPr>
          <w:p w:rsidR="00304BF7" w:rsidRPr="00304BF7" w:rsidRDefault="00304BF7" w:rsidP="00304BF7">
            <w:pPr>
              <w:rPr>
                <w:sz w:val="20"/>
                <w:szCs w:val="20"/>
                <w:lang w:val="fr-CA"/>
              </w:rPr>
            </w:pPr>
            <w:r w:rsidRPr="00304BF7">
              <w:rPr>
                <w:sz w:val="20"/>
                <w:szCs w:val="20"/>
                <w:lang w:val="fr-CA"/>
              </w:rPr>
              <w:t>Claude G. Leduc et Olivier Charbonneau-Saulnier pour l’appelante.</w:t>
            </w:r>
          </w:p>
          <w:p w:rsidR="00304BF7" w:rsidRPr="00304BF7" w:rsidRDefault="00304BF7" w:rsidP="00304BF7">
            <w:pPr>
              <w:rPr>
                <w:sz w:val="20"/>
                <w:szCs w:val="20"/>
                <w:lang w:val="fr-CA"/>
              </w:rPr>
            </w:pPr>
          </w:p>
          <w:p w:rsidR="00304BF7" w:rsidRPr="00304BF7" w:rsidRDefault="00304BF7" w:rsidP="00304BF7">
            <w:pPr>
              <w:rPr>
                <w:sz w:val="20"/>
                <w:szCs w:val="20"/>
                <w:lang w:val="fr-CA"/>
              </w:rPr>
            </w:pPr>
            <w:r w:rsidRPr="00304BF7">
              <w:rPr>
                <w:sz w:val="20"/>
                <w:szCs w:val="20"/>
                <w:lang w:val="fr-CA"/>
              </w:rPr>
              <w:t>Éric Azran et Patrick Girard pour l’intimée Aviva, compagnie d’assurance du Canada, et al.</w:t>
            </w:r>
          </w:p>
          <w:p w:rsidR="00304BF7" w:rsidRPr="00304BF7" w:rsidRDefault="00304BF7" w:rsidP="00304BF7">
            <w:pPr>
              <w:rPr>
                <w:sz w:val="20"/>
                <w:szCs w:val="20"/>
                <w:lang w:val="fr-CA"/>
              </w:rPr>
            </w:pPr>
          </w:p>
          <w:p w:rsidR="00304BF7" w:rsidRPr="00304BF7" w:rsidRDefault="00304BF7" w:rsidP="00304BF7">
            <w:pPr>
              <w:rPr>
                <w:sz w:val="20"/>
                <w:szCs w:val="20"/>
              </w:rPr>
            </w:pPr>
            <w:r w:rsidRPr="00304BF7">
              <w:rPr>
                <w:sz w:val="20"/>
                <w:szCs w:val="20"/>
              </w:rPr>
              <w:t xml:space="preserve">Mahmud Jamal, Alexandre Fallon and W. David Rankin </w:t>
            </w:r>
            <w:r w:rsidRPr="00304BF7">
              <w:rPr>
                <w:sz w:val="20"/>
                <w:szCs w:val="20"/>
                <w:lang w:val="en-US"/>
              </w:rPr>
              <w:t xml:space="preserve">for the Intervener </w:t>
            </w:r>
            <w:r w:rsidRPr="00304BF7">
              <w:rPr>
                <w:sz w:val="20"/>
                <w:szCs w:val="20"/>
              </w:rPr>
              <w:t>Canadian Bar Association</w:t>
            </w:r>
            <w:r w:rsidR="00F20260">
              <w:rPr>
                <w:sz w:val="20"/>
                <w:szCs w:val="20"/>
              </w:rPr>
              <w:t>.</w:t>
            </w:r>
          </w:p>
          <w:p w:rsidR="00304BF7" w:rsidRPr="00304BF7" w:rsidRDefault="00304BF7" w:rsidP="00304BF7">
            <w:pPr>
              <w:rPr>
                <w:sz w:val="20"/>
                <w:szCs w:val="20"/>
                <w:lang w:val="en-US"/>
              </w:rPr>
            </w:pPr>
          </w:p>
          <w:p w:rsidR="00304BF7" w:rsidRPr="00304BF7" w:rsidRDefault="00304BF7" w:rsidP="00304BF7">
            <w:pPr>
              <w:rPr>
                <w:sz w:val="20"/>
                <w:szCs w:val="20"/>
              </w:rPr>
            </w:pPr>
            <w:r w:rsidRPr="00304BF7">
              <w:rPr>
                <w:sz w:val="20"/>
                <w:szCs w:val="20"/>
                <w:lang w:val="en-US"/>
              </w:rPr>
              <w:t xml:space="preserve">Douglas C. Mitchell and </w:t>
            </w:r>
            <w:r w:rsidRPr="00304BF7">
              <w:rPr>
                <w:sz w:val="20"/>
                <w:szCs w:val="20"/>
              </w:rPr>
              <w:t>Audrey Boctor f</w:t>
            </w:r>
            <w:r w:rsidRPr="00304BF7">
              <w:rPr>
                <w:sz w:val="20"/>
                <w:szCs w:val="20"/>
                <w:lang w:val="en-US"/>
              </w:rPr>
              <w:t xml:space="preserve">or the Intervener </w:t>
            </w:r>
            <w:r w:rsidRPr="00304BF7">
              <w:rPr>
                <w:sz w:val="20"/>
                <w:szCs w:val="20"/>
              </w:rPr>
              <w:t>Advocates’ Society</w:t>
            </w:r>
            <w:r w:rsidR="00F20260">
              <w:rPr>
                <w:sz w:val="20"/>
                <w:szCs w:val="20"/>
              </w:rPr>
              <w:t>.</w:t>
            </w:r>
          </w:p>
          <w:p w:rsidR="00304BF7" w:rsidRPr="00304BF7" w:rsidRDefault="00304BF7" w:rsidP="00304BF7">
            <w:pPr>
              <w:rPr>
                <w:sz w:val="20"/>
                <w:szCs w:val="20"/>
              </w:rPr>
            </w:pPr>
          </w:p>
          <w:p w:rsidR="00304BF7" w:rsidRPr="00304BF7" w:rsidRDefault="00304BF7" w:rsidP="00304BF7">
            <w:pPr>
              <w:rPr>
                <w:szCs w:val="24"/>
                <w:lang w:val="fr-CA"/>
              </w:rPr>
            </w:pPr>
            <w:r w:rsidRPr="00304BF7">
              <w:rPr>
                <w:sz w:val="20"/>
                <w:szCs w:val="20"/>
                <w:lang w:val="fr-CA"/>
              </w:rPr>
              <w:t>François LeBel, Jean-Benoît Pouliot et Sylvie Champagne pour l’intervenant Barreau du Québec</w:t>
            </w:r>
            <w:r w:rsidR="00F20260">
              <w:rPr>
                <w:sz w:val="20"/>
                <w:szCs w:val="20"/>
                <w:lang w:val="fr-CA"/>
              </w:rPr>
              <w:t>.</w:t>
            </w:r>
          </w:p>
          <w:p w:rsidR="007C47C2" w:rsidRPr="00EA0658" w:rsidRDefault="007C47C2" w:rsidP="001400AD">
            <w:pPr>
              <w:widowControl w:val="0"/>
              <w:jc w:val="both"/>
              <w:rPr>
                <w:sz w:val="20"/>
                <w:szCs w:val="20"/>
                <w:lang w:val="fr-CA"/>
              </w:rPr>
            </w:pPr>
          </w:p>
        </w:tc>
      </w:tr>
    </w:tbl>
    <w:p w:rsidR="007C47C2" w:rsidRPr="00EA0658"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400AD" w:rsidTr="001400AD">
        <w:tc>
          <w:tcPr>
            <w:tcW w:w="4380" w:type="dxa"/>
            <w:tcMar>
              <w:left w:w="0" w:type="dxa"/>
              <w:right w:w="0" w:type="dxa"/>
            </w:tcMar>
          </w:tcPr>
          <w:p w:rsidR="007C47C2" w:rsidRPr="00CC4D84" w:rsidRDefault="007C47C2" w:rsidP="001400AD">
            <w:pPr>
              <w:widowControl w:val="0"/>
              <w:jc w:val="both"/>
              <w:rPr>
                <w:b/>
                <w:sz w:val="20"/>
                <w:szCs w:val="20"/>
                <w:u w:val="single"/>
              </w:rPr>
            </w:pPr>
            <w:r w:rsidRPr="00CC4D84">
              <w:rPr>
                <w:b/>
                <w:sz w:val="20"/>
                <w:szCs w:val="20"/>
                <w:u w:val="single"/>
              </w:rPr>
              <w:t>Nature of the case:</w:t>
            </w:r>
          </w:p>
          <w:p w:rsidR="007C47C2" w:rsidRPr="00F20260" w:rsidRDefault="007C47C2" w:rsidP="001400AD">
            <w:pPr>
              <w:widowControl w:val="0"/>
              <w:jc w:val="both"/>
              <w:rPr>
                <w:b/>
                <w:sz w:val="20"/>
                <w:szCs w:val="20"/>
              </w:rPr>
            </w:pPr>
          </w:p>
          <w:p w:rsidR="00F20260" w:rsidRPr="00F20260" w:rsidRDefault="00F20260" w:rsidP="00F20260">
            <w:pPr>
              <w:jc w:val="both"/>
              <w:rPr>
                <w:sz w:val="20"/>
                <w:szCs w:val="20"/>
              </w:rPr>
            </w:pPr>
            <w:r w:rsidRPr="00F20260">
              <w:rPr>
                <w:sz w:val="20"/>
                <w:szCs w:val="20"/>
              </w:rPr>
              <w:t xml:space="preserve">Legislation - Immunities and privileges - Litigation privilege - Insurance - Request for production of information and documents in course of inquiry into claims adjuster’s conduct - </w:t>
            </w:r>
            <w:r w:rsidRPr="00F20260">
              <w:rPr>
                <w:iCs/>
                <w:sz w:val="20"/>
                <w:szCs w:val="20"/>
              </w:rPr>
              <w:t>Statutory interpretation</w:t>
            </w:r>
            <w:r w:rsidRPr="00F20260">
              <w:rPr>
                <w:sz w:val="20"/>
                <w:szCs w:val="20"/>
              </w:rPr>
              <w:t xml:space="preserve"> - Whether litigation privilege must be applied so as not to prevent Syndic from exercising her right, under section 337 of </w:t>
            </w:r>
            <w:r w:rsidRPr="00F20260">
              <w:rPr>
                <w:i/>
                <w:sz w:val="20"/>
                <w:szCs w:val="20"/>
              </w:rPr>
              <w:t>Act respecting the distribution of financial products and services</w:t>
            </w:r>
            <w:r w:rsidRPr="00F20260">
              <w:rPr>
                <w:sz w:val="20"/>
                <w:szCs w:val="20"/>
              </w:rPr>
              <w:t xml:space="preserve">, to obtain from insurer-respondents “any required document or information concerning the activities of a representative” - </w:t>
            </w:r>
            <w:r w:rsidRPr="00F20260">
              <w:rPr>
                <w:i/>
                <w:sz w:val="20"/>
                <w:szCs w:val="20"/>
              </w:rPr>
              <w:t>Act respecting the distribution of financial products and services</w:t>
            </w:r>
            <w:r w:rsidRPr="00F20260">
              <w:rPr>
                <w:sz w:val="20"/>
                <w:szCs w:val="20"/>
              </w:rPr>
              <w:t>, CQLR, c. D-9.2, s. 337.</w:t>
            </w:r>
          </w:p>
          <w:p w:rsidR="007C47C2" w:rsidRPr="00C1697B" w:rsidRDefault="007C47C2" w:rsidP="001400AD">
            <w:pPr>
              <w:widowControl w:val="0"/>
              <w:jc w:val="both"/>
              <w:rPr>
                <w:b/>
                <w:sz w:val="20"/>
                <w:szCs w:val="20"/>
              </w:rPr>
            </w:pPr>
          </w:p>
        </w:tc>
        <w:tc>
          <w:tcPr>
            <w:tcW w:w="720" w:type="dxa"/>
            <w:tcMar>
              <w:left w:w="0" w:type="dxa"/>
              <w:right w:w="0" w:type="dxa"/>
            </w:tcMar>
          </w:tcPr>
          <w:p w:rsidR="007C47C2" w:rsidRPr="00C1697B" w:rsidRDefault="007C47C2" w:rsidP="001400AD">
            <w:pPr>
              <w:widowControl w:val="0"/>
              <w:jc w:val="center"/>
              <w:rPr>
                <w:sz w:val="20"/>
                <w:szCs w:val="20"/>
              </w:rPr>
            </w:pPr>
          </w:p>
        </w:tc>
        <w:tc>
          <w:tcPr>
            <w:tcW w:w="4380" w:type="dxa"/>
            <w:tcMar>
              <w:left w:w="0" w:type="dxa"/>
              <w:right w:w="0" w:type="dxa"/>
            </w:tcMar>
          </w:tcPr>
          <w:p w:rsidR="007C47C2" w:rsidRPr="00F20260" w:rsidRDefault="007C47C2" w:rsidP="001400AD">
            <w:pPr>
              <w:widowControl w:val="0"/>
              <w:jc w:val="both"/>
              <w:rPr>
                <w:b/>
                <w:sz w:val="20"/>
                <w:szCs w:val="20"/>
                <w:u w:val="single"/>
                <w:lang w:val="fr-CA"/>
              </w:rPr>
            </w:pPr>
            <w:r w:rsidRPr="00F20260">
              <w:rPr>
                <w:b/>
                <w:sz w:val="20"/>
                <w:szCs w:val="20"/>
                <w:u w:val="single"/>
                <w:lang w:val="fr-CA"/>
              </w:rPr>
              <w:t>Nature de la cause :</w:t>
            </w:r>
          </w:p>
          <w:p w:rsidR="007C47C2" w:rsidRPr="00F20260" w:rsidRDefault="007C47C2" w:rsidP="001400AD">
            <w:pPr>
              <w:widowControl w:val="0"/>
              <w:jc w:val="both"/>
              <w:rPr>
                <w:sz w:val="20"/>
                <w:szCs w:val="20"/>
                <w:lang w:val="fr-CA"/>
              </w:rPr>
            </w:pPr>
          </w:p>
          <w:p w:rsidR="00F20260" w:rsidRPr="00C1697B" w:rsidRDefault="00F20260" w:rsidP="00F20260">
            <w:pPr>
              <w:jc w:val="both"/>
              <w:rPr>
                <w:sz w:val="20"/>
                <w:szCs w:val="20"/>
                <w:lang w:val="fr-CA"/>
              </w:rPr>
            </w:pPr>
            <w:r w:rsidRPr="00F20260">
              <w:rPr>
                <w:sz w:val="20"/>
                <w:szCs w:val="20"/>
                <w:lang w:val="fr-CA"/>
              </w:rPr>
              <w:t xml:space="preserve">Législation - Immunités et privilèges - Privilège relatif au litige - Assurance - Demande de communication de renseignements et documents dans le cadre d’enquête sur la conduite d’un expert en sinistre - Interprétation des lois - Le privilège relatif au litige doit-il être appliqué de manière à ne pas empêcher le Syndic d’exercer son droit d’obtenir des assureurs-intimés « tout document et tout renseignement qu’il requiert sur les activités d’un représentant », prévu à l’article 337 de la </w:t>
            </w:r>
            <w:r w:rsidRPr="00F20260">
              <w:rPr>
                <w:i/>
                <w:sz w:val="20"/>
                <w:szCs w:val="20"/>
                <w:lang w:val="fr-CA"/>
              </w:rPr>
              <w:t>Loi sur la distribution de produits et services financiers</w:t>
            </w:r>
            <w:r w:rsidRPr="00F20260">
              <w:rPr>
                <w:sz w:val="20"/>
                <w:szCs w:val="20"/>
                <w:lang w:val="fr-CA"/>
              </w:rPr>
              <w:t xml:space="preserve">? - </w:t>
            </w:r>
            <w:r w:rsidRPr="00F20260">
              <w:rPr>
                <w:i/>
                <w:sz w:val="20"/>
                <w:szCs w:val="20"/>
                <w:lang w:val="fr-CA"/>
              </w:rPr>
              <w:t>Loi sur la distribution de produits et services financiers</w:t>
            </w:r>
            <w:r w:rsidRPr="00F20260">
              <w:rPr>
                <w:sz w:val="20"/>
                <w:szCs w:val="20"/>
                <w:lang w:val="fr-CA"/>
              </w:rPr>
              <w:t>, R.L.R.Q., ch. D-9.2, art. 337</w:t>
            </w:r>
          </w:p>
        </w:tc>
      </w:tr>
    </w:tbl>
    <w:p w:rsidR="002A27D1" w:rsidRDefault="003A0CC2" w:rsidP="002A27D1">
      <w:pPr>
        <w:widowControl w:val="0"/>
        <w:rPr>
          <w:sz w:val="20"/>
          <w:szCs w:val="20"/>
        </w:rPr>
      </w:pPr>
      <w:r>
        <w:rPr>
          <w:sz w:val="20"/>
          <w:szCs w:val="20"/>
          <w:lang w:val="fr-CA"/>
        </w:rPr>
        <w:pict>
          <v:rect id="_x0000_i1050" style="width:2in;height:1pt" o:hrpct="0" o:hralign="center" o:hrstd="t" o:hrnoshade="t" o:hr="t" fillcolor="black [3213]" stroked="f"/>
        </w:pict>
      </w:r>
    </w:p>
    <w:p w:rsidR="002A27D1" w:rsidRDefault="002A27D1" w:rsidP="002A27D1">
      <w:pPr>
        <w:widowControl w:val="0"/>
        <w:rPr>
          <w:sz w:val="20"/>
          <w:szCs w:val="20"/>
        </w:rPr>
      </w:pPr>
    </w:p>
    <w:p w:rsidR="009C6885" w:rsidRDefault="009C6885">
      <w:pPr>
        <w:rPr>
          <w:sz w:val="20"/>
          <w:szCs w:val="20"/>
        </w:rPr>
      </w:pPr>
      <w:r>
        <w:rPr>
          <w:sz w:val="20"/>
          <w:szCs w:val="20"/>
        </w:rPr>
        <w:br w:type="page"/>
      </w:r>
    </w:p>
    <w:p w:rsidR="007C47C2" w:rsidRPr="00C50A5C" w:rsidRDefault="00F20260" w:rsidP="007C47C2">
      <w:pPr>
        <w:widowControl w:val="0"/>
        <w:rPr>
          <w:sz w:val="20"/>
          <w:szCs w:val="20"/>
        </w:rPr>
      </w:pPr>
      <w:r>
        <w:rPr>
          <w:sz w:val="20"/>
          <w:szCs w:val="20"/>
        </w:rPr>
        <w:lastRenderedPageBreak/>
        <w:t>29.03.2016</w:t>
      </w:r>
    </w:p>
    <w:p w:rsidR="007C47C2" w:rsidRPr="00C50A5C" w:rsidRDefault="007C47C2" w:rsidP="007C47C2">
      <w:pPr>
        <w:widowControl w:val="0"/>
        <w:rPr>
          <w:sz w:val="20"/>
          <w:szCs w:val="20"/>
        </w:rPr>
      </w:pPr>
    </w:p>
    <w:p w:rsidR="007C47C2" w:rsidRDefault="007C47C2" w:rsidP="007C47C2">
      <w:pPr>
        <w:widowControl w:val="0"/>
        <w:ind w:left="720" w:hanging="720"/>
        <w:rPr>
          <w:sz w:val="20"/>
          <w:szCs w:val="20"/>
        </w:rPr>
      </w:pPr>
      <w:r w:rsidRPr="00C50A5C">
        <w:rPr>
          <w:sz w:val="20"/>
          <w:szCs w:val="20"/>
        </w:rPr>
        <w:t xml:space="preserve">Coram: </w:t>
      </w:r>
      <w:r w:rsidRPr="00C50A5C">
        <w:rPr>
          <w:sz w:val="20"/>
          <w:szCs w:val="20"/>
        </w:rPr>
        <w:tab/>
      </w:r>
      <w:r w:rsidR="00F20260">
        <w:rPr>
          <w:sz w:val="20"/>
          <w:szCs w:val="20"/>
          <w:u w:val="single"/>
        </w:rPr>
        <w:t>McLachlin C.J. and Abella, Cromwell, Moldaver, Karakatsanis, Wagner, Gascon, Côté and Brown JJ.</w:t>
      </w:r>
      <w:r w:rsidRPr="00C50A5C">
        <w:rPr>
          <w:sz w:val="20"/>
          <w:szCs w:val="20"/>
        </w:rPr>
        <w:t xml:space="preserve"> </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1400AD">
        <w:tc>
          <w:tcPr>
            <w:tcW w:w="4380" w:type="dxa"/>
            <w:tcMar>
              <w:left w:w="0" w:type="dxa"/>
              <w:right w:w="0" w:type="dxa"/>
            </w:tcMar>
          </w:tcPr>
          <w:p w:rsidR="007C47C2" w:rsidRPr="00C50A5C" w:rsidRDefault="00F25804" w:rsidP="001400AD">
            <w:pPr>
              <w:widowControl w:val="0"/>
              <w:jc w:val="both"/>
              <w:rPr>
                <w:b/>
                <w:sz w:val="20"/>
                <w:szCs w:val="20"/>
              </w:rPr>
            </w:pPr>
            <w:r>
              <w:rPr>
                <w:b/>
                <w:sz w:val="20"/>
                <w:szCs w:val="20"/>
              </w:rPr>
              <w:t>Attorney General of Canada</w:t>
            </w:r>
          </w:p>
          <w:p w:rsidR="007C47C2" w:rsidRPr="00C50A5C" w:rsidRDefault="007C47C2" w:rsidP="001400AD">
            <w:pPr>
              <w:widowControl w:val="0"/>
              <w:jc w:val="both"/>
              <w:rPr>
                <w:b/>
                <w:sz w:val="20"/>
                <w:szCs w:val="20"/>
              </w:rPr>
            </w:pPr>
          </w:p>
          <w:p w:rsidR="007C47C2" w:rsidRPr="00C50A5C" w:rsidRDefault="007C47C2" w:rsidP="001400AD">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38" w:history="1">
              <w:r w:rsidR="00F25804">
                <w:rPr>
                  <w:rStyle w:val="Hyperlink"/>
                  <w:sz w:val="20"/>
                  <w:szCs w:val="20"/>
                </w:rPr>
                <w:t>36258</w:t>
              </w:r>
            </w:hyperlink>
            <w:r w:rsidRPr="00765D4A">
              <w:rPr>
                <w:sz w:val="20"/>
                <w:szCs w:val="20"/>
              </w:rPr>
              <w:t>)</w:t>
            </w:r>
          </w:p>
          <w:p w:rsidR="007C47C2" w:rsidRPr="00C50A5C" w:rsidRDefault="007C47C2" w:rsidP="001400AD">
            <w:pPr>
              <w:widowControl w:val="0"/>
              <w:jc w:val="both"/>
              <w:rPr>
                <w:b/>
                <w:sz w:val="20"/>
                <w:szCs w:val="20"/>
              </w:rPr>
            </w:pPr>
          </w:p>
          <w:p w:rsidR="007C47C2" w:rsidRPr="00893C7B" w:rsidRDefault="00F25804" w:rsidP="001400AD">
            <w:pPr>
              <w:widowControl w:val="0"/>
              <w:jc w:val="both"/>
              <w:rPr>
                <w:sz w:val="20"/>
                <w:szCs w:val="20"/>
              </w:rPr>
            </w:pPr>
            <w:r>
              <w:rPr>
                <w:b/>
                <w:sz w:val="20"/>
                <w:szCs w:val="20"/>
              </w:rPr>
              <w:t>Igloo Vikski Inc. (F.C.) (Civil) (By Leave)</w:t>
            </w:r>
          </w:p>
        </w:tc>
        <w:tc>
          <w:tcPr>
            <w:tcW w:w="720" w:type="dxa"/>
            <w:tcMar>
              <w:left w:w="0" w:type="dxa"/>
              <w:right w:w="0" w:type="dxa"/>
            </w:tcMar>
          </w:tcPr>
          <w:p w:rsidR="007C47C2" w:rsidRPr="00893C7B" w:rsidRDefault="007C47C2" w:rsidP="001400AD">
            <w:pPr>
              <w:widowControl w:val="0"/>
              <w:jc w:val="center"/>
              <w:rPr>
                <w:sz w:val="20"/>
                <w:szCs w:val="20"/>
              </w:rPr>
            </w:pPr>
          </w:p>
        </w:tc>
        <w:tc>
          <w:tcPr>
            <w:tcW w:w="4380" w:type="dxa"/>
            <w:tcMar>
              <w:left w:w="0" w:type="dxa"/>
              <w:right w:w="0" w:type="dxa"/>
            </w:tcMar>
          </w:tcPr>
          <w:p w:rsidR="00F25804" w:rsidRPr="00F25804" w:rsidRDefault="00F25804" w:rsidP="00F25804">
            <w:pPr>
              <w:widowControl w:val="0"/>
              <w:jc w:val="both"/>
              <w:rPr>
                <w:sz w:val="20"/>
                <w:szCs w:val="20"/>
              </w:rPr>
            </w:pPr>
            <w:r w:rsidRPr="00F25804">
              <w:rPr>
                <w:sz w:val="20"/>
                <w:szCs w:val="20"/>
              </w:rPr>
              <w:t>Jan E. Brongers and Michael Taylor for the appellant.</w:t>
            </w:r>
          </w:p>
          <w:p w:rsidR="00F25804" w:rsidRPr="00F25804" w:rsidRDefault="00F25804" w:rsidP="00F25804">
            <w:pPr>
              <w:widowControl w:val="0"/>
              <w:jc w:val="both"/>
              <w:rPr>
                <w:sz w:val="20"/>
                <w:szCs w:val="20"/>
              </w:rPr>
            </w:pPr>
          </w:p>
          <w:p w:rsidR="007C47C2" w:rsidRPr="00C50A5C" w:rsidRDefault="00F25804" w:rsidP="00F25804">
            <w:pPr>
              <w:widowControl w:val="0"/>
              <w:jc w:val="both"/>
              <w:rPr>
                <w:sz w:val="20"/>
                <w:szCs w:val="20"/>
              </w:rPr>
            </w:pPr>
            <w:r w:rsidRPr="00F25804">
              <w:rPr>
                <w:sz w:val="20"/>
                <w:szCs w:val="20"/>
              </w:rPr>
              <w:t>Jennifer Klinck and Michael Kaylor for the respondent.</w:t>
            </w:r>
          </w:p>
        </w:tc>
      </w:tr>
    </w:tbl>
    <w:p w:rsidR="007C47C2" w:rsidRDefault="007C47C2" w:rsidP="007C47C2">
      <w:pPr>
        <w:widowControl w:val="0"/>
      </w:pPr>
    </w:p>
    <w:p w:rsidR="00F25804" w:rsidRPr="0085476B" w:rsidRDefault="00F25804" w:rsidP="00F25804">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A0CC2" w:rsidTr="001400AD">
        <w:tc>
          <w:tcPr>
            <w:tcW w:w="4380" w:type="dxa"/>
            <w:tcMar>
              <w:left w:w="0" w:type="dxa"/>
              <w:right w:w="0" w:type="dxa"/>
            </w:tcMar>
          </w:tcPr>
          <w:p w:rsidR="007C47C2" w:rsidRPr="00CC4D84" w:rsidRDefault="007C47C2" w:rsidP="001400AD">
            <w:pPr>
              <w:widowControl w:val="0"/>
              <w:jc w:val="both"/>
              <w:rPr>
                <w:b/>
                <w:sz w:val="20"/>
                <w:szCs w:val="20"/>
                <w:u w:val="single"/>
              </w:rPr>
            </w:pPr>
            <w:r w:rsidRPr="00CC4D84">
              <w:rPr>
                <w:b/>
                <w:sz w:val="20"/>
                <w:szCs w:val="20"/>
                <w:u w:val="single"/>
              </w:rPr>
              <w:t>Nature of the case:</w:t>
            </w:r>
          </w:p>
          <w:p w:rsidR="007C47C2" w:rsidRPr="00F25804" w:rsidRDefault="007C47C2" w:rsidP="001400AD">
            <w:pPr>
              <w:widowControl w:val="0"/>
              <w:jc w:val="both"/>
              <w:rPr>
                <w:b/>
                <w:sz w:val="20"/>
                <w:szCs w:val="20"/>
              </w:rPr>
            </w:pPr>
          </w:p>
          <w:p w:rsidR="007C47C2" w:rsidRPr="00F25804" w:rsidRDefault="00F25804" w:rsidP="00F25804">
            <w:pPr>
              <w:jc w:val="both"/>
              <w:rPr>
                <w:b/>
                <w:sz w:val="20"/>
                <w:szCs w:val="20"/>
                <w:lang w:val="en-US"/>
              </w:rPr>
            </w:pPr>
            <w:r w:rsidRPr="00F25804">
              <w:rPr>
                <w:rFonts w:eastAsia="Times New Roman" w:cs="Times New Roman"/>
                <w:sz w:val="20"/>
                <w:szCs w:val="20"/>
                <w:lang w:val="en-US" w:eastAsia="en-CA"/>
              </w:rPr>
              <w:t xml:space="preserve">Taxation - Customs and duties - Classification of goods under </w:t>
            </w:r>
            <w:r w:rsidRPr="00F25804">
              <w:rPr>
                <w:rFonts w:eastAsia="Times New Roman" w:cs="Times New Roman"/>
                <w:i/>
                <w:iCs/>
                <w:sz w:val="20"/>
                <w:szCs w:val="20"/>
                <w:lang w:val="en-US" w:eastAsia="en-CA"/>
              </w:rPr>
              <w:t>Customs Tariff</w:t>
            </w:r>
            <w:r w:rsidRPr="00F25804">
              <w:rPr>
                <w:rFonts w:eastAsia="Times New Roman" w:cs="Times New Roman"/>
                <w:iCs/>
                <w:sz w:val="20"/>
                <w:szCs w:val="20"/>
                <w:lang w:val="en-US" w:eastAsia="en-CA"/>
              </w:rPr>
              <w:t xml:space="preserve">, S.C. 1997, c. 36 - </w:t>
            </w:r>
            <w:r w:rsidRPr="00F25804">
              <w:rPr>
                <w:rFonts w:eastAsia="Times New Roman" w:cs="Times New Roman"/>
                <w:sz w:val="20"/>
                <w:szCs w:val="20"/>
                <w:lang w:val="en-US" w:eastAsia="en-CA"/>
              </w:rPr>
              <w:t xml:space="preserve">Federal Court of Appeal allowing appeal from decision of Canadian International Trade Tribunal (“CITT”) - Whether Federal Court of Appeal erring by setting aside CITT’s determination that goods in issue, hockey gloves, are classified under textile “gloves, mittens and mitts” tariff item contained within </w:t>
            </w:r>
            <w:r w:rsidRPr="00F25804">
              <w:rPr>
                <w:rFonts w:eastAsia="Times New Roman" w:cs="Times New Roman"/>
                <w:i/>
                <w:sz w:val="20"/>
                <w:szCs w:val="20"/>
                <w:lang w:val="en-US" w:eastAsia="en-CA"/>
              </w:rPr>
              <w:t>Customs Tariff</w:t>
            </w:r>
            <w:r w:rsidRPr="00F25804">
              <w:rPr>
                <w:rFonts w:eastAsia="Times New Roman" w:cs="Times New Roman"/>
                <w:sz w:val="20"/>
                <w:szCs w:val="20"/>
                <w:lang w:val="en-US" w:eastAsia="en-CA"/>
              </w:rPr>
              <w:t xml:space="preserve"> - Whether Federal Court of Appeal failing to afford requisite deference it owes to CITT when conducting statutory appeal of customs classification determination - Whether Federal Court of Appeal erring in its interpretation of </w:t>
            </w:r>
            <w:r w:rsidRPr="00F25804">
              <w:rPr>
                <w:rFonts w:eastAsia="Times New Roman" w:cs="Times New Roman"/>
                <w:i/>
                <w:sz w:val="20"/>
                <w:szCs w:val="20"/>
                <w:lang w:val="en-US" w:eastAsia="en-CA"/>
              </w:rPr>
              <w:t xml:space="preserve">Customs Tariff </w:t>
            </w:r>
            <w:r w:rsidRPr="00F25804">
              <w:rPr>
                <w:rFonts w:eastAsia="Times New Roman" w:cs="Times New Roman"/>
                <w:sz w:val="20"/>
                <w:szCs w:val="20"/>
                <w:lang w:val="en-US" w:eastAsia="en-CA"/>
              </w:rPr>
              <w:t xml:space="preserve">when it held that it is not a prerequisite condition to application of Rule 2(b) that goods in issue need first meet description in a heading pursuant to Rule 1 of General Rules for the Interpretation of the Harmonized System - Whether Federal Court of Appeal erring in its interpretation of </w:t>
            </w:r>
            <w:r w:rsidRPr="00F25804">
              <w:rPr>
                <w:rFonts w:eastAsia="Times New Roman" w:cs="Times New Roman"/>
                <w:i/>
                <w:sz w:val="20"/>
                <w:szCs w:val="20"/>
                <w:lang w:val="en-US" w:eastAsia="en-CA"/>
              </w:rPr>
              <w:t xml:space="preserve">Customs Tariff </w:t>
            </w:r>
            <w:r w:rsidRPr="00F25804">
              <w:rPr>
                <w:rFonts w:eastAsia="Times New Roman" w:cs="Times New Roman"/>
                <w:sz w:val="20"/>
                <w:szCs w:val="20"/>
                <w:lang w:val="en-US" w:eastAsia="en-CA"/>
              </w:rPr>
              <w:t xml:space="preserve">when it held that goods in issue are </w:t>
            </w:r>
            <w:r w:rsidRPr="00F25804">
              <w:rPr>
                <w:rFonts w:eastAsia="Times New Roman" w:cs="Times New Roman"/>
                <w:i/>
                <w:sz w:val="20"/>
                <w:szCs w:val="20"/>
                <w:lang w:val="en-US" w:eastAsia="en-CA"/>
              </w:rPr>
              <w:t xml:space="preserve">prima facie </w:t>
            </w:r>
            <w:r w:rsidRPr="00F25804">
              <w:rPr>
                <w:rFonts w:eastAsia="Times New Roman" w:cs="Times New Roman"/>
                <w:sz w:val="20"/>
                <w:szCs w:val="20"/>
                <w:lang w:val="en-US" w:eastAsia="en-CA"/>
              </w:rPr>
              <w:t xml:space="preserve">classifiable under “other articles of plastics” heading of the </w:t>
            </w:r>
            <w:r w:rsidRPr="00F25804">
              <w:rPr>
                <w:rFonts w:eastAsia="Times New Roman" w:cs="Times New Roman"/>
                <w:i/>
                <w:sz w:val="20"/>
                <w:szCs w:val="20"/>
                <w:lang w:val="en-US" w:eastAsia="en-CA"/>
              </w:rPr>
              <w:t>Customs Tariff</w:t>
            </w:r>
            <w:r w:rsidRPr="00F25804">
              <w:rPr>
                <w:rFonts w:eastAsia="Times New Roman" w:cs="Times New Roman"/>
                <w:sz w:val="20"/>
                <w:szCs w:val="20"/>
                <w:lang w:val="en-US" w:eastAsia="en-CA"/>
              </w:rPr>
              <w:t>.</w:t>
            </w:r>
          </w:p>
        </w:tc>
        <w:tc>
          <w:tcPr>
            <w:tcW w:w="720" w:type="dxa"/>
            <w:tcMar>
              <w:left w:w="0" w:type="dxa"/>
              <w:right w:w="0" w:type="dxa"/>
            </w:tcMar>
          </w:tcPr>
          <w:p w:rsidR="007C47C2" w:rsidRPr="00C1697B" w:rsidRDefault="007C47C2" w:rsidP="001400AD">
            <w:pPr>
              <w:widowControl w:val="0"/>
              <w:jc w:val="center"/>
              <w:rPr>
                <w:sz w:val="20"/>
                <w:szCs w:val="20"/>
              </w:rPr>
            </w:pPr>
          </w:p>
        </w:tc>
        <w:tc>
          <w:tcPr>
            <w:tcW w:w="4380" w:type="dxa"/>
            <w:tcMar>
              <w:left w:w="0" w:type="dxa"/>
              <w:right w:w="0" w:type="dxa"/>
            </w:tcMar>
          </w:tcPr>
          <w:p w:rsidR="007C47C2" w:rsidRPr="00F25804" w:rsidRDefault="007C47C2" w:rsidP="001400AD">
            <w:pPr>
              <w:widowControl w:val="0"/>
              <w:jc w:val="both"/>
              <w:rPr>
                <w:b/>
                <w:sz w:val="20"/>
                <w:szCs w:val="20"/>
                <w:u w:val="single"/>
                <w:lang w:val="fr-CA"/>
              </w:rPr>
            </w:pPr>
            <w:r w:rsidRPr="00F25804">
              <w:rPr>
                <w:b/>
                <w:sz w:val="20"/>
                <w:szCs w:val="20"/>
                <w:u w:val="single"/>
                <w:lang w:val="fr-CA"/>
              </w:rPr>
              <w:t>Nature de la cause :</w:t>
            </w:r>
          </w:p>
          <w:p w:rsidR="007C47C2" w:rsidRPr="00F25804" w:rsidRDefault="007C47C2" w:rsidP="001400AD">
            <w:pPr>
              <w:widowControl w:val="0"/>
              <w:jc w:val="both"/>
              <w:rPr>
                <w:sz w:val="20"/>
                <w:szCs w:val="20"/>
                <w:lang w:val="fr-CA"/>
              </w:rPr>
            </w:pPr>
          </w:p>
          <w:p w:rsidR="007C47C2" w:rsidRPr="00F25804" w:rsidRDefault="00F25804" w:rsidP="009412E2">
            <w:pPr>
              <w:jc w:val="both"/>
              <w:rPr>
                <w:sz w:val="20"/>
                <w:szCs w:val="20"/>
                <w:lang w:val="fr-CA"/>
              </w:rPr>
            </w:pPr>
            <w:r w:rsidRPr="00F25804">
              <w:rPr>
                <w:rFonts w:eastAsia="Times New Roman" w:cs="Times New Roman"/>
                <w:sz w:val="20"/>
                <w:szCs w:val="20"/>
                <w:lang w:val="fr-CA" w:eastAsia="en-CA"/>
              </w:rPr>
              <w:t xml:space="preserve">Droit fiscal - Douanes et droits - Classement de marchandises en application du </w:t>
            </w:r>
            <w:r w:rsidRPr="00F25804">
              <w:rPr>
                <w:rFonts w:eastAsia="Times New Roman" w:cs="Times New Roman"/>
                <w:i/>
                <w:iCs/>
                <w:sz w:val="20"/>
                <w:szCs w:val="20"/>
                <w:lang w:val="fr-CA" w:eastAsia="en-CA"/>
              </w:rPr>
              <w:t>Tarif des douanes</w:t>
            </w:r>
            <w:r w:rsidRPr="00F25804">
              <w:rPr>
                <w:rFonts w:eastAsia="Times New Roman" w:cs="Times New Roman"/>
                <w:iCs/>
                <w:sz w:val="20"/>
                <w:szCs w:val="20"/>
                <w:lang w:val="fr-CA" w:eastAsia="en-CA"/>
              </w:rPr>
              <w:t xml:space="preserve">, L.C. 1997, ch. 36 - </w:t>
            </w:r>
            <w:r w:rsidRPr="00F25804">
              <w:rPr>
                <w:rFonts w:eastAsia="Times New Roman" w:cs="Times New Roman"/>
                <w:sz w:val="20"/>
                <w:szCs w:val="20"/>
                <w:lang w:val="fr-CA" w:eastAsia="en-CA"/>
              </w:rPr>
              <w:t xml:space="preserve">La Cour d’appel fédérale a accueilli l’appel d’une décision du Tribunal canadien du commerce extérieur (« TCCE ») - La Cour d’appel fédérale a-t-elle eu tort d’annuler la décision du TCCE portant que les marchandises en cause, des gants de hockey, sont classées sous la position tarifaire « gants, mitaines et moufles » de matière textile, comprise dans le </w:t>
            </w:r>
            <w:r w:rsidRPr="00F25804">
              <w:rPr>
                <w:rFonts w:eastAsia="Times New Roman" w:cs="Times New Roman"/>
                <w:i/>
                <w:iCs/>
                <w:sz w:val="20"/>
                <w:szCs w:val="20"/>
                <w:lang w:val="fr-CA" w:eastAsia="en-CA"/>
              </w:rPr>
              <w:t>Tarif des douanes</w:t>
            </w:r>
            <w:r w:rsidRPr="00F25804">
              <w:rPr>
                <w:rFonts w:eastAsia="Times New Roman" w:cs="Times New Roman"/>
                <w:iCs/>
                <w:sz w:val="20"/>
                <w:szCs w:val="20"/>
                <w:lang w:val="fr-CA" w:eastAsia="en-CA"/>
              </w:rPr>
              <w:t xml:space="preserve">? - La Cour d’appel fédérale a-t-elle omis de faire montre de la déférence nécessaire à l’égard du TCCE lorsqu’elle instruit l’appel, prévu par la loi, d’une décision de classement tarifaire? - La Cour d’appel fédérale a-t-elle commis une erreur dans son interprétation du </w:t>
            </w:r>
            <w:r w:rsidRPr="00F25804">
              <w:rPr>
                <w:rFonts w:eastAsia="Times New Roman" w:cs="Times New Roman"/>
                <w:i/>
                <w:iCs/>
                <w:sz w:val="20"/>
                <w:szCs w:val="20"/>
                <w:lang w:val="fr-CA" w:eastAsia="en-CA"/>
              </w:rPr>
              <w:t>Tarif des douanes</w:t>
            </w:r>
            <w:r w:rsidRPr="00F25804">
              <w:rPr>
                <w:rFonts w:eastAsia="Times New Roman" w:cs="Times New Roman"/>
                <w:iCs/>
                <w:sz w:val="20"/>
                <w:szCs w:val="20"/>
                <w:lang w:val="fr-CA" w:eastAsia="en-CA"/>
              </w:rPr>
              <w:t xml:space="preserve"> lorsqu’elle a statué qu’aucune condition préalable à l’application de la Règle 2</w:t>
            </w:r>
            <w:r w:rsidRPr="00F25804">
              <w:rPr>
                <w:rFonts w:eastAsia="Times New Roman" w:cs="Times New Roman"/>
                <w:i/>
                <w:iCs/>
                <w:sz w:val="20"/>
                <w:szCs w:val="20"/>
                <w:lang w:val="fr-CA" w:eastAsia="en-CA"/>
              </w:rPr>
              <w:t>b</w:t>
            </w:r>
            <w:r w:rsidRPr="00F25804">
              <w:rPr>
                <w:rFonts w:eastAsia="Times New Roman" w:cs="Times New Roman"/>
                <w:iCs/>
                <w:sz w:val="20"/>
                <w:szCs w:val="20"/>
                <w:lang w:val="fr-CA" w:eastAsia="en-CA"/>
              </w:rPr>
              <w:t xml:space="preserve">) n’exigeait que les marchandises en cause doivent premièrement correspondre à la description de la position visée en vertu de la Règle 1 des </w:t>
            </w:r>
            <w:r w:rsidRPr="00F25804">
              <w:rPr>
                <w:rFonts w:eastAsia="Times New Roman" w:cs="Times New Roman"/>
                <w:i/>
                <w:iCs/>
                <w:sz w:val="20"/>
                <w:szCs w:val="20"/>
                <w:lang w:val="fr-CA" w:eastAsia="en-CA"/>
              </w:rPr>
              <w:t>Règles générales pour l’interprétation du Système harmonisé</w:t>
            </w:r>
            <w:r w:rsidRPr="00F25804">
              <w:rPr>
                <w:rFonts w:eastAsia="Times New Roman" w:cs="Times New Roman"/>
                <w:iCs/>
                <w:sz w:val="20"/>
                <w:szCs w:val="20"/>
                <w:lang w:val="fr-CA" w:eastAsia="en-CA"/>
              </w:rPr>
              <w:t xml:space="preserve">? - La Cour d’appel fédérale a-t-elle commis une erreur dans son interprétation du </w:t>
            </w:r>
            <w:r w:rsidRPr="00F25804">
              <w:rPr>
                <w:rFonts w:eastAsia="Times New Roman" w:cs="Times New Roman"/>
                <w:i/>
                <w:iCs/>
                <w:sz w:val="20"/>
                <w:szCs w:val="20"/>
                <w:lang w:val="fr-CA" w:eastAsia="en-CA"/>
              </w:rPr>
              <w:t xml:space="preserve">Tarif des douanes </w:t>
            </w:r>
            <w:r w:rsidRPr="00F25804">
              <w:rPr>
                <w:rFonts w:eastAsia="Times New Roman" w:cs="Times New Roman"/>
                <w:iCs/>
                <w:sz w:val="20"/>
                <w:szCs w:val="20"/>
                <w:lang w:val="fr-CA" w:eastAsia="en-CA"/>
              </w:rPr>
              <w:t xml:space="preserve">lorsqu’elle a statué que les marchandises en cause étaient susceptibles de relever de la position « [a]utres ouvrages en matières plastiques » du </w:t>
            </w:r>
            <w:r w:rsidRPr="00F25804">
              <w:rPr>
                <w:rFonts w:eastAsia="Times New Roman" w:cs="Times New Roman"/>
                <w:i/>
                <w:iCs/>
                <w:sz w:val="20"/>
                <w:szCs w:val="20"/>
                <w:lang w:val="fr-CA" w:eastAsia="en-CA"/>
              </w:rPr>
              <w:t>Tarif des douanes</w:t>
            </w:r>
            <w:r w:rsidRPr="00F25804">
              <w:rPr>
                <w:rFonts w:eastAsia="Times New Roman" w:cs="Times New Roman"/>
                <w:iCs/>
                <w:sz w:val="20"/>
                <w:szCs w:val="20"/>
                <w:lang w:val="fr-CA" w:eastAsia="en-CA"/>
              </w:rPr>
              <w:t>?</w:t>
            </w:r>
          </w:p>
        </w:tc>
      </w:tr>
    </w:tbl>
    <w:p w:rsidR="00E940EB" w:rsidRDefault="003A0CC2" w:rsidP="00732DB7">
      <w:pPr>
        <w:widowControl w:val="0"/>
        <w:rPr>
          <w:sz w:val="20"/>
          <w:szCs w:val="20"/>
          <w:lang w:val="fr-CA"/>
        </w:rPr>
      </w:pPr>
      <w:r>
        <w:rPr>
          <w:sz w:val="20"/>
          <w:szCs w:val="20"/>
          <w:lang w:val="fr-CA"/>
        </w:rPr>
        <w:pict>
          <v:rect id="_x0000_i1051" style="width:2in;height:1pt" o:hrpct="0" o:hralign="center" o:hrstd="t" o:hrnoshade="t" o:hr="t" fillcolor="black [3213]" stroked="f"/>
        </w:pict>
      </w:r>
    </w:p>
    <w:p w:rsidR="00D004FC" w:rsidRDefault="00D004FC" w:rsidP="00732DB7">
      <w:pPr>
        <w:widowControl w:val="0"/>
        <w:rPr>
          <w:sz w:val="20"/>
          <w:szCs w:val="20"/>
          <w:lang w:val="fr-CA"/>
        </w:rPr>
      </w:pPr>
    </w:p>
    <w:p w:rsidR="009C6885" w:rsidRDefault="009C6885">
      <w:pPr>
        <w:rPr>
          <w:sz w:val="20"/>
          <w:szCs w:val="20"/>
        </w:rPr>
      </w:pPr>
      <w:r>
        <w:rPr>
          <w:sz w:val="20"/>
          <w:szCs w:val="20"/>
        </w:rPr>
        <w:br w:type="page"/>
      </w:r>
    </w:p>
    <w:p w:rsidR="00FE6E4F" w:rsidRPr="00C50A5C" w:rsidRDefault="00FE6E4F" w:rsidP="00FE6E4F">
      <w:pPr>
        <w:widowControl w:val="0"/>
        <w:rPr>
          <w:sz w:val="20"/>
          <w:szCs w:val="20"/>
        </w:rPr>
      </w:pPr>
      <w:r>
        <w:rPr>
          <w:sz w:val="20"/>
          <w:szCs w:val="20"/>
        </w:rPr>
        <w:lastRenderedPageBreak/>
        <w:t>30.03.2016</w:t>
      </w:r>
    </w:p>
    <w:p w:rsidR="00FE6E4F" w:rsidRPr="00C50A5C" w:rsidRDefault="00FE6E4F" w:rsidP="00FE6E4F">
      <w:pPr>
        <w:widowControl w:val="0"/>
        <w:rPr>
          <w:sz w:val="20"/>
          <w:szCs w:val="20"/>
        </w:rPr>
      </w:pPr>
    </w:p>
    <w:p w:rsidR="00FE6E4F" w:rsidRDefault="00FE6E4F" w:rsidP="00FE6E4F">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McLachlin C.J. and Abella, Cromwell, Moldaver, Karakatsanis, Wagner, Gascon, Côté and Brown JJ.</w:t>
      </w:r>
      <w:r w:rsidRPr="00C50A5C">
        <w:rPr>
          <w:sz w:val="20"/>
          <w:szCs w:val="20"/>
        </w:rPr>
        <w:t xml:space="preserve"> </w:t>
      </w:r>
    </w:p>
    <w:p w:rsidR="00FE6E4F" w:rsidRPr="00C50A5C" w:rsidRDefault="00FE6E4F" w:rsidP="00FE6E4F">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E6E4F" w:rsidRPr="00C50A5C" w:rsidTr="00C6503A">
        <w:tc>
          <w:tcPr>
            <w:tcW w:w="4380" w:type="dxa"/>
            <w:tcMar>
              <w:left w:w="0" w:type="dxa"/>
              <w:right w:w="0" w:type="dxa"/>
            </w:tcMar>
          </w:tcPr>
          <w:p w:rsidR="00FE6E4F" w:rsidRDefault="00FE6E4F" w:rsidP="00C6503A">
            <w:pPr>
              <w:widowControl w:val="0"/>
              <w:jc w:val="both"/>
              <w:rPr>
                <w:b/>
                <w:sz w:val="20"/>
                <w:szCs w:val="20"/>
              </w:rPr>
            </w:pPr>
            <w:r>
              <w:rPr>
                <w:b/>
                <w:sz w:val="20"/>
                <w:szCs w:val="20"/>
              </w:rPr>
              <w:t>Ledcor Construction Limited</w:t>
            </w:r>
          </w:p>
          <w:p w:rsidR="00FE6E4F" w:rsidRDefault="00FE6E4F" w:rsidP="00C6503A">
            <w:pPr>
              <w:widowControl w:val="0"/>
              <w:jc w:val="both"/>
              <w:rPr>
                <w:b/>
                <w:sz w:val="20"/>
                <w:szCs w:val="20"/>
              </w:rPr>
            </w:pPr>
          </w:p>
          <w:p w:rsidR="00FE6E4F" w:rsidRDefault="00FE6E4F" w:rsidP="00C6503A">
            <w:pPr>
              <w:widowControl w:val="0"/>
              <w:jc w:val="both"/>
              <w:rPr>
                <w:b/>
                <w:sz w:val="20"/>
                <w:szCs w:val="20"/>
              </w:rPr>
            </w:pPr>
            <w:r>
              <w:rPr>
                <w:b/>
                <w:sz w:val="20"/>
                <w:szCs w:val="20"/>
              </w:rPr>
              <w:tab/>
              <w:t>v. (</w:t>
            </w:r>
            <w:hyperlink r:id="rId39" w:history="1">
              <w:r w:rsidRPr="00FE6E4F">
                <w:rPr>
                  <w:rStyle w:val="Hyperlink"/>
                  <w:b/>
                  <w:sz w:val="20"/>
                  <w:szCs w:val="20"/>
                </w:rPr>
                <w:t>36452</w:t>
              </w:r>
            </w:hyperlink>
            <w:r>
              <w:rPr>
                <w:b/>
                <w:sz w:val="20"/>
                <w:szCs w:val="20"/>
              </w:rPr>
              <w:t>)</w:t>
            </w:r>
          </w:p>
          <w:p w:rsidR="00FE6E4F" w:rsidRDefault="00FE6E4F" w:rsidP="00C6503A">
            <w:pPr>
              <w:widowControl w:val="0"/>
              <w:jc w:val="both"/>
              <w:rPr>
                <w:b/>
                <w:sz w:val="20"/>
                <w:szCs w:val="20"/>
              </w:rPr>
            </w:pPr>
          </w:p>
          <w:p w:rsidR="00FE6E4F" w:rsidRDefault="00915A43" w:rsidP="00C6503A">
            <w:pPr>
              <w:widowControl w:val="0"/>
              <w:jc w:val="both"/>
              <w:rPr>
                <w:b/>
                <w:sz w:val="20"/>
                <w:szCs w:val="20"/>
              </w:rPr>
            </w:pPr>
            <w:r>
              <w:rPr>
                <w:b/>
                <w:sz w:val="20"/>
                <w:szCs w:val="20"/>
              </w:rPr>
              <w:t>Northbridge Indemnity Insurance Company, et al.</w:t>
            </w:r>
          </w:p>
          <w:p w:rsidR="00915A43" w:rsidRDefault="00915A43" w:rsidP="00C6503A">
            <w:pPr>
              <w:widowControl w:val="0"/>
              <w:jc w:val="both"/>
              <w:rPr>
                <w:b/>
                <w:sz w:val="20"/>
                <w:szCs w:val="20"/>
              </w:rPr>
            </w:pPr>
          </w:p>
          <w:p w:rsidR="00915A43" w:rsidRDefault="00915A43" w:rsidP="00915A43">
            <w:pPr>
              <w:widowControl w:val="0"/>
              <w:jc w:val="both"/>
              <w:rPr>
                <w:b/>
                <w:sz w:val="20"/>
                <w:szCs w:val="20"/>
              </w:rPr>
            </w:pPr>
            <w:r>
              <w:rPr>
                <w:b/>
                <w:sz w:val="20"/>
                <w:szCs w:val="20"/>
              </w:rPr>
              <w:t>- and between –</w:t>
            </w:r>
          </w:p>
          <w:p w:rsidR="00915A43" w:rsidRDefault="00915A43" w:rsidP="00915A43">
            <w:pPr>
              <w:widowControl w:val="0"/>
              <w:jc w:val="both"/>
              <w:rPr>
                <w:b/>
                <w:sz w:val="20"/>
                <w:szCs w:val="20"/>
              </w:rPr>
            </w:pPr>
          </w:p>
          <w:p w:rsidR="00915A43" w:rsidRDefault="00915A43" w:rsidP="00915A43">
            <w:pPr>
              <w:widowControl w:val="0"/>
              <w:jc w:val="both"/>
              <w:rPr>
                <w:b/>
                <w:sz w:val="20"/>
                <w:szCs w:val="20"/>
              </w:rPr>
            </w:pPr>
            <w:r>
              <w:rPr>
                <w:b/>
                <w:sz w:val="20"/>
                <w:szCs w:val="20"/>
              </w:rPr>
              <w:t>Station Lands Ltd.</w:t>
            </w:r>
          </w:p>
          <w:p w:rsidR="00915A43" w:rsidRDefault="00915A43" w:rsidP="00915A43">
            <w:pPr>
              <w:widowControl w:val="0"/>
              <w:jc w:val="both"/>
              <w:rPr>
                <w:b/>
                <w:sz w:val="20"/>
                <w:szCs w:val="20"/>
              </w:rPr>
            </w:pPr>
          </w:p>
          <w:p w:rsidR="00915A43" w:rsidRDefault="00915A43" w:rsidP="00915A43">
            <w:pPr>
              <w:widowControl w:val="0"/>
              <w:jc w:val="both"/>
              <w:rPr>
                <w:b/>
                <w:sz w:val="20"/>
                <w:szCs w:val="20"/>
              </w:rPr>
            </w:pPr>
            <w:r>
              <w:rPr>
                <w:b/>
                <w:sz w:val="20"/>
                <w:szCs w:val="20"/>
              </w:rPr>
              <w:tab/>
              <w:t>v. (</w:t>
            </w:r>
            <w:hyperlink r:id="rId40" w:history="1">
              <w:r w:rsidRPr="00915A43">
                <w:rPr>
                  <w:rStyle w:val="Hyperlink"/>
                  <w:b/>
                  <w:sz w:val="20"/>
                  <w:szCs w:val="20"/>
                </w:rPr>
                <w:t>36452</w:t>
              </w:r>
            </w:hyperlink>
            <w:r>
              <w:rPr>
                <w:b/>
                <w:sz w:val="20"/>
                <w:szCs w:val="20"/>
              </w:rPr>
              <w:t>)</w:t>
            </w:r>
          </w:p>
          <w:p w:rsidR="00915A43" w:rsidRDefault="00915A43" w:rsidP="00915A43">
            <w:pPr>
              <w:widowControl w:val="0"/>
              <w:jc w:val="both"/>
              <w:rPr>
                <w:b/>
                <w:sz w:val="20"/>
                <w:szCs w:val="20"/>
              </w:rPr>
            </w:pPr>
          </w:p>
          <w:p w:rsidR="00915A43" w:rsidRPr="00915A43" w:rsidRDefault="00915A43" w:rsidP="00915A43">
            <w:pPr>
              <w:widowControl w:val="0"/>
              <w:jc w:val="both"/>
              <w:rPr>
                <w:b/>
                <w:sz w:val="20"/>
                <w:szCs w:val="20"/>
              </w:rPr>
            </w:pPr>
            <w:r>
              <w:rPr>
                <w:b/>
                <w:sz w:val="20"/>
                <w:szCs w:val="20"/>
              </w:rPr>
              <w:t>Commonwealth Insurance Compagny, et al. (Alta.) (Civil) (By Leave)</w:t>
            </w:r>
          </w:p>
          <w:p w:rsidR="00FE6E4F" w:rsidRDefault="00FE6E4F" w:rsidP="00C6503A">
            <w:pPr>
              <w:widowControl w:val="0"/>
              <w:jc w:val="both"/>
              <w:rPr>
                <w:b/>
                <w:sz w:val="20"/>
                <w:szCs w:val="20"/>
              </w:rPr>
            </w:pPr>
          </w:p>
          <w:p w:rsidR="00FE6E4F" w:rsidRPr="00893C7B" w:rsidRDefault="00FE6E4F" w:rsidP="00C6503A">
            <w:pPr>
              <w:widowControl w:val="0"/>
              <w:jc w:val="both"/>
              <w:rPr>
                <w:sz w:val="20"/>
                <w:szCs w:val="20"/>
              </w:rPr>
            </w:pPr>
          </w:p>
        </w:tc>
        <w:tc>
          <w:tcPr>
            <w:tcW w:w="720" w:type="dxa"/>
            <w:tcMar>
              <w:left w:w="0" w:type="dxa"/>
              <w:right w:w="0" w:type="dxa"/>
            </w:tcMar>
          </w:tcPr>
          <w:p w:rsidR="00FE6E4F" w:rsidRPr="00893C7B" w:rsidRDefault="00FE6E4F" w:rsidP="00915A43">
            <w:pPr>
              <w:widowControl w:val="0"/>
              <w:rPr>
                <w:sz w:val="20"/>
                <w:szCs w:val="20"/>
              </w:rPr>
            </w:pPr>
          </w:p>
        </w:tc>
        <w:tc>
          <w:tcPr>
            <w:tcW w:w="4380" w:type="dxa"/>
            <w:tcMar>
              <w:left w:w="0" w:type="dxa"/>
              <w:right w:w="0" w:type="dxa"/>
            </w:tcMar>
          </w:tcPr>
          <w:p w:rsidR="00FE6E4F" w:rsidRDefault="00915A43" w:rsidP="00C6503A">
            <w:pPr>
              <w:widowControl w:val="0"/>
              <w:jc w:val="both"/>
              <w:rPr>
                <w:sz w:val="20"/>
                <w:szCs w:val="20"/>
              </w:rPr>
            </w:pPr>
            <w:r>
              <w:rPr>
                <w:sz w:val="20"/>
                <w:szCs w:val="20"/>
              </w:rPr>
              <w:t>Eugene Meehan, Q.C. and Stacey Boothman for the appellant Ledcor Construction Limited.</w:t>
            </w:r>
          </w:p>
          <w:p w:rsidR="00915A43" w:rsidRDefault="00915A43" w:rsidP="00C6503A">
            <w:pPr>
              <w:widowControl w:val="0"/>
              <w:jc w:val="both"/>
              <w:rPr>
                <w:sz w:val="20"/>
                <w:szCs w:val="20"/>
              </w:rPr>
            </w:pPr>
          </w:p>
          <w:p w:rsidR="00915A43" w:rsidRDefault="00915A43" w:rsidP="00C6503A">
            <w:pPr>
              <w:widowControl w:val="0"/>
              <w:jc w:val="both"/>
              <w:rPr>
                <w:sz w:val="20"/>
                <w:szCs w:val="20"/>
              </w:rPr>
            </w:pPr>
            <w:r>
              <w:rPr>
                <w:sz w:val="20"/>
                <w:szCs w:val="20"/>
              </w:rPr>
              <w:t>Dennis L. Picco, Q.C. and Marie-France Major for the appellant Station Lands Ltd.</w:t>
            </w:r>
          </w:p>
          <w:p w:rsidR="00915A43" w:rsidRDefault="00915A43" w:rsidP="00C6503A">
            <w:pPr>
              <w:widowControl w:val="0"/>
              <w:jc w:val="both"/>
              <w:rPr>
                <w:sz w:val="20"/>
                <w:szCs w:val="20"/>
              </w:rPr>
            </w:pPr>
          </w:p>
          <w:p w:rsidR="00915A43" w:rsidRPr="00C50A5C" w:rsidRDefault="00915A43" w:rsidP="00C6503A">
            <w:pPr>
              <w:widowControl w:val="0"/>
              <w:jc w:val="both"/>
              <w:rPr>
                <w:sz w:val="20"/>
                <w:szCs w:val="20"/>
              </w:rPr>
            </w:pPr>
            <w:r>
              <w:rPr>
                <w:sz w:val="20"/>
                <w:szCs w:val="20"/>
              </w:rPr>
              <w:t>Gregory J. Tucker, Q.C. and Scott H. Stephens for the respondents.</w:t>
            </w:r>
          </w:p>
        </w:tc>
      </w:tr>
    </w:tbl>
    <w:p w:rsidR="00FE6E4F" w:rsidRDefault="00FE6E4F" w:rsidP="00FE6E4F">
      <w:pPr>
        <w:widowControl w:val="0"/>
      </w:pPr>
    </w:p>
    <w:p w:rsidR="00FE6E4F" w:rsidRDefault="00FE6E4F" w:rsidP="00FE6E4F">
      <w:pPr>
        <w:widowControl w:val="0"/>
        <w:rPr>
          <w:b/>
          <w:sz w:val="20"/>
          <w:szCs w:val="20"/>
        </w:rPr>
      </w:pPr>
      <w:r>
        <w:rPr>
          <w:b/>
          <w:sz w:val="20"/>
          <w:szCs w:val="20"/>
        </w:rPr>
        <w:t>RESERV</w:t>
      </w:r>
      <w:r w:rsidRPr="0085476B">
        <w:rPr>
          <w:b/>
          <w:sz w:val="20"/>
          <w:szCs w:val="20"/>
        </w:rPr>
        <w:t xml:space="preserve">ED / </w:t>
      </w:r>
      <w:r w:rsidRPr="00915A43">
        <w:rPr>
          <w:b/>
          <w:sz w:val="20"/>
          <w:szCs w:val="20"/>
        </w:rPr>
        <w:t>EN DÉLIBÉRÉ</w:t>
      </w:r>
    </w:p>
    <w:p w:rsidR="009C6885" w:rsidRPr="0085476B" w:rsidRDefault="009C6885" w:rsidP="00FE6E4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E6E4F" w:rsidRPr="003A0CC2" w:rsidTr="00C6503A">
        <w:tc>
          <w:tcPr>
            <w:tcW w:w="4380" w:type="dxa"/>
            <w:tcMar>
              <w:left w:w="0" w:type="dxa"/>
              <w:right w:w="0" w:type="dxa"/>
            </w:tcMar>
          </w:tcPr>
          <w:p w:rsidR="00FE6E4F" w:rsidRPr="00CC4D84" w:rsidRDefault="00FE6E4F" w:rsidP="00C6503A">
            <w:pPr>
              <w:widowControl w:val="0"/>
              <w:jc w:val="both"/>
              <w:rPr>
                <w:b/>
                <w:sz w:val="20"/>
                <w:szCs w:val="20"/>
                <w:u w:val="single"/>
              </w:rPr>
            </w:pPr>
            <w:r w:rsidRPr="00CC4D84">
              <w:rPr>
                <w:b/>
                <w:sz w:val="20"/>
                <w:szCs w:val="20"/>
                <w:u w:val="single"/>
              </w:rPr>
              <w:t>Nature of the case:</w:t>
            </w:r>
          </w:p>
          <w:p w:rsidR="00FE6E4F" w:rsidRPr="00915A43" w:rsidRDefault="00FE6E4F" w:rsidP="00C6503A">
            <w:pPr>
              <w:widowControl w:val="0"/>
              <w:jc w:val="both"/>
              <w:rPr>
                <w:b/>
                <w:sz w:val="20"/>
                <w:szCs w:val="20"/>
              </w:rPr>
            </w:pPr>
          </w:p>
          <w:p w:rsidR="00FE6E4F" w:rsidRPr="00915A43" w:rsidRDefault="00915A43" w:rsidP="00C6503A">
            <w:pPr>
              <w:jc w:val="both"/>
              <w:rPr>
                <w:rFonts w:eastAsia="Times New Roman" w:cs="Times New Roman"/>
                <w:sz w:val="20"/>
                <w:szCs w:val="20"/>
                <w:lang w:val="en-US" w:eastAsia="en-CA"/>
              </w:rPr>
            </w:pPr>
            <w:r w:rsidRPr="00915A43">
              <w:rPr>
                <w:rFonts w:eastAsia="Times New Roman" w:cs="Times New Roman"/>
                <w:sz w:val="20"/>
                <w:szCs w:val="20"/>
                <w:lang w:eastAsia="en-CA"/>
              </w:rPr>
              <w:t>I</w:t>
            </w:r>
            <w:r w:rsidRPr="00915A43">
              <w:rPr>
                <w:rFonts w:eastAsia="Times New Roman" w:cs="Times New Roman"/>
                <w:sz w:val="20"/>
                <w:szCs w:val="20"/>
                <w:lang w:val="en-US" w:eastAsia="en-CA"/>
              </w:rPr>
              <w:t xml:space="preserve">nsurance - Property insurance - Liability insurance - Contracts - Commercial contracts - Interpretation - Exclusion clauses - Appeal - Standard of review - What is the meaning to be found in the plain, ordinary language of the insurance provision - Is it appropriate to rely on third party contract provisions in order to ascertain the reasonable expectations of parties to an insurance contract - Do the reasonable expectations of the parties in this case conflict with or support the interpretation set out in the response to the first question - Does the damage caused by one contractor to the work of another necessarily constitute “resulting damage” as per the exception - What is the proper test to distinguish between the key concepts of “faulty workmanship” and “resulting damage” in comprehensive builders’ risk insurance policies - Should the new “physical and systemic connectedness test” developed by the Court of Appeal be adopted or rejected as the preferred analytical framework to be used in such cases - Do this Court’s positions in </w:t>
            </w:r>
            <w:r w:rsidRPr="00915A43">
              <w:rPr>
                <w:rFonts w:eastAsia="Times New Roman" w:cs="Times New Roman"/>
                <w:i/>
                <w:sz w:val="20"/>
                <w:szCs w:val="20"/>
                <w:lang w:val="en-US" w:eastAsia="en-CA"/>
              </w:rPr>
              <w:t>Commonwealth Construction Co. Ltd. v. Imperial Oil Ltd. et al</w:t>
            </w:r>
            <w:r w:rsidRPr="00915A43">
              <w:rPr>
                <w:rFonts w:eastAsia="Times New Roman" w:cs="Times New Roman"/>
                <w:sz w:val="20"/>
                <w:szCs w:val="20"/>
                <w:lang w:val="en-US" w:eastAsia="en-CA"/>
              </w:rPr>
              <w:t xml:space="preserve">., [1978] 1 S.C.R. 317 and </w:t>
            </w:r>
            <w:r w:rsidRPr="00915A43">
              <w:rPr>
                <w:rFonts w:eastAsia="Times New Roman" w:cs="Times New Roman"/>
                <w:i/>
                <w:sz w:val="20"/>
                <w:szCs w:val="20"/>
                <w:lang w:val="en-US" w:eastAsia="en-CA"/>
              </w:rPr>
              <w:t>Progressive Homes Ltd. v. Lombard General Insurance Co. of Canada</w:t>
            </w:r>
            <w:r w:rsidRPr="00915A43">
              <w:rPr>
                <w:rFonts w:eastAsia="Times New Roman" w:cs="Times New Roman"/>
                <w:sz w:val="20"/>
                <w:szCs w:val="20"/>
                <w:lang w:val="en-US" w:eastAsia="en-CA"/>
              </w:rPr>
              <w:t xml:space="preserve">, [2010] 2 S.C.R. 245 with respect to insurance contracts generally, and Builder’s Risk insurance policies specifically, provide the necessary framework to resolve “faulty workmanship” disputes - Which approach best reflects the common thread that unites </w:t>
            </w:r>
            <w:r w:rsidRPr="00915A43">
              <w:rPr>
                <w:rFonts w:eastAsia="Times New Roman" w:cs="Times New Roman"/>
                <w:sz w:val="20"/>
                <w:szCs w:val="20"/>
                <w:lang w:val="en-US" w:eastAsia="en-CA"/>
              </w:rPr>
              <w:lastRenderedPageBreak/>
              <w:t>the long-standing jurisprudence on the distinction between faulty workmanship and resulting damage.</w:t>
            </w:r>
          </w:p>
        </w:tc>
        <w:tc>
          <w:tcPr>
            <w:tcW w:w="720" w:type="dxa"/>
            <w:tcMar>
              <w:left w:w="0" w:type="dxa"/>
              <w:right w:w="0" w:type="dxa"/>
            </w:tcMar>
          </w:tcPr>
          <w:p w:rsidR="00FE6E4F" w:rsidRPr="00915A43" w:rsidRDefault="00FE6E4F" w:rsidP="00C6503A">
            <w:pPr>
              <w:widowControl w:val="0"/>
              <w:jc w:val="center"/>
              <w:rPr>
                <w:sz w:val="20"/>
                <w:szCs w:val="20"/>
              </w:rPr>
            </w:pPr>
          </w:p>
        </w:tc>
        <w:tc>
          <w:tcPr>
            <w:tcW w:w="4380" w:type="dxa"/>
            <w:tcMar>
              <w:left w:w="0" w:type="dxa"/>
              <w:right w:w="0" w:type="dxa"/>
            </w:tcMar>
          </w:tcPr>
          <w:p w:rsidR="00FE6E4F" w:rsidRPr="00915A43" w:rsidRDefault="00FE6E4F" w:rsidP="00C6503A">
            <w:pPr>
              <w:widowControl w:val="0"/>
              <w:jc w:val="both"/>
              <w:rPr>
                <w:b/>
                <w:sz w:val="20"/>
                <w:szCs w:val="20"/>
                <w:u w:val="single"/>
                <w:lang w:val="fr-CA"/>
              </w:rPr>
            </w:pPr>
            <w:r w:rsidRPr="00915A43">
              <w:rPr>
                <w:b/>
                <w:sz w:val="20"/>
                <w:szCs w:val="20"/>
                <w:u w:val="single"/>
                <w:lang w:val="fr-CA"/>
              </w:rPr>
              <w:t>Nature de la cause :</w:t>
            </w:r>
          </w:p>
          <w:p w:rsidR="00FE6E4F" w:rsidRPr="00915A43" w:rsidRDefault="00FE6E4F" w:rsidP="00C6503A">
            <w:pPr>
              <w:widowControl w:val="0"/>
              <w:jc w:val="both"/>
              <w:rPr>
                <w:sz w:val="20"/>
                <w:szCs w:val="20"/>
                <w:lang w:val="fr-CA"/>
              </w:rPr>
            </w:pPr>
          </w:p>
          <w:p w:rsidR="00FE6E4F" w:rsidRPr="00915A43" w:rsidRDefault="00915A43" w:rsidP="00915A43">
            <w:pPr>
              <w:jc w:val="both"/>
              <w:rPr>
                <w:rFonts w:eastAsia="Times New Roman" w:cs="Times New Roman"/>
                <w:sz w:val="20"/>
                <w:szCs w:val="20"/>
                <w:lang w:val="fr-CA" w:eastAsia="en-CA"/>
              </w:rPr>
            </w:pPr>
            <w:r w:rsidRPr="00915A43">
              <w:rPr>
                <w:rFonts w:eastAsia="Times New Roman" w:cs="Times New Roman"/>
                <w:sz w:val="20"/>
                <w:szCs w:val="20"/>
                <w:lang w:val="fr-CA" w:eastAsia="en-CA"/>
              </w:rPr>
              <w:t>Assurance - Assurance de biens - Assurance de responsabilité - Contrats - Contrats commerciaux - Interprétation - Clauses d’exclusion - Appel - Norme de contrôle - Quel sens réside dans le texte clair et ordinaire de la clause d’assurance? - Convient-il de s’appuyer sur les dispositions du contrat d’un tiers pour établir les attentes raisonnables des parties à un contrat d’assurance? - Les attentes raisonnables des parties à la présente affaire entrent-elles en conflit avec l’interprétation exposée dans la réponse à la première question ou l’appuient-elles? - Le dommage causé par un entrepreneur à l’ouvrage d’un autre constitue-t-il un « dommage en découlant » visé par l’exception? - Quel est le critère approprié pour faire la distinction entre les notions clés de « malfaçon » (</w:t>
            </w:r>
            <w:r w:rsidRPr="00915A43">
              <w:rPr>
                <w:rFonts w:eastAsia="Times New Roman" w:cs="Times New Roman"/>
                <w:i/>
                <w:sz w:val="20"/>
                <w:szCs w:val="20"/>
                <w:lang w:val="fr-CA" w:eastAsia="en-CA"/>
              </w:rPr>
              <w:t>faulty workmanship</w:t>
            </w:r>
            <w:r w:rsidRPr="00915A43">
              <w:rPr>
                <w:rFonts w:eastAsia="Times New Roman" w:cs="Times New Roman"/>
                <w:sz w:val="20"/>
                <w:szCs w:val="20"/>
                <w:lang w:val="fr-CA" w:eastAsia="en-CA"/>
              </w:rPr>
              <w:t xml:space="preserve">) et de « dommage en découlant » dans les polices d’assurance multirisques des constructeurs? - Le nouveau « critère de connexité matérielle et systémique » élaboré par la Cour d’appel doit-il être retenu ou rejeté comme cadre d’analyse privilégié dans les affaires de ce genre? - Les opinions exprimées par la Cour suprême dans </w:t>
            </w:r>
            <w:r w:rsidRPr="00915A43">
              <w:rPr>
                <w:rFonts w:eastAsia="Times New Roman" w:cs="Times New Roman"/>
                <w:i/>
                <w:sz w:val="20"/>
                <w:szCs w:val="20"/>
                <w:lang w:val="fr-CA" w:eastAsia="en-CA"/>
              </w:rPr>
              <w:t>Commonwealth Construction Co. Ltd. c. Imperial Oil Ltd. et al</w:t>
            </w:r>
            <w:r w:rsidRPr="00915A43">
              <w:rPr>
                <w:rFonts w:eastAsia="Times New Roman" w:cs="Times New Roman"/>
                <w:sz w:val="20"/>
                <w:szCs w:val="20"/>
                <w:lang w:val="fr-CA" w:eastAsia="en-CA"/>
              </w:rPr>
              <w:t xml:space="preserve">., [1978] 1 R.C.S. 317, et </w:t>
            </w:r>
            <w:r w:rsidRPr="00915A43">
              <w:rPr>
                <w:rFonts w:eastAsia="Times New Roman" w:cs="Times New Roman"/>
                <w:i/>
                <w:sz w:val="20"/>
                <w:szCs w:val="20"/>
                <w:lang w:val="fr-CA" w:eastAsia="en-CA"/>
              </w:rPr>
              <w:t>Progressive Homes Ltd. c. Compagnie canadienne d’assurances générales Lombard</w:t>
            </w:r>
            <w:r w:rsidRPr="00915A43">
              <w:rPr>
                <w:rFonts w:eastAsia="Times New Roman" w:cs="Times New Roman"/>
                <w:sz w:val="20"/>
                <w:szCs w:val="20"/>
                <w:lang w:val="fr-CA" w:eastAsia="en-CA"/>
              </w:rPr>
              <w:t xml:space="preserve">, [2010] 2 R.C.S. 245, à propos des contrats d’assurance en général, plus précisément les polices d’assurance des constructeurs, fournissent-elles le cadre nécessaire pour résoudre des différends en matière de « malfaçon »? - Quelle </w:t>
            </w:r>
            <w:r w:rsidRPr="00915A43">
              <w:rPr>
                <w:rFonts w:eastAsia="Times New Roman" w:cs="Times New Roman"/>
                <w:sz w:val="20"/>
                <w:szCs w:val="20"/>
                <w:lang w:val="fr-CA" w:eastAsia="en-CA"/>
              </w:rPr>
              <w:lastRenderedPageBreak/>
              <w:t>approche traduit le mieux le dénominateur commun qui rassemble la jurisprudence de longue date sur la distinction entre la malfaçon et le dommage en découlant?</w:t>
            </w:r>
          </w:p>
        </w:tc>
      </w:tr>
    </w:tbl>
    <w:p w:rsidR="00FE6E4F" w:rsidRDefault="003A0CC2" w:rsidP="00FE6E4F">
      <w:pPr>
        <w:widowControl w:val="0"/>
        <w:rPr>
          <w:sz w:val="20"/>
          <w:szCs w:val="20"/>
          <w:lang w:val="fr-CA"/>
        </w:rPr>
      </w:pPr>
      <w:r>
        <w:rPr>
          <w:sz w:val="20"/>
          <w:szCs w:val="20"/>
          <w:lang w:val="fr-CA"/>
        </w:rPr>
        <w:lastRenderedPageBreak/>
        <w:pict>
          <v:rect id="_x0000_i1052" style="width:2in;height:1pt" o:hrpct="0" o:hralign="center" o:hrstd="t" o:hrnoshade="t" o:hr="t" fillcolor="black [3213]" stroked="f"/>
        </w:pict>
      </w:r>
    </w:p>
    <w:p w:rsidR="00776CA7" w:rsidRDefault="00776CA7" w:rsidP="00FE6E4F">
      <w:pPr>
        <w:widowControl w:val="0"/>
        <w:rPr>
          <w:sz w:val="20"/>
          <w:szCs w:val="20"/>
          <w:lang w:val="fr-CA"/>
        </w:rPr>
      </w:pPr>
    </w:p>
    <w:p w:rsidR="00776CA7" w:rsidRPr="00C50A5C" w:rsidRDefault="00776CA7" w:rsidP="00776CA7">
      <w:pPr>
        <w:widowControl w:val="0"/>
        <w:rPr>
          <w:sz w:val="20"/>
          <w:szCs w:val="20"/>
        </w:rPr>
      </w:pPr>
      <w:r>
        <w:rPr>
          <w:sz w:val="20"/>
          <w:szCs w:val="20"/>
        </w:rPr>
        <w:t>31.03.2016</w:t>
      </w:r>
    </w:p>
    <w:p w:rsidR="00776CA7" w:rsidRPr="00C50A5C" w:rsidRDefault="00776CA7" w:rsidP="00776CA7">
      <w:pPr>
        <w:widowControl w:val="0"/>
        <w:rPr>
          <w:sz w:val="20"/>
          <w:szCs w:val="20"/>
        </w:rPr>
      </w:pPr>
    </w:p>
    <w:p w:rsidR="00776CA7" w:rsidRDefault="00776CA7" w:rsidP="00776CA7">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Abella, Moldaver, Karakatsanis, Wagner, Gascon, Côté and Brown JJ.</w:t>
      </w:r>
      <w:r w:rsidRPr="00C50A5C">
        <w:rPr>
          <w:sz w:val="20"/>
          <w:szCs w:val="20"/>
        </w:rPr>
        <w:t xml:space="preserve"> </w:t>
      </w:r>
    </w:p>
    <w:p w:rsidR="00776CA7" w:rsidRPr="00C50A5C" w:rsidRDefault="00776CA7" w:rsidP="00776CA7">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76CA7" w:rsidRPr="00C50A5C" w:rsidTr="003A0CC2">
        <w:tc>
          <w:tcPr>
            <w:tcW w:w="4380" w:type="dxa"/>
            <w:tcMar>
              <w:left w:w="0" w:type="dxa"/>
              <w:right w:w="0" w:type="dxa"/>
            </w:tcMar>
          </w:tcPr>
          <w:p w:rsidR="00776CA7" w:rsidRDefault="00776CA7" w:rsidP="003A0CC2">
            <w:pPr>
              <w:widowControl w:val="0"/>
              <w:jc w:val="both"/>
              <w:rPr>
                <w:b/>
                <w:sz w:val="20"/>
                <w:szCs w:val="20"/>
              </w:rPr>
            </w:pPr>
            <w:r>
              <w:rPr>
                <w:b/>
                <w:sz w:val="20"/>
                <w:szCs w:val="20"/>
              </w:rPr>
              <w:t>Mathew John Anthony-Cook</w:t>
            </w:r>
          </w:p>
          <w:p w:rsidR="00776CA7" w:rsidRDefault="00776CA7" w:rsidP="003A0CC2">
            <w:pPr>
              <w:widowControl w:val="0"/>
              <w:jc w:val="both"/>
              <w:rPr>
                <w:b/>
                <w:sz w:val="20"/>
                <w:szCs w:val="20"/>
              </w:rPr>
            </w:pPr>
          </w:p>
          <w:p w:rsidR="00776CA7" w:rsidRDefault="00776CA7" w:rsidP="003A0CC2">
            <w:pPr>
              <w:widowControl w:val="0"/>
              <w:jc w:val="both"/>
              <w:rPr>
                <w:b/>
                <w:sz w:val="20"/>
                <w:szCs w:val="20"/>
              </w:rPr>
            </w:pPr>
            <w:r>
              <w:rPr>
                <w:b/>
                <w:sz w:val="20"/>
                <w:szCs w:val="20"/>
              </w:rPr>
              <w:tab/>
              <w:t>v. (36410)</w:t>
            </w:r>
          </w:p>
          <w:p w:rsidR="00776CA7" w:rsidRDefault="00776CA7" w:rsidP="003A0CC2">
            <w:pPr>
              <w:widowControl w:val="0"/>
              <w:jc w:val="both"/>
              <w:rPr>
                <w:b/>
                <w:sz w:val="20"/>
                <w:szCs w:val="20"/>
              </w:rPr>
            </w:pPr>
          </w:p>
          <w:p w:rsidR="00776CA7" w:rsidRDefault="00776CA7" w:rsidP="003A0CC2">
            <w:pPr>
              <w:widowControl w:val="0"/>
              <w:jc w:val="both"/>
              <w:rPr>
                <w:b/>
                <w:sz w:val="20"/>
                <w:szCs w:val="20"/>
              </w:rPr>
            </w:pPr>
            <w:r>
              <w:rPr>
                <w:b/>
                <w:sz w:val="20"/>
                <w:szCs w:val="20"/>
              </w:rPr>
              <w:t>Her Majesty the Queen et al. (B.C.) (Criminal) (By Leave)</w:t>
            </w:r>
          </w:p>
          <w:p w:rsidR="00776CA7" w:rsidRPr="00893C7B" w:rsidRDefault="00776CA7" w:rsidP="003A0CC2">
            <w:pPr>
              <w:widowControl w:val="0"/>
              <w:jc w:val="both"/>
              <w:rPr>
                <w:sz w:val="20"/>
                <w:szCs w:val="20"/>
              </w:rPr>
            </w:pPr>
          </w:p>
        </w:tc>
        <w:tc>
          <w:tcPr>
            <w:tcW w:w="720" w:type="dxa"/>
            <w:tcMar>
              <w:left w:w="0" w:type="dxa"/>
              <w:right w:w="0" w:type="dxa"/>
            </w:tcMar>
          </w:tcPr>
          <w:p w:rsidR="00776CA7" w:rsidRPr="00893C7B" w:rsidRDefault="00776CA7" w:rsidP="003A0CC2">
            <w:pPr>
              <w:widowControl w:val="0"/>
              <w:rPr>
                <w:sz w:val="20"/>
                <w:szCs w:val="20"/>
              </w:rPr>
            </w:pPr>
          </w:p>
        </w:tc>
        <w:tc>
          <w:tcPr>
            <w:tcW w:w="4380" w:type="dxa"/>
            <w:tcMar>
              <w:left w:w="0" w:type="dxa"/>
              <w:right w:w="0" w:type="dxa"/>
            </w:tcMar>
          </w:tcPr>
          <w:p w:rsidR="00776CA7" w:rsidRPr="006747B7" w:rsidRDefault="00776CA7" w:rsidP="00776CA7">
            <w:pPr>
              <w:rPr>
                <w:sz w:val="20"/>
                <w:szCs w:val="20"/>
              </w:rPr>
            </w:pPr>
            <w:r w:rsidRPr="006747B7">
              <w:rPr>
                <w:sz w:val="20"/>
                <w:szCs w:val="20"/>
              </w:rPr>
              <w:t>Micah B. Rankin, Michael Sobkin and Jeremy G. Jensen for the appellant.</w:t>
            </w:r>
          </w:p>
          <w:p w:rsidR="00776CA7" w:rsidRPr="006747B7" w:rsidRDefault="00776CA7" w:rsidP="00776CA7">
            <w:pPr>
              <w:rPr>
                <w:sz w:val="20"/>
                <w:szCs w:val="20"/>
              </w:rPr>
            </w:pPr>
          </w:p>
          <w:p w:rsidR="00776CA7" w:rsidRPr="006747B7" w:rsidRDefault="00776CA7" w:rsidP="00776CA7">
            <w:pPr>
              <w:rPr>
                <w:sz w:val="20"/>
                <w:szCs w:val="20"/>
              </w:rPr>
            </w:pPr>
            <w:r w:rsidRPr="006747B7">
              <w:rPr>
                <w:sz w:val="20"/>
                <w:szCs w:val="20"/>
              </w:rPr>
              <w:t>Joseph Di Luca and Erin Dann for the intervener Criminal Lawyers’ Association (Ontario)</w:t>
            </w:r>
          </w:p>
          <w:p w:rsidR="00776CA7" w:rsidRPr="006747B7" w:rsidRDefault="00776CA7" w:rsidP="00776CA7">
            <w:pPr>
              <w:rPr>
                <w:sz w:val="20"/>
                <w:szCs w:val="20"/>
              </w:rPr>
            </w:pPr>
          </w:p>
          <w:p w:rsidR="00776CA7" w:rsidRPr="006747B7" w:rsidRDefault="00776CA7" w:rsidP="00776CA7">
            <w:pPr>
              <w:rPr>
                <w:sz w:val="20"/>
                <w:szCs w:val="20"/>
                <w:lang w:val="fr-CA"/>
              </w:rPr>
            </w:pPr>
            <w:r w:rsidRPr="006747B7">
              <w:rPr>
                <w:sz w:val="20"/>
                <w:szCs w:val="20"/>
                <w:lang w:val="fr-CA"/>
              </w:rPr>
              <w:t xml:space="preserve">Nicholas St-Jacques, Lida Sara Nouraie </w:t>
            </w:r>
            <w:r>
              <w:rPr>
                <w:sz w:val="20"/>
                <w:szCs w:val="20"/>
                <w:lang w:val="fr-CA"/>
              </w:rPr>
              <w:t xml:space="preserve">et </w:t>
            </w:r>
            <w:r w:rsidRPr="006747B7">
              <w:rPr>
                <w:sz w:val="20"/>
                <w:szCs w:val="20"/>
                <w:lang w:val="fr-CA"/>
              </w:rPr>
              <w:t>Walid Hijazi pour l’intervenant</w:t>
            </w:r>
            <w:r>
              <w:rPr>
                <w:sz w:val="20"/>
                <w:szCs w:val="20"/>
                <w:lang w:val="fr-CA"/>
              </w:rPr>
              <w:t>e</w:t>
            </w:r>
            <w:r w:rsidRPr="006747B7">
              <w:rPr>
                <w:sz w:val="20"/>
                <w:szCs w:val="20"/>
                <w:lang w:val="fr-CA"/>
              </w:rPr>
              <w:t xml:space="preserve"> Association des avocats de la défense de Montréal.</w:t>
            </w:r>
          </w:p>
          <w:p w:rsidR="00776CA7" w:rsidRPr="006747B7" w:rsidRDefault="00776CA7" w:rsidP="00776CA7">
            <w:pPr>
              <w:rPr>
                <w:sz w:val="20"/>
                <w:szCs w:val="20"/>
                <w:lang w:val="fr-CA"/>
              </w:rPr>
            </w:pPr>
          </w:p>
          <w:p w:rsidR="00776CA7" w:rsidRPr="006747B7" w:rsidRDefault="00776CA7" w:rsidP="00776CA7">
            <w:pPr>
              <w:rPr>
                <w:sz w:val="20"/>
                <w:szCs w:val="20"/>
                <w:lang w:val="en-US"/>
              </w:rPr>
            </w:pPr>
            <w:r w:rsidRPr="006747B7">
              <w:rPr>
                <w:sz w:val="20"/>
                <w:szCs w:val="20"/>
                <w:lang w:val="en-US"/>
              </w:rPr>
              <w:t xml:space="preserve">Emily Lapper and Ryan D.W. Dalziel for the </w:t>
            </w:r>
            <w:r>
              <w:rPr>
                <w:sz w:val="20"/>
                <w:szCs w:val="20"/>
                <w:lang w:val="en-US"/>
              </w:rPr>
              <w:t>i</w:t>
            </w:r>
            <w:r w:rsidRPr="006747B7">
              <w:rPr>
                <w:sz w:val="20"/>
                <w:szCs w:val="20"/>
                <w:lang w:val="en-US"/>
              </w:rPr>
              <w:t>ntervener British Columbia Civil Liberties Association.</w:t>
            </w:r>
          </w:p>
          <w:p w:rsidR="00776CA7" w:rsidRPr="006747B7" w:rsidRDefault="00776CA7" w:rsidP="00776CA7">
            <w:pPr>
              <w:rPr>
                <w:sz w:val="20"/>
                <w:szCs w:val="20"/>
                <w:lang w:val="en-US"/>
              </w:rPr>
            </w:pPr>
          </w:p>
          <w:p w:rsidR="00776CA7" w:rsidRPr="006747B7" w:rsidRDefault="00776CA7" w:rsidP="00776CA7">
            <w:pPr>
              <w:rPr>
                <w:sz w:val="20"/>
                <w:szCs w:val="20"/>
              </w:rPr>
            </w:pPr>
            <w:r w:rsidRPr="006747B7">
              <w:rPr>
                <w:sz w:val="20"/>
                <w:szCs w:val="20"/>
                <w:lang w:val="en-US"/>
              </w:rPr>
              <w:t xml:space="preserve">Mary T. Ainslie, Q.C. and </w:t>
            </w:r>
            <w:r w:rsidRPr="006747B7">
              <w:rPr>
                <w:sz w:val="20"/>
                <w:szCs w:val="20"/>
              </w:rPr>
              <w:t>Megan A. Street for the respondent.</w:t>
            </w:r>
          </w:p>
          <w:p w:rsidR="00776CA7" w:rsidRPr="006747B7" w:rsidRDefault="00776CA7" w:rsidP="00776CA7">
            <w:pPr>
              <w:rPr>
                <w:sz w:val="20"/>
                <w:szCs w:val="20"/>
              </w:rPr>
            </w:pPr>
          </w:p>
          <w:p w:rsidR="00776CA7" w:rsidRPr="006747B7" w:rsidRDefault="00776CA7" w:rsidP="00776CA7">
            <w:pPr>
              <w:rPr>
                <w:sz w:val="20"/>
                <w:szCs w:val="20"/>
              </w:rPr>
            </w:pPr>
            <w:r w:rsidRPr="006747B7">
              <w:rPr>
                <w:sz w:val="20"/>
                <w:szCs w:val="20"/>
              </w:rPr>
              <w:t>Elise Nakelsky for the intervener Attorney General of Ontario.</w:t>
            </w:r>
          </w:p>
          <w:p w:rsidR="00776CA7" w:rsidRPr="006747B7" w:rsidRDefault="00776CA7" w:rsidP="00776CA7">
            <w:pPr>
              <w:rPr>
                <w:sz w:val="20"/>
                <w:szCs w:val="20"/>
              </w:rPr>
            </w:pPr>
          </w:p>
          <w:p w:rsidR="00776CA7" w:rsidRPr="00C50A5C" w:rsidRDefault="00776CA7" w:rsidP="00A165CB">
            <w:pPr>
              <w:rPr>
                <w:sz w:val="20"/>
                <w:szCs w:val="20"/>
              </w:rPr>
            </w:pPr>
            <w:r w:rsidRPr="006747B7">
              <w:rPr>
                <w:sz w:val="20"/>
                <w:szCs w:val="20"/>
              </w:rPr>
              <w:t>David W. Schermbrucker and Monica McQueen for the intervener Director of Public Prosecutions of Canada.</w:t>
            </w:r>
          </w:p>
        </w:tc>
      </w:tr>
    </w:tbl>
    <w:p w:rsidR="00776CA7" w:rsidRDefault="00776CA7" w:rsidP="00776CA7">
      <w:pPr>
        <w:widowControl w:val="0"/>
      </w:pPr>
    </w:p>
    <w:p w:rsidR="00776CA7" w:rsidRDefault="00776CA7" w:rsidP="00776CA7">
      <w:pPr>
        <w:widowControl w:val="0"/>
        <w:rPr>
          <w:b/>
          <w:sz w:val="20"/>
          <w:szCs w:val="20"/>
        </w:rPr>
      </w:pPr>
      <w:r>
        <w:rPr>
          <w:b/>
          <w:sz w:val="20"/>
          <w:szCs w:val="20"/>
        </w:rPr>
        <w:t>RESERV</w:t>
      </w:r>
      <w:r w:rsidRPr="0085476B">
        <w:rPr>
          <w:b/>
          <w:sz w:val="20"/>
          <w:szCs w:val="20"/>
        </w:rPr>
        <w:t xml:space="preserve">ED / </w:t>
      </w:r>
      <w:r w:rsidRPr="00915A43">
        <w:rPr>
          <w:b/>
          <w:sz w:val="20"/>
          <w:szCs w:val="20"/>
        </w:rPr>
        <w:t>EN DÉLIBÉRÉ</w:t>
      </w:r>
    </w:p>
    <w:p w:rsidR="00776CA7" w:rsidRPr="0085476B" w:rsidRDefault="00776CA7" w:rsidP="00776CA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76CA7" w:rsidRPr="003A0CC2" w:rsidTr="003A0CC2">
        <w:tc>
          <w:tcPr>
            <w:tcW w:w="4380" w:type="dxa"/>
            <w:tcMar>
              <w:left w:w="0" w:type="dxa"/>
              <w:right w:w="0" w:type="dxa"/>
            </w:tcMar>
          </w:tcPr>
          <w:p w:rsidR="00776CA7" w:rsidRPr="00A165CB" w:rsidRDefault="00776CA7" w:rsidP="003A0CC2">
            <w:pPr>
              <w:widowControl w:val="0"/>
              <w:jc w:val="both"/>
              <w:rPr>
                <w:b/>
                <w:sz w:val="20"/>
                <w:szCs w:val="20"/>
                <w:u w:val="single"/>
              </w:rPr>
            </w:pPr>
            <w:r w:rsidRPr="00A165CB">
              <w:rPr>
                <w:b/>
                <w:sz w:val="20"/>
                <w:szCs w:val="20"/>
                <w:u w:val="single"/>
              </w:rPr>
              <w:t>Nature of the case:</w:t>
            </w:r>
          </w:p>
          <w:p w:rsidR="00776CA7" w:rsidRPr="00A165CB" w:rsidRDefault="00776CA7" w:rsidP="003A0CC2">
            <w:pPr>
              <w:jc w:val="both"/>
              <w:rPr>
                <w:rFonts w:eastAsia="Times New Roman" w:cs="Times New Roman"/>
                <w:sz w:val="20"/>
                <w:szCs w:val="20"/>
                <w:lang w:eastAsia="en-CA"/>
              </w:rPr>
            </w:pPr>
          </w:p>
          <w:p w:rsidR="00A165CB" w:rsidRPr="00A165CB" w:rsidRDefault="00A165CB" w:rsidP="00A165CB">
            <w:pPr>
              <w:jc w:val="both"/>
              <w:rPr>
                <w:sz w:val="20"/>
                <w:szCs w:val="20"/>
              </w:rPr>
            </w:pPr>
            <w:r w:rsidRPr="00A165CB">
              <w:rPr>
                <w:sz w:val="20"/>
                <w:szCs w:val="20"/>
              </w:rPr>
              <w:t>Criminal law - Sentencing - Joint submission on sentencing rejected - What test should a sentencing judge apply in deciding whether to accept or reject a joint sentencing submission.</w:t>
            </w:r>
          </w:p>
          <w:p w:rsidR="00776CA7" w:rsidRPr="00A165CB" w:rsidRDefault="00776CA7" w:rsidP="003A0CC2">
            <w:pPr>
              <w:jc w:val="both"/>
              <w:rPr>
                <w:rFonts w:eastAsia="Times New Roman" w:cs="Times New Roman"/>
                <w:sz w:val="20"/>
                <w:szCs w:val="20"/>
                <w:lang w:val="en-US" w:eastAsia="en-CA"/>
              </w:rPr>
            </w:pPr>
          </w:p>
        </w:tc>
        <w:tc>
          <w:tcPr>
            <w:tcW w:w="720" w:type="dxa"/>
            <w:tcMar>
              <w:left w:w="0" w:type="dxa"/>
              <w:right w:w="0" w:type="dxa"/>
            </w:tcMar>
          </w:tcPr>
          <w:p w:rsidR="00776CA7" w:rsidRPr="00915A43" w:rsidRDefault="00776CA7" w:rsidP="003A0CC2">
            <w:pPr>
              <w:widowControl w:val="0"/>
              <w:jc w:val="center"/>
              <w:rPr>
                <w:sz w:val="20"/>
                <w:szCs w:val="20"/>
              </w:rPr>
            </w:pPr>
          </w:p>
        </w:tc>
        <w:tc>
          <w:tcPr>
            <w:tcW w:w="4380" w:type="dxa"/>
            <w:tcMar>
              <w:left w:w="0" w:type="dxa"/>
              <w:right w:w="0" w:type="dxa"/>
            </w:tcMar>
          </w:tcPr>
          <w:p w:rsidR="00776CA7" w:rsidRPr="00915A43" w:rsidRDefault="00776CA7" w:rsidP="003A0CC2">
            <w:pPr>
              <w:widowControl w:val="0"/>
              <w:jc w:val="both"/>
              <w:rPr>
                <w:b/>
                <w:sz w:val="20"/>
                <w:szCs w:val="20"/>
                <w:u w:val="single"/>
                <w:lang w:val="fr-CA"/>
              </w:rPr>
            </w:pPr>
            <w:r w:rsidRPr="00915A43">
              <w:rPr>
                <w:b/>
                <w:sz w:val="20"/>
                <w:szCs w:val="20"/>
                <w:u w:val="single"/>
                <w:lang w:val="fr-CA"/>
              </w:rPr>
              <w:t>Nature de la cause :</w:t>
            </w:r>
          </w:p>
          <w:p w:rsidR="00776CA7" w:rsidRPr="00915A43" w:rsidRDefault="00776CA7" w:rsidP="003A0CC2">
            <w:pPr>
              <w:widowControl w:val="0"/>
              <w:jc w:val="both"/>
              <w:rPr>
                <w:sz w:val="20"/>
                <w:szCs w:val="20"/>
                <w:lang w:val="fr-CA"/>
              </w:rPr>
            </w:pPr>
          </w:p>
          <w:p w:rsidR="00776CA7" w:rsidRPr="00915A43" w:rsidRDefault="00A165CB" w:rsidP="00776CA7">
            <w:pPr>
              <w:jc w:val="both"/>
              <w:rPr>
                <w:rFonts w:eastAsia="Times New Roman" w:cs="Times New Roman"/>
                <w:sz w:val="20"/>
                <w:szCs w:val="20"/>
                <w:lang w:val="fr-CA" w:eastAsia="en-CA"/>
              </w:rPr>
            </w:pPr>
            <w:r w:rsidRPr="00A165CB">
              <w:rPr>
                <w:rFonts w:eastAsia="Times New Roman" w:cs="Times New Roman"/>
                <w:sz w:val="20"/>
                <w:szCs w:val="20"/>
                <w:lang w:val="fr-CA" w:eastAsia="en-CA"/>
              </w:rPr>
              <w:t>Droit criminel - Détermination de la peine - Rejet de la proposition conjointe relative à la peine - Quel critère doit appliquer le juge chargé de la détermination de la peine pour décider s’il convient d’accepter ou non une proposition conjointe relative à la peine?</w:t>
            </w:r>
          </w:p>
        </w:tc>
      </w:tr>
    </w:tbl>
    <w:p w:rsidR="00776CA7" w:rsidRPr="00C1697B" w:rsidRDefault="003A0CC2" w:rsidP="00FE6E4F">
      <w:pPr>
        <w:widowControl w:val="0"/>
        <w:rPr>
          <w:sz w:val="20"/>
          <w:szCs w:val="20"/>
          <w:lang w:val="fr-CA"/>
        </w:rPr>
      </w:pPr>
      <w:r>
        <w:rPr>
          <w:sz w:val="20"/>
          <w:szCs w:val="20"/>
          <w:lang w:val="fr-CA"/>
        </w:rPr>
        <w:pict>
          <v:rect id="_x0000_i1053"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1400A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400A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400A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DECEMBER - DÉCEMBRE</w:t>
            </w:r>
          </w:p>
        </w:tc>
      </w:tr>
      <w:tr w:rsidR="008902B1" w:rsidRPr="002E0C7E" w:rsidTr="001400A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r>
      <w:tr w:rsidR="008902B1" w:rsidRPr="002E0C7E" w:rsidTr="001400A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M</w:t>
            </w:r>
          </w:p>
          <w:p w:rsidR="008902B1" w:rsidRPr="002E0C7E" w:rsidRDefault="008902B1" w:rsidP="001400AD">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r>
      <w:tr w:rsidR="008902B1" w:rsidRPr="002E0C7E" w:rsidTr="001400A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1400AD">
            <w:pPr>
              <w:widowControl w:val="0"/>
              <w:jc w:val="center"/>
              <w:rPr>
                <w:rFonts w:ascii="Arial" w:hAnsi="Arial"/>
                <w:b/>
                <w:sz w:val="14"/>
              </w:rPr>
            </w:pPr>
            <w:r>
              <w:rPr>
                <w:rFonts w:ascii="Arial" w:hAnsi="Arial"/>
                <w:b/>
                <w:sz w:val="14"/>
              </w:rPr>
              <w:t>M</w:t>
            </w:r>
          </w:p>
          <w:p w:rsidR="008902B1" w:rsidRPr="002E0C7E" w:rsidRDefault="008902B1" w:rsidP="001400AD">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1400AD">
            <w:pPr>
              <w:widowControl w:val="0"/>
              <w:jc w:val="center"/>
              <w:rPr>
                <w:rFonts w:ascii="Arial" w:hAnsi="Arial"/>
                <w:b/>
                <w:sz w:val="14"/>
              </w:rPr>
            </w:pPr>
            <w:r w:rsidRPr="002A4724">
              <w:rPr>
                <w:rFonts w:ascii="Arial" w:hAnsi="Arial"/>
                <w:b/>
                <w:sz w:val="14"/>
              </w:rPr>
              <w:t>H</w:t>
            </w:r>
          </w:p>
          <w:p w:rsidR="008902B1" w:rsidRPr="002E0C7E" w:rsidRDefault="008902B1" w:rsidP="001400AD">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12</w:t>
            </w:r>
          </w:p>
        </w:tc>
      </w:tr>
      <w:tr w:rsidR="008902B1" w:rsidRPr="002E0C7E" w:rsidTr="001400A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1400AD">
            <w:pPr>
              <w:widowControl w:val="0"/>
              <w:jc w:val="center"/>
              <w:rPr>
                <w:rFonts w:ascii="Arial" w:hAnsi="Arial"/>
                <w:b/>
                <w:sz w:val="14"/>
              </w:rPr>
            </w:pPr>
            <w:r>
              <w:rPr>
                <w:rFonts w:ascii="Arial" w:hAnsi="Arial"/>
                <w:b/>
                <w:sz w:val="14"/>
              </w:rPr>
              <w:t>H</w:t>
            </w: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19</w:t>
            </w:r>
          </w:p>
        </w:tc>
      </w:tr>
      <w:tr w:rsidR="008902B1" w:rsidRPr="002E0C7E" w:rsidTr="001400A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1400AD">
            <w:pPr>
              <w:widowControl w:val="0"/>
              <w:jc w:val="center"/>
              <w:rPr>
                <w:rFonts w:ascii="Arial" w:hAnsi="Arial"/>
                <w:b/>
                <w:sz w:val="14"/>
              </w:rPr>
            </w:pPr>
            <w:r>
              <w:rPr>
                <w:rFonts w:ascii="Arial" w:hAnsi="Arial"/>
                <w:b/>
                <w:sz w:val="14"/>
              </w:rPr>
              <w:t>H</w:t>
            </w:r>
          </w:p>
          <w:p w:rsidR="008902B1" w:rsidRPr="002E0C7E" w:rsidRDefault="008902B1" w:rsidP="001400AD">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1400A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1400AD">
            <w:pPr>
              <w:widowControl w:val="0"/>
              <w:jc w:val="center"/>
              <w:rPr>
                <w:rFonts w:ascii="Arial" w:hAnsi="Arial"/>
                <w:b/>
                <w:sz w:val="14"/>
              </w:rPr>
            </w:pPr>
            <w:r w:rsidRPr="002A4724">
              <w:rPr>
                <w:rFonts w:ascii="Arial" w:hAnsi="Arial"/>
                <w:b/>
                <w:sz w:val="14"/>
              </w:rPr>
              <w:t>M</w:t>
            </w:r>
          </w:p>
          <w:p w:rsidR="008902B1" w:rsidRPr="002E0C7E" w:rsidRDefault="008902B1" w:rsidP="001400AD">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1400AD">
            <w:pPr>
              <w:widowControl w:val="0"/>
              <w:jc w:val="center"/>
              <w:rPr>
                <w:rFonts w:ascii="Arial" w:hAnsi="Arial"/>
                <w:b/>
                <w:sz w:val="14"/>
              </w:rPr>
            </w:pPr>
            <w:r>
              <w:rPr>
                <w:rFonts w:ascii="Arial" w:hAnsi="Arial"/>
                <w:b/>
                <w:sz w:val="14"/>
              </w:rPr>
              <w:t>H</w:t>
            </w:r>
          </w:p>
          <w:p w:rsidR="008902B1" w:rsidRPr="002E0C7E" w:rsidRDefault="008902B1" w:rsidP="001400AD">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1400A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400A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400A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MARCH - MARS</w:t>
            </w:r>
          </w:p>
        </w:tc>
      </w:tr>
      <w:tr w:rsidR="008902B1" w:rsidRPr="002E0C7E" w:rsidTr="001400A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r>
      <w:tr w:rsidR="008902B1" w:rsidRPr="002E0C7E" w:rsidTr="001400A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1400AD">
            <w:pPr>
              <w:widowControl w:val="0"/>
              <w:jc w:val="center"/>
              <w:rPr>
                <w:rFonts w:ascii="Arial" w:hAnsi="Arial"/>
                <w:b/>
                <w:sz w:val="14"/>
              </w:rPr>
            </w:pPr>
            <w:r w:rsidRPr="00CD2D42">
              <w:rPr>
                <w:rFonts w:ascii="Arial" w:hAnsi="Arial"/>
                <w:b/>
                <w:sz w:val="14"/>
              </w:rPr>
              <w:t>H</w:t>
            </w: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r>
      <w:tr w:rsidR="008902B1" w:rsidRPr="002E0C7E" w:rsidTr="001400A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12</w:t>
            </w:r>
          </w:p>
        </w:tc>
      </w:tr>
      <w:tr w:rsidR="008902B1" w:rsidRPr="002E0C7E" w:rsidTr="001400A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1400AD">
            <w:pPr>
              <w:widowControl w:val="0"/>
              <w:jc w:val="center"/>
              <w:rPr>
                <w:rFonts w:ascii="Arial" w:hAnsi="Arial"/>
                <w:b/>
                <w:sz w:val="14"/>
              </w:rPr>
            </w:pPr>
            <w:r>
              <w:rPr>
                <w:rFonts w:ascii="Arial" w:hAnsi="Arial"/>
                <w:b/>
                <w:sz w:val="14"/>
              </w:rPr>
              <w:t>M</w:t>
            </w: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1400AD">
            <w:pPr>
              <w:widowControl w:val="0"/>
              <w:jc w:val="center"/>
              <w:rPr>
                <w:rFonts w:ascii="Arial" w:hAnsi="Arial"/>
                <w:b/>
                <w:sz w:val="14"/>
              </w:rPr>
            </w:pPr>
            <w:r>
              <w:rPr>
                <w:rFonts w:ascii="Arial" w:hAnsi="Arial"/>
                <w:b/>
                <w:sz w:val="14"/>
              </w:rPr>
              <w:t>M</w:t>
            </w: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1400A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1400AD">
            <w:pPr>
              <w:widowControl w:val="0"/>
              <w:jc w:val="center"/>
              <w:rPr>
                <w:rFonts w:ascii="Arial" w:hAnsi="Arial"/>
                <w:b/>
                <w:sz w:val="14"/>
              </w:rPr>
            </w:pPr>
            <w:r>
              <w:rPr>
                <w:rFonts w:ascii="Arial" w:hAnsi="Arial"/>
                <w:b/>
                <w:sz w:val="14"/>
              </w:rPr>
              <w:t>M</w:t>
            </w:r>
          </w:p>
          <w:p w:rsidR="008902B1" w:rsidRPr="002E0C7E" w:rsidRDefault="008902B1" w:rsidP="001400AD">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1400AD">
            <w:pPr>
              <w:widowControl w:val="0"/>
              <w:jc w:val="center"/>
              <w:rPr>
                <w:rFonts w:ascii="Arial" w:hAnsi="Arial"/>
                <w:b/>
                <w:sz w:val="14"/>
              </w:rPr>
            </w:pPr>
            <w:r>
              <w:rPr>
                <w:rFonts w:ascii="Arial" w:hAnsi="Arial"/>
                <w:b/>
                <w:sz w:val="14"/>
              </w:rPr>
              <w:t>H</w:t>
            </w: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1400A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1400AD">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1400A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1400AD">
            <w:pPr>
              <w:widowControl w:val="0"/>
              <w:jc w:val="center"/>
              <w:rPr>
                <w:rFonts w:ascii="Arial" w:hAnsi="Arial"/>
                <w:b/>
                <w:sz w:val="14"/>
              </w:rPr>
            </w:pPr>
            <w:r>
              <w:rPr>
                <w:rFonts w:ascii="Arial" w:hAnsi="Arial"/>
                <w:b/>
                <w:sz w:val="14"/>
              </w:rPr>
              <w:t>H</w:t>
            </w:r>
          </w:p>
          <w:p w:rsidR="008902B1" w:rsidRPr="002E0C7E" w:rsidRDefault="008902B1" w:rsidP="001400AD">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1400A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400A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1400A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1400AD">
            <w:pPr>
              <w:widowControl w:val="0"/>
              <w:jc w:val="center"/>
              <w:rPr>
                <w:rFonts w:ascii="Arial" w:hAnsi="Arial"/>
                <w:sz w:val="14"/>
              </w:rPr>
            </w:pPr>
            <w:r w:rsidRPr="002E0C7E">
              <w:rPr>
                <w:rFonts w:ascii="Arial" w:hAnsi="Arial"/>
                <w:b/>
                <w:sz w:val="14"/>
              </w:rPr>
              <w:t>JUNE - JUIN</w:t>
            </w:r>
          </w:p>
        </w:tc>
      </w:tr>
      <w:tr w:rsidR="008902B1" w:rsidRPr="002E0C7E" w:rsidTr="001400A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S</w:t>
            </w:r>
          </w:p>
          <w:p w:rsidR="008902B1" w:rsidRPr="002E0C7E" w:rsidRDefault="008902B1" w:rsidP="001400A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M</w:t>
            </w:r>
          </w:p>
          <w:p w:rsidR="008902B1" w:rsidRPr="002E0C7E" w:rsidRDefault="008902B1" w:rsidP="001400A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W</w:t>
            </w:r>
          </w:p>
          <w:p w:rsidR="008902B1" w:rsidRPr="002E0C7E" w:rsidRDefault="008902B1" w:rsidP="001400A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T</w:t>
            </w:r>
          </w:p>
          <w:p w:rsidR="008902B1" w:rsidRPr="002E0C7E" w:rsidRDefault="008902B1" w:rsidP="001400A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sidRPr="002E0C7E">
              <w:rPr>
                <w:rFonts w:ascii="Arial" w:hAnsi="Arial"/>
                <w:sz w:val="14"/>
              </w:rPr>
              <w:t>F</w:t>
            </w:r>
          </w:p>
          <w:p w:rsidR="008902B1" w:rsidRPr="002E0C7E" w:rsidRDefault="008902B1" w:rsidP="001400A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r>
              <w:rPr>
                <w:rFonts w:ascii="Arial" w:hAnsi="Arial"/>
                <w:sz w:val="14"/>
              </w:rPr>
              <w:t>S</w:t>
            </w:r>
          </w:p>
          <w:p w:rsidR="008902B1" w:rsidRPr="002E0C7E" w:rsidRDefault="008902B1" w:rsidP="001400AD">
            <w:pPr>
              <w:widowControl w:val="0"/>
              <w:jc w:val="center"/>
              <w:rPr>
                <w:rFonts w:ascii="Arial" w:hAnsi="Arial"/>
                <w:sz w:val="14"/>
              </w:rPr>
            </w:pPr>
            <w:r>
              <w:rPr>
                <w:rFonts w:ascii="Arial" w:hAnsi="Arial"/>
                <w:sz w:val="14"/>
              </w:rPr>
              <w:t>S</w:t>
            </w:r>
          </w:p>
        </w:tc>
      </w:tr>
      <w:tr w:rsidR="008902B1" w:rsidRPr="002E0C7E" w:rsidTr="001400A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r>
      <w:tr w:rsidR="008902B1" w:rsidRPr="002E0C7E" w:rsidTr="001400A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11</w:t>
            </w:r>
          </w:p>
        </w:tc>
      </w:tr>
      <w:tr w:rsidR="008902B1" w:rsidRPr="002E0C7E" w:rsidTr="001400A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1400AD">
            <w:pPr>
              <w:widowControl w:val="0"/>
              <w:jc w:val="center"/>
              <w:rPr>
                <w:rFonts w:ascii="Arial" w:hAnsi="Arial"/>
                <w:b/>
                <w:sz w:val="14"/>
              </w:rPr>
            </w:pPr>
          </w:p>
          <w:p w:rsidR="008902B1" w:rsidRPr="002E0C7E" w:rsidRDefault="008902B1" w:rsidP="001400A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1400AD">
            <w:pPr>
              <w:widowControl w:val="0"/>
              <w:jc w:val="center"/>
              <w:rPr>
                <w:rFonts w:ascii="Arial" w:hAnsi="Arial"/>
                <w:b/>
                <w:sz w:val="14"/>
              </w:rPr>
            </w:pPr>
            <w:r w:rsidRPr="002453E3">
              <w:rPr>
                <w:rFonts w:ascii="Arial" w:hAnsi="Arial"/>
                <w:b/>
                <w:sz w:val="14"/>
              </w:rPr>
              <w:t>M</w:t>
            </w: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1400AD">
            <w:pPr>
              <w:widowControl w:val="0"/>
              <w:jc w:val="center"/>
              <w:rPr>
                <w:rFonts w:ascii="Arial" w:hAnsi="Arial"/>
                <w:b/>
                <w:sz w:val="14"/>
              </w:rPr>
            </w:pPr>
            <w:r>
              <w:rPr>
                <w:rFonts w:ascii="Arial" w:hAnsi="Arial"/>
                <w:b/>
                <w:sz w:val="14"/>
              </w:rPr>
              <w:t>M</w:t>
            </w: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18</w:t>
            </w:r>
          </w:p>
        </w:tc>
      </w:tr>
      <w:tr w:rsidR="008902B1" w:rsidRPr="002E0C7E" w:rsidTr="001400A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1400AD">
            <w:pPr>
              <w:widowControl w:val="0"/>
              <w:jc w:val="center"/>
              <w:rPr>
                <w:rFonts w:ascii="Arial" w:hAnsi="Arial"/>
                <w:b/>
                <w:sz w:val="14"/>
              </w:rPr>
            </w:pPr>
            <w:r w:rsidRPr="0049680E">
              <w:rPr>
                <w:rFonts w:ascii="Arial" w:hAnsi="Arial"/>
                <w:b/>
                <w:sz w:val="14"/>
              </w:rPr>
              <w:t>M</w:t>
            </w:r>
          </w:p>
          <w:p w:rsidR="008902B1" w:rsidRPr="002E0C7E" w:rsidRDefault="008902B1" w:rsidP="001400A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1400AD">
            <w:pPr>
              <w:widowControl w:val="0"/>
              <w:jc w:val="center"/>
              <w:rPr>
                <w:rFonts w:ascii="Arial" w:hAnsi="Arial"/>
                <w:b/>
                <w:sz w:val="14"/>
              </w:rPr>
            </w:pPr>
            <w:r>
              <w:rPr>
                <w:rFonts w:ascii="Arial" w:hAnsi="Arial"/>
                <w:b/>
                <w:sz w:val="14"/>
              </w:rPr>
              <w:t>H</w:t>
            </w:r>
          </w:p>
          <w:p w:rsidR="008902B1" w:rsidRPr="002E0C7E" w:rsidRDefault="008902B1" w:rsidP="001400AD">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1400A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1400AD">
            <w:pPr>
              <w:widowControl w:val="0"/>
              <w:jc w:val="center"/>
              <w:rPr>
                <w:rFonts w:ascii="Arial" w:hAnsi="Arial"/>
                <w:sz w:val="14"/>
              </w:rPr>
            </w:pPr>
          </w:p>
          <w:p w:rsidR="008902B1" w:rsidRPr="002E0C7E" w:rsidRDefault="008902B1" w:rsidP="001400AD">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1400AD">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1400AD">
            <w:pPr>
              <w:widowControl w:val="0"/>
              <w:rPr>
                <w:rFonts w:ascii="Arial" w:hAnsi="Arial"/>
                <w:sz w:val="16"/>
              </w:rPr>
            </w:pPr>
            <w:r w:rsidRPr="002E0C7E">
              <w:rPr>
                <w:rFonts w:ascii="Arial" w:hAnsi="Arial"/>
                <w:sz w:val="16"/>
              </w:rPr>
              <w:t>Sittings of the court:</w:t>
            </w:r>
          </w:p>
          <w:p w:rsidR="008902B1" w:rsidRPr="002E0C7E" w:rsidRDefault="008902B1" w:rsidP="001400A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1400AD">
            <w:pPr>
              <w:widowControl w:val="0"/>
              <w:rPr>
                <w:rFonts w:ascii="Arial" w:hAnsi="Arial"/>
                <w:sz w:val="16"/>
              </w:rPr>
            </w:pPr>
          </w:p>
          <w:p w:rsidR="008902B1" w:rsidRPr="002E0C7E" w:rsidRDefault="008902B1" w:rsidP="001400A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1400A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1400A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1400A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1400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7"/>
      <w:footerReference w:type="default" r:id="rId4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C2" w:rsidRDefault="003A0CC2" w:rsidP="00A87207">
      <w:r>
        <w:separator/>
      </w:r>
    </w:p>
  </w:endnote>
  <w:endnote w:type="continuationSeparator" w:id="0">
    <w:p w:rsidR="003A0CC2" w:rsidRDefault="003A0CC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rsidP="00A87207">
    <w:pPr>
      <w:pStyle w:val="Footer"/>
    </w:pPr>
    <w:r>
      <w:pict>
        <v:rect id="_x0000_i1032" style="width:480.95pt;height:1pt" o:hralign="center" o:hrstd="t" o:hrnoshade="t" o:hr="t" fillcolor="black [3213]" stroked="f"/>
      </w:pict>
    </w:r>
  </w:p>
  <w:p w:rsidR="003A0CC2" w:rsidRPr="00B7374B" w:rsidRDefault="003A0C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C2610">
      <w:rPr>
        <w:noProof/>
        <w:szCs w:val="24"/>
      </w:rPr>
      <w:t>391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rsidP="00EB2B90">
    <w:pPr>
      <w:tabs>
        <w:tab w:val="center" w:pos="4680"/>
      </w:tabs>
    </w:pPr>
    <w:r>
      <w:pict>
        <v:rect id="_x0000_i1044" style="width:480.95pt;height:1pt" o:hralign="center" o:hrstd="t" o:hrnoshade="t" o:hr="t" fillcolor="black [3213]" stroked="f"/>
      </w:pict>
    </w:r>
  </w:p>
  <w:p w:rsidR="003A0CC2" w:rsidRPr="0031432F" w:rsidRDefault="003A0CC2" w:rsidP="00EB2B90">
    <w:pPr>
      <w:tabs>
        <w:tab w:val="center" w:pos="4680"/>
      </w:tabs>
    </w:pPr>
    <w:r>
      <w:tab/>
      <w:t xml:space="preserve">- </w:t>
    </w:r>
    <w:r>
      <w:fldChar w:fldCharType="begin"/>
    </w:r>
    <w:r>
      <w:instrText xml:space="preserve"> PAGE   \* MERGEFORMAT </w:instrText>
    </w:r>
    <w:r>
      <w:fldChar w:fldCharType="separate"/>
    </w:r>
    <w:r w:rsidR="00BC2610">
      <w:rPr>
        <w:noProof/>
      </w:rPr>
      <w:t>395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0CC2" w:rsidRDefault="003A0CC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3A0CC2" w:rsidRDefault="003A0CC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Footer"/>
      <w:rPr>
        <w:lang w:val="fr-CA"/>
      </w:rPr>
    </w:pPr>
    <w:r>
      <w:rPr>
        <w:lang w:val="fr-CA"/>
      </w:rPr>
      <w:pict>
        <v:rect id="_x0000_i1049" style="width:480.95pt;height:1pt" o:hralign="center" o:hrstd="t" o:hrnoshade="t" o:hr="t" fillcolor="black [3213]" stroked="f"/>
      </w:pict>
    </w:r>
  </w:p>
  <w:p w:rsidR="003A0CC2" w:rsidRDefault="003A0CC2" w:rsidP="00EB2B90">
    <w:pPr>
      <w:tabs>
        <w:tab w:val="center" w:pos="4680"/>
      </w:tabs>
    </w:pPr>
    <w:r>
      <w:tab/>
      <w:t xml:space="preserve">- </w:t>
    </w:r>
    <w:r>
      <w:fldChar w:fldCharType="begin"/>
    </w:r>
    <w:r>
      <w:instrText xml:space="preserve"> PAGE   \* MERGEFORMAT </w:instrText>
    </w:r>
    <w:r>
      <w:fldChar w:fldCharType="separate"/>
    </w:r>
    <w:r w:rsidR="00BC2610">
      <w:rPr>
        <w:noProof/>
      </w:rPr>
      <w:t>397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0CC2" w:rsidRDefault="003A0CC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rsidP="00732DB7">
    <w:r>
      <w:pict>
        <v:rect id="_x0000_i1054" style="width:480.95pt;height:1pt" o:hralign="center" o:hrstd="t" o:hrnoshade="t" o:hr="t" fillcolor="black" stroked="f"/>
      </w:pict>
    </w:r>
  </w:p>
  <w:p w:rsidR="003A0CC2" w:rsidRDefault="003A0CC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Footer"/>
    </w:pPr>
    <w:r>
      <w:pict>
        <v:rect id="_x0000_i1055" style="width:480.95pt;height:1pt" o:hralign="center" o:hrstd="t" o:hrnoshade="t" o:hr="t" fillcolor="black" stroked="f"/>
      </w:pict>
    </w:r>
  </w:p>
  <w:p w:rsidR="003A0CC2" w:rsidRPr="00283C52" w:rsidRDefault="003A0CC2">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Pr="00924065" w:rsidRDefault="003A0C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rsidP="00755F22">
    <w:pPr>
      <w:tabs>
        <w:tab w:val="left" w:pos="-1440"/>
        <w:tab w:val="left" w:pos="-720"/>
      </w:tabs>
    </w:pPr>
    <w:r>
      <w:pict>
        <v:rect id="_x0000_i1033" style="width:480.95pt;height:1pt" o:hralign="center" o:hrstd="t" o:hrnoshade="t" o:hr="t" fillcolor="black [3213]" stroked="f"/>
      </w:pict>
    </w:r>
  </w:p>
  <w:p w:rsidR="003A0CC2" w:rsidRPr="00954D22" w:rsidRDefault="003A0CC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C2610">
      <w:rPr>
        <w:noProof/>
        <w:szCs w:val="24"/>
      </w:rPr>
      <w:t>390</w:t>
    </w:r>
    <w:r>
      <w:rPr>
        <w:szCs w:val="24"/>
      </w:rPr>
      <w:fldChar w:fldCharType="end"/>
    </w:r>
    <w:r w:rsidRPr="00954D22">
      <w:rPr>
        <w:szCs w:val="24"/>
      </w:rPr>
      <w:t xml:space="preserve"> -</w:t>
    </w:r>
  </w:p>
  <w:p w:rsidR="003A0CC2" w:rsidRDefault="003A0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rsidP="00A87207">
    <w:pPr>
      <w:pStyle w:val="Footer"/>
    </w:pPr>
    <w:r>
      <w:pict>
        <v:rect id="_x0000_i1035" style="width:480.95pt;height:1pt" o:hralign="center" o:hrstd="t" o:hrnoshade="t" o:hr="t" fillcolor="black [3213]" stroked="f"/>
      </w:pict>
    </w:r>
  </w:p>
  <w:p w:rsidR="003A0CC2" w:rsidRPr="00B7374B" w:rsidRDefault="003A0C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393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3A0CC2" w:rsidRPr="00954D22" w:rsidRDefault="003A0CC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C2610">
      <w:rPr>
        <w:noProof/>
        <w:szCs w:val="24"/>
      </w:rPr>
      <w:t>392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0CC2" w:rsidRDefault="003A0CC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3A0CC2" w:rsidRPr="0009648D" w:rsidRDefault="003A0CC2" w:rsidP="00ED7E83">
    <w:pPr>
      <w:tabs>
        <w:tab w:val="center" w:pos="4680"/>
      </w:tabs>
    </w:pPr>
    <w:r>
      <w:tab/>
    </w:r>
    <w:r w:rsidRPr="0009648D">
      <w:t xml:space="preserve">- </w:t>
    </w:r>
    <w:r>
      <w:fldChar w:fldCharType="begin"/>
    </w:r>
    <w:r>
      <w:instrText xml:space="preserve"> PAGE   \* MERGEFORMAT </w:instrText>
    </w:r>
    <w:r>
      <w:fldChar w:fldCharType="separate"/>
    </w:r>
    <w:r w:rsidR="00BC2610">
      <w:rPr>
        <w:noProof/>
      </w:rPr>
      <w:t>394</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Footer"/>
      <w:rPr>
        <w:lang w:val="fr-CA"/>
      </w:rPr>
    </w:pPr>
    <w:r>
      <w:rPr>
        <w:lang w:val="fr-CA"/>
      </w:rPr>
      <w:pict>
        <v:rect id="_x0000_i1040" style="width:480.95pt;height:1pt" o:hralign="center" o:hrstd="t" o:hrnoshade="t" o:hr="t" fillcolor="black [3213]" stroked="f"/>
      </w:pict>
    </w:r>
  </w:p>
  <w:p w:rsidR="003A0CC2" w:rsidRDefault="003A0CC2" w:rsidP="00245129">
    <w:pPr>
      <w:tabs>
        <w:tab w:val="center" w:pos="4680"/>
      </w:tabs>
    </w:pPr>
    <w:r>
      <w:tab/>
    </w:r>
    <w:r w:rsidRPr="0009648D">
      <w:t xml:space="preserve">- </w:t>
    </w:r>
    <w:r>
      <w:fldChar w:fldCharType="begin"/>
    </w:r>
    <w:r>
      <w:instrText xml:space="preserve"> PAGE   \* MERGEFORMAT </w:instrText>
    </w:r>
    <w:r>
      <w:fldChar w:fldCharType="separate"/>
    </w:r>
    <w:r w:rsidR="00BC2610">
      <w:rPr>
        <w:noProof/>
      </w:rPr>
      <w:t>393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0CC2" w:rsidRDefault="003A0CC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rsidP="00755F22">
    <w:pPr>
      <w:tabs>
        <w:tab w:val="left" w:pos="-1440"/>
        <w:tab w:val="left" w:pos="-720"/>
      </w:tabs>
    </w:pPr>
    <w:r>
      <w:pict>
        <v:rect id="_x0000_i1043" style="width:480.95pt;height:1pt" o:hralign="center" o:hrstd="t" o:hrnoshade="t" o:hr="t" fillcolor="black [3213]" stroked="f"/>
      </w:pict>
    </w:r>
  </w:p>
  <w:p w:rsidR="003A0CC2" w:rsidRDefault="003A0CC2" w:rsidP="00EB2B90">
    <w:pPr>
      <w:tabs>
        <w:tab w:val="center" w:pos="4680"/>
      </w:tabs>
    </w:pPr>
    <w:r>
      <w:tab/>
      <w:t xml:space="preserve">- </w:t>
    </w:r>
    <w:r>
      <w:fldChar w:fldCharType="begin"/>
    </w:r>
    <w:r>
      <w:instrText xml:space="preserve"> PAGE   \* MERGEFORMAT </w:instrText>
    </w:r>
    <w:r>
      <w:fldChar w:fldCharType="separate"/>
    </w:r>
    <w:r w:rsidR="00BC2610">
      <w:rPr>
        <w:noProof/>
      </w:rPr>
      <w:t>396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C2" w:rsidRDefault="003A0CC2" w:rsidP="00A87207">
      <w:r>
        <w:separator/>
      </w:r>
    </w:p>
  </w:footnote>
  <w:footnote w:type="continuationSeparator" w:id="0">
    <w:p w:rsidR="003A0CC2" w:rsidRDefault="003A0CC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A0CC2" w:rsidRPr="0044776A" w:rsidTr="00245129">
      <w:tc>
        <w:tcPr>
          <w:tcW w:w="4290" w:type="dxa"/>
          <w:tcMar>
            <w:left w:w="0" w:type="dxa"/>
            <w:right w:w="0" w:type="dxa"/>
          </w:tcMar>
        </w:tcPr>
        <w:p w:rsidR="003A0CC2" w:rsidRPr="0044776A" w:rsidRDefault="003A0CC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A0CC2" w:rsidRPr="0044776A" w:rsidRDefault="003A0CC2" w:rsidP="002E2327">
          <w:pPr>
            <w:keepNext/>
            <w:keepLines/>
            <w:tabs>
              <w:tab w:val="left" w:pos="-1440"/>
              <w:tab w:val="left" w:pos="-720"/>
            </w:tabs>
            <w:jc w:val="center"/>
            <w:rPr>
              <w:sz w:val="20"/>
              <w:szCs w:val="20"/>
            </w:rPr>
          </w:pPr>
        </w:p>
        <w:p w:rsidR="003A0CC2" w:rsidRPr="0044776A" w:rsidRDefault="003A0CC2" w:rsidP="002E2327">
          <w:pPr>
            <w:keepNext/>
            <w:keepLines/>
            <w:tabs>
              <w:tab w:val="left" w:pos="-1440"/>
              <w:tab w:val="left" w:pos="-720"/>
            </w:tabs>
            <w:jc w:val="center"/>
            <w:rPr>
              <w:sz w:val="20"/>
              <w:szCs w:val="20"/>
            </w:rPr>
          </w:pPr>
        </w:p>
        <w:p w:rsidR="003A0CC2" w:rsidRPr="0044776A" w:rsidRDefault="003A0CC2" w:rsidP="002E2327">
          <w:pPr>
            <w:keepNext/>
            <w:keepLines/>
            <w:tabs>
              <w:tab w:val="left" w:pos="-1440"/>
              <w:tab w:val="left" w:pos="-720"/>
            </w:tabs>
            <w:jc w:val="center"/>
            <w:rPr>
              <w:sz w:val="20"/>
              <w:szCs w:val="20"/>
            </w:rPr>
          </w:pPr>
        </w:p>
      </w:tc>
      <w:tc>
        <w:tcPr>
          <w:tcW w:w="4320" w:type="dxa"/>
          <w:tcMar>
            <w:left w:w="0" w:type="dxa"/>
            <w:right w:w="0" w:type="dxa"/>
          </w:tcMar>
        </w:tcPr>
        <w:p w:rsidR="003A0CC2" w:rsidRPr="0044776A" w:rsidRDefault="003A0CC2" w:rsidP="002E2327">
          <w:pPr>
            <w:keepLines/>
            <w:rPr>
              <w:sz w:val="20"/>
              <w:szCs w:val="20"/>
              <w:lang w:val="fr-CA"/>
            </w:rPr>
          </w:pPr>
          <w:r w:rsidRPr="0044776A">
            <w:rPr>
              <w:sz w:val="20"/>
              <w:szCs w:val="20"/>
              <w:lang w:val="fr-CA"/>
            </w:rPr>
            <w:t>DEMANDES D'AUTORISATION D'APPEL DÉPOSÉES</w:t>
          </w:r>
        </w:p>
      </w:tc>
    </w:tr>
  </w:tbl>
  <w:p w:rsidR="003A0CC2" w:rsidRDefault="003A0C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0CC2" w:rsidRPr="003A0CC2">
      <w:tc>
        <w:tcPr>
          <w:tcW w:w="4200" w:type="dxa"/>
          <w:tcMar>
            <w:left w:w="0" w:type="dxa"/>
            <w:right w:w="0" w:type="dxa"/>
          </w:tcMar>
        </w:tcPr>
        <w:p w:rsidR="003A0CC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A0CC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0CC2" w:rsidRPr="00B01A03" w:rsidRDefault="003A0C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A0CC2" w:rsidRPr="00B01A03"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A0CC2" w:rsidRPr="00B01A03"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A0CC2" w:rsidRPr="003A0CC2" w:rsidTr="00245129">
      <w:tc>
        <w:tcPr>
          <w:tcW w:w="4200" w:type="dxa"/>
          <w:tcMar>
            <w:left w:w="0" w:type="dxa"/>
            <w:right w:w="0" w:type="dxa"/>
          </w:tcMar>
        </w:tcPr>
        <w:p w:rsidR="003A0CC2" w:rsidRPr="00F40249" w:rsidRDefault="003A0CC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A0CC2" w:rsidRDefault="003A0CC2" w:rsidP="00102926">
          <w:pPr>
            <w:keepNext/>
            <w:keepLines/>
            <w:tabs>
              <w:tab w:val="left" w:pos="-1440"/>
              <w:tab w:val="left" w:pos="-720"/>
            </w:tabs>
            <w:jc w:val="center"/>
            <w:rPr>
              <w:sz w:val="20"/>
              <w:szCs w:val="20"/>
            </w:rPr>
          </w:pPr>
        </w:p>
        <w:p w:rsidR="003A0CC2" w:rsidRDefault="003A0CC2" w:rsidP="00102926">
          <w:pPr>
            <w:keepNext/>
            <w:keepLines/>
            <w:tabs>
              <w:tab w:val="left" w:pos="-1440"/>
              <w:tab w:val="left" w:pos="-720"/>
            </w:tabs>
            <w:jc w:val="center"/>
            <w:rPr>
              <w:sz w:val="20"/>
              <w:szCs w:val="20"/>
            </w:rPr>
          </w:pPr>
        </w:p>
        <w:p w:rsidR="003A0CC2" w:rsidRPr="00F40249" w:rsidRDefault="003A0CC2" w:rsidP="00102926">
          <w:pPr>
            <w:keepNext/>
            <w:keepLines/>
            <w:tabs>
              <w:tab w:val="left" w:pos="-1440"/>
              <w:tab w:val="left" w:pos="-720"/>
            </w:tabs>
            <w:jc w:val="center"/>
            <w:rPr>
              <w:sz w:val="20"/>
              <w:szCs w:val="20"/>
            </w:rPr>
          </w:pPr>
        </w:p>
      </w:tc>
      <w:tc>
        <w:tcPr>
          <w:tcW w:w="4230" w:type="dxa"/>
          <w:tcMar>
            <w:left w:w="0" w:type="dxa"/>
            <w:right w:w="0" w:type="dxa"/>
          </w:tcMar>
        </w:tcPr>
        <w:p w:rsidR="003A0CC2" w:rsidRPr="00F40249" w:rsidRDefault="003A0CC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A0CC2" w:rsidRPr="00B01A03" w:rsidRDefault="003A0CC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0CC2" w:rsidRPr="003A0CC2">
      <w:tc>
        <w:tcPr>
          <w:tcW w:w="4200" w:type="dxa"/>
          <w:tcMar>
            <w:left w:w="0" w:type="dxa"/>
            <w:right w:w="0" w:type="dxa"/>
          </w:tcMar>
        </w:tcPr>
        <w:p w:rsidR="003A0CC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A0CC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0CC2" w:rsidRPr="00283C52" w:rsidRDefault="003A0C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A0CC2" w:rsidRPr="00283C5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A0CC2" w:rsidRPr="00283C5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0CC2" w:rsidRPr="003A0CC2" w:rsidTr="00245129">
      <w:tc>
        <w:tcPr>
          <w:tcW w:w="4200" w:type="dxa"/>
          <w:tcMar>
            <w:left w:w="0" w:type="dxa"/>
            <w:right w:w="0" w:type="dxa"/>
          </w:tcMar>
        </w:tcPr>
        <w:p w:rsidR="003A0CC2" w:rsidRPr="00732DB7" w:rsidRDefault="003A0CC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A0CC2" w:rsidRPr="00732DB7" w:rsidRDefault="003A0CC2" w:rsidP="00732DB7">
          <w:pPr>
            <w:keepNext/>
            <w:keepLines/>
            <w:tabs>
              <w:tab w:val="left" w:pos="-1440"/>
              <w:tab w:val="left" w:pos="-720"/>
            </w:tabs>
            <w:jc w:val="center"/>
            <w:rPr>
              <w:sz w:val="20"/>
              <w:szCs w:val="20"/>
            </w:rPr>
          </w:pPr>
        </w:p>
        <w:p w:rsidR="003A0CC2" w:rsidRPr="00732DB7" w:rsidRDefault="003A0CC2" w:rsidP="00732DB7">
          <w:pPr>
            <w:keepNext/>
            <w:keepLines/>
            <w:tabs>
              <w:tab w:val="left" w:pos="-1440"/>
              <w:tab w:val="left" w:pos="-720"/>
            </w:tabs>
            <w:jc w:val="center"/>
            <w:rPr>
              <w:sz w:val="20"/>
              <w:szCs w:val="20"/>
            </w:rPr>
          </w:pPr>
        </w:p>
        <w:p w:rsidR="003A0CC2" w:rsidRPr="00732DB7" w:rsidRDefault="003A0CC2" w:rsidP="00732DB7">
          <w:pPr>
            <w:keepNext/>
            <w:keepLines/>
            <w:tabs>
              <w:tab w:val="left" w:pos="-1440"/>
              <w:tab w:val="left" w:pos="-720"/>
            </w:tabs>
            <w:jc w:val="center"/>
            <w:rPr>
              <w:sz w:val="20"/>
              <w:szCs w:val="20"/>
            </w:rPr>
          </w:pPr>
        </w:p>
      </w:tc>
      <w:tc>
        <w:tcPr>
          <w:tcW w:w="4080" w:type="dxa"/>
          <w:tcMar>
            <w:left w:w="0" w:type="dxa"/>
            <w:right w:w="0" w:type="dxa"/>
          </w:tcMar>
        </w:tcPr>
        <w:p w:rsidR="003A0CC2" w:rsidRPr="00732DB7" w:rsidRDefault="003A0CC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A0CC2" w:rsidRPr="00283C52" w:rsidRDefault="003A0CC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0CC2" w:rsidRPr="003A0CC2" w:rsidTr="00245129">
      <w:tc>
        <w:tcPr>
          <w:tcW w:w="4200" w:type="dxa"/>
          <w:tcMar>
            <w:left w:w="0" w:type="dxa"/>
            <w:right w:w="0" w:type="dxa"/>
          </w:tcMar>
        </w:tcPr>
        <w:p w:rsidR="003A0CC2" w:rsidRPr="0044776A" w:rsidRDefault="003A0CC2" w:rsidP="0044776A">
          <w:pPr>
            <w:keepNext/>
            <w:keepLines/>
            <w:widowControl w:val="0"/>
            <w:rPr>
              <w:sz w:val="20"/>
              <w:szCs w:val="20"/>
            </w:rPr>
          </w:pPr>
          <w:r>
            <w:rPr>
              <w:sz w:val="20"/>
              <w:szCs w:val="20"/>
            </w:rPr>
            <w:t>APPLICATIONS FOR LEAVE</w:t>
          </w:r>
        </w:p>
        <w:p w:rsidR="003A0CC2" w:rsidRPr="0044776A" w:rsidRDefault="003A0CC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A0CC2" w:rsidRPr="0044776A" w:rsidRDefault="003A0CC2" w:rsidP="0044776A">
          <w:pPr>
            <w:keepNext/>
            <w:keepLines/>
            <w:widowControl w:val="0"/>
            <w:jc w:val="center"/>
            <w:rPr>
              <w:sz w:val="20"/>
              <w:szCs w:val="20"/>
            </w:rPr>
          </w:pPr>
        </w:p>
        <w:p w:rsidR="003A0CC2" w:rsidRPr="0044776A" w:rsidRDefault="003A0CC2" w:rsidP="0044776A">
          <w:pPr>
            <w:keepNext/>
            <w:keepLines/>
            <w:widowControl w:val="0"/>
            <w:jc w:val="center"/>
            <w:rPr>
              <w:sz w:val="20"/>
              <w:szCs w:val="20"/>
            </w:rPr>
          </w:pPr>
        </w:p>
        <w:p w:rsidR="003A0CC2" w:rsidRPr="0044776A" w:rsidRDefault="003A0CC2" w:rsidP="0044776A">
          <w:pPr>
            <w:keepNext/>
            <w:keepLines/>
            <w:widowControl w:val="0"/>
            <w:jc w:val="center"/>
            <w:rPr>
              <w:sz w:val="20"/>
              <w:szCs w:val="20"/>
            </w:rPr>
          </w:pPr>
        </w:p>
      </w:tc>
      <w:tc>
        <w:tcPr>
          <w:tcW w:w="4080" w:type="dxa"/>
          <w:tcMar>
            <w:left w:w="0" w:type="dxa"/>
            <w:right w:w="0" w:type="dxa"/>
          </w:tcMar>
        </w:tcPr>
        <w:p w:rsidR="003A0CC2" w:rsidRPr="0044776A" w:rsidRDefault="003A0CC2" w:rsidP="0044776A">
          <w:pPr>
            <w:keepLines/>
            <w:widowControl w:val="0"/>
            <w:rPr>
              <w:sz w:val="20"/>
              <w:szCs w:val="20"/>
              <w:lang w:val="fr-CA"/>
            </w:rPr>
          </w:pPr>
          <w:r w:rsidRPr="0044776A">
            <w:rPr>
              <w:sz w:val="20"/>
              <w:szCs w:val="20"/>
              <w:lang w:val="fr-CA"/>
            </w:rPr>
            <w:t>DEMANDES SOUMISES À LA COUR DEPUIS LA DERNIÈRE PARUTION</w:t>
          </w:r>
        </w:p>
        <w:p w:rsidR="003A0CC2" w:rsidRPr="0044776A" w:rsidRDefault="003A0CC2" w:rsidP="0044776A">
          <w:pPr>
            <w:widowControl w:val="0"/>
            <w:rPr>
              <w:sz w:val="20"/>
              <w:szCs w:val="20"/>
              <w:lang w:val="fr-CA"/>
            </w:rPr>
          </w:pPr>
        </w:p>
      </w:tc>
    </w:tr>
  </w:tbl>
  <w:p w:rsidR="003A0CC2" w:rsidRPr="002E2327" w:rsidRDefault="003A0CC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0CC2" w:rsidRPr="003A0CC2">
      <w:tc>
        <w:tcPr>
          <w:tcW w:w="4200" w:type="dxa"/>
          <w:tcMar>
            <w:left w:w="0" w:type="dxa"/>
            <w:right w:w="0" w:type="dxa"/>
          </w:tcMar>
        </w:tcPr>
        <w:p w:rsidR="003A0CC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A0CC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A0CC2" w:rsidRDefault="003A0C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0CC2" w:rsidRPr="00FF6BA5" w:rsidRDefault="003A0C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A0CC2" w:rsidRPr="00FF6BA5"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A0CC2" w:rsidRPr="00FF6BA5"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A0CC2" w:rsidRPr="00FF6BA5"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0CC2" w:rsidRPr="003A0CC2" w:rsidTr="00245129">
      <w:tc>
        <w:tcPr>
          <w:tcW w:w="4200" w:type="dxa"/>
          <w:tcMar>
            <w:left w:w="0" w:type="dxa"/>
            <w:right w:w="0" w:type="dxa"/>
          </w:tcMar>
        </w:tcPr>
        <w:p w:rsidR="003A0CC2" w:rsidRPr="00755F2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A0CC2" w:rsidRPr="00755F2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A0CC2" w:rsidRPr="00755F22" w:rsidRDefault="003A0C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A0CC2" w:rsidRPr="00755F22" w:rsidRDefault="003A0C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A0CC2" w:rsidRPr="00755F22" w:rsidRDefault="003A0C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A0CC2" w:rsidRPr="00755F22" w:rsidRDefault="003A0C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A0CC2" w:rsidRPr="00FF6BA5" w:rsidRDefault="003A0CC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2" w:rsidRDefault="003A0C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A0CC2">
      <w:tc>
        <w:tcPr>
          <w:tcW w:w="4230" w:type="dxa"/>
          <w:tcMar>
            <w:left w:w="0" w:type="dxa"/>
            <w:right w:w="0" w:type="dxa"/>
          </w:tcMar>
        </w:tcPr>
        <w:p w:rsidR="003A0CC2" w:rsidRDefault="003A0C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A0CC2" w:rsidRDefault="003A0C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0CC2" w:rsidRDefault="003A0C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A0CC2">
      <w:trPr>
        <w:gridAfter w:val="2"/>
        <w:wAfter w:w="5250" w:type="dxa"/>
      </w:trPr>
      <w:tc>
        <w:tcPr>
          <w:tcW w:w="4230" w:type="dxa"/>
          <w:tcMar>
            <w:left w:w="0" w:type="dxa"/>
            <w:right w:w="0" w:type="dxa"/>
          </w:tcMar>
        </w:tcPr>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A0CC2" w:rsidRDefault="003A0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A0CC2" w:rsidRPr="00755F22" w:rsidTr="00245129">
      <w:tc>
        <w:tcPr>
          <w:tcW w:w="4230" w:type="dxa"/>
          <w:tcMar>
            <w:left w:w="0" w:type="dxa"/>
            <w:right w:w="0" w:type="dxa"/>
          </w:tcMar>
        </w:tcPr>
        <w:p w:rsidR="003A0CC2" w:rsidRPr="00755F22" w:rsidRDefault="003A0CC2" w:rsidP="00831CA9">
          <w:pPr>
            <w:keepNext/>
            <w:keepLines/>
            <w:rPr>
              <w:sz w:val="20"/>
              <w:szCs w:val="20"/>
            </w:rPr>
          </w:pPr>
          <w:r w:rsidRPr="00755F22">
            <w:rPr>
              <w:sz w:val="20"/>
              <w:szCs w:val="20"/>
            </w:rPr>
            <w:t>MOTIONS</w:t>
          </w:r>
        </w:p>
      </w:tc>
      <w:tc>
        <w:tcPr>
          <w:tcW w:w="1170" w:type="dxa"/>
          <w:tcMar>
            <w:left w:w="0" w:type="dxa"/>
            <w:right w:w="0" w:type="dxa"/>
          </w:tcMar>
        </w:tcPr>
        <w:p w:rsidR="003A0CC2" w:rsidRPr="00755F22" w:rsidRDefault="003A0CC2" w:rsidP="00831CA9">
          <w:pPr>
            <w:keepLines/>
            <w:jc w:val="center"/>
            <w:rPr>
              <w:sz w:val="20"/>
              <w:szCs w:val="20"/>
            </w:rPr>
          </w:pPr>
        </w:p>
        <w:p w:rsidR="003A0CC2" w:rsidRPr="00755F22" w:rsidRDefault="003A0CC2" w:rsidP="00831CA9">
          <w:pPr>
            <w:keepLines/>
            <w:tabs>
              <w:tab w:val="left" w:pos="-1440"/>
              <w:tab w:val="left" w:pos="-720"/>
            </w:tabs>
            <w:jc w:val="center"/>
            <w:rPr>
              <w:sz w:val="20"/>
              <w:szCs w:val="20"/>
            </w:rPr>
          </w:pPr>
        </w:p>
      </w:tc>
      <w:tc>
        <w:tcPr>
          <w:tcW w:w="4080" w:type="dxa"/>
          <w:tcMar>
            <w:left w:w="0" w:type="dxa"/>
            <w:right w:w="0" w:type="dxa"/>
          </w:tcMar>
        </w:tcPr>
        <w:p w:rsidR="003A0CC2" w:rsidRPr="00BA6468" w:rsidRDefault="003A0CC2" w:rsidP="00BA6468">
          <w:pPr>
            <w:keepLines/>
            <w:rPr>
              <w:sz w:val="20"/>
              <w:szCs w:val="20"/>
              <w:lang w:val="fr-CA"/>
            </w:rPr>
          </w:pPr>
          <w:r w:rsidRPr="00BA6468">
            <w:rPr>
              <w:sz w:val="20"/>
              <w:szCs w:val="20"/>
              <w:lang w:val="fr-CA"/>
            </w:rPr>
            <w:t>REQUÊTES</w:t>
          </w:r>
        </w:p>
      </w:tc>
    </w:tr>
  </w:tbl>
  <w:p w:rsidR="003A0CC2" w:rsidRDefault="003A0CC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67E9"/>
    <w:multiLevelType w:val="hybridMultilevel"/>
    <w:tmpl w:val="32E24F80"/>
    <w:lvl w:ilvl="0" w:tplc="2886DF32">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C9176D"/>
    <w:multiLevelType w:val="hybridMultilevel"/>
    <w:tmpl w:val="40E2ACC4"/>
    <w:lvl w:ilvl="0" w:tplc="8D22BCBE">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216DA4"/>
    <w:multiLevelType w:val="hybridMultilevel"/>
    <w:tmpl w:val="D73833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BF626E"/>
    <w:multiLevelType w:val="hybridMultilevel"/>
    <w:tmpl w:val="83909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13"/>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D72D5"/>
    <w:rsid w:val="000E27A5"/>
    <w:rsid w:val="000E2959"/>
    <w:rsid w:val="000F0B60"/>
    <w:rsid w:val="00102926"/>
    <w:rsid w:val="0010587F"/>
    <w:rsid w:val="00111C6B"/>
    <w:rsid w:val="0012102B"/>
    <w:rsid w:val="0013369E"/>
    <w:rsid w:val="001400AD"/>
    <w:rsid w:val="00164E6D"/>
    <w:rsid w:val="00172853"/>
    <w:rsid w:val="00183454"/>
    <w:rsid w:val="001B157C"/>
    <w:rsid w:val="001B4006"/>
    <w:rsid w:val="001B5C23"/>
    <w:rsid w:val="001B643B"/>
    <w:rsid w:val="001C4C6B"/>
    <w:rsid w:val="001D0D5F"/>
    <w:rsid w:val="001D6B8C"/>
    <w:rsid w:val="001F1F83"/>
    <w:rsid w:val="001F40DF"/>
    <w:rsid w:val="001F6B2D"/>
    <w:rsid w:val="002021A9"/>
    <w:rsid w:val="00206FC5"/>
    <w:rsid w:val="002139A7"/>
    <w:rsid w:val="00215F7C"/>
    <w:rsid w:val="0022323B"/>
    <w:rsid w:val="00226269"/>
    <w:rsid w:val="002410B8"/>
    <w:rsid w:val="00242AEE"/>
    <w:rsid w:val="00245129"/>
    <w:rsid w:val="00245879"/>
    <w:rsid w:val="002606AA"/>
    <w:rsid w:val="00267FD5"/>
    <w:rsid w:val="00274D34"/>
    <w:rsid w:val="00283ED8"/>
    <w:rsid w:val="002868D0"/>
    <w:rsid w:val="002A008C"/>
    <w:rsid w:val="002A1D0E"/>
    <w:rsid w:val="002A27D1"/>
    <w:rsid w:val="002A4AFA"/>
    <w:rsid w:val="002B516C"/>
    <w:rsid w:val="002D72EB"/>
    <w:rsid w:val="002E2327"/>
    <w:rsid w:val="002E3583"/>
    <w:rsid w:val="002E5576"/>
    <w:rsid w:val="0030050B"/>
    <w:rsid w:val="00301A88"/>
    <w:rsid w:val="00304BF7"/>
    <w:rsid w:val="00331B52"/>
    <w:rsid w:val="003359D3"/>
    <w:rsid w:val="00355967"/>
    <w:rsid w:val="0036030B"/>
    <w:rsid w:val="00382C47"/>
    <w:rsid w:val="00384384"/>
    <w:rsid w:val="003866AE"/>
    <w:rsid w:val="003A0CC2"/>
    <w:rsid w:val="003B3977"/>
    <w:rsid w:val="003C7966"/>
    <w:rsid w:val="003E1D4C"/>
    <w:rsid w:val="004051F7"/>
    <w:rsid w:val="00411597"/>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2229C"/>
    <w:rsid w:val="00524330"/>
    <w:rsid w:val="00527CC7"/>
    <w:rsid w:val="00571CA4"/>
    <w:rsid w:val="00582136"/>
    <w:rsid w:val="005C0071"/>
    <w:rsid w:val="005C6840"/>
    <w:rsid w:val="005F0EE3"/>
    <w:rsid w:val="005F1ED8"/>
    <w:rsid w:val="005F263E"/>
    <w:rsid w:val="00600252"/>
    <w:rsid w:val="00612A40"/>
    <w:rsid w:val="0062714A"/>
    <w:rsid w:val="00650F88"/>
    <w:rsid w:val="006552E6"/>
    <w:rsid w:val="00675479"/>
    <w:rsid w:val="00680709"/>
    <w:rsid w:val="00681F61"/>
    <w:rsid w:val="0068612B"/>
    <w:rsid w:val="00687351"/>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76CA7"/>
    <w:rsid w:val="007820CE"/>
    <w:rsid w:val="00782AE4"/>
    <w:rsid w:val="0079724F"/>
    <w:rsid w:val="007A3EAE"/>
    <w:rsid w:val="007C04FC"/>
    <w:rsid w:val="007C3DB0"/>
    <w:rsid w:val="007C47C2"/>
    <w:rsid w:val="007D3E0F"/>
    <w:rsid w:val="007E4282"/>
    <w:rsid w:val="007F1446"/>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8F0D00"/>
    <w:rsid w:val="008F2015"/>
    <w:rsid w:val="00902E51"/>
    <w:rsid w:val="00913C81"/>
    <w:rsid w:val="00915A43"/>
    <w:rsid w:val="00924065"/>
    <w:rsid w:val="00930D68"/>
    <w:rsid w:val="00932DB4"/>
    <w:rsid w:val="009412E2"/>
    <w:rsid w:val="00941A4B"/>
    <w:rsid w:val="00946242"/>
    <w:rsid w:val="0095096B"/>
    <w:rsid w:val="00970CD3"/>
    <w:rsid w:val="009723FA"/>
    <w:rsid w:val="00984546"/>
    <w:rsid w:val="00996510"/>
    <w:rsid w:val="009C6885"/>
    <w:rsid w:val="009D1F15"/>
    <w:rsid w:val="009D555E"/>
    <w:rsid w:val="009F3024"/>
    <w:rsid w:val="009F39BA"/>
    <w:rsid w:val="00A0355E"/>
    <w:rsid w:val="00A165CB"/>
    <w:rsid w:val="00A375D1"/>
    <w:rsid w:val="00A463AE"/>
    <w:rsid w:val="00A51D10"/>
    <w:rsid w:val="00A52A83"/>
    <w:rsid w:val="00A6552C"/>
    <w:rsid w:val="00A83647"/>
    <w:rsid w:val="00A87207"/>
    <w:rsid w:val="00A935AA"/>
    <w:rsid w:val="00A956D3"/>
    <w:rsid w:val="00AB2201"/>
    <w:rsid w:val="00AD1D34"/>
    <w:rsid w:val="00AD3259"/>
    <w:rsid w:val="00AF1715"/>
    <w:rsid w:val="00AF3904"/>
    <w:rsid w:val="00B010C0"/>
    <w:rsid w:val="00B21713"/>
    <w:rsid w:val="00B405D7"/>
    <w:rsid w:val="00B4740D"/>
    <w:rsid w:val="00B61629"/>
    <w:rsid w:val="00B7374B"/>
    <w:rsid w:val="00B7546A"/>
    <w:rsid w:val="00B90DC0"/>
    <w:rsid w:val="00BA116A"/>
    <w:rsid w:val="00BA1C46"/>
    <w:rsid w:val="00BA5582"/>
    <w:rsid w:val="00BA6468"/>
    <w:rsid w:val="00BB1D44"/>
    <w:rsid w:val="00BC2610"/>
    <w:rsid w:val="00BD06DA"/>
    <w:rsid w:val="00BD4217"/>
    <w:rsid w:val="00BF25F3"/>
    <w:rsid w:val="00C1697B"/>
    <w:rsid w:val="00C21644"/>
    <w:rsid w:val="00C21CB5"/>
    <w:rsid w:val="00C46376"/>
    <w:rsid w:val="00C50A5C"/>
    <w:rsid w:val="00C50FDF"/>
    <w:rsid w:val="00C63381"/>
    <w:rsid w:val="00C6503A"/>
    <w:rsid w:val="00C73D06"/>
    <w:rsid w:val="00C73E1B"/>
    <w:rsid w:val="00C759B4"/>
    <w:rsid w:val="00C77713"/>
    <w:rsid w:val="00C85BB7"/>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C6B21"/>
    <w:rsid w:val="00DD0B49"/>
    <w:rsid w:val="00DE0502"/>
    <w:rsid w:val="00DE349D"/>
    <w:rsid w:val="00E06DFA"/>
    <w:rsid w:val="00E20A0A"/>
    <w:rsid w:val="00E240C2"/>
    <w:rsid w:val="00E356C7"/>
    <w:rsid w:val="00E414CA"/>
    <w:rsid w:val="00E41A5A"/>
    <w:rsid w:val="00E45FE4"/>
    <w:rsid w:val="00E64FA7"/>
    <w:rsid w:val="00E770CB"/>
    <w:rsid w:val="00E903A1"/>
    <w:rsid w:val="00E940EB"/>
    <w:rsid w:val="00E9703F"/>
    <w:rsid w:val="00EB2B90"/>
    <w:rsid w:val="00EC0789"/>
    <w:rsid w:val="00ED4652"/>
    <w:rsid w:val="00ED7E83"/>
    <w:rsid w:val="00EE091F"/>
    <w:rsid w:val="00EF4B63"/>
    <w:rsid w:val="00F0068D"/>
    <w:rsid w:val="00F0576D"/>
    <w:rsid w:val="00F14E6D"/>
    <w:rsid w:val="00F15EA8"/>
    <w:rsid w:val="00F16C8D"/>
    <w:rsid w:val="00F20260"/>
    <w:rsid w:val="00F25804"/>
    <w:rsid w:val="00F26C61"/>
    <w:rsid w:val="00F33CCE"/>
    <w:rsid w:val="00F40249"/>
    <w:rsid w:val="00F41B2E"/>
    <w:rsid w:val="00F526C8"/>
    <w:rsid w:val="00F761A3"/>
    <w:rsid w:val="00F831A4"/>
    <w:rsid w:val="00F9272D"/>
    <w:rsid w:val="00F9518C"/>
    <w:rsid w:val="00FA316E"/>
    <w:rsid w:val="00FA3373"/>
    <w:rsid w:val="00FA59EF"/>
    <w:rsid w:val="00FB19A2"/>
    <w:rsid w:val="00FB4A2E"/>
    <w:rsid w:val="00FB50F8"/>
    <w:rsid w:val="00FE6E4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411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9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382">
      <w:bodyDiv w:val="1"/>
      <w:marLeft w:val="0"/>
      <w:marRight w:val="0"/>
      <w:marTop w:val="0"/>
      <w:marBottom w:val="0"/>
      <w:divBdr>
        <w:top w:val="none" w:sz="0" w:space="0" w:color="auto"/>
        <w:left w:val="none" w:sz="0" w:space="0" w:color="auto"/>
        <w:bottom w:val="none" w:sz="0" w:space="0" w:color="auto"/>
        <w:right w:val="none" w:sz="0" w:space="0" w:color="auto"/>
      </w:divBdr>
    </w:div>
    <w:div w:id="12605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scc-csc.ca/case-dossier/info/sum-som-eng.aspx?cas=36452"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yperlink" Target="http://www.scc-csc.ca/case-dossier/info/sum-som-eng.aspx?cas=36258"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yperlink" Target="http://www.scc-csc.ca/case-dossier/info/sum-som-fra.aspx?cas=36373" TargetMode="External"/><Relationship Id="rId40" Type="http://schemas.openxmlformats.org/officeDocument/2006/relationships/hyperlink" Target="http://www.scc-csc.ca/case-dossier/info/sum-som-eng.aspx?cas=36452" TargetMode="Externa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4.xml"/><Relationship Id="rId48" Type="http://schemas.openxmlformats.org/officeDocument/2006/relationships/footer" Target="footer17.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1960-F66A-48D8-AA7A-7DACE127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2016-03-30T13:05:00Z</dcterms:created>
  <dcterms:modified xsi:type="dcterms:W3CDTF">2016-04-01T19:09:00Z</dcterms:modified>
</cp:coreProperties>
</file>