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9C2345" w:rsidRDefault="00382C47" w:rsidP="00593988">
      <w:pPr>
        <w:jc w:val="center"/>
      </w:pPr>
      <w:r w:rsidRPr="009C2345">
        <w:rPr>
          <w:noProof/>
          <w:lang w:eastAsia="en-CA"/>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9C2345"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9C2345" w:rsidTr="002E5576">
        <w:tc>
          <w:tcPr>
            <w:tcW w:w="4518" w:type="dxa"/>
          </w:tcPr>
          <w:p w:rsidR="00BF25F3" w:rsidRPr="009C2345" w:rsidRDefault="00BF25F3" w:rsidP="00BF25F3">
            <w:pPr>
              <w:tabs>
                <w:tab w:val="left" w:pos="6075"/>
              </w:tabs>
              <w:jc w:val="center"/>
              <w:rPr>
                <w:b/>
                <w:sz w:val="32"/>
                <w:szCs w:val="32"/>
              </w:rPr>
            </w:pPr>
            <w:r w:rsidRPr="009C2345">
              <w:rPr>
                <w:b/>
                <w:sz w:val="32"/>
                <w:szCs w:val="32"/>
              </w:rPr>
              <w:t>SUPREME COURT OF CANADA</w:t>
            </w:r>
          </w:p>
        </w:tc>
        <w:tc>
          <w:tcPr>
            <w:tcW w:w="630" w:type="dxa"/>
          </w:tcPr>
          <w:p w:rsidR="00BF25F3" w:rsidRPr="009C2345" w:rsidRDefault="00BF25F3" w:rsidP="00BF25F3">
            <w:pPr>
              <w:tabs>
                <w:tab w:val="left" w:pos="6075"/>
              </w:tabs>
              <w:jc w:val="center"/>
              <w:rPr>
                <w:sz w:val="32"/>
                <w:szCs w:val="32"/>
              </w:rPr>
            </w:pPr>
          </w:p>
        </w:tc>
        <w:tc>
          <w:tcPr>
            <w:tcW w:w="4428" w:type="dxa"/>
          </w:tcPr>
          <w:p w:rsidR="00BF25F3" w:rsidRPr="009C2345" w:rsidRDefault="00BF25F3" w:rsidP="00BF25F3">
            <w:pPr>
              <w:tabs>
                <w:tab w:val="left" w:pos="6075"/>
              </w:tabs>
              <w:jc w:val="center"/>
              <w:rPr>
                <w:b/>
                <w:sz w:val="32"/>
                <w:szCs w:val="32"/>
                <w:lang w:val="fr-CA"/>
              </w:rPr>
            </w:pPr>
            <w:r w:rsidRPr="009C2345">
              <w:rPr>
                <w:b/>
                <w:sz w:val="32"/>
                <w:szCs w:val="32"/>
                <w:lang w:val="fr-CA"/>
              </w:rPr>
              <w:t>COUR SUPRÊME DU CANADA</w:t>
            </w:r>
          </w:p>
        </w:tc>
      </w:tr>
      <w:tr w:rsidR="00BF25F3" w:rsidRPr="009C2345" w:rsidTr="002E5576">
        <w:tc>
          <w:tcPr>
            <w:tcW w:w="4518" w:type="dxa"/>
          </w:tcPr>
          <w:p w:rsidR="00BF25F3" w:rsidRPr="009C2345" w:rsidRDefault="00BF25F3" w:rsidP="00BF25F3">
            <w:pPr>
              <w:tabs>
                <w:tab w:val="left" w:pos="6075"/>
              </w:tabs>
            </w:pPr>
          </w:p>
          <w:p w:rsidR="001B5C23" w:rsidRPr="009C2345" w:rsidRDefault="001B5C23" w:rsidP="00BF25F3">
            <w:pPr>
              <w:tabs>
                <w:tab w:val="left" w:pos="6075"/>
              </w:tabs>
            </w:pPr>
          </w:p>
          <w:p w:rsidR="001B5C23" w:rsidRPr="009C2345" w:rsidRDefault="001B5C23" w:rsidP="00BF25F3">
            <w:pPr>
              <w:tabs>
                <w:tab w:val="left" w:pos="6075"/>
              </w:tabs>
            </w:pPr>
          </w:p>
        </w:tc>
        <w:tc>
          <w:tcPr>
            <w:tcW w:w="630" w:type="dxa"/>
          </w:tcPr>
          <w:p w:rsidR="00BF25F3" w:rsidRPr="009C2345" w:rsidRDefault="00BF25F3" w:rsidP="00BF25F3">
            <w:pPr>
              <w:tabs>
                <w:tab w:val="left" w:pos="6075"/>
              </w:tabs>
            </w:pPr>
          </w:p>
        </w:tc>
        <w:tc>
          <w:tcPr>
            <w:tcW w:w="4428" w:type="dxa"/>
          </w:tcPr>
          <w:p w:rsidR="00BF25F3" w:rsidRPr="009C2345" w:rsidRDefault="00BF25F3" w:rsidP="00BF25F3">
            <w:pPr>
              <w:tabs>
                <w:tab w:val="left" w:pos="6075"/>
              </w:tabs>
              <w:rPr>
                <w:lang w:val="fr-CA"/>
              </w:rPr>
            </w:pPr>
          </w:p>
        </w:tc>
      </w:tr>
      <w:tr w:rsidR="00BF25F3" w:rsidRPr="009C2345" w:rsidTr="002E5576">
        <w:tc>
          <w:tcPr>
            <w:tcW w:w="4518" w:type="dxa"/>
          </w:tcPr>
          <w:p w:rsidR="001B5C23" w:rsidRPr="009C2345" w:rsidRDefault="00BF25F3" w:rsidP="00BF25F3">
            <w:pPr>
              <w:tabs>
                <w:tab w:val="left" w:pos="6075"/>
              </w:tabs>
              <w:jc w:val="center"/>
              <w:rPr>
                <w:sz w:val="28"/>
                <w:szCs w:val="28"/>
              </w:rPr>
            </w:pPr>
            <w:r w:rsidRPr="009C2345">
              <w:rPr>
                <w:sz w:val="28"/>
                <w:szCs w:val="28"/>
              </w:rPr>
              <w:t>BULLETIN OF</w:t>
            </w:r>
          </w:p>
          <w:p w:rsidR="00BF25F3" w:rsidRPr="009C2345" w:rsidRDefault="00BF25F3" w:rsidP="00BF25F3">
            <w:pPr>
              <w:tabs>
                <w:tab w:val="left" w:pos="6075"/>
              </w:tabs>
              <w:jc w:val="center"/>
              <w:rPr>
                <w:sz w:val="28"/>
                <w:szCs w:val="28"/>
              </w:rPr>
            </w:pPr>
            <w:r w:rsidRPr="009C2345">
              <w:rPr>
                <w:sz w:val="28"/>
                <w:szCs w:val="28"/>
              </w:rPr>
              <w:t xml:space="preserve"> PROCEEDINGS</w:t>
            </w:r>
          </w:p>
        </w:tc>
        <w:tc>
          <w:tcPr>
            <w:tcW w:w="630" w:type="dxa"/>
          </w:tcPr>
          <w:p w:rsidR="00BF25F3" w:rsidRPr="009C2345" w:rsidRDefault="00BF25F3" w:rsidP="00BF25F3">
            <w:pPr>
              <w:tabs>
                <w:tab w:val="left" w:pos="6075"/>
              </w:tabs>
            </w:pPr>
          </w:p>
        </w:tc>
        <w:tc>
          <w:tcPr>
            <w:tcW w:w="4428" w:type="dxa"/>
          </w:tcPr>
          <w:p w:rsidR="001B5C23" w:rsidRPr="009C2345" w:rsidRDefault="00BF25F3" w:rsidP="00BF25F3">
            <w:pPr>
              <w:tabs>
                <w:tab w:val="left" w:pos="6075"/>
              </w:tabs>
              <w:jc w:val="center"/>
              <w:rPr>
                <w:sz w:val="28"/>
                <w:szCs w:val="28"/>
                <w:lang w:val="fr-CA"/>
              </w:rPr>
            </w:pPr>
            <w:r w:rsidRPr="009C2345">
              <w:rPr>
                <w:sz w:val="28"/>
                <w:szCs w:val="28"/>
                <w:lang w:val="fr-CA"/>
              </w:rPr>
              <w:t>BULLETIN DES</w:t>
            </w:r>
          </w:p>
          <w:p w:rsidR="00BF25F3" w:rsidRPr="009C2345" w:rsidRDefault="00BF25F3" w:rsidP="00BF25F3">
            <w:pPr>
              <w:tabs>
                <w:tab w:val="left" w:pos="6075"/>
              </w:tabs>
              <w:jc w:val="center"/>
              <w:rPr>
                <w:sz w:val="28"/>
                <w:szCs w:val="28"/>
                <w:lang w:val="fr-CA"/>
              </w:rPr>
            </w:pPr>
            <w:r w:rsidRPr="009C2345">
              <w:rPr>
                <w:sz w:val="28"/>
                <w:szCs w:val="28"/>
                <w:lang w:val="fr-CA"/>
              </w:rPr>
              <w:t xml:space="preserve"> PROCÉDURES</w:t>
            </w:r>
          </w:p>
        </w:tc>
      </w:tr>
      <w:tr w:rsidR="00BF25F3" w:rsidRPr="009C2345" w:rsidTr="002E5576">
        <w:tc>
          <w:tcPr>
            <w:tcW w:w="4518" w:type="dxa"/>
          </w:tcPr>
          <w:p w:rsidR="00BF25F3" w:rsidRPr="009C2345" w:rsidRDefault="00BF25F3" w:rsidP="00BF25F3">
            <w:pPr>
              <w:tabs>
                <w:tab w:val="left" w:pos="6075"/>
              </w:tabs>
            </w:pPr>
          </w:p>
          <w:p w:rsidR="001B5C23" w:rsidRPr="009C2345" w:rsidRDefault="001B5C23" w:rsidP="00BF25F3">
            <w:pPr>
              <w:tabs>
                <w:tab w:val="left" w:pos="6075"/>
              </w:tabs>
            </w:pPr>
          </w:p>
        </w:tc>
        <w:tc>
          <w:tcPr>
            <w:tcW w:w="630" w:type="dxa"/>
          </w:tcPr>
          <w:p w:rsidR="00BF25F3" w:rsidRPr="009C2345" w:rsidRDefault="00BF25F3" w:rsidP="00BF25F3">
            <w:pPr>
              <w:tabs>
                <w:tab w:val="left" w:pos="6075"/>
              </w:tabs>
            </w:pPr>
          </w:p>
        </w:tc>
        <w:tc>
          <w:tcPr>
            <w:tcW w:w="4428" w:type="dxa"/>
          </w:tcPr>
          <w:p w:rsidR="00BF25F3" w:rsidRPr="009C2345" w:rsidRDefault="00BF25F3" w:rsidP="00BF25F3">
            <w:pPr>
              <w:tabs>
                <w:tab w:val="left" w:pos="6075"/>
              </w:tabs>
              <w:rPr>
                <w:lang w:val="fr-CA"/>
              </w:rPr>
            </w:pPr>
          </w:p>
        </w:tc>
      </w:tr>
      <w:tr w:rsidR="00BF25F3" w:rsidRPr="0082006E" w:rsidTr="002E5576">
        <w:tc>
          <w:tcPr>
            <w:tcW w:w="4518" w:type="dxa"/>
          </w:tcPr>
          <w:p w:rsidR="00BF25F3" w:rsidRPr="009C2345" w:rsidRDefault="00BF25F3" w:rsidP="00BF25F3">
            <w:pPr>
              <w:tabs>
                <w:tab w:val="left" w:pos="6075"/>
              </w:tabs>
              <w:jc w:val="both"/>
              <w:rPr>
                <w:rFonts w:ascii="Arial" w:hAnsi="Arial" w:cs="Arial"/>
                <w:i/>
                <w:sz w:val="20"/>
                <w:szCs w:val="20"/>
              </w:rPr>
            </w:pPr>
            <w:r w:rsidRPr="009C2345">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9C2345" w:rsidRDefault="00BF25F3" w:rsidP="00BF25F3">
            <w:pPr>
              <w:tabs>
                <w:tab w:val="left" w:pos="6075"/>
              </w:tabs>
              <w:jc w:val="both"/>
              <w:rPr>
                <w:rFonts w:ascii="Arial" w:hAnsi="Arial" w:cs="Arial"/>
                <w:i/>
                <w:sz w:val="20"/>
                <w:szCs w:val="20"/>
              </w:rPr>
            </w:pPr>
          </w:p>
        </w:tc>
        <w:tc>
          <w:tcPr>
            <w:tcW w:w="4428" w:type="dxa"/>
          </w:tcPr>
          <w:p w:rsidR="00BF25F3" w:rsidRPr="009C2345" w:rsidRDefault="00BF25F3" w:rsidP="00BF25F3">
            <w:pPr>
              <w:tabs>
                <w:tab w:val="left" w:pos="6075"/>
              </w:tabs>
              <w:jc w:val="both"/>
              <w:rPr>
                <w:rFonts w:ascii="Arial" w:hAnsi="Arial" w:cs="Arial"/>
                <w:i/>
                <w:sz w:val="20"/>
                <w:szCs w:val="20"/>
                <w:lang w:val="fr-CA"/>
              </w:rPr>
            </w:pPr>
            <w:r w:rsidRPr="009C2345">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82006E" w:rsidTr="002E5576">
        <w:tc>
          <w:tcPr>
            <w:tcW w:w="4518" w:type="dxa"/>
          </w:tcPr>
          <w:p w:rsidR="00BF25F3" w:rsidRPr="009C2345" w:rsidRDefault="00BF25F3" w:rsidP="00BF25F3">
            <w:pPr>
              <w:tabs>
                <w:tab w:val="left" w:pos="6075"/>
              </w:tabs>
              <w:rPr>
                <w:lang w:val="fr-CA"/>
              </w:rPr>
            </w:pPr>
          </w:p>
          <w:p w:rsidR="00D862C1" w:rsidRPr="009C2345" w:rsidRDefault="00D862C1" w:rsidP="00BF25F3">
            <w:pPr>
              <w:tabs>
                <w:tab w:val="left" w:pos="6075"/>
              </w:tabs>
              <w:rPr>
                <w:lang w:val="fr-CA"/>
              </w:rPr>
            </w:pPr>
          </w:p>
        </w:tc>
        <w:tc>
          <w:tcPr>
            <w:tcW w:w="630" w:type="dxa"/>
          </w:tcPr>
          <w:p w:rsidR="00BF25F3" w:rsidRPr="009C2345" w:rsidRDefault="00BF25F3" w:rsidP="00BF25F3">
            <w:pPr>
              <w:tabs>
                <w:tab w:val="left" w:pos="6075"/>
              </w:tabs>
              <w:rPr>
                <w:lang w:val="fr-CA"/>
              </w:rPr>
            </w:pPr>
          </w:p>
        </w:tc>
        <w:tc>
          <w:tcPr>
            <w:tcW w:w="4428" w:type="dxa"/>
          </w:tcPr>
          <w:p w:rsidR="00BF25F3" w:rsidRPr="009C2345" w:rsidRDefault="00BF25F3" w:rsidP="00BF25F3">
            <w:pPr>
              <w:tabs>
                <w:tab w:val="left" w:pos="6075"/>
              </w:tabs>
              <w:rPr>
                <w:lang w:val="fr-CA"/>
              </w:rPr>
            </w:pPr>
          </w:p>
        </w:tc>
      </w:tr>
      <w:tr w:rsidR="00BF25F3" w:rsidRPr="0082006E" w:rsidTr="002E5576">
        <w:tc>
          <w:tcPr>
            <w:tcW w:w="4518" w:type="dxa"/>
          </w:tcPr>
          <w:p w:rsidR="00BF25F3" w:rsidRPr="009C2345" w:rsidRDefault="00BF25F3" w:rsidP="009F3024">
            <w:pPr>
              <w:tabs>
                <w:tab w:val="left" w:pos="6075"/>
              </w:tabs>
              <w:jc w:val="both"/>
              <w:rPr>
                <w:rFonts w:ascii="Arial" w:hAnsi="Arial" w:cs="Arial"/>
                <w:i/>
                <w:sz w:val="20"/>
                <w:szCs w:val="20"/>
              </w:rPr>
            </w:pPr>
            <w:r w:rsidRPr="009C2345">
              <w:rPr>
                <w:rFonts w:ascii="Arial" w:hAnsi="Arial" w:cs="Arial"/>
                <w:i/>
                <w:sz w:val="20"/>
                <w:szCs w:val="20"/>
              </w:rPr>
              <w:t xml:space="preserve">During Court sessions </w:t>
            </w:r>
            <w:r w:rsidR="009F3024" w:rsidRPr="009C2345">
              <w:rPr>
                <w:rFonts w:ascii="Arial" w:hAnsi="Arial" w:cs="Arial"/>
                <w:i/>
                <w:sz w:val="20"/>
                <w:szCs w:val="20"/>
              </w:rPr>
              <w:t xml:space="preserve">the Bulletin </w:t>
            </w:r>
            <w:r w:rsidRPr="009C2345">
              <w:rPr>
                <w:rFonts w:ascii="Arial" w:hAnsi="Arial" w:cs="Arial"/>
                <w:i/>
                <w:sz w:val="20"/>
                <w:szCs w:val="20"/>
              </w:rPr>
              <w:t>is usually issued weekly.</w:t>
            </w:r>
          </w:p>
        </w:tc>
        <w:tc>
          <w:tcPr>
            <w:tcW w:w="630" w:type="dxa"/>
          </w:tcPr>
          <w:p w:rsidR="00BF25F3" w:rsidRPr="009C2345" w:rsidRDefault="00BF25F3" w:rsidP="00BF25F3">
            <w:pPr>
              <w:tabs>
                <w:tab w:val="left" w:pos="6075"/>
              </w:tabs>
              <w:jc w:val="both"/>
              <w:rPr>
                <w:rFonts w:ascii="Arial" w:hAnsi="Arial" w:cs="Arial"/>
                <w:i/>
                <w:sz w:val="20"/>
                <w:szCs w:val="20"/>
              </w:rPr>
            </w:pPr>
          </w:p>
        </w:tc>
        <w:tc>
          <w:tcPr>
            <w:tcW w:w="4428" w:type="dxa"/>
          </w:tcPr>
          <w:p w:rsidR="00BF25F3" w:rsidRPr="009C2345" w:rsidRDefault="00BF25F3" w:rsidP="00BF25F3">
            <w:pPr>
              <w:tabs>
                <w:tab w:val="left" w:pos="6075"/>
              </w:tabs>
              <w:jc w:val="both"/>
              <w:rPr>
                <w:rFonts w:ascii="Arial" w:hAnsi="Arial" w:cs="Arial"/>
                <w:i/>
                <w:sz w:val="20"/>
                <w:szCs w:val="20"/>
                <w:lang w:val="fr-CA"/>
              </w:rPr>
            </w:pPr>
            <w:r w:rsidRPr="009C2345">
              <w:rPr>
                <w:rFonts w:ascii="Arial" w:hAnsi="Arial" w:cs="Arial"/>
                <w:i/>
                <w:sz w:val="20"/>
                <w:szCs w:val="20"/>
                <w:lang w:val="fr-CA"/>
              </w:rPr>
              <w:t>Le Bulletin paraît en principe toutes les semaines pendant les sessions de la Cour.</w:t>
            </w:r>
          </w:p>
        </w:tc>
      </w:tr>
      <w:tr w:rsidR="00BF25F3" w:rsidRPr="0082006E" w:rsidTr="002E5576">
        <w:tc>
          <w:tcPr>
            <w:tcW w:w="4518" w:type="dxa"/>
          </w:tcPr>
          <w:p w:rsidR="00BF25F3" w:rsidRPr="009C2345" w:rsidRDefault="00BF25F3" w:rsidP="00BF25F3">
            <w:pPr>
              <w:tabs>
                <w:tab w:val="left" w:pos="6075"/>
              </w:tabs>
              <w:rPr>
                <w:lang w:val="fr-CA"/>
              </w:rPr>
            </w:pPr>
          </w:p>
          <w:p w:rsidR="00D862C1" w:rsidRPr="009C2345" w:rsidRDefault="00D862C1" w:rsidP="00BF25F3">
            <w:pPr>
              <w:tabs>
                <w:tab w:val="left" w:pos="6075"/>
              </w:tabs>
              <w:rPr>
                <w:lang w:val="fr-CA"/>
              </w:rPr>
            </w:pPr>
          </w:p>
        </w:tc>
        <w:tc>
          <w:tcPr>
            <w:tcW w:w="630" w:type="dxa"/>
          </w:tcPr>
          <w:p w:rsidR="00BF25F3" w:rsidRPr="009C2345" w:rsidRDefault="00BF25F3" w:rsidP="00BF25F3">
            <w:pPr>
              <w:tabs>
                <w:tab w:val="left" w:pos="6075"/>
              </w:tabs>
              <w:rPr>
                <w:lang w:val="fr-CA"/>
              </w:rPr>
            </w:pPr>
          </w:p>
        </w:tc>
        <w:tc>
          <w:tcPr>
            <w:tcW w:w="4428" w:type="dxa"/>
          </w:tcPr>
          <w:p w:rsidR="00BF25F3" w:rsidRPr="009C2345" w:rsidRDefault="00BF25F3" w:rsidP="00BF25F3">
            <w:pPr>
              <w:tabs>
                <w:tab w:val="left" w:pos="6075"/>
              </w:tabs>
              <w:rPr>
                <w:lang w:val="fr-CA"/>
              </w:rPr>
            </w:pPr>
          </w:p>
        </w:tc>
      </w:tr>
      <w:tr w:rsidR="00BF25F3" w:rsidRPr="0082006E" w:rsidTr="002E5576">
        <w:tc>
          <w:tcPr>
            <w:tcW w:w="4518" w:type="dxa"/>
          </w:tcPr>
          <w:p w:rsidR="00BF25F3" w:rsidRPr="009C2345" w:rsidRDefault="000E27A5" w:rsidP="00BF25F3">
            <w:pPr>
              <w:tabs>
                <w:tab w:val="left" w:pos="6075"/>
              </w:tabs>
              <w:jc w:val="both"/>
              <w:rPr>
                <w:rFonts w:ascii="Arial" w:hAnsi="Arial" w:cs="Arial"/>
                <w:i/>
                <w:sz w:val="20"/>
                <w:szCs w:val="20"/>
              </w:rPr>
            </w:pPr>
            <w:r w:rsidRPr="009C2345">
              <w:rPr>
                <w:rFonts w:ascii="Arial" w:hAnsi="Arial" w:cs="Arial"/>
                <w:i/>
                <w:sz w:val="20"/>
                <w:szCs w:val="20"/>
              </w:rPr>
              <w:fldChar w:fldCharType="begin"/>
            </w:r>
            <w:r w:rsidR="00BF25F3" w:rsidRPr="009C2345">
              <w:rPr>
                <w:rFonts w:ascii="Arial" w:hAnsi="Arial" w:cs="Arial"/>
                <w:i/>
                <w:sz w:val="20"/>
                <w:szCs w:val="20"/>
              </w:rPr>
              <w:instrText xml:space="preserve"> SEQ CHAPTER \h \r 1</w:instrText>
            </w:r>
            <w:r w:rsidRPr="009C2345">
              <w:rPr>
                <w:rFonts w:ascii="Arial" w:hAnsi="Arial" w:cs="Arial"/>
                <w:i/>
                <w:sz w:val="20"/>
                <w:szCs w:val="20"/>
              </w:rPr>
              <w:fldChar w:fldCharType="end"/>
            </w:r>
            <w:r w:rsidR="00BF25F3" w:rsidRPr="009C2345">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9C2345" w:rsidRDefault="00BF25F3" w:rsidP="00BF25F3">
            <w:pPr>
              <w:tabs>
                <w:tab w:val="left" w:pos="6075"/>
              </w:tabs>
              <w:jc w:val="both"/>
              <w:rPr>
                <w:rFonts w:ascii="Arial" w:hAnsi="Arial" w:cs="Arial"/>
                <w:i/>
                <w:sz w:val="20"/>
                <w:szCs w:val="20"/>
              </w:rPr>
            </w:pPr>
          </w:p>
        </w:tc>
        <w:tc>
          <w:tcPr>
            <w:tcW w:w="4428" w:type="dxa"/>
          </w:tcPr>
          <w:p w:rsidR="00BF25F3" w:rsidRPr="009C2345" w:rsidRDefault="000E27A5" w:rsidP="00BF25F3">
            <w:pPr>
              <w:tabs>
                <w:tab w:val="left" w:pos="6075"/>
              </w:tabs>
              <w:jc w:val="both"/>
              <w:rPr>
                <w:rFonts w:ascii="Arial" w:hAnsi="Arial" w:cs="Arial"/>
                <w:i/>
                <w:sz w:val="20"/>
                <w:szCs w:val="20"/>
                <w:lang w:val="fr-CA"/>
              </w:rPr>
            </w:pPr>
            <w:r w:rsidRPr="009C2345">
              <w:rPr>
                <w:rFonts w:ascii="Arial" w:hAnsi="Arial" w:cs="Arial"/>
                <w:i/>
                <w:sz w:val="20"/>
                <w:szCs w:val="20"/>
                <w:lang w:val="fr-CA"/>
              </w:rPr>
              <w:fldChar w:fldCharType="begin"/>
            </w:r>
            <w:r w:rsidR="00BF25F3" w:rsidRPr="009C2345">
              <w:rPr>
                <w:rFonts w:ascii="Arial" w:hAnsi="Arial" w:cs="Arial"/>
                <w:i/>
                <w:sz w:val="20"/>
                <w:szCs w:val="20"/>
                <w:lang w:val="fr-CA"/>
              </w:rPr>
              <w:instrText xml:space="preserve"> SEQ CHAPTER \h \r 1</w:instrText>
            </w:r>
            <w:r w:rsidRPr="009C2345">
              <w:rPr>
                <w:rFonts w:ascii="Arial" w:hAnsi="Arial" w:cs="Arial"/>
                <w:i/>
                <w:sz w:val="20"/>
                <w:szCs w:val="20"/>
                <w:lang w:val="fr-CA"/>
              </w:rPr>
              <w:fldChar w:fldCharType="end"/>
            </w:r>
            <w:r w:rsidR="00BF25F3" w:rsidRPr="009C2345">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82006E" w:rsidTr="002E5576">
        <w:tc>
          <w:tcPr>
            <w:tcW w:w="4518" w:type="dxa"/>
          </w:tcPr>
          <w:p w:rsidR="009F3024" w:rsidRPr="009C2345" w:rsidRDefault="009F3024" w:rsidP="009F3024">
            <w:pPr>
              <w:tabs>
                <w:tab w:val="left" w:pos="6075"/>
              </w:tabs>
              <w:rPr>
                <w:rFonts w:cs="Times New Roman"/>
                <w:szCs w:val="24"/>
                <w:lang w:val="fr-CA"/>
              </w:rPr>
            </w:pPr>
          </w:p>
          <w:p w:rsidR="009F3024" w:rsidRPr="009C2345" w:rsidRDefault="009F3024" w:rsidP="009F3024">
            <w:pPr>
              <w:tabs>
                <w:tab w:val="left" w:pos="6075"/>
              </w:tabs>
              <w:rPr>
                <w:rFonts w:cs="Times New Roman"/>
                <w:szCs w:val="24"/>
                <w:lang w:val="fr-CA"/>
              </w:rPr>
            </w:pPr>
          </w:p>
        </w:tc>
        <w:tc>
          <w:tcPr>
            <w:tcW w:w="630" w:type="dxa"/>
          </w:tcPr>
          <w:p w:rsidR="009F3024" w:rsidRPr="009C2345" w:rsidRDefault="009F3024" w:rsidP="009F3024">
            <w:pPr>
              <w:tabs>
                <w:tab w:val="left" w:pos="6075"/>
              </w:tabs>
              <w:rPr>
                <w:rFonts w:cs="Times New Roman"/>
                <w:szCs w:val="24"/>
                <w:lang w:val="fr-CA"/>
              </w:rPr>
            </w:pPr>
          </w:p>
        </w:tc>
        <w:tc>
          <w:tcPr>
            <w:tcW w:w="4428" w:type="dxa"/>
          </w:tcPr>
          <w:p w:rsidR="009F3024" w:rsidRPr="009C2345" w:rsidRDefault="009F3024" w:rsidP="009F3024">
            <w:pPr>
              <w:tabs>
                <w:tab w:val="left" w:pos="6075"/>
              </w:tabs>
              <w:rPr>
                <w:rFonts w:cs="Times New Roman"/>
                <w:szCs w:val="24"/>
                <w:lang w:val="fr-CA"/>
              </w:rPr>
            </w:pPr>
          </w:p>
        </w:tc>
      </w:tr>
      <w:tr w:rsidR="009F3024" w:rsidRPr="0082006E" w:rsidTr="002E5576">
        <w:tc>
          <w:tcPr>
            <w:tcW w:w="4518" w:type="dxa"/>
          </w:tcPr>
          <w:p w:rsidR="009F3024" w:rsidRPr="009C2345" w:rsidRDefault="009F3024" w:rsidP="00E414CA">
            <w:pPr>
              <w:tabs>
                <w:tab w:val="left" w:pos="6075"/>
              </w:tabs>
              <w:jc w:val="both"/>
              <w:rPr>
                <w:rFonts w:ascii="Arial" w:hAnsi="Arial" w:cs="Arial"/>
                <w:i/>
                <w:sz w:val="20"/>
                <w:szCs w:val="20"/>
              </w:rPr>
            </w:pPr>
            <w:r w:rsidRPr="009C2345">
              <w:rPr>
                <w:rFonts w:ascii="Arial" w:hAnsi="Arial" w:cs="Arial"/>
                <w:i/>
                <w:sz w:val="20"/>
                <w:szCs w:val="20"/>
              </w:rPr>
              <w:t xml:space="preserve">Consult the Supreme Court of Canada website at </w:t>
            </w:r>
            <w:hyperlink r:id="rId9" w:history="1">
              <w:r w:rsidR="00E414CA" w:rsidRPr="009C2345">
                <w:rPr>
                  <w:rStyle w:val="Hyperlink"/>
                  <w:rFonts w:ascii="Arial" w:hAnsi="Arial" w:cs="Arial"/>
                  <w:i/>
                  <w:sz w:val="20"/>
                  <w:szCs w:val="20"/>
                </w:rPr>
                <w:t>www.scc-csc.ca</w:t>
              </w:r>
            </w:hyperlink>
            <w:r w:rsidRPr="009C2345">
              <w:rPr>
                <w:rFonts w:ascii="Arial" w:hAnsi="Arial" w:cs="Arial"/>
                <w:i/>
                <w:sz w:val="20"/>
                <w:szCs w:val="20"/>
              </w:rPr>
              <w:t xml:space="preserve"> for more information.</w:t>
            </w:r>
          </w:p>
        </w:tc>
        <w:tc>
          <w:tcPr>
            <w:tcW w:w="630" w:type="dxa"/>
          </w:tcPr>
          <w:p w:rsidR="009F3024" w:rsidRPr="009C2345" w:rsidRDefault="009F3024" w:rsidP="00BF25F3">
            <w:pPr>
              <w:tabs>
                <w:tab w:val="left" w:pos="6075"/>
              </w:tabs>
              <w:jc w:val="both"/>
              <w:rPr>
                <w:rFonts w:ascii="Arial" w:hAnsi="Arial" w:cs="Arial"/>
                <w:i/>
                <w:sz w:val="20"/>
                <w:szCs w:val="20"/>
              </w:rPr>
            </w:pPr>
          </w:p>
        </w:tc>
        <w:tc>
          <w:tcPr>
            <w:tcW w:w="4428" w:type="dxa"/>
          </w:tcPr>
          <w:p w:rsidR="009F3024" w:rsidRPr="009C2345" w:rsidRDefault="009F3024" w:rsidP="00E414CA">
            <w:pPr>
              <w:tabs>
                <w:tab w:val="left" w:pos="6075"/>
              </w:tabs>
              <w:jc w:val="both"/>
              <w:rPr>
                <w:rFonts w:ascii="Arial" w:hAnsi="Arial" w:cs="Arial"/>
                <w:i/>
                <w:sz w:val="20"/>
                <w:szCs w:val="20"/>
                <w:lang w:val="fr-CA"/>
              </w:rPr>
            </w:pPr>
            <w:r w:rsidRPr="009C2345">
              <w:rPr>
                <w:rFonts w:ascii="Arial" w:hAnsi="Arial" w:cs="Arial"/>
                <w:i/>
                <w:sz w:val="20"/>
                <w:szCs w:val="20"/>
                <w:lang w:val="fr-CA"/>
              </w:rPr>
              <w:t xml:space="preserve">Pour de plus amples informations, consulter le site Web de la Cour suprême du Canada à l’adresse suivante : </w:t>
            </w:r>
            <w:hyperlink r:id="rId10" w:history="1">
              <w:r w:rsidR="0081473A" w:rsidRPr="009C2345">
                <w:rPr>
                  <w:rStyle w:val="Hyperlink"/>
                  <w:rFonts w:ascii="Arial" w:hAnsi="Arial" w:cs="Arial"/>
                  <w:i/>
                  <w:sz w:val="20"/>
                  <w:szCs w:val="20"/>
                  <w:lang w:val="fr-CA"/>
                </w:rPr>
                <w:t>www.scc-csc.ca</w:t>
              </w:r>
            </w:hyperlink>
            <w:r w:rsidRPr="009C2345">
              <w:rPr>
                <w:rFonts w:ascii="Arial" w:hAnsi="Arial" w:cs="Arial"/>
                <w:i/>
                <w:sz w:val="20"/>
                <w:szCs w:val="20"/>
                <w:lang w:val="fr-CA"/>
              </w:rPr>
              <w:t xml:space="preserve"> </w:t>
            </w:r>
          </w:p>
        </w:tc>
      </w:tr>
    </w:tbl>
    <w:p w:rsidR="00BF25F3" w:rsidRPr="009C2345" w:rsidRDefault="00BF25F3" w:rsidP="00BF25F3">
      <w:pPr>
        <w:tabs>
          <w:tab w:val="left" w:pos="6075"/>
        </w:tabs>
        <w:rPr>
          <w:lang w:val="fr-CA"/>
        </w:rPr>
      </w:pPr>
    </w:p>
    <w:p w:rsidR="00440E24" w:rsidRPr="009C2345" w:rsidRDefault="00440E24" w:rsidP="00440E24">
      <w:pPr>
        <w:pBdr>
          <w:bottom w:val="single" w:sz="6" w:space="1" w:color="auto"/>
        </w:pBdr>
        <w:tabs>
          <w:tab w:val="left" w:pos="6075"/>
        </w:tabs>
        <w:rPr>
          <w:lang w:val="fr-CA"/>
        </w:rPr>
      </w:pPr>
    </w:p>
    <w:p w:rsidR="00440E24" w:rsidRPr="009C2345" w:rsidRDefault="00440E24" w:rsidP="00440E24">
      <w:pPr>
        <w:rPr>
          <w:lang w:val="fr-CA"/>
        </w:rPr>
      </w:pPr>
    </w:p>
    <w:p w:rsidR="00600252" w:rsidRPr="009C2345" w:rsidRDefault="00D71DE7" w:rsidP="00F0068D">
      <w:pPr>
        <w:pBdr>
          <w:bottom w:val="single" w:sz="6" w:space="1" w:color="auto"/>
        </w:pBdr>
        <w:tabs>
          <w:tab w:val="center" w:pos="4680"/>
          <w:tab w:val="right" w:pos="9360"/>
        </w:tabs>
        <w:rPr>
          <w:lang w:val="fr-CA"/>
        </w:rPr>
      </w:pPr>
      <w:r w:rsidRPr="009C2345">
        <w:rPr>
          <w:lang w:val="fr-CA"/>
        </w:rPr>
        <w:t>May</w:t>
      </w:r>
      <w:r w:rsidR="00440E24" w:rsidRPr="009C2345">
        <w:rPr>
          <w:lang w:val="fr-CA"/>
        </w:rPr>
        <w:t xml:space="preserve"> </w:t>
      </w:r>
      <w:r w:rsidRPr="009C2345">
        <w:rPr>
          <w:lang w:val="fr-CA"/>
        </w:rPr>
        <w:t>6</w:t>
      </w:r>
      <w:r w:rsidR="00440E24" w:rsidRPr="009C2345">
        <w:rPr>
          <w:lang w:val="fr-CA"/>
        </w:rPr>
        <w:t>, 201</w:t>
      </w:r>
      <w:r w:rsidR="0030050B" w:rsidRPr="009C2345">
        <w:rPr>
          <w:lang w:val="fr-CA"/>
        </w:rPr>
        <w:t>6</w:t>
      </w:r>
      <w:r w:rsidR="00F0068D" w:rsidRPr="009C2345">
        <w:rPr>
          <w:lang w:val="fr-CA"/>
        </w:rPr>
        <w:tab/>
      </w:r>
      <w:r w:rsidR="0082006E">
        <w:rPr>
          <w:lang w:val="fr-CA"/>
        </w:rPr>
        <w:t>645</w:t>
      </w:r>
      <w:r w:rsidR="00F0068D" w:rsidRPr="009C2345">
        <w:rPr>
          <w:lang w:val="fr-CA"/>
        </w:rPr>
        <w:t xml:space="preserve"> - </w:t>
      </w:r>
      <w:r w:rsidR="0082006E">
        <w:rPr>
          <w:lang w:val="fr-CA"/>
        </w:rPr>
        <w:t>708</w:t>
      </w:r>
      <w:r w:rsidR="00440E24" w:rsidRPr="009C2345">
        <w:rPr>
          <w:lang w:val="fr-CA"/>
        </w:rPr>
        <w:tab/>
        <w:t>Le</w:t>
      </w:r>
      <w:r w:rsidR="00C73D06" w:rsidRPr="009C2345">
        <w:rPr>
          <w:lang w:val="fr-CA"/>
        </w:rPr>
        <w:t xml:space="preserve"> </w:t>
      </w:r>
      <w:r w:rsidRPr="009C2345">
        <w:rPr>
          <w:lang w:val="fr-CA"/>
        </w:rPr>
        <w:t>6</w:t>
      </w:r>
      <w:r w:rsidR="00C73D06" w:rsidRPr="009C2345">
        <w:rPr>
          <w:lang w:val="fr-CA"/>
        </w:rPr>
        <w:t xml:space="preserve"> </w:t>
      </w:r>
      <w:r w:rsidRPr="009C2345">
        <w:rPr>
          <w:lang w:val="fr-CA"/>
        </w:rPr>
        <w:t>mai</w:t>
      </w:r>
      <w:r w:rsidR="00440E24" w:rsidRPr="009C2345">
        <w:rPr>
          <w:lang w:val="fr-CA"/>
        </w:rPr>
        <w:t xml:space="preserve"> 201</w:t>
      </w:r>
      <w:r w:rsidR="0030050B" w:rsidRPr="009C2345">
        <w:rPr>
          <w:lang w:val="fr-CA"/>
        </w:rPr>
        <w:t>6</w:t>
      </w:r>
    </w:p>
    <w:p w:rsidR="00440E24" w:rsidRPr="009C2345" w:rsidRDefault="00440E24" w:rsidP="00440E24">
      <w:pPr>
        <w:pBdr>
          <w:bottom w:val="single" w:sz="6" w:space="1" w:color="auto"/>
        </w:pBdr>
        <w:tabs>
          <w:tab w:val="right" w:pos="9360"/>
        </w:tabs>
        <w:rPr>
          <w:lang w:val="fr-CA"/>
        </w:rPr>
      </w:pPr>
    </w:p>
    <w:p w:rsidR="00440E24" w:rsidRPr="009C2345" w:rsidRDefault="00440E24" w:rsidP="00440E24">
      <w:pPr>
        <w:pBdr>
          <w:bottom w:val="single" w:sz="6" w:space="1" w:color="auto"/>
        </w:pBdr>
        <w:tabs>
          <w:tab w:val="right" w:pos="9360"/>
        </w:tabs>
        <w:rPr>
          <w:sz w:val="18"/>
          <w:szCs w:val="18"/>
        </w:rPr>
      </w:pPr>
      <w:r w:rsidRPr="009C2345">
        <w:rPr>
          <w:sz w:val="18"/>
          <w:szCs w:val="18"/>
        </w:rPr>
        <w:t>© Supreme Court of Canada (</w:t>
      </w:r>
      <w:r w:rsidR="0030050B" w:rsidRPr="009C2345">
        <w:rPr>
          <w:sz w:val="18"/>
          <w:szCs w:val="18"/>
        </w:rPr>
        <w:t>2016</w:t>
      </w:r>
      <w:r w:rsidRPr="009C2345">
        <w:rPr>
          <w:sz w:val="18"/>
          <w:szCs w:val="18"/>
        </w:rPr>
        <w:t>)</w:t>
      </w:r>
      <w:r w:rsidRPr="009C2345">
        <w:rPr>
          <w:sz w:val="18"/>
          <w:szCs w:val="18"/>
        </w:rPr>
        <w:tab/>
        <w:t>© Cour suprême du Canada (</w:t>
      </w:r>
      <w:r w:rsidR="0030050B" w:rsidRPr="009C2345">
        <w:rPr>
          <w:sz w:val="18"/>
          <w:szCs w:val="18"/>
        </w:rPr>
        <w:t>2016</w:t>
      </w:r>
      <w:r w:rsidRPr="009C2345">
        <w:rPr>
          <w:sz w:val="18"/>
          <w:szCs w:val="18"/>
        </w:rPr>
        <w:t>)</w:t>
      </w:r>
    </w:p>
    <w:p w:rsidR="00440E24" w:rsidRPr="009C2345" w:rsidRDefault="00440E24" w:rsidP="00440E24">
      <w:pPr>
        <w:pBdr>
          <w:bottom w:val="single" w:sz="6" w:space="1" w:color="auto"/>
        </w:pBdr>
        <w:tabs>
          <w:tab w:val="right" w:pos="9360"/>
        </w:tabs>
        <w:rPr>
          <w:sz w:val="18"/>
          <w:szCs w:val="18"/>
          <w:lang w:val="fr-CA"/>
        </w:rPr>
      </w:pPr>
      <w:r w:rsidRPr="009C2345">
        <w:rPr>
          <w:sz w:val="18"/>
          <w:szCs w:val="18"/>
          <w:lang w:val="fr-CA"/>
        </w:rPr>
        <w:t>ISSN 1918-8358 (Online)</w:t>
      </w:r>
      <w:r w:rsidRPr="009C2345">
        <w:rPr>
          <w:sz w:val="18"/>
          <w:szCs w:val="18"/>
          <w:lang w:val="fr-CA"/>
        </w:rPr>
        <w:tab/>
        <w:t>ISSN 1918-8358 (En ligne)</w:t>
      </w:r>
    </w:p>
    <w:p w:rsidR="00600252" w:rsidRPr="009C2345" w:rsidRDefault="00600252" w:rsidP="00BF25F3">
      <w:pPr>
        <w:pBdr>
          <w:bottom w:val="single" w:sz="6" w:space="1" w:color="auto"/>
        </w:pBdr>
        <w:tabs>
          <w:tab w:val="left" w:pos="6075"/>
        </w:tabs>
        <w:rPr>
          <w:lang w:val="fr-CA"/>
        </w:rPr>
      </w:pPr>
    </w:p>
    <w:p w:rsidR="0030050B" w:rsidRPr="009C2345"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9C2345" w:rsidTr="00245129">
        <w:tc>
          <w:tcPr>
            <w:tcW w:w="4290" w:type="dxa"/>
            <w:shd w:val="clear" w:color="auto" w:fill="auto"/>
            <w:tcMar>
              <w:left w:w="0" w:type="dxa"/>
              <w:right w:w="0" w:type="dxa"/>
            </w:tcMar>
          </w:tcPr>
          <w:p w:rsidR="00245129" w:rsidRPr="009C2345" w:rsidRDefault="00245129" w:rsidP="00245129">
            <w:pPr>
              <w:jc w:val="both"/>
              <w:rPr>
                <w:rFonts w:eastAsia="Times New Roman" w:cs="Times New Roman"/>
                <w:b/>
                <w:sz w:val="20"/>
                <w:szCs w:val="20"/>
                <w:lang w:eastAsia="en-CA"/>
              </w:rPr>
            </w:pPr>
            <w:r w:rsidRPr="009C2345">
              <w:rPr>
                <w:b/>
              </w:rPr>
              <w:t>CONTENTS</w:t>
            </w:r>
          </w:p>
        </w:tc>
        <w:tc>
          <w:tcPr>
            <w:tcW w:w="1200" w:type="dxa"/>
            <w:shd w:val="clear" w:color="auto" w:fill="auto"/>
            <w:tcMar>
              <w:left w:w="0" w:type="dxa"/>
              <w:right w:w="0" w:type="dxa"/>
            </w:tcMar>
          </w:tcPr>
          <w:p w:rsidR="00245129" w:rsidRPr="009C2345" w:rsidRDefault="00245129" w:rsidP="00245129">
            <w:pPr>
              <w:jc w:val="center"/>
              <w:rPr>
                <w:rFonts w:eastAsia="Times New Roman" w:cs="Times New Roman"/>
                <w:b/>
                <w:sz w:val="20"/>
                <w:szCs w:val="20"/>
                <w:lang w:eastAsia="en-CA"/>
              </w:rPr>
            </w:pPr>
          </w:p>
          <w:p w:rsidR="00245129" w:rsidRPr="009C2345"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9C2345" w:rsidRDefault="00245129" w:rsidP="00245129">
            <w:pPr>
              <w:rPr>
                <w:rFonts w:eastAsia="Times New Roman" w:cs="Times New Roman"/>
                <w:b/>
                <w:sz w:val="20"/>
                <w:szCs w:val="20"/>
                <w:lang w:val="fr-CA" w:eastAsia="en-CA"/>
              </w:rPr>
            </w:pPr>
            <w:r w:rsidRPr="009C2345">
              <w:rPr>
                <w:b/>
                <w:lang w:val="fr-CA"/>
              </w:rPr>
              <w:t>TABLE DES MATIÈRES</w:t>
            </w:r>
          </w:p>
        </w:tc>
      </w:tr>
    </w:tbl>
    <w:p w:rsidR="0095096B" w:rsidRPr="009C2345"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82006E" w:rsidTr="00164E6D">
        <w:tc>
          <w:tcPr>
            <w:tcW w:w="3708" w:type="dxa"/>
          </w:tcPr>
          <w:p w:rsidR="0095096B" w:rsidRPr="009C2345" w:rsidRDefault="0095096B" w:rsidP="0095096B">
            <w:pPr>
              <w:tabs>
                <w:tab w:val="right" w:pos="9360"/>
              </w:tabs>
              <w:rPr>
                <w:rFonts w:cs="Times New Roman"/>
                <w:sz w:val="20"/>
                <w:szCs w:val="20"/>
              </w:rPr>
            </w:pPr>
            <w:r w:rsidRPr="009C2345">
              <w:rPr>
                <w:rFonts w:cs="Times New Roman"/>
                <w:sz w:val="20"/>
                <w:szCs w:val="20"/>
              </w:rPr>
              <w:t>Applications for leave to appeal filed</w:t>
            </w:r>
          </w:p>
          <w:p w:rsidR="0095096B" w:rsidRPr="009C2345" w:rsidRDefault="0095096B" w:rsidP="0095096B">
            <w:pPr>
              <w:tabs>
                <w:tab w:val="right" w:pos="9360"/>
              </w:tabs>
              <w:rPr>
                <w:rFonts w:cs="Times New Roman"/>
                <w:sz w:val="20"/>
                <w:szCs w:val="20"/>
              </w:rPr>
            </w:pPr>
          </w:p>
          <w:p w:rsidR="0095096B" w:rsidRPr="009C2345" w:rsidRDefault="0095096B" w:rsidP="0095096B">
            <w:pPr>
              <w:tabs>
                <w:tab w:val="right" w:pos="9360"/>
              </w:tabs>
              <w:rPr>
                <w:rFonts w:cs="Times New Roman"/>
                <w:sz w:val="20"/>
                <w:szCs w:val="20"/>
              </w:rPr>
            </w:pPr>
            <w:r w:rsidRPr="009C2345">
              <w:rPr>
                <w:rFonts w:cs="Times New Roman"/>
                <w:sz w:val="20"/>
                <w:szCs w:val="20"/>
              </w:rPr>
              <w:t>Applications for leave submitted to Court since last issue</w:t>
            </w:r>
          </w:p>
          <w:p w:rsidR="0095096B" w:rsidRPr="009C2345" w:rsidRDefault="0095096B" w:rsidP="0095096B">
            <w:pPr>
              <w:tabs>
                <w:tab w:val="right" w:pos="9360"/>
              </w:tabs>
              <w:rPr>
                <w:rFonts w:cs="Times New Roman"/>
                <w:sz w:val="20"/>
                <w:szCs w:val="20"/>
              </w:rPr>
            </w:pPr>
          </w:p>
          <w:p w:rsidR="0095096B" w:rsidRPr="009C2345" w:rsidRDefault="0095096B" w:rsidP="0095096B">
            <w:pPr>
              <w:tabs>
                <w:tab w:val="right" w:pos="9360"/>
              </w:tabs>
              <w:rPr>
                <w:rFonts w:cs="Times New Roman"/>
                <w:sz w:val="20"/>
                <w:szCs w:val="20"/>
              </w:rPr>
            </w:pPr>
            <w:r w:rsidRPr="009C2345">
              <w:rPr>
                <w:rFonts w:cs="Times New Roman"/>
                <w:sz w:val="20"/>
                <w:szCs w:val="20"/>
              </w:rPr>
              <w:t xml:space="preserve">Judgments on applications for </w:t>
            </w:r>
          </w:p>
          <w:p w:rsidR="0095096B" w:rsidRPr="009C2345" w:rsidRDefault="0095096B" w:rsidP="0095096B">
            <w:pPr>
              <w:tabs>
                <w:tab w:val="right" w:pos="9360"/>
              </w:tabs>
              <w:rPr>
                <w:rFonts w:cs="Times New Roman"/>
                <w:sz w:val="20"/>
                <w:szCs w:val="20"/>
              </w:rPr>
            </w:pPr>
            <w:r w:rsidRPr="009C2345">
              <w:rPr>
                <w:rFonts w:cs="Times New Roman"/>
                <w:sz w:val="20"/>
                <w:szCs w:val="20"/>
              </w:rPr>
              <w:t>leave</w:t>
            </w:r>
          </w:p>
          <w:p w:rsidR="0095096B" w:rsidRPr="009C2345" w:rsidRDefault="0095096B" w:rsidP="0095096B">
            <w:pPr>
              <w:tabs>
                <w:tab w:val="right" w:pos="9360"/>
              </w:tabs>
              <w:rPr>
                <w:rFonts w:cs="Times New Roman"/>
                <w:sz w:val="20"/>
                <w:szCs w:val="20"/>
              </w:rPr>
            </w:pPr>
          </w:p>
          <w:p w:rsidR="0095096B" w:rsidRPr="009C2345" w:rsidRDefault="0095096B" w:rsidP="0095096B">
            <w:pPr>
              <w:tabs>
                <w:tab w:val="right" w:pos="9360"/>
              </w:tabs>
              <w:rPr>
                <w:rFonts w:cs="Times New Roman"/>
                <w:sz w:val="20"/>
                <w:szCs w:val="20"/>
              </w:rPr>
            </w:pPr>
            <w:r w:rsidRPr="009C2345">
              <w:rPr>
                <w:rFonts w:cs="Times New Roman"/>
                <w:sz w:val="20"/>
                <w:szCs w:val="20"/>
              </w:rPr>
              <w:t>Motions</w:t>
            </w:r>
          </w:p>
          <w:p w:rsidR="0095096B" w:rsidRPr="009C2345" w:rsidRDefault="0095096B" w:rsidP="0095096B">
            <w:pPr>
              <w:tabs>
                <w:tab w:val="right" w:pos="9360"/>
              </w:tabs>
              <w:rPr>
                <w:rFonts w:cs="Times New Roman"/>
                <w:sz w:val="20"/>
                <w:szCs w:val="20"/>
              </w:rPr>
            </w:pPr>
          </w:p>
          <w:p w:rsidR="00767069" w:rsidRPr="009C2345" w:rsidRDefault="0095096B" w:rsidP="0095096B">
            <w:pPr>
              <w:tabs>
                <w:tab w:val="right" w:pos="9360"/>
              </w:tabs>
              <w:rPr>
                <w:rFonts w:cs="Times New Roman"/>
                <w:sz w:val="20"/>
                <w:szCs w:val="20"/>
              </w:rPr>
            </w:pPr>
            <w:r w:rsidRPr="009C2345">
              <w:rPr>
                <w:rFonts w:cs="Times New Roman"/>
                <w:sz w:val="20"/>
                <w:szCs w:val="20"/>
              </w:rPr>
              <w:t>Appeals heard since last issue and disposition</w:t>
            </w:r>
          </w:p>
          <w:p w:rsidR="0095096B" w:rsidRPr="009C2345" w:rsidRDefault="0095096B" w:rsidP="0095096B">
            <w:pPr>
              <w:tabs>
                <w:tab w:val="right" w:pos="9360"/>
              </w:tabs>
              <w:rPr>
                <w:rFonts w:cs="Times New Roman"/>
                <w:sz w:val="20"/>
                <w:szCs w:val="20"/>
              </w:rPr>
            </w:pPr>
          </w:p>
          <w:p w:rsidR="0095096B" w:rsidRPr="009C2345" w:rsidRDefault="0095096B" w:rsidP="0095096B">
            <w:pPr>
              <w:tabs>
                <w:tab w:val="right" w:pos="9360"/>
              </w:tabs>
              <w:rPr>
                <w:rFonts w:cs="Times New Roman"/>
                <w:sz w:val="20"/>
                <w:szCs w:val="20"/>
              </w:rPr>
            </w:pPr>
            <w:r w:rsidRPr="009C2345">
              <w:rPr>
                <w:rFonts w:cs="Times New Roman"/>
                <w:sz w:val="20"/>
                <w:szCs w:val="20"/>
              </w:rPr>
              <w:t>Pronouncements of appeals reserved</w:t>
            </w:r>
          </w:p>
          <w:p w:rsidR="0095096B" w:rsidRPr="009C2345" w:rsidRDefault="0095096B" w:rsidP="0095096B">
            <w:pPr>
              <w:tabs>
                <w:tab w:val="right" w:pos="9360"/>
              </w:tabs>
              <w:rPr>
                <w:rFonts w:cs="Times New Roman"/>
                <w:sz w:val="20"/>
                <w:szCs w:val="20"/>
              </w:rPr>
            </w:pPr>
          </w:p>
          <w:p w:rsidR="0095096B" w:rsidRPr="009C2345" w:rsidRDefault="0095096B" w:rsidP="0095096B">
            <w:pPr>
              <w:tabs>
                <w:tab w:val="right" w:pos="9360"/>
              </w:tabs>
              <w:rPr>
                <w:rFonts w:cs="Times New Roman"/>
                <w:sz w:val="20"/>
                <w:szCs w:val="20"/>
              </w:rPr>
            </w:pPr>
          </w:p>
          <w:p w:rsidR="0095096B" w:rsidRPr="009C2345" w:rsidRDefault="0095096B" w:rsidP="0095096B">
            <w:pPr>
              <w:tabs>
                <w:tab w:val="right" w:pos="9360"/>
              </w:tabs>
              <w:rPr>
                <w:rFonts w:cs="Times New Roman"/>
                <w:sz w:val="20"/>
                <w:szCs w:val="20"/>
              </w:rPr>
            </w:pPr>
            <w:r w:rsidRPr="009C2345">
              <w:rPr>
                <w:rFonts w:cs="Times New Roman"/>
                <w:sz w:val="20"/>
                <w:szCs w:val="20"/>
              </w:rPr>
              <w:t>Headnotes of recent judgments</w:t>
            </w:r>
          </w:p>
          <w:p w:rsidR="0095096B" w:rsidRPr="009C2345" w:rsidRDefault="0095096B" w:rsidP="0095096B">
            <w:pPr>
              <w:tabs>
                <w:tab w:val="right" w:pos="9360"/>
              </w:tabs>
              <w:rPr>
                <w:rFonts w:cs="Times New Roman"/>
                <w:sz w:val="20"/>
                <w:szCs w:val="20"/>
              </w:rPr>
            </w:pPr>
          </w:p>
          <w:p w:rsidR="0095096B" w:rsidRPr="009C2345" w:rsidRDefault="0095096B" w:rsidP="0095096B">
            <w:pPr>
              <w:tabs>
                <w:tab w:val="right" w:pos="9360"/>
              </w:tabs>
              <w:rPr>
                <w:rFonts w:cs="Times New Roman"/>
                <w:sz w:val="20"/>
                <w:szCs w:val="20"/>
              </w:rPr>
            </w:pPr>
            <w:r w:rsidRPr="009C2345">
              <w:rPr>
                <w:rFonts w:cs="Times New Roman"/>
                <w:sz w:val="20"/>
                <w:szCs w:val="20"/>
              </w:rPr>
              <w:t>Agenda</w:t>
            </w:r>
          </w:p>
          <w:p w:rsidR="0095096B" w:rsidRPr="009C2345" w:rsidRDefault="0095096B" w:rsidP="0095096B">
            <w:pPr>
              <w:tabs>
                <w:tab w:val="right" w:pos="9360"/>
              </w:tabs>
              <w:rPr>
                <w:rFonts w:cs="Times New Roman"/>
                <w:sz w:val="20"/>
                <w:szCs w:val="20"/>
              </w:rPr>
            </w:pPr>
          </w:p>
          <w:p w:rsidR="0095096B" w:rsidRPr="009C2345" w:rsidRDefault="0095096B" w:rsidP="0095096B">
            <w:pPr>
              <w:tabs>
                <w:tab w:val="right" w:pos="9360"/>
              </w:tabs>
              <w:rPr>
                <w:rFonts w:cs="Times New Roman"/>
                <w:sz w:val="20"/>
                <w:szCs w:val="20"/>
              </w:rPr>
            </w:pPr>
            <w:r w:rsidRPr="009C2345">
              <w:rPr>
                <w:rFonts w:cs="Times New Roman"/>
                <w:sz w:val="20"/>
                <w:szCs w:val="20"/>
              </w:rPr>
              <w:t>Summaries of the cases</w:t>
            </w:r>
          </w:p>
          <w:p w:rsidR="00A87207" w:rsidRPr="009C2345" w:rsidRDefault="00A87207" w:rsidP="006242D9">
            <w:pPr>
              <w:tabs>
                <w:tab w:val="right" w:pos="9360"/>
              </w:tabs>
              <w:rPr>
                <w:rFonts w:cs="Times New Roman"/>
                <w:sz w:val="20"/>
                <w:szCs w:val="20"/>
              </w:rPr>
            </w:pPr>
          </w:p>
        </w:tc>
        <w:tc>
          <w:tcPr>
            <w:tcW w:w="1980" w:type="dxa"/>
          </w:tcPr>
          <w:p w:rsidR="0095096B" w:rsidRPr="009C2345" w:rsidRDefault="0082006E" w:rsidP="0095096B">
            <w:pPr>
              <w:jc w:val="center"/>
              <w:rPr>
                <w:rFonts w:cs="Times New Roman"/>
                <w:sz w:val="20"/>
                <w:szCs w:val="20"/>
              </w:rPr>
            </w:pPr>
            <w:r>
              <w:rPr>
                <w:rFonts w:cs="Times New Roman"/>
                <w:sz w:val="20"/>
                <w:szCs w:val="20"/>
              </w:rPr>
              <w:t>645</w:t>
            </w:r>
            <w:r w:rsidR="00C76D71" w:rsidRPr="009C2345">
              <w:rPr>
                <w:rFonts w:cs="Times New Roman"/>
                <w:sz w:val="20"/>
                <w:szCs w:val="20"/>
              </w:rPr>
              <w:t xml:space="preserve"> - </w:t>
            </w:r>
            <w:r>
              <w:rPr>
                <w:rFonts w:cs="Times New Roman"/>
                <w:sz w:val="20"/>
                <w:szCs w:val="20"/>
              </w:rPr>
              <w:t>646</w:t>
            </w:r>
            <w:r w:rsidR="000E27A5" w:rsidRPr="009C2345">
              <w:rPr>
                <w:rFonts w:cs="Times New Roman"/>
                <w:sz w:val="20"/>
                <w:szCs w:val="20"/>
              </w:rPr>
              <w:fldChar w:fldCharType="begin"/>
            </w:r>
            <w:r w:rsidR="0095096B" w:rsidRPr="009C2345">
              <w:rPr>
                <w:rFonts w:cs="Times New Roman"/>
                <w:sz w:val="20"/>
                <w:szCs w:val="20"/>
              </w:rPr>
              <w:instrText xml:space="preserve"> SEQ CHAPTER \h \r 1</w:instrText>
            </w:r>
            <w:r w:rsidR="000E27A5" w:rsidRPr="009C2345">
              <w:rPr>
                <w:rFonts w:cs="Times New Roman"/>
                <w:sz w:val="20"/>
                <w:szCs w:val="20"/>
              </w:rPr>
              <w:fldChar w:fldCharType="end"/>
            </w:r>
          </w:p>
          <w:p w:rsidR="0095096B" w:rsidRPr="009C2345" w:rsidRDefault="0095096B" w:rsidP="0095096B">
            <w:pPr>
              <w:jc w:val="center"/>
              <w:rPr>
                <w:rFonts w:cs="Times New Roman"/>
                <w:sz w:val="20"/>
                <w:szCs w:val="20"/>
              </w:rPr>
            </w:pPr>
          </w:p>
          <w:p w:rsidR="0095096B" w:rsidRPr="009C2345" w:rsidRDefault="0082006E" w:rsidP="0095096B">
            <w:pPr>
              <w:jc w:val="center"/>
              <w:rPr>
                <w:rFonts w:cs="Times New Roman"/>
                <w:sz w:val="20"/>
                <w:szCs w:val="20"/>
              </w:rPr>
            </w:pPr>
            <w:r>
              <w:rPr>
                <w:rFonts w:cs="Times New Roman"/>
                <w:sz w:val="20"/>
                <w:szCs w:val="20"/>
              </w:rPr>
              <w:t>647</w:t>
            </w:r>
          </w:p>
          <w:p w:rsidR="0095096B" w:rsidRDefault="0095096B" w:rsidP="0095096B">
            <w:pPr>
              <w:jc w:val="center"/>
              <w:rPr>
                <w:rFonts w:cs="Times New Roman"/>
                <w:sz w:val="20"/>
                <w:szCs w:val="20"/>
              </w:rPr>
            </w:pPr>
          </w:p>
          <w:p w:rsidR="0082006E" w:rsidRPr="009C2345" w:rsidRDefault="0082006E" w:rsidP="0095096B">
            <w:pPr>
              <w:jc w:val="center"/>
              <w:rPr>
                <w:rFonts w:cs="Times New Roman"/>
                <w:sz w:val="20"/>
                <w:szCs w:val="20"/>
              </w:rPr>
            </w:pPr>
          </w:p>
          <w:p w:rsidR="0095096B" w:rsidRPr="009C2345" w:rsidRDefault="0082006E" w:rsidP="0095096B">
            <w:pPr>
              <w:jc w:val="center"/>
              <w:rPr>
                <w:rFonts w:cs="Times New Roman"/>
                <w:sz w:val="20"/>
                <w:szCs w:val="20"/>
              </w:rPr>
            </w:pPr>
            <w:r>
              <w:rPr>
                <w:rFonts w:cs="Times New Roman"/>
                <w:sz w:val="20"/>
                <w:szCs w:val="20"/>
              </w:rPr>
              <w:t>648</w:t>
            </w:r>
            <w:r w:rsidR="00800107" w:rsidRPr="009C2345">
              <w:rPr>
                <w:rFonts w:cs="Times New Roman"/>
                <w:sz w:val="20"/>
                <w:szCs w:val="20"/>
              </w:rPr>
              <w:t xml:space="preserve"> </w:t>
            </w:r>
            <w:r w:rsidR="0095096B" w:rsidRPr="009C2345">
              <w:rPr>
                <w:rFonts w:cs="Times New Roman"/>
                <w:sz w:val="20"/>
                <w:szCs w:val="20"/>
              </w:rPr>
              <w:t>-</w:t>
            </w:r>
            <w:r w:rsidR="00800107" w:rsidRPr="009C2345">
              <w:rPr>
                <w:rFonts w:cs="Times New Roman"/>
                <w:sz w:val="20"/>
                <w:szCs w:val="20"/>
              </w:rPr>
              <w:t xml:space="preserve"> </w:t>
            </w:r>
            <w:r>
              <w:rPr>
                <w:rFonts w:cs="Times New Roman"/>
                <w:sz w:val="20"/>
                <w:szCs w:val="20"/>
              </w:rPr>
              <w:t>683</w:t>
            </w:r>
          </w:p>
          <w:p w:rsidR="0095096B" w:rsidRPr="009C2345" w:rsidRDefault="0095096B" w:rsidP="0095096B">
            <w:pPr>
              <w:jc w:val="center"/>
              <w:rPr>
                <w:rFonts w:cs="Times New Roman"/>
                <w:sz w:val="20"/>
                <w:szCs w:val="20"/>
              </w:rPr>
            </w:pPr>
          </w:p>
          <w:p w:rsidR="005B5DDF" w:rsidRPr="009C2345" w:rsidRDefault="005B5DDF" w:rsidP="0095096B">
            <w:pPr>
              <w:jc w:val="center"/>
              <w:rPr>
                <w:rFonts w:cs="Times New Roman"/>
                <w:sz w:val="20"/>
                <w:szCs w:val="20"/>
              </w:rPr>
            </w:pPr>
          </w:p>
          <w:p w:rsidR="0095096B" w:rsidRPr="009C2345" w:rsidRDefault="0082006E" w:rsidP="0095096B">
            <w:pPr>
              <w:jc w:val="center"/>
              <w:rPr>
                <w:rFonts w:cs="Times New Roman"/>
                <w:sz w:val="20"/>
                <w:szCs w:val="20"/>
              </w:rPr>
            </w:pPr>
            <w:r>
              <w:rPr>
                <w:rFonts w:cs="Times New Roman"/>
                <w:sz w:val="20"/>
                <w:szCs w:val="20"/>
              </w:rPr>
              <w:t>684</w:t>
            </w:r>
            <w:r w:rsidR="007B18DD" w:rsidRPr="009C2345">
              <w:rPr>
                <w:rFonts w:cs="Times New Roman"/>
                <w:sz w:val="20"/>
                <w:szCs w:val="20"/>
              </w:rPr>
              <w:t xml:space="preserve"> </w:t>
            </w:r>
            <w:r w:rsidR="0095096B" w:rsidRPr="009C2345">
              <w:rPr>
                <w:rFonts w:cs="Times New Roman"/>
                <w:sz w:val="20"/>
                <w:szCs w:val="20"/>
              </w:rPr>
              <w:t>-</w:t>
            </w:r>
            <w:r w:rsidR="007B18DD" w:rsidRPr="009C2345">
              <w:rPr>
                <w:rFonts w:cs="Times New Roman"/>
                <w:sz w:val="20"/>
                <w:szCs w:val="20"/>
              </w:rPr>
              <w:t xml:space="preserve"> </w:t>
            </w:r>
            <w:r>
              <w:rPr>
                <w:rFonts w:cs="Times New Roman"/>
                <w:sz w:val="20"/>
                <w:szCs w:val="20"/>
              </w:rPr>
              <w:t>685</w:t>
            </w:r>
          </w:p>
          <w:p w:rsidR="0095096B" w:rsidRPr="009C2345" w:rsidRDefault="0095096B" w:rsidP="0095096B">
            <w:pPr>
              <w:jc w:val="center"/>
              <w:rPr>
                <w:rFonts w:cs="Times New Roman"/>
                <w:sz w:val="20"/>
                <w:szCs w:val="20"/>
              </w:rPr>
            </w:pPr>
          </w:p>
          <w:p w:rsidR="0095096B" w:rsidRPr="009C2345" w:rsidRDefault="0082006E" w:rsidP="0095096B">
            <w:pPr>
              <w:jc w:val="center"/>
              <w:rPr>
                <w:rFonts w:cs="Times New Roman"/>
                <w:sz w:val="20"/>
                <w:szCs w:val="20"/>
              </w:rPr>
            </w:pPr>
            <w:r>
              <w:rPr>
                <w:rFonts w:cs="Times New Roman"/>
                <w:sz w:val="20"/>
                <w:szCs w:val="20"/>
              </w:rPr>
              <w:t>686</w:t>
            </w:r>
            <w:r w:rsidR="00112410" w:rsidRPr="009C2345">
              <w:rPr>
                <w:rFonts w:cs="Times New Roman"/>
                <w:sz w:val="20"/>
                <w:szCs w:val="20"/>
              </w:rPr>
              <w:t xml:space="preserve"> </w:t>
            </w:r>
            <w:r w:rsidR="0095096B" w:rsidRPr="009C2345">
              <w:rPr>
                <w:rFonts w:cs="Times New Roman"/>
                <w:sz w:val="20"/>
                <w:szCs w:val="20"/>
              </w:rPr>
              <w:t>-</w:t>
            </w:r>
            <w:r w:rsidR="00112410" w:rsidRPr="009C2345">
              <w:rPr>
                <w:rFonts w:cs="Times New Roman"/>
                <w:sz w:val="20"/>
                <w:szCs w:val="20"/>
              </w:rPr>
              <w:t xml:space="preserve"> </w:t>
            </w:r>
            <w:r>
              <w:rPr>
                <w:rFonts w:cs="Times New Roman"/>
                <w:sz w:val="20"/>
                <w:szCs w:val="20"/>
              </w:rPr>
              <w:t>688</w:t>
            </w:r>
          </w:p>
          <w:p w:rsidR="0095096B" w:rsidRPr="009C2345" w:rsidRDefault="0095096B" w:rsidP="0095096B">
            <w:pPr>
              <w:jc w:val="center"/>
              <w:rPr>
                <w:rFonts w:cs="Times New Roman"/>
                <w:sz w:val="20"/>
                <w:szCs w:val="20"/>
              </w:rPr>
            </w:pPr>
          </w:p>
          <w:p w:rsidR="005B5DDF" w:rsidRPr="009C2345" w:rsidRDefault="005B5DDF" w:rsidP="0095096B">
            <w:pPr>
              <w:jc w:val="center"/>
              <w:rPr>
                <w:rFonts w:cs="Times New Roman"/>
                <w:sz w:val="20"/>
                <w:szCs w:val="20"/>
              </w:rPr>
            </w:pPr>
          </w:p>
          <w:p w:rsidR="0095096B" w:rsidRDefault="0082006E" w:rsidP="0095096B">
            <w:pPr>
              <w:jc w:val="center"/>
              <w:rPr>
                <w:rFonts w:cs="Times New Roman"/>
                <w:sz w:val="20"/>
                <w:szCs w:val="20"/>
              </w:rPr>
            </w:pPr>
            <w:r>
              <w:rPr>
                <w:rFonts w:cs="Times New Roman"/>
                <w:sz w:val="20"/>
                <w:szCs w:val="20"/>
              </w:rPr>
              <w:t xml:space="preserve">689 </w:t>
            </w:r>
          </w:p>
          <w:p w:rsidR="0082006E" w:rsidRPr="009C2345" w:rsidRDefault="0082006E" w:rsidP="0095096B">
            <w:pPr>
              <w:jc w:val="center"/>
              <w:rPr>
                <w:rFonts w:cs="Times New Roman"/>
                <w:sz w:val="20"/>
                <w:szCs w:val="20"/>
              </w:rPr>
            </w:pPr>
          </w:p>
          <w:p w:rsidR="005B5DDF" w:rsidRPr="009C2345" w:rsidRDefault="005B5DDF" w:rsidP="0095096B">
            <w:pPr>
              <w:jc w:val="center"/>
              <w:rPr>
                <w:rFonts w:cs="Times New Roman"/>
                <w:sz w:val="20"/>
                <w:szCs w:val="20"/>
              </w:rPr>
            </w:pPr>
          </w:p>
          <w:p w:rsidR="0095096B" w:rsidRPr="009C2345" w:rsidRDefault="0082006E" w:rsidP="0095096B">
            <w:pPr>
              <w:jc w:val="center"/>
              <w:rPr>
                <w:rFonts w:cs="Times New Roman"/>
                <w:sz w:val="20"/>
                <w:szCs w:val="20"/>
              </w:rPr>
            </w:pPr>
            <w:r>
              <w:rPr>
                <w:rFonts w:cs="Times New Roman"/>
                <w:sz w:val="20"/>
                <w:szCs w:val="20"/>
              </w:rPr>
              <w:t>690</w:t>
            </w:r>
            <w:r w:rsidR="00112410" w:rsidRPr="009C2345">
              <w:rPr>
                <w:rFonts w:cs="Times New Roman"/>
                <w:sz w:val="20"/>
                <w:szCs w:val="20"/>
              </w:rPr>
              <w:t xml:space="preserve"> </w:t>
            </w:r>
            <w:r w:rsidR="0095096B" w:rsidRPr="009C2345">
              <w:rPr>
                <w:rFonts w:cs="Times New Roman"/>
                <w:sz w:val="20"/>
                <w:szCs w:val="20"/>
              </w:rPr>
              <w:t>-</w:t>
            </w:r>
            <w:r w:rsidR="00112410" w:rsidRPr="009C2345">
              <w:rPr>
                <w:rFonts w:cs="Times New Roman"/>
                <w:sz w:val="20"/>
                <w:szCs w:val="20"/>
              </w:rPr>
              <w:t xml:space="preserve"> </w:t>
            </w:r>
            <w:r>
              <w:rPr>
                <w:rFonts w:cs="Times New Roman"/>
                <w:sz w:val="20"/>
                <w:szCs w:val="20"/>
              </w:rPr>
              <w:t>699</w:t>
            </w:r>
          </w:p>
          <w:p w:rsidR="0095096B" w:rsidRPr="009C2345" w:rsidRDefault="0095096B" w:rsidP="0095096B">
            <w:pPr>
              <w:jc w:val="center"/>
              <w:rPr>
                <w:rFonts w:cs="Times New Roman"/>
                <w:sz w:val="20"/>
                <w:szCs w:val="20"/>
              </w:rPr>
            </w:pPr>
          </w:p>
          <w:p w:rsidR="0095096B" w:rsidRPr="009C2345" w:rsidRDefault="0082006E" w:rsidP="0095096B">
            <w:pPr>
              <w:jc w:val="center"/>
              <w:rPr>
                <w:rFonts w:cs="Times New Roman"/>
                <w:sz w:val="20"/>
                <w:szCs w:val="20"/>
              </w:rPr>
            </w:pPr>
            <w:r>
              <w:rPr>
                <w:rFonts w:cs="Times New Roman"/>
                <w:sz w:val="20"/>
                <w:szCs w:val="20"/>
              </w:rPr>
              <w:t>700</w:t>
            </w:r>
          </w:p>
          <w:p w:rsidR="0095096B" w:rsidRPr="009C2345" w:rsidRDefault="0095096B" w:rsidP="0095096B">
            <w:pPr>
              <w:jc w:val="center"/>
              <w:rPr>
                <w:rFonts w:cs="Times New Roman"/>
                <w:sz w:val="20"/>
                <w:szCs w:val="20"/>
              </w:rPr>
            </w:pPr>
          </w:p>
          <w:p w:rsidR="005B5DDF" w:rsidRPr="009C2345" w:rsidRDefault="0003231B" w:rsidP="0095096B">
            <w:pPr>
              <w:jc w:val="center"/>
              <w:rPr>
                <w:rFonts w:cs="Times New Roman"/>
                <w:sz w:val="20"/>
                <w:szCs w:val="20"/>
              </w:rPr>
            </w:pPr>
            <w:r w:rsidRPr="009C2345">
              <w:rPr>
                <w:rFonts w:cs="Times New Roman"/>
                <w:sz w:val="20"/>
                <w:szCs w:val="20"/>
              </w:rPr>
              <w:t>7</w:t>
            </w:r>
            <w:r w:rsidR="0082006E">
              <w:rPr>
                <w:rFonts w:cs="Times New Roman"/>
                <w:sz w:val="20"/>
                <w:szCs w:val="20"/>
              </w:rPr>
              <w:t xml:space="preserve">01 </w:t>
            </w:r>
            <w:r w:rsidR="006242D9" w:rsidRPr="009C2345">
              <w:rPr>
                <w:rFonts w:cs="Times New Roman"/>
                <w:sz w:val="20"/>
                <w:szCs w:val="20"/>
              </w:rPr>
              <w:t>-</w:t>
            </w:r>
            <w:r w:rsidRPr="009C2345">
              <w:rPr>
                <w:rFonts w:cs="Times New Roman"/>
                <w:sz w:val="20"/>
                <w:szCs w:val="20"/>
              </w:rPr>
              <w:t xml:space="preserve"> </w:t>
            </w:r>
            <w:r w:rsidR="0082006E">
              <w:rPr>
                <w:rFonts w:cs="Times New Roman"/>
                <w:sz w:val="20"/>
                <w:szCs w:val="20"/>
              </w:rPr>
              <w:t>708</w:t>
            </w:r>
            <w:bookmarkStart w:id="0" w:name="_GoBack"/>
            <w:bookmarkEnd w:id="0"/>
          </w:p>
          <w:p w:rsidR="00A87207" w:rsidRPr="009C2345" w:rsidRDefault="00A87207" w:rsidP="006242D9">
            <w:pPr>
              <w:jc w:val="center"/>
              <w:rPr>
                <w:rFonts w:cs="Times New Roman"/>
                <w:sz w:val="20"/>
                <w:szCs w:val="20"/>
              </w:rPr>
            </w:pPr>
          </w:p>
        </w:tc>
        <w:tc>
          <w:tcPr>
            <w:tcW w:w="3888" w:type="dxa"/>
          </w:tcPr>
          <w:p w:rsidR="0095096B" w:rsidRPr="009C2345" w:rsidRDefault="000E27A5" w:rsidP="0095096B">
            <w:pPr>
              <w:rPr>
                <w:rFonts w:cs="Times New Roman"/>
                <w:sz w:val="20"/>
                <w:szCs w:val="20"/>
                <w:lang w:val="fr-CA"/>
              </w:rPr>
            </w:pPr>
            <w:r w:rsidRPr="009C2345">
              <w:rPr>
                <w:rFonts w:cs="Times New Roman"/>
                <w:sz w:val="20"/>
                <w:szCs w:val="20"/>
                <w:lang w:val="fr-CA"/>
              </w:rPr>
              <w:fldChar w:fldCharType="begin"/>
            </w:r>
            <w:r w:rsidR="0095096B" w:rsidRPr="009C2345">
              <w:rPr>
                <w:rFonts w:cs="Times New Roman"/>
                <w:sz w:val="20"/>
                <w:szCs w:val="20"/>
                <w:lang w:val="fr-CA"/>
              </w:rPr>
              <w:instrText xml:space="preserve"> SEQ CHAPTER \h \r 1</w:instrText>
            </w:r>
            <w:r w:rsidRPr="009C2345">
              <w:rPr>
                <w:rFonts w:cs="Times New Roman"/>
                <w:sz w:val="20"/>
                <w:szCs w:val="20"/>
                <w:lang w:val="fr-CA"/>
              </w:rPr>
              <w:fldChar w:fldCharType="end"/>
            </w:r>
            <w:r w:rsidR="0095096B" w:rsidRPr="009C2345">
              <w:rPr>
                <w:rFonts w:cs="Times New Roman"/>
                <w:sz w:val="20"/>
                <w:szCs w:val="20"/>
                <w:lang w:val="fr-CA"/>
              </w:rPr>
              <w:t>Demandes d</w:t>
            </w:r>
            <w:r w:rsidR="004137A0" w:rsidRPr="009C2345">
              <w:rPr>
                <w:rFonts w:cs="Times New Roman"/>
                <w:sz w:val="20"/>
                <w:szCs w:val="20"/>
                <w:lang w:val="fr-CA"/>
              </w:rPr>
              <w:t>’</w:t>
            </w:r>
            <w:r w:rsidR="0095096B" w:rsidRPr="009C2345">
              <w:rPr>
                <w:rFonts w:cs="Times New Roman"/>
                <w:sz w:val="20"/>
                <w:szCs w:val="20"/>
                <w:lang w:val="fr-CA"/>
              </w:rPr>
              <w:t>autorisation d</w:t>
            </w:r>
            <w:r w:rsidR="004137A0" w:rsidRPr="009C2345">
              <w:rPr>
                <w:rFonts w:cs="Times New Roman"/>
                <w:sz w:val="20"/>
                <w:szCs w:val="20"/>
                <w:lang w:val="fr-CA"/>
              </w:rPr>
              <w:t>’</w:t>
            </w:r>
            <w:r w:rsidR="0095096B" w:rsidRPr="009C2345">
              <w:rPr>
                <w:rFonts w:cs="Times New Roman"/>
                <w:sz w:val="20"/>
                <w:szCs w:val="20"/>
                <w:lang w:val="fr-CA"/>
              </w:rPr>
              <w:t>appel déposées</w:t>
            </w:r>
          </w:p>
          <w:p w:rsidR="0095096B" w:rsidRPr="009C2345" w:rsidRDefault="0095096B" w:rsidP="0095096B">
            <w:pPr>
              <w:rPr>
                <w:rFonts w:cs="Times New Roman"/>
                <w:sz w:val="20"/>
                <w:szCs w:val="20"/>
                <w:lang w:val="fr-CA"/>
              </w:rPr>
            </w:pPr>
          </w:p>
          <w:p w:rsidR="0095096B" w:rsidRPr="009C2345" w:rsidRDefault="0095096B" w:rsidP="0095096B">
            <w:pPr>
              <w:rPr>
                <w:rFonts w:cs="Times New Roman"/>
                <w:sz w:val="20"/>
                <w:szCs w:val="20"/>
                <w:lang w:val="fr-CA"/>
              </w:rPr>
            </w:pPr>
            <w:r w:rsidRPr="009C2345">
              <w:rPr>
                <w:rFonts w:cs="Times New Roman"/>
                <w:sz w:val="20"/>
                <w:szCs w:val="20"/>
                <w:lang w:val="fr-CA"/>
              </w:rPr>
              <w:t>Demandes soumises à la Cour depuis la dernière parution</w:t>
            </w:r>
          </w:p>
          <w:p w:rsidR="0095096B" w:rsidRPr="009C2345" w:rsidRDefault="0095096B" w:rsidP="0095096B">
            <w:pPr>
              <w:rPr>
                <w:rFonts w:cs="Times New Roman"/>
                <w:sz w:val="20"/>
                <w:szCs w:val="20"/>
                <w:lang w:val="fr-CA"/>
              </w:rPr>
            </w:pPr>
          </w:p>
          <w:p w:rsidR="0095096B" w:rsidRPr="009C2345" w:rsidRDefault="0095096B" w:rsidP="0095096B">
            <w:pPr>
              <w:rPr>
                <w:rFonts w:cs="Times New Roman"/>
                <w:sz w:val="20"/>
                <w:szCs w:val="20"/>
                <w:lang w:val="fr-CA"/>
              </w:rPr>
            </w:pPr>
            <w:r w:rsidRPr="009C2345">
              <w:rPr>
                <w:rFonts w:cs="Times New Roman"/>
                <w:sz w:val="20"/>
                <w:szCs w:val="20"/>
                <w:lang w:val="fr-CA"/>
              </w:rPr>
              <w:t xml:space="preserve">Jugements rendus sur les demandes </w:t>
            </w:r>
          </w:p>
          <w:p w:rsidR="0095096B" w:rsidRPr="009C2345" w:rsidRDefault="004137A0" w:rsidP="0095096B">
            <w:pPr>
              <w:rPr>
                <w:rFonts w:cs="Times New Roman"/>
                <w:sz w:val="20"/>
                <w:szCs w:val="20"/>
                <w:lang w:val="fr-CA"/>
              </w:rPr>
            </w:pPr>
            <w:r w:rsidRPr="009C2345">
              <w:rPr>
                <w:rFonts w:cs="Times New Roman"/>
                <w:sz w:val="20"/>
                <w:szCs w:val="20"/>
                <w:lang w:val="fr-CA"/>
              </w:rPr>
              <w:t>d’</w:t>
            </w:r>
            <w:r w:rsidR="0095096B" w:rsidRPr="009C2345">
              <w:rPr>
                <w:rFonts w:cs="Times New Roman"/>
                <w:sz w:val="20"/>
                <w:szCs w:val="20"/>
                <w:lang w:val="fr-CA"/>
              </w:rPr>
              <w:t>autorisation</w:t>
            </w:r>
          </w:p>
          <w:p w:rsidR="0095096B" w:rsidRPr="009C2345" w:rsidRDefault="0095096B" w:rsidP="0095096B">
            <w:pPr>
              <w:rPr>
                <w:rFonts w:cs="Times New Roman"/>
                <w:sz w:val="20"/>
                <w:szCs w:val="20"/>
                <w:lang w:val="fr-CA"/>
              </w:rPr>
            </w:pPr>
          </w:p>
          <w:p w:rsidR="0095096B" w:rsidRPr="009C2345" w:rsidRDefault="0095096B" w:rsidP="0095096B">
            <w:pPr>
              <w:rPr>
                <w:rFonts w:cs="Times New Roman"/>
                <w:sz w:val="20"/>
                <w:szCs w:val="20"/>
                <w:lang w:val="fr-CA"/>
              </w:rPr>
            </w:pPr>
            <w:r w:rsidRPr="009C2345">
              <w:rPr>
                <w:rFonts w:cs="Times New Roman"/>
                <w:sz w:val="20"/>
                <w:szCs w:val="20"/>
                <w:lang w:val="fr-CA"/>
              </w:rPr>
              <w:t>Requêtes</w:t>
            </w:r>
          </w:p>
          <w:p w:rsidR="0095096B" w:rsidRPr="009C2345" w:rsidRDefault="0095096B" w:rsidP="0095096B">
            <w:pPr>
              <w:rPr>
                <w:rFonts w:cs="Times New Roman"/>
                <w:sz w:val="20"/>
                <w:szCs w:val="20"/>
                <w:lang w:val="fr-CA"/>
              </w:rPr>
            </w:pPr>
          </w:p>
          <w:p w:rsidR="0095096B" w:rsidRPr="009C2345" w:rsidRDefault="0095096B" w:rsidP="0095096B">
            <w:pPr>
              <w:rPr>
                <w:rFonts w:cs="Times New Roman"/>
                <w:sz w:val="20"/>
                <w:szCs w:val="20"/>
                <w:lang w:val="fr-CA"/>
              </w:rPr>
            </w:pPr>
            <w:r w:rsidRPr="009C2345">
              <w:rPr>
                <w:rFonts w:cs="Times New Roman"/>
                <w:sz w:val="20"/>
                <w:szCs w:val="20"/>
                <w:lang w:val="fr-CA"/>
              </w:rPr>
              <w:t>Appels entendus depuis la dernière parution et résultat</w:t>
            </w:r>
          </w:p>
          <w:p w:rsidR="0095096B" w:rsidRPr="009C2345" w:rsidRDefault="0095096B" w:rsidP="0095096B">
            <w:pPr>
              <w:rPr>
                <w:rFonts w:cs="Times New Roman"/>
                <w:sz w:val="20"/>
                <w:szCs w:val="20"/>
                <w:lang w:val="fr-CA"/>
              </w:rPr>
            </w:pPr>
          </w:p>
          <w:p w:rsidR="0095096B" w:rsidRPr="009C2345" w:rsidRDefault="0095096B" w:rsidP="0095096B">
            <w:pPr>
              <w:rPr>
                <w:rFonts w:cs="Times New Roman"/>
                <w:sz w:val="20"/>
                <w:szCs w:val="20"/>
                <w:lang w:val="fr-CA"/>
              </w:rPr>
            </w:pPr>
            <w:r w:rsidRPr="009C2345">
              <w:rPr>
                <w:rFonts w:cs="Times New Roman"/>
                <w:sz w:val="20"/>
                <w:szCs w:val="20"/>
                <w:lang w:val="fr-CA"/>
              </w:rPr>
              <w:t>Jugements rendus sur les appels en délibéré</w:t>
            </w:r>
          </w:p>
          <w:p w:rsidR="0095096B" w:rsidRDefault="0095096B" w:rsidP="0095096B">
            <w:pPr>
              <w:rPr>
                <w:rFonts w:cs="Times New Roman"/>
                <w:sz w:val="20"/>
                <w:szCs w:val="20"/>
                <w:lang w:val="fr-CA"/>
              </w:rPr>
            </w:pPr>
          </w:p>
          <w:p w:rsidR="00767069" w:rsidRPr="009C2345" w:rsidRDefault="00767069" w:rsidP="0095096B">
            <w:pPr>
              <w:rPr>
                <w:rFonts w:cs="Times New Roman"/>
                <w:sz w:val="20"/>
                <w:szCs w:val="20"/>
                <w:lang w:val="fr-CA"/>
              </w:rPr>
            </w:pPr>
          </w:p>
          <w:p w:rsidR="0095096B" w:rsidRPr="009C2345" w:rsidRDefault="0095096B" w:rsidP="0095096B">
            <w:pPr>
              <w:rPr>
                <w:rFonts w:cs="Times New Roman"/>
                <w:sz w:val="20"/>
                <w:szCs w:val="20"/>
                <w:lang w:val="fr-CA"/>
              </w:rPr>
            </w:pPr>
            <w:r w:rsidRPr="009C2345">
              <w:rPr>
                <w:rFonts w:cs="Times New Roman"/>
                <w:sz w:val="20"/>
                <w:szCs w:val="20"/>
                <w:lang w:val="fr-CA"/>
              </w:rPr>
              <w:t xml:space="preserve">Sommaires de </w:t>
            </w:r>
            <w:r w:rsidR="00C50A5C" w:rsidRPr="009C2345">
              <w:rPr>
                <w:rFonts w:cs="Times New Roman"/>
                <w:sz w:val="20"/>
                <w:szCs w:val="20"/>
                <w:lang w:val="fr-CA"/>
              </w:rPr>
              <w:t>jugements récents</w:t>
            </w:r>
          </w:p>
          <w:p w:rsidR="0095096B" w:rsidRPr="009C2345" w:rsidRDefault="0095096B" w:rsidP="0095096B">
            <w:pPr>
              <w:rPr>
                <w:rFonts w:cs="Times New Roman"/>
                <w:sz w:val="20"/>
                <w:szCs w:val="20"/>
                <w:lang w:val="fr-CA"/>
              </w:rPr>
            </w:pPr>
          </w:p>
          <w:p w:rsidR="0095096B" w:rsidRPr="009C2345" w:rsidRDefault="0095096B" w:rsidP="0095096B">
            <w:pPr>
              <w:rPr>
                <w:rFonts w:cs="Times New Roman"/>
                <w:sz w:val="20"/>
                <w:szCs w:val="20"/>
                <w:lang w:val="fr-CA"/>
              </w:rPr>
            </w:pPr>
            <w:r w:rsidRPr="009C2345">
              <w:rPr>
                <w:rFonts w:cs="Times New Roman"/>
                <w:sz w:val="20"/>
                <w:szCs w:val="20"/>
                <w:lang w:val="fr-CA"/>
              </w:rPr>
              <w:t xml:space="preserve">Calendrier </w:t>
            </w:r>
          </w:p>
          <w:p w:rsidR="0095096B" w:rsidRPr="009C2345" w:rsidRDefault="0095096B" w:rsidP="0095096B">
            <w:pPr>
              <w:rPr>
                <w:rFonts w:cs="Times New Roman"/>
                <w:sz w:val="20"/>
                <w:szCs w:val="20"/>
                <w:lang w:val="fr-CA"/>
              </w:rPr>
            </w:pPr>
          </w:p>
          <w:p w:rsidR="0095096B" w:rsidRPr="009C2345" w:rsidRDefault="0095096B" w:rsidP="0095096B">
            <w:pPr>
              <w:rPr>
                <w:rFonts w:cs="Times New Roman"/>
                <w:sz w:val="20"/>
                <w:szCs w:val="20"/>
                <w:lang w:val="fr-CA"/>
              </w:rPr>
            </w:pPr>
            <w:r w:rsidRPr="009C2345">
              <w:rPr>
                <w:rFonts w:cs="Times New Roman"/>
                <w:sz w:val="20"/>
                <w:szCs w:val="20"/>
                <w:lang w:val="fr-CA"/>
              </w:rPr>
              <w:t>Résumés des affaires</w:t>
            </w:r>
          </w:p>
          <w:p w:rsidR="00A87207" w:rsidRPr="009C2345" w:rsidRDefault="00A87207" w:rsidP="006242D9">
            <w:pPr>
              <w:tabs>
                <w:tab w:val="right" w:pos="9360"/>
              </w:tabs>
              <w:rPr>
                <w:rFonts w:cs="Times New Roman"/>
                <w:sz w:val="20"/>
                <w:szCs w:val="20"/>
                <w:lang w:val="fr-CA"/>
              </w:rPr>
            </w:pPr>
          </w:p>
        </w:tc>
      </w:tr>
    </w:tbl>
    <w:p w:rsidR="0095096B" w:rsidRPr="009C2345" w:rsidRDefault="0095096B"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82006E" w:rsidTr="0079724F">
        <w:tc>
          <w:tcPr>
            <w:tcW w:w="9576" w:type="dxa"/>
          </w:tcPr>
          <w:p w:rsidR="0079724F" w:rsidRPr="009C2345" w:rsidRDefault="0079724F" w:rsidP="00215F7C">
            <w:pPr>
              <w:keepNext/>
              <w:tabs>
                <w:tab w:val="right" w:pos="9360"/>
              </w:tabs>
              <w:jc w:val="center"/>
              <w:rPr>
                <w:szCs w:val="24"/>
              </w:rPr>
            </w:pPr>
            <w:r w:rsidRPr="009C2345">
              <w:rPr>
                <w:szCs w:val="24"/>
              </w:rPr>
              <w:t>NOTICE</w:t>
            </w:r>
          </w:p>
          <w:p w:rsidR="0079724F" w:rsidRPr="009C2345" w:rsidRDefault="0079724F" w:rsidP="00215F7C">
            <w:pPr>
              <w:keepNext/>
              <w:tabs>
                <w:tab w:val="right" w:pos="9360"/>
              </w:tabs>
              <w:rPr>
                <w:szCs w:val="24"/>
              </w:rPr>
            </w:pPr>
          </w:p>
          <w:p w:rsidR="0079724F" w:rsidRPr="009C2345" w:rsidRDefault="0079724F" w:rsidP="00215F7C">
            <w:pPr>
              <w:keepNext/>
              <w:tabs>
                <w:tab w:val="right" w:pos="9360"/>
              </w:tabs>
              <w:jc w:val="both"/>
              <w:rPr>
                <w:szCs w:val="24"/>
              </w:rPr>
            </w:pPr>
            <w:r w:rsidRPr="009C2345">
              <w:rPr>
                <w:szCs w:val="24"/>
              </w:rPr>
              <w:t>Case summaries included in the Bulletin are prepared by the Office of the Registrar of the Supreme Court of Canada (Law Branch) for information purposes only.</w:t>
            </w:r>
          </w:p>
          <w:p w:rsidR="0079724F" w:rsidRPr="009C2345" w:rsidRDefault="0079724F" w:rsidP="00215F7C">
            <w:pPr>
              <w:keepNext/>
              <w:tabs>
                <w:tab w:val="right" w:pos="9360"/>
              </w:tabs>
              <w:rPr>
                <w:szCs w:val="24"/>
              </w:rPr>
            </w:pPr>
          </w:p>
          <w:p w:rsidR="0079724F" w:rsidRPr="009C2345" w:rsidRDefault="0079724F" w:rsidP="00215F7C">
            <w:pPr>
              <w:keepNext/>
              <w:tabs>
                <w:tab w:val="right" w:pos="9360"/>
              </w:tabs>
              <w:rPr>
                <w:szCs w:val="24"/>
              </w:rPr>
            </w:pPr>
          </w:p>
          <w:p w:rsidR="0079724F" w:rsidRPr="009C2345" w:rsidRDefault="0079724F" w:rsidP="00215F7C">
            <w:pPr>
              <w:keepNext/>
              <w:tabs>
                <w:tab w:val="right" w:pos="9360"/>
              </w:tabs>
              <w:jc w:val="center"/>
              <w:rPr>
                <w:szCs w:val="24"/>
                <w:lang w:val="fr-CA"/>
              </w:rPr>
            </w:pPr>
            <w:r w:rsidRPr="009C2345">
              <w:rPr>
                <w:szCs w:val="24"/>
                <w:lang w:val="fr-CA"/>
              </w:rPr>
              <w:t>AVIS</w:t>
            </w:r>
          </w:p>
          <w:p w:rsidR="0079724F" w:rsidRPr="009C2345" w:rsidRDefault="0079724F" w:rsidP="00215F7C">
            <w:pPr>
              <w:keepNext/>
              <w:tabs>
                <w:tab w:val="right" w:pos="9360"/>
              </w:tabs>
              <w:rPr>
                <w:szCs w:val="24"/>
                <w:lang w:val="fr-CA"/>
              </w:rPr>
            </w:pPr>
          </w:p>
          <w:p w:rsidR="0079724F" w:rsidRPr="009C2345" w:rsidRDefault="0079724F" w:rsidP="00215F7C">
            <w:pPr>
              <w:keepNext/>
              <w:tabs>
                <w:tab w:val="right" w:pos="9360"/>
              </w:tabs>
              <w:jc w:val="both"/>
              <w:rPr>
                <w:sz w:val="20"/>
                <w:szCs w:val="20"/>
                <w:lang w:val="fr-CA"/>
              </w:rPr>
            </w:pPr>
            <w:r w:rsidRPr="009C2345">
              <w:rPr>
                <w:szCs w:val="24"/>
                <w:lang w:val="fr-CA"/>
              </w:rPr>
              <w:t>Les résumés de dossiers publiés dans le bulletin sont préparés par le Bureau du registraire (Direction générale du droit) uniquement à titre d’information.</w:t>
            </w:r>
          </w:p>
        </w:tc>
      </w:tr>
    </w:tbl>
    <w:p w:rsidR="0095096B" w:rsidRPr="009C2345" w:rsidRDefault="0095096B" w:rsidP="0095096B">
      <w:pPr>
        <w:tabs>
          <w:tab w:val="right" w:pos="9360"/>
        </w:tabs>
        <w:rPr>
          <w:lang w:val="fr-CA"/>
        </w:rPr>
      </w:pPr>
    </w:p>
    <w:p w:rsidR="00A87207" w:rsidRPr="009C2345" w:rsidRDefault="00A87207" w:rsidP="0095096B">
      <w:pPr>
        <w:tabs>
          <w:tab w:val="right" w:pos="9360"/>
        </w:tabs>
        <w:rPr>
          <w:lang w:val="fr-CA"/>
        </w:rPr>
        <w:sectPr w:rsidR="00A87207" w:rsidRPr="009C2345"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9C2345" w:rsidTr="00245129">
        <w:tc>
          <w:tcPr>
            <w:tcW w:w="4200" w:type="dxa"/>
            <w:shd w:val="clear" w:color="auto" w:fill="auto"/>
            <w:tcMar>
              <w:left w:w="0" w:type="dxa"/>
              <w:right w:w="0" w:type="dxa"/>
            </w:tcMar>
          </w:tcPr>
          <w:p w:rsidR="00A87207" w:rsidRPr="009C2345" w:rsidRDefault="00A87207" w:rsidP="00BA6468">
            <w:pPr>
              <w:rPr>
                <w:rFonts w:eastAsia="Times New Roman" w:cs="Times New Roman"/>
                <w:b/>
                <w:sz w:val="20"/>
                <w:szCs w:val="20"/>
                <w:lang w:eastAsia="en-CA"/>
              </w:rPr>
            </w:pPr>
            <w:r w:rsidRPr="009C2345">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9C2345" w:rsidRDefault="00A87207" w:rsidP="002E2327">
            <w:pPr>
              <w:jc w:val="center"/>
              <w:rPr>
                <w:rFonts w:eastAsia="Times New Roman" w:cs="Times New Roman"/>
                <w:b/>
                <w:sz w:val="20"/>
                <w:szCs w:val="20"/>
                <w:lang w:eastAsia="en-CA"/>
              </w:rPr>
            </w:pPr>
          </w:p>
          <w:p w:rsidR="00A87207" w:rsidRPr="009C2345" w:rsidRDefault="00A87207" w:rsidP="002E2327">
            <w:pPr>
              <w:jc w:val="center"/>
              <w:rPr>
                <w:rFonts w:eastAsia="Times New Roman" w:cs="Times New Roman"/>
                <w:b/>
                <w:sz w:val="20"/>
                <w:szCs w:val="20"/>
                <w:lang w:eastAsia="en-CA"/>
              </w:rPr>
            </w:pPr>
          </w:p>
          <w:p w:rsidR="00A87207" w:rsidRPr="009C2345"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9C2345" w:rsidRDefault="00A87207" w:rsidP="00A87207">
            <w:pPr>
              <w:rPr>
                <w:rFonts w:eastAsia="Times New Roman" w:cs="Times New Roman"/>
                <w:b/>
                <w:sz w:val="20"/>
                <w:szCs w:val="20"/>
                <w:lang w:val="fr-CA" w:eastAsia="en-CA"/>
              </w:rPr>
            </w:pPr>
            <w:r w:rsidRPr="009C2345">
              <w:rPr>
                <w:rFonts w:eastAsia="Times New Roman" w:cs="Times New Roman"/>
                <w:b/>
                <w:szCs w:val="20"/>
                <w:lang w:val="fr-CA" w:eastAsia="en-CA"/>
              </w:rPr>
              <w:t>DEMANDES D’AUTORISATION D’APPEL DÉPOSÉES</w:t>
            </w:r>
          </w:p>
        </w:tc>
      </w:tr>
    </w:tbl>
    <w:p w:rsidR="00A87207" w:rsidRPr="009C2345"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82006E" w:rsidTr="00191045">
        <w:trPr>
          <w:cantSplit/>
        </w:trPr>
        <w:tc>
          <w:tcPr>
            <w:tcW w:w="4320" w:type="dxa"/>
            <w:shd w:val="clear" w:color="auto" w:fill="auto"/>
          </w:tcPr>
          <w:p w:rsidR="00C21644" w:rsidRPr="009C2345" w:rsidRDefault="00C758AF" w:rsidP="005F1ED8">
            <w:pPr>
              <w:rPr>
                <w:b/>
                <w:sz w:val="20"/>
                <w:szCs w:val="20"/>
              </w:rPr>
            </w:pPr>
            <w:r w:rsidRPr="009C2345">
              <w:rPr>
                <w:b/>
                <w:sz w:val="20"/>
                <w:szCs w:val="20"/>
              </w:rPr>
              <w:t>NAV Canada</w:t>
            </w:r>
          </w:p>
          <w:p w:rsidR="00C21644" w:rsidRPr="009C2345" w:rsidRDefault="00C21644" w:rsidP="005F1ED8">
            <w:pPr>
              <w:tabs>
                <w:tab w:val="left" w:pos="-1440"/>
                <w:tab w:val="left" w:pos="-720"/>
              </w:tabs>
              <w:rPr>
                <w:sz w:val="20"/>
                <w:szCs w:val="20"/>
              </w:rPr>
            </w:pPr>
            <w:r w:rsidRPr="009C2345">
              <w:rPr>
                <w:sz w:val="20"/>
                <w:szCs w:val="20"/>
              </w:rPr>
              <w:tab/>
            </w:r>
            <w:r w:rsidR="00C758AF" w:rsidRPr="009C2345">
              <w:rPr>
                <w:sz w:val="20"/>
                <w:szCs w:val="20"/>
              </w:rPr>
              <w:t>Brian K. Dell</w:t>
            </w:r>
            <w:r w:rsidRPr="009C2345">
              <w:rPr>
                <w:sz w:val="20"/>
                <w:szCs w:val="20"/>
              </w:rPr>
              <w:t xml:space="preserve"> </w:t>
            </w:r>
          </w:p>
          <w:p w:rsidR="00C21644" w:rsidRPr="009C2345" w:rsidRDefault="00C21644" w:rsidP="005F1ED8">
            <w:pPr>
              <w:tabs>
                <w:tab w:val="left" w:pos="-1440"/>
                <w:tab w:val="left" w:pos="-720"/>
              </w:tabs>
              <w:rPr>
                <w:sz w:val="20"/>
                <w:szCs w:val="20"/>
              </w:rPr>
            </w:pPr>
            <w:r w:rsidRPr="009C2345">
              <w:rPr>
                <w:sz w:val="20"/>
                <w:szCs w:val="20"/>
              </w:rPr>
              <w:tab/>
            </w:r>
            <w:r w:rsidR="00C758AF" w:rsidRPr="009C2345">
              <w:rPr>
                <w:sz w:val="20"/>
                <w:szCs w:val="20"/>
              </w:rPr>
              <w:t>Wilson Laycraft</w:t>
            </w:r>
          </w:p>
          <w:p w:rsidR="00C21644" w:rsidRPr="009C2345" w:rsidRDefault="00C21644" w:rsidP="005F1ED8">
            <w:pPr>
              <w:tabs>
                <w:tab w:val="left" w:pos="-1440"/>
                <w:tab w:val="left" w:pos="-720"/>
              </w:tabs>
              <w:rPr>
                <w:sz w:val="20"/>
                <w:szCs w:val="20"/>
              </w:rPr>
            </w:pPr>
          </w:p>
          <w:p w:rsidR="00C21644" w:rsidRPr="009C2345" w:rsidRDefault="00C21644" w:rsidP="005F1ED8">
            <w:pPr>
              <w:tabs>
                <w:tab w:val="left" w:pos="-1440"/>
                <w:tab w:val="left" w:pos="-720"/>
              </w:tabs>
              <w:rPr>
                <w:sz w:val="20"/>
                <w:szCs w:val="20"/>
              </w:rPr>
            </w:pPr>
            <w:r w:rsidRPr="009C2345">
              <w:rPr>
                <w:sz w:val="20"/>
                <w:szCs w:val="20"/>
              </w:rPr>
              <w:tab/>
              <w:t>v. (3</w:t>
            </w:r>
            <w:r w:rsidR="009B1FFB" w:rsidRPr="009C2345">
              <w:rPr>
                <w:sz w:val="20"/>
                <w:szCs w:val="20"/>
              </w:rPr>
              <w:t>6962</w:t>
            </w:r>
            <w:r w:rsidRPr="009C2345">
              <w:rPr>
                <w:sz w:val="20"/>
                <w:szCs w:val="20"/>
              </w:rPr>
              <w:t>)</w:t>
            </w:r>
          </w:p>
          <w:p w:rsidR="00C21644" w:rsidRPr="009C2345" w:rsidRDefault="00C21644" w:rsidP="005F1ED8">
            <w:pPr>
              <w:tabs>
                <w:tab w:val="left" w:pos="-1440"/>
                <w:tab w:val="left" w:pos="-720"/>
              </w:tabs>
              <w:rPr>
                <w:sz w:val="20"/>
                <w:szCs w:val="20"/>
              </w:rPr>
            </w:pPr>
          </w:p>
          <w:p w:rsidR="00C21644" w:rsidRPr="009C2345" w:rsidRDefault="00C758AF" w:rsidP="005F1ED8">
            <w:pPr>
              <w:tabs>
                <w:tab w:val="left" w:pos="-1440"/>
                <w:tab w:val="left" w:pos="-720"/>
              </w:tabs>
              <w:rPr>
                <w:b/>
                <w:sz w:val="20"/>
                <w:szCs w:val="20"/>
              </w:rPr>
            </w:pPr>
            <w:r w:rsidRPr="009C2345">
              <w:rPr>
                <w:b/>
                <w:sz w:val="20"/>
                <w:szCs w:val="20"/>
              </w:rPr>
              <w:t xml:space="preserve">Assessor of Area #01 </w:t>
            </w:r>
            <w:r w:rsidR="00C5360A" w:rsidRPr="009C2345">
              <w:rPr>
                <w:b/>
                <w:sz w:val="20"/>
                <w:szCs w:val="20"/>
              </w:rPr>
              <w:t>-</w:t>
            </w:r>
            <w:r w:rsidRPr="009C2345">
              <w:rPr>
                <w:b/>
                <w:sz w:val="20"/>
                <w:szCs w:val="20"/>
              </w:rPr>
              <w:t xml:space="preserve"> Capital </w:t>
            </w:r>
            <w:r w:rsidR="00C21644" w:rsidRPr="009C2345">
              <w:rPr>
                <w:b/>
                <w:sz w:val="20"/>
                <w:szCs w:val="20"/>
              </w:rPr>
              <w:t>et al.</w:t>
            </w:r>
            <w:r w:rsidR="00C21644" w:rsidRPr="009C2345">
              <w:rPr>
                <w:sz w:val="20"/>
                <w:szCs w:val="20"/>
              </w:rPr>
              <w:t xml:space="preserve"> </w:t>
            </w:r>
            <w:r w:rsidR="00C21644" w:rsidRPr="009C2345">
              <w:rPr>
                <w:b/>
                <w:sz w:val="20"/>
                <w:szCs w:val="20"/>
              </w:rPr>
              <w:t>(</w:t>
            </w:r>
            <w:r w:rsidR="009B1FFB" w:rsidRPr="009C2345">
              <w:rPr>
                <w:b/>
                <w:sz w:val="20"/>
                <w:szCs w:val="20"/>
              </w:rPr>
              <w:t>B.C</w:t>
            </w:r>
            <w:r w:rsidR="00C21644" w:rsidRPr="009C2345">
              <w:rPr>
                <w:b/>
                <w:sz w:val="20"/>
                <w:szCs w:val="20"/>
              </w:rPr>
              <w:t>.)</w:t>
            </w:r>
          </w:p>
          <w:p w:rsidR="00C21644" w:rsidRPr="009C2345" w:rsidRDefault="00C21644" w:rsidP="005F1ED8">
            <w:pPr>
              <w:tabs>
                <w:tab w:val="left" w:pos="-1440"/>
                <w:tab w:val="left" w:pos="-720"/>
              </w:tabs>
              <w:rPr>
                <w:sz w:val="20"/>
                <w:szCs w:val="20"/>
              </w:rPr>
            </w:pPr>
            <w:r w:rsidRPr="009C2345">
              <w:rPr>
                <w:sz w:val="20"/>
                <w:szCs w:val="20"/>
              </w:rPr>
              <w:tab/>
            </w:r>
            <w:r w:rsidR="00C758AF" w:rsidRPr="009C2345">
              <w:rPr>
                <w:sz w:val="20"/>
                <w:szCs w:val="20"/>
              </w:rPr>
              <w:t>Peter W. Klassen</w:t>
            </w:r>
          </w:p>
          <w:p w:rsidR="00C21644" w:rsidRPr="009C2345" w:rsidRDefault="00C21644" w:rsidP="005F1ED8">
            <w:pPr>
              <w:tabs>
                <w:tab w:val="left" w:pos="-1440"/>
                <w:tab w:val="left" w:pos="-720"/>
              </w:tabs>
              <w:rPr>
                <w:sz w:val="20"/>
                <w:szCs w:val="20"/>
              </w:rPr>
            </w:pPr>
            <w:r w:rsidRPr="009C2345">
              <w:rPr>
                <w:sz w:val="20"/>
                <w:szCs w:val="20"/>
              </w:rPr>
              <w:tab/>
            </w:r>
            <w:r w:rsidR="00C758AF" w:rsidRPr="009C2345">
              <w:rPr>
                <w:sz w:val="20"/>
                <w:szCs w:val="20"/>
              </w:rPr>
              <w:t>Crease Harman &amp; Company</w:t>
            </w:r>
          </w:p>
          <w:p w:rsidR="00C21644" w:rsidRPr="009C2345" w:rsidRDefault="00C21644" w:rsidP="005F1ED8">
            <w:pPr>
              <w:tabs>
                <w:tab w:val="left" w:pos="-1440"/>
                <w:tab w:val="left" w:pos="-720"/>
              </w:tabs>
              <w:rPr>
                <w:sz w:val="20"/>
                <w:szCs w:val="20"/>
              </w:rPr>
            </w:pPr>
          </w:p>
          <w:p w:rsidR="00C21644" w:rsidRPr="009C2345" w:rsidRDefault="00C21644" w:rsidP="005F1ED8">
            <w:pPr>
              <w:rPr>
                <w:sz w:val="20"/>
                <w:szCs w:val="20"/>
              </w:rPr>
            </w:pPr>
            <w:r w:rsidRPr="009C2345">
              <w:rPr>
                <w:sz w:val="20"/>
                <w:szCs w:val="20"/>
              </w:rPr>
              <w:t xml:space="preserve">FILING DATE: </w:t>
            </w:r>
            <w:r w:rsidR="009B1FFB" w:rsidRPr="009C2345">
              <w:rPr>
                <w:sz w:val="20"/>
                <w:szCs w:val="20"/>
              </w:rPr>
              <w:t>18</w:t>
            </w:r>
            <w:r w:rsidRPr="009C2345">
              <w:rPr>
                <w:sz w:val="20"/>
                <w:szCs w:val="20"/>
              </w:rPr>
              <w:t>.</w:t>
            </w:r>
            <w:r w:rsidR="009B1FFB" w:rsidRPr="009C2345">
              <w:rPr>
                <w:sz w:val="20"/>
                <w:szCs w:val="20"/>
              </w:rPr>
              <w:t>04</w:t>
            </w:r>
            <w:r w:rsidRPr="009C2345">
              <w:rPr>
                <w:sz w:val="20"/>
                <w:szCs w:val="20"/>
              </w:rPr>
              <w:t>.201</w:t>
            </w:r>
            <w:r w:rsidR="009B1FFB" w:rsidRPr="009C2345">
              <w:rPr>
                <w:sz w:val="20"/>
                <w:szCs w:val="20"/>
              </w:rPr>
              <w:t>6</w:t>
            </w:r>
          </w:p>
          <w:p w:rsidR="00C21644" w:rsidRPr="009C2345" w:rsidRDefault="0082006E"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9C2345" w:rsidRDefault="00C21644" w:rsidP="00242AEE">
            <w:pPr>
              <w:jc w:val="center"/>
              <w:rPr>
                <w:sz w:val="20"/>
                <w:szCs w:val="20"/>
              </w:rPr>
            </w:pPr>
          </w:p>
          <w:p w:rsidR="00C21644" w:rsidRPr="009C2345" w:rsidRDefault="00C21644" w:rsidP="00242AEE">
            <w:pPr>
              <w:jc w:val="center"/>
              <w:rPr>
                <w:sz w:val="20"/>
                <w:szCs w:val="20"/>
              </w:rPr>
            </w:pPr>
          </w:p>
          <w:p w:rsidR="00C21644" w:rsidRPr="009C2345" w:rsidRDefault="00C21644" w:rsidP="00242AEE">
            <w:pPr>
              <w:jc w:val="center"/>
              <w:rPr>
                <w:sz w:val="20"/>
                <w:szCs w:val="20"/>
              </w:rPr>
            </w:pPr>
          </w:p>
          <w:p w:rsidR="00C21644" w:rsidRPr="009C2345" w:rsidRDefault="00C21644" w:rsidP="00242AEE">
            <w:pPr>
              <w:jc w:val="center"/>
              <w:rPr>
                <w:sz w:val="20"/>
                <w:szCs w:val="20"/>
              </w:rPr>
            </w:pPr>
          </w:p>
          <w:p w:rsidR="00C21644" w:rsidRPr="009C2345" w:rsidRDefault="00C21644" w:rsidP="00242AEE">
            <w:pPr>
              <w:jc w:val="center"/>
              <w:rPr>
                <w:sz w:val="20"/>
                <w:szCs w:val="20"/>
              </w:rPr>
            </w:pPr>
          </w:p>
          <w:p w:rsidR="00C21644" w:rsidRPr="009C2345" w:rsidRDefault="00C21644" w:rsidP="00242AEE">
            <w:pPr>
              <w:jc w:val="center"/>
              <w:rPr>
                <w:sz w:val="20"/>
                <w:szCs w:val="20"/>
              </w:rPr>
            </w:pPr>
          </w:p>
          <w:p w:rsidR="00C21644" w:rsidRPr="009C2345" w:rsidRDefault="00C21644" w:rsidP="00242AEE">
            <w:pPr>
              <w:jc w:val="center"/>
              <w:rPr>
                <w:sz w:val="20"/>
                <w:szCs w:val="20"/>
              </w:rPr>
            </w:pPr>
          </w:p>
          <w:p w:rsidR="00C21644" w:rsidRPr="009C2345" w:rsidRDefault="00C21644" w:rsidP="00242AEE">
            <w:pPr>
              <w:jc w:val="center"/>
              <w:rPr>
                <w:sz w:val="20"/>
                <w:szCs w:val="20"/>
              </w:rPr>
            </w:pPr>
          </w:p>
          <w:p w:rsidR="00C21644" w:rsidRPr="009C2345" w:rsidRDefault="00C21644" w:rsidP="00242AEE">
            <w:pPr>
              <w:jc w:val="center"/>
              <w:rPr>
                <w:sz w:val="20"/>
                <w:szCs w:val="20"/>
              </w:rPr>
            </w:pPr>
          </w:p>
          <w:p w:rsidR="00C21644" w:rsidRPr="009C2345" w:rsidRDefault="00C21644" w:rsidP="00242AEE">
            <w:pPr>
              <w:jc w:val="center"/>
              <w:rPr>
                <w:sz w:val="20"/>
                <w:szCs w:val="20"/>
              </w:rPr>
            </w:pPr>
          </w:p>
          <w:p w:rsidR="00C21644" w:rsidRPr="009C2345" w:rsidRDefault="00C21644" w:rsidP="00242AEE">
            <w:pPr>
              <w:jc w:val="center"/>
              <w:rPr>
                <w:sz w:val="20"/>
                <w:szCs w:val="20"/>
              </w:rPr>
            </w:pPr>
          </w:p>
          <w:p w:rsidR="00C21644" w:rsidRPr="009C2345" w:rsidRDefault="00C21644" w:rsidP="00242AEE">
            <w:pPr>
              <w:jc w:val="center"/>
              <w:rPr>
                <w:sz w:val="20"/>
                <w:szCs w:val="20"/>
              </w:rPr>
            </w:pPr>
          </w:p>
          <w:p w:rsidR="00C21644" w:rsidRPr="009C2345" w:rsidRDefault="00C21644" w:rsidP="00242AEE">
            <w:pPr>
              <w:jc w:val="center"/>
              <w:rPr>
                <w:sz w:val="20"/>
                <w:szCs w:val="20"/>
              </w:rPr>
            </w:pPr>
          </w:p>
        </w:tc>
        <w:tc>
          <w:tcPr>
            <w:tcW w:w="4320" w:type="dxa"/>
            <w:shd w:val="clear" w:color="auto" w:fill="auto"/>
          </w:tcPr>
          <w:p w:rsidR="00C21644" w:rsidRPr="009C2345" w:rsidRDefault="00EE4378" w:rsidP="005F1ED8">
            <w:pPr>
              <w:keepNext/>
              <w:keepLines/>
              <w:tabs>
                <w:tab w:val="left" w:pos="-1440"/>
                <w:tab w:val="left" w:pos="-720"/>
              </w:tabs>
              <w:rPr>
                <w:b/>
                <w:sz w:val="20"/>
                <w:szCs w:val="20"/>
                <w:lang w:val="fr-CA"/>
              </w:rPr>
            </w:pPr>
            <w:r w:rsidRPr="009C2345">
              <w:rPr>
                <w:b/>
                <w:sz w:val="20"/>
                <w:szCs w:val="20"/>
                <w:lang w:val="fr-CA"/>
              </w:rPr>
              <w:t>9256-0929 Québec inc.</w:t>
            </w:r>
          </w:p>
          <w:p w:rsidR="00C21644" w:rsidRPr="009C2345" w:rsidRDefault="00C21644" w:rsidP="005F1ED8">
            <w:pPr>
              <w:keepNext/>
              <w:keepLines/>
              <w:tabs>
                <w:tab w:val="left" w:pos="-1440"/>
                <w:tab w:val="left" w:pos="-720"/>
              </w:tabs>
              <w:rPr>
                <w:sz w:val="20"/>
                <w:szCs w:val="20"/>
                <w:lang w:val="fr-CA"/>
              </w:rPr>
            </w:pPr>
            <w:r w:rsidRPr="009C2345">
              <w:rPr>
                <w:sz w:val="20"/>
                <w:szCs w:val="20"/>
                <w:lang w:val="fr-CA"/>
              </w:rPr>
              <w:tab/>
            </w:r>
            <w:r w:rsidR="00FA38D7" w:rsidRPr="009C2345">
              <w:rPr>
                <w:sz w:val="20"/>
                <w:szCs w:val="20"/>
                <w:lang w:val="fr-CA"/>
              </w:rPr>
              <w:t>Jean El Masri</w:t>
            </w:r>
          </w:p>
          <w:p w:rsidR="00C21644" w:rsidRPr="009C2345" w:rsidRDefault="00C21644" w:rsidP="005F1ED8">
            <w:pPr>
              <w:keepNext/>
              <w:keepLines/>
              <w:tabs>
                <w:tab w:val="left" w:pos="-1440"/>
                <w:tab w:val="left" w:pos="-720"/>
              </w:tabs>
              <w:rPr>
                <w:sz w:val="20"/>
                <w:szCs w:val="20"/>
                <w:lang w:val="fr-CA"/>
              </w:rPr>
            </w:pPr>
            <w:r w:rsidRPr="009C2345">
              <w:rPr>
                <w:sz w:val="20"/>
                <w:szCs w:val="20"/>
                <w:lang w:val="fr-CA"/>
              </w:rPr>
              <w:tab/>
            </w:r>
            <w:r w:rsidR="00FA38D7" w:rsidRPr="009C2345">
              <w:rPr>
                <w:sz w:val="20"/>
                <w:szCs w:val="20"/>
                <w:lang w:val="fr-CA"/>
              </w:rPr>
              <w:t>El Masri, Dugal</w:t>
            </w:r>
          </w:p>
          <w:p w:rsidR="00C21644" w:rsidRPr="009C2345" w:rsidRDefault="00C21644" w:rsidP="005F1ED8">
            <w:pPr>
              <w:keepNext/>
              <w:keepLines/>
              <w:tabs>
                <w:tab w:val="left" w:pos="-1440"/>
                <w:tab w:val="left" w:pos="-720"/>
              </w:tabs>
              <w:rPr>
                <w:sz w:val="20"/>
                <w:szCs w:val="20"/>
                <w:lang w:val="fr-CA"/>
              </w:rPr>
            </w:pPr>
          </w:p>
          <w:p w:rsidR="00C21644" w:rsidRPr="009C2345" w:rsidRDefault="00C21644" w:rsidP="005F1ED8">
            <w:pPr>
              <w:keepNext/>
              <w:keepLines/>
              <w:tabs>
                <w:tab w:val="left" w:pos="-1440"/>
                <w:tab w:val="left" w:pos="-720"/>
              </w:tabs>
              <w:rPr>
                <w:sz w:val="20"/>
                <w:szCs w:val="20"/>
                <w:lang w:val="fr-CA"/>
              </w:rPr>
            </w:pPr>
            <w:r w:rsidRPr="009C2345">
              <w:rPr>
                <w:sz w:val="20"/>
                <w:szCs w:val="20"/>
                <w:lang w:val="fr-CA"/>
              </w:rPr>
              <w:tab/>
              <w:t>c. (3</w:t>
            </w:r>
            <w:r w:rsidR="00EE4378" w:rsidRPr="009C2345">
              <w:rPr>
                <w:sz w:val="20"/>
                <w:szCs w:val="20"/>
                <w:lang w:val="fr-CA"/>
              </w:rPr>
              <w:t>6959</w:t>
            </w:r>
            <w:r w:rsidRPr="009C2345">
              <w:rPr>
                <w:sz w:val="20"/>
                <w:szCs w:val="20"/>
                <w:lang w:val="fr-CA"/>
              </w:rPr>
              <w:t>)</w:t>
            </w:r>
          </w:p>
          <w:p w:rsidR="00C21644" w:rsidRPr="009C2345" w:rsidRDefault="00C21644" w:rsidP="005F1ED8">
            <w:pPr>
              <w:keepNext/>
              <w:keepLines/>
              <w:tabs>
                <w:tab w:val="left" w:pos="-1440"/>
                <w:tab w:val="left" w:pos="-720"/>
              </w:tabs>
              <w:rPr>
                <w:sz w:val="20"/>
                <w:szCs w:val="20"/>
                <w:lang w:val="fr-CA"/>
              </w:rPr>
            </w:pPr>
          </w:p>
          <w:p w:rsidR="00C21644" w:rsidRPr="009C2345" w:rsidRDefault="00FA38D7" w:rsidP="005F1ED8">
            <w:pPr>
              <w:keepNext/>
              <w:keepLines/>
              <w:tabs>
                <w:tab w:val="left" w:pos="-1440"/>
                <w:tab w:val="left" w:pos="-720"/>
              </w:tabs>
              <w:rPr>
                <w:b/>
                <w:sz w:val="20"/>
                <w:szCs w:val="20"/>
                <w:lang w:val="fr-CA"/>
              </w:rPr>
            </w:pPr>
            <w:r w:rsidRPr="009C2345">
              <w:rPr>
                <w:b/>
                <w:sz w:val="20"/>
                <w:szCs w:val="20"/>
                <w:lang w:val="fr-CA"/>
              </w:rPr>
              <w:t>Brigitte Turcot et autre</w:t>
            </w:r>
            <w:r w:rsidR="00C21644" w:rsidRPr="009C2345">
              <w:rPr>
                <w:b/>
                <w:sz w:val="20"/>
                <w:szCs w:val="20"/>
                <w:lang w:val="fr-CA"/>
              </w:rPr>
              <w:t xml:space="preserve"> (Qc)</w:t>
            </w:r>
          </w:p>
          <w:p w:rsidR="00C21644" w:rsidRPr="009C2345" w:rsidRDefault="00C21644" w:rsidP="005F1ED8">
            <w:pPr>
              <w:keepNext/>
              <w:keepLines/>
              <w:tabs>
                <w:tab w:val="left" w:pos="-1440"/>
                <w:tab w:val="left" w:pos="-720"/>
              </w:tabs>
              <w:rPr>
                <w:sz w:val="20"/>
                <w:szCs w:val="20"/>
                <w:lang w:val="fr-CA"/>
              </w:rPr>
            </w:pPr>
            <w:r w:rsidRPr="009C2345">
              <w:rPr>
                <w:sz w:val="20"/>
                <w:szCs w:val="20"/>
                <w:lang w:val="fr-CA"/>
              </w:rPr>
              <w:tab/>
            </w:r>
            <w:r w:rsidR="00FA38D7" w:rsidRPr="009C2345">
              <w:rPr>
                <w:sz w:val="20"/>
                <w:szCs w:val="20"/>
                <w:lang w:val="fr-CA"/>
              </w:rPr>
              <w:t>Jessica Laforest</w:t>
            </w:r>
          </w:p>
          <w:p w:rsidR="00C21644" w:rsidRPr="009C2345" w:rsidRDefault="00C21644" w:rsidP="005F1ED8">
            <w:pPr>
              <w:keepNext/>
              <w:keepLines/>
              <w:tabs>
                <w:tab w:val="left" w:pos="-1440"/>
                <w:tab w:val="left" w:pos="-720"/>
              </w:tabs>
              <w:rPr>
                <w:sz w:val="20"/>
                <w:szCs w:val="20"/>
                <w:lang w:val="fr-CA"/>
              </w:rPr>
            </w:pPr>
            <w:r w:rsidRPr="009C2345">
              <w:rPr>
                <w:sz w:val="20"/>
                <w:szCs w:val="20"/>
                <w:lang w:val="fr-CA"/>
              </w:rPr>
              <w:tab/>
            </w:r>
            <w:r w:rsidR="00FA38D7" w:rsidRPr="009C2345">
              <w:rPr>
                <w:sz w:val="20"/>
                <w:szCs w:val="20"/>
                <w:lang w:val="fr-CA"/>
              </w:rPr>
              <w:t>Rivest, Tellier, Paradis</w:t>
            </w:r>
          </w:p>
          <w:p w:rsidR="00C21644" w:rsidRPr="009C2345" w:rsidRDefault="00C21644" w:rsidP="005F1ED8">
            <w:pPr>
              <w:keepNext/>
              <w:keepLines/>
              <w:tabs>
                <w:tab w:val="left" w:pos="-1440"/>
                <w:tab w:val="left" w:pos="-720"/>
              </w:tabs>
              <w:rPr>
                <w:sz w:val="20"/>
                <w:szCs w:val="20"/>
                <w:lang w:val="fr-CA"/>
              </w:rPr>
            </w:pPr>
          </w:p>
          <w:p w:rsidR="00C21644" w:rsidRPr="009C2345" w:rsidRDefault="00C21644" w:rsidP="00FA38D7">
            <w:pPr>
              <w:rPr>
                <w:sz w:val="20"/>
                <w:szCs w:val="20"/>
                <w:lang w:val="fr-CA"/>
              </w:rPr>
            </w:pPr>
            <w:r w:rsidRPr="009C2345">
              <w:rPr>
                <w:sz w:val="20"/>
                <w:szCs w:val="20"/>
                <w:lang w:val="fr-CA"/>
              </w:rPr>
              <w:t xml:space="preserve">DATE DE PRODUCTION: </w:t>
            </w:r>
            <w:r w:rsidR="00FA38D7" w:rsidRPr="009C2345">
              <w:rPr>
                <w:sz w:val="20"/>
                <w:szCs w:val="20"/>
                <w:lang w:val="fr-CA"/>
              </w:rPr>
              <w:t>18</w:t>
            </w:r>
            <w:r w:rsidRPr="009C2345">
              <w:rPr>
                <w:sz w:val="20"/>
                <w:szCs w:val="20"/>
                <w:lang w:val="fr-CA"/>
              </w:rPr>
              <w:t>.0</w:t>
            </w:r>
            <w:r w:rsidR="00FA38D7" w:rsidRPr="009C2345">
              <w:rPr>
                <w:sz w:val="20"/>
                <w:szCs w:val="20"/>
                <w:lang w:val="fr-CA"/>
              </w:rPr>
              <w:t>4</w:t>
            </w:r>
            <w:r w:rsidRPr="009C2345">
              <w:rPr>
                <w:sz w:val="20"/>
                <w:szCs w:val="20"/>
                <w:lang w:val="fr-CA"/>
              </w:rPr>
              <w:t>.201</w:t>
            </w:r>
            <w:r w:rsidR="00FA38D7" w:rsidRPr="009C2345">
              <w:rPr>
                <w:sz w:val="20"/>
                <w:szCs w:val="20"/>
                <w:lang w:val="fr-CA"/>
              </w:rPr>
              <w:t>6</w:t>
            </w:r>
            <w:r w:rsidR="0082006E">
              <w:rPr>
                <w:sz w:val="20"/>
                <w:szCs w:val="20"/>
                <w:lang w:val="fr-CA"/>
              </w:rPr>
              <w:pict>
                <v:rect id="_x0000_i1026" style="width:108pt;height:1pt" o:hrpct="0" o:hralign="center" o:hrstd="t" o:hrnoshade="t" o:hr="t" fillcolor="black [3213]" stroked="f"/>
              </w:pict>
            </w:r>
          </w:p>
        </w:tc>
      </w:tr>
      <w:tr w:rsidR="00191045" w:rsidRPr="009C2345" w:rsidTr="00191045">
        <w:trPr>
          <w:cantSplit/>
        </w:trPr>
        <w:tc>
          <w:tcPr>
            <w:tcW w:w="4320" w:type="dxa"/>
            <w:shd w:val="clear" w:color="auto" w:fill="auto"/>
          </w:tcPr>
          <w:p w:rsidR="00191045" w:rsidRPr="009C2345" w:rsidRDefault="00191045" w:rsidP="005F1ED8">
            <w:pPr>
              <w:rPr>
                <w:b/>
                <w:sz w:val="20"/>
                <w:szCs w:val="20"/>
                <w:lang w:val="fr-CA"/>
              </w:rPr>
            </w:pPr>
            <w:r w:rsidRPr="009C2345">
              <w:rPr>
                <w:b/>
                <w:sz w:val="20"/>
                <w:szCs w:val="20"/>
                <w:lang w:val="fr-CA"/>
              </w:rPr>
              <w:t>Sa Majesté la Reine</w:t>
            </w:r>
          </w:p>
          <w:p w:rsidR="00191045" w:rsidRPr="009C2345" w:rsidRDefault="00191045" w:rsidP="00191045">
            <w:pPr>
              <w:keepNext/>
              <w:keepLines/>
              <w:tabs>
                <w:tab w:val="left" w:pos="-1440"/>
                <w:tab w:val="left" w:pos="-720"/>
              </w:tabs>
              <w:rPr>
                <w:sz w:val="20"/>
                <w:szCs w:val="20"/>
                <w:lang w:val="fr-CA"/>
              </w:rPr>
            </w:pPr>
            <w:r w:rsidRPr="009C2345">
              <w:rPr>
                <w:sz w:val="20"/>
                <w:szCs w:val="20"/>
                <w:lang w:val="fr-CA"/>
              </w:rPr>
              <w:tab/>
              <w:t>Robert Benoit</w:t>
            </w:r>
          </w:p>
          <w:p w:rsidR="00191045" w:rsidRPr="009C2345" w:rsidRDefault="00191045" w:rsidP="00191045">
            <w:pPr>
              <w:keepNext/>
              <w:keepLines/>
              <w:tabs>
                <w:tab w:val="left" w:pos="-1440"/>
                <w:tab w:val="left" w:pos="-720"/>
              </w:tabs>
              <w:rPr>
                <w:sz w:val="20"/>
                <w:szCs w:val="20"/>
                <w:lang w:val="fr-CA"/>
              </w:rPr>
            </w:pPr>
            <w:r w:rsidRPr="009C2345">
              <w:rPr>
                <w:sz w:val="20"/>
                <w:szCs w:val="20"/>
                <w:lang w:val="fr-CA"/>
              </w:rPr>
              <w:tab/>
              <w:t>Poursuites criminelles et pénales du</w:t>
            </w:r>
          </w:p>
          <w:p w:rsidR="00191045" w:rsidRPr="009C2345" w:rsidRDefault="00191045" w:rsidP="00191045">
            <w:pPr>
              <w:keepNext/>
              <w:keepLines/>
              <w:tabs>
                <w:tab w:val="left" w:pos="-1440"/>
                <w:tab w:val="left" w:pos="-720"/>
              </w:tabs>
              <w:rPr>
                <w:sz w:val="20"/>
                <w:szCs w:val="20"/>
                <w:lang w:val="fr-CA"/>
              </w:rPr>
            </w:pPr>
            <w:r w:rsidRPr="009C2345">
              <w:rPr>
                <w:sz w:val="20"/>
                <w:szCs w:val="20"/>
                <w:lang w:val="fr-CA"/>
              </w:rPr>
              <w:tab/>
              <w:t>Québec</w:t>
            </w:r>
          </w:p>
          <w:p w:rsidR="00191045" w:rsidRPr="009C2345" w:rsidRDefault="00191045" w:rsidP="00191045">
            <w:pPr>
              <w:keepNext/>
              <w:keepLines/>
              <w:tabs>
                <w:tab w:val="left" w:pos="-1440"/>
                <w:tab w:val="left" w:pos="-720"/>
              </w:tabs>
              <w:rPr>
                <w:sz w:val="20"/>
                <w:szCs w:val="20"/>
                <w:lang w:val="fr-CA"/>
              </w:rPr>
            </w:pPr>
          </w:p>
          <w:p w:rsidR="00191045" w:rsidRPr="009C2345" w:rsidRDefault="00191045" w:rsidP="00191045">
            <w:pPr>
              <w:keepNext/>
              <w:keepLines/>
              <w:tabs>
                <w:tab w:val="left" w:pos="-1440"/>
                <w:tab w:val="left" w:pos="-720"/>
              </w:tabs>
              <w:rPr>
                <w:sz w:val="20"/>
                <w:szCs w:val="20"/>
              </w:rPr>
            </w:pPr>
            <w:r w:rsidRPr="009C2345">
              <w:rPr>
                <w:sz w:val="20"/>
                <w:szCs w:val="20"/>
                <w:lang w:val="fr-CA"/>
              </w:rPr>
              <w:tab/>
            </w:r>
            <w:r w:rsidRPr="009C2345">
              <w:rPr>
                <w:sz w:val="20"/>
                <w:szCs w:val="20"/>
              </w:rPr>
              <w:t>c. (36975)</w:t>
            </w:r>
          </w:p>
          <w:p w:rsidR="00191045" w:rsidRPr="009C2345" w:rsidRDefault="00191045" w:rsidP="00191045">
            <w:pPr>
              <w:keepNext/>
              <w:keepLines/>
              <w:tabs>
                <w:tab w:val="left" w:pos="-1440"/>
                <w:tab w:val="left" w:pos="-720"/>
              </w:tabs>
              <w:rPr>
                <w:sz w:val="20"/>
                <w:szCs w:val="20"/>
              </w:rPr>
            </w:pPr>
          </w:p>
          <w:p w:rsidR="00191045" w:rsidRPr="009C2345" w:rsidRDefault="00191045" w:rsidP="00191045">
            <w:pPr>
              <w:keepNext/>
              <w:keepLines/>
              <w:tabs>
                <w:tab w:val="left" w:pos="-1440"/>
                <w:tab w:val="left" w:pos="-720"/>
              </w:tabs>
              <w:rPr>
                <w:b/>
                <w:sz w:val="20"/>
                <w:szCs w:val="20"/>
              </w:rPr>
            </w:pPr>
            <w:r w:rsidRPr="009C2345">
              <w:rPr>
                <w:b/>
                <w:sz w:val="20"/>
                <w:szCs w:val="20"/>
              </w:rPr>
              <w:t>Darrin Green (Qc)</w:t>
            </w:r>
          </w:p>
          <w:p w:rsidR="00191045" w:rsidRPr="009C2345" w:rsidRDefault="00191045" w:rsidP="00191045">
            <w:pPr>
              <w:keepNext/>
              <w:keepLines/>
              <w:tabs>
                <w:tab w:val="left" w:pos="-1440"/>
                <w:tab w:val="left" w:pos="-720"/>
              </w:tabs>
              <w:rPr>
                <w:sz w:val="20"/>
                <w:szCs w:val="20"/>
              </w:rPr>
            </w:pPr>
            <w:r w:rsidRPr="009C2345">
              <w:rPr>
                <w:sz w:val="20"/>
                <w:szCs w:val="20"/>
              </w:rPr>
              <w:tab/>
              <w:t>Jonathan Gordon</w:t>
            </w:r>
          </w:p>
          <w:p w:rsidR="00191045" w:rsidRPr="009C2345" w:rsidRDefault="00191045" w:rsidP="00191045">
            <w:pPr>
              <w:keepNext/>
              <w:keepLines/>
              <w:tabs>
                <w:tab w:val="left" w:pos="-1440"/>
                <w:tab w:val="left" w:pos="-720"/>
              </w:tabs>
              <w:rPr>
                <w:sz w:val="20"/>
                <w:szCs w:val="20"/>
              </w:rPr>
            </w:pPr>
            <w:r w:rsidRPr="009C2345">
              <w:rPr>
                <w:sz w:val="20"/>
                <w:szCs w:val="20"/>
              </w:rPr>
              <w:tab/>
              <w:t>Boro, Polnicky, Lighter</w:t>
            </w:r>
          </w:p>
          <w:p w:rsidR="00191045" w:rsidRPr="009C2345" w:rsidRDefault="00191045" w:rsidP="00191045">
            <w:pPr>
              <w:keepNext/>
              <w:keepLines/>
              <w:tabs>
                <w:tab w:val="left" w:pos="-1440"/>
                <w:tab w:val="left" w:pos="-720"/>
              </w:tabs>
              <w:rPr>
                <w:sz w:val="20"/>
                <w:szCs w:val="20"/>
              </w:rPr>
            </w:pPr>
          </w:p>
          <w:p w:rsidR="00191045" w:rsidRPr="009C2345" w:rsidRDefault="00191045" w:rsidP="00191045">
            <w:pPr>
              <w:rPr>
                <w:sz w:val="20"/>
                <w:szCs w:val="20"/>
              </w:rPr>
            </w:pPr>
            <w:r w:rsidRPr="009C2345">
              <w:rPr>
                <w:sz w:val="20"/>
                <w:szCs w:val="20"/>
              </w:rPr>
              <w:t>FILING DATE: 19.04.2016</w:t>
            </w:r>
            <w:r w:rsidR="0082006E">
              <w:rPr>
                <w:sz w:val="20"/>
                <w:szCs w:val="20"/>
                <w:lang w:val="fr-CA"/>
              </w:rPr>
              <w:pict>
                <v:rect id="_x0000_i1027" style="width:108pt;height:1pt" o:hrpct="0" o:hralign="center" o:hrstd="t" o:hrnoshade="t" o:hr="t" fillcolor="black [3213]" stroked="f"/>
              </w:pict>
            </w:r>
          </w:p>
          <w:p w:rsidR="00191045" w:rsidRPr="009C2345" w:rsidRDefault="00191045" w:rsidP="00191045">
            <w:pPr>
              <w:rPr>
                <w:b/>
                <w:sz w:val="20"/>
                <w:szCs w:val="20"/>
              </w:rPr>
            </w:pPr>
          </w:p>
        </w:tc>
        <w:tc>
          <w:tcPr>
            <w:tcW w:w="1181" w:type="dxa"/>
            <w:shd w:val="clear" w:color="auto" w:fill="auto"/>
          </w:tcPr>
          <w:p w:rsidR="00191045" w:rsidRPr="009C2345" w:rsidRDefault="00191045" w:rsidP="00242AEE">
            <w:pPr>
              <w:jc w:val="center"/>
              <w:rPr>
                <w:sz w:val="20"/>
                <w:szCs w:val="20"/>
              </w:rPr>
            </w:pPr>
          </w:p>
        </w:tc>
        <w:tc>
          <w:tcPr>
            <w:tcW w:w="4320" w:type="dxa"/>
            <w:shd w:val="clear" w:color="auto" w:fill="auto"/>
          </w:tcPr>
          <w:p w:rsidR="00191045" w:rsidRPr="009C2345" w:rsidRDefault="00191045" w:rsidP="00191045">
            <w:pPr>
              <w:rPr>
                <w:b/>
                <w:sz w:val="20"/>
                <w:szCs w:val="20"/>
              </w:rPr>
            </w:pPr>
            <w:r w:rsidRPr="009C2345">
              <w:rPr>
                <w:b/>
                <w:sz w:val="20"/>
                <w:szCs w:val="20"/>
              </w:rPr>
              <w:t>Dheeraj Kumar Mittal</w:t>
            </w:r>
          </w:p>
          <w:p w:rsidR="00191045" w:rsidRPr="009C2345" w:rsidRDefault="00191045" w:rsidP="00191045">
            <w:pPr>
              <w:tabs>
                <w:tab w:val="left" w:pos="-1440"/>
                <w:tab w:val="left" w:pos="-720"/>
              </w:tabs>
              <w:rPr>
                <w:sz w:val="20"/>
                <w:szCs w:val="20"/>
              </w:rPr>
            </w:pPr>
            <w:r w:rsidRPr="009C2345">
              <w:rPr>
                <w:sz w:val="20"/>
                <w:szCs w:val="20"/>
              </w:rPr>
              <w:tab/>
              <w:t>Jamie A. Kagan</w:t>
            </w:r>
          </w:p>
          <w:p w:rsidR="00191045" w:rsidRPr="009C2345" w:rsidRDefault="00191045" w:rsidP="00191045">
            <w:pPr>
              <w:tabs>
                <w:tab w:val="left" w:pos="-1440"/>
                <w:tab w:val="left" w:pos="-720"/>
              </w:tabs>
              <w:rPr>
                <w:sz w:val="20"/>
                <w:szCs w:val="20"/>
              </w:rPr>
            </w:pPr>
            <w:r w:rsidRPr="009C2345">
              <w:rPr>
                <w:sz w:val="20"/>
                <w:szCs w:val="20"/>
              </w:rPr>
              <w:tab/>
              <w:t>Thompson Dorfman Sweatman LLP</w:t>
            </w:r>
          </w:p>
          <w:p w:rsidR="00191045" w:rsidRPr="009C2345" w:rsidRDefault="00191045" w:rsidP="00191045">
            <w:pPr>
              <w:tabs>
                <w:tab w:val="left" w:pos="-1440"/>
                <w:tab w:val="left" w:pos="-720"/>
              </w:tabs>
              <w:rPr>
                <w:sz w:val="20"/>
                <w:szCs w:val="20"/>
              </w:rPr>
            </w:pPr>
          </w:p>
          <w:p w:rsidR="00191045" w:rsidRPr="009C2345" w:rsidRDefault="00191045" w:rsidP="00191045">
            <w:pPr>
              <w:tabs>
                <w:tab w:val="left" w:pos="-1440"/>
                <w:tab w:val="left" w:pos="-720"/>
              </w:tabs>
              <w:rPr>
                <w:sz w:val="20"/>
                <w:szCs w:val="20"/>
              </w:rPr>
            </w:pPr>
            <w:r w:rsidRPr="009C2345">
              <w:rPr>
                <w:sz w:val="20"/>
                <w:szCs w:val="20"/>
              </w:rPr>
              <w:tab/>
              <w:t>v. (36965)</w:t>
            </w:r>
          </w:p>
          <w:p w:rsidR="00191045" w:rsidRPr="009C2345" w:rsidRDefault="00191045" w:rsidP="00191045">
            <w:pPr>
              <w:tabs>
                <w:tab w:val="left" w:pos="-1440"/>
                <w:tab w:val="left" w:pos="-720"/>
              </w:tabs>
              <w:rPr>
                <w:sz w:val="20"/>
                <w:szCs w:val="20"/>
              </w:rPr>
            </w:pPr>
          </w:p>
          <w:p w:rsidR="00191045" w:rsidRPr="009C2345" w:rsidRDefault="00191045" w:rsidP="00191045">
            <w:pPr>
              <w:tabs>
                <w:tab w:val="left" w:pos="-1440"/>
                <w:tab w:val="left" w:pos="-720"/>
              </w:tabs>
              <w:rPr>
                <w:b/>
                <w:sz w:val="20"/>
                <w:szCs w:val="20"/>
              </w:rPr>
            </w:pPr>
            <w:r w:rsidRPr="009C2345">
              <w:rPr>
                <w:b/>
                <w:sz w:val="20"/>
                <w:szCs w:val="20"/>
              </w:rPr>
              <w:t>Minister of Health (F.C.)</w:t>
            </w:r>
          </w:p>
          <w:p w:rsidR="00191045" w:rsidRPr="009C2345" w:rsidRDefault="00191045" w:rsidP="00191045">
            <w:pPr>
              <w:tabs>
                <w:tab w:val="left" w:pos="-1440"/>
                <w:tab w:val="left" w:pos="-720"/>
              </w:tabs>
              <w:rPr>
                <w:sz w:val="20"/>
                <w:szCs w:val="20"/>
              </w:rPr>
            </w:pPr>
            <w:r w:rsidRPr="009C2345">
              <w:rPr>
                <w:sz w:val="20"/>
                <w:szCs w:val="20"/>
              </w:rPr>
              <w:tab/>
              <w:t>Dhara Drew</w:t>
            </w:r>
          </w:p>
          <w:p w:rsidR="00191045" w:rsidRPr="009C2345" w:rsidRDefault="00191045" w:rsidP="00191045">
            <w:pPr>
              <w:tabs>
                <w:tab w:val="left" w:pos="-1440"/>
                <w:tab w:val="left" w:pos="-720"/>
              </w:tabs>
              <w:rPr>
                <w:sz w:val="20"/>
                <w:szCs w:val="20"/>
              </w:rPr>
            </w:pPr>
            <w:r w:rsidRPr="009C2345">
              <w:rPr>
                <w:sz w:val="20"/>
                <w:szCs w:val="20"/>
              </w:rPr>
              <w:tab/>
              <w:t>A.G. of Canada</w:t>
            </w:r>
          </w:p>
          <w:p w:rsidR="00191045" w:rsidRPr="009C2345" w:rsidRDefault="00191045" w:rsidP="00191045">
            <w:pPr>
              <w:tabs>
                <w:tab w:val="left" w:pos="-1440"/>
                <w:tab w:val="left" w:pos="-720"/>
              </w:tabs>
              <w:rPr>
                <w:sz w:val="20"/>
                <w:szCs w:val="20"/>
              </w:rPr>
            </w:pPr>
          </w:p>
          <w:p w:rsidR="00191045" w:rsidRPr="009C2345" w:rsidRDefault="00191045" w:rsidP="00191045">
            <w:pPr>
              <w:rPr>
                <w:sz w:val="20"/>
                <w:szCs w:val="20"/>
              </w:rPr>
            </w:pPr>
            <w:r w:rsidRPr="009C2345">
              <w:rPr>
                <w:sz w:val="20"/>
                <w:szCs w:val="20"/>
              </w:rPr>
              <w:t>FILING DATE: 20.04.2016</w:t>
            </w:r>
          </w:p>
          <w:p w:rsidR="00191045" w:rsidRPr="009C2345" w:rsidRDefault="0082006E" w:rsidP="00191045">
            <w:pPr>
              <w:keepNext/>
              <w:keepLines/>
              <w:tabs>
                <w:tab w:val="left" w:pos="-1440"/>
                <w:tab w:val="left" w:pos="-720"/>
              </w:tabs>
              <w:rPr>
                <w:b/>
                <w:sz w:val="20"/>
                <w:szCs w:val="20"/>
                <w:lang w:val="fr-CA"/>
              </w:rPr>
            </w:pPr>
            <w:r>
              <w:rPr>
                <w:sz w:val="20"/>
                <w:szCs w:val="20"/>
                <w:lang w:val="fr-CA"/>
              </w:rPr>
              <w:pict>
                <v:rect id="_x0000_i1028" style="width:108pt;height:1pt" o:hrpct="0" o:hralign="center" o:hrstd="t" o:hrnoshade="t" o:hr="t" fillcolor="black [3213]" stroked="f"/>
              </w:pict>
            </w:r>
          </w:p>
        </w:tc>
      </w:tr>
      <w:tr w:rsidR="00C21644" w:rsidRPr="009C2345" w:rsidTr="00191045">
        <w:trPr>
          <w:cantSplit/>
        </w:trPr>
        <w:tc>
          <w:tcPr>
            <w:tcW w:w="4320" w:type="dxa"/>
            <w:shd w:val="clear" w:color="auto" w:fill="auto"/>
          </w:tcPr>
          <w:p w:rsidR="00D54E41" w:rsidRPr="009C2345" w:rsidRDefault="00D54E41" w:rsidP="00D54E41">
            <w:pPr>
              <w:rPr>
                <w:b/>
                <w:sz w:val="20"/>
                <w:szCs w:val="20"/>
              </w:rPr>
            </w:pPr>
            <w:r w:rsidRPr="009C2345">
              <w:rPr>
                <w:b/>
                <w:sz w:val="20"/>
                <w:szCs w:val="20"/>
              </w:rPr>
              <w:t>Wael Maged Badawy</w:t>
            </w:r>
          </w:p>
          <w:p w:rsidR="00D54E41" w:rsidRPr="009C2345" w:rsidRDefault="00D54E41" w:rsidP="00D54E41">
            <w:pPr>
              <w:tabs>
                <w:tab w:val="left" w:pos="-1440"/>
                <w:tab w:val="left" w:pos="-720"/>
              </w:tabs>
              <w:rPr>
                <w:sz w:val="20"/>
                <w:szCs w:val="20"/>
              </w:rPr>
            </w:pPr>
            <w:r w:rsidRPr="009C2345">
              <w:rPr>
                <w:sz w:val="20"/>
                <w:szCs w:val="20"/>
              </w:rPr>
              <w:tab/>
              <w:t>Wael Maged Badawy</w:t>
            </w:r>
          </w:p>
          <w:p w:rsidR="00D54E41" w:rsidRPr="009C2345" w:rsidRDefault="00D54E41" w:rsidP="00D54E41">
            <w:pPr>
              <w:tabs>
                <w:tab w:val="left" w:pos="-1440"/>
                <w:tab w:val="left" w:pos="-720"/>
              </w:tabs>
              <w:rPr>
                <w:sz w:val="20"/>
                <w:szCs w:val="20"/>
              </w:rPr>
            </w:pPr>
          </w:p>
          <w:p w:rsidR="00D54E41" w:rsidRPr="009C2345" w:rsidRDefault="00D54E41" w:rsidP="00D54E41">
            <w:pPr>
              <w:tabs>
                <w:tab w:val="left" w:pos="-1440"/>
                <w:tab w:val="left" w:pos="-720"/>
              </w:tabs>
              <w:rPr>
                <w:sz w:val="20"/>
                <w:szCs w:val="20"/>
                <w:lang w:val="fr-CA"/>
              </w:rPr>
            </w:pPr>
            <w:r w:rsidRPr="009C2345">
              <w:rPr>
                <w:sz w:val="20"/>
                <w:szCs w:val="20"/>
              </w:rPr>
              <w:tab/>
            </w:r>
            <w:r w:rsidRPr="009C2345">
              <w:rPr>
                <w:sz w:val="20"/>
                <w:szCs w:val="20"/>
                <w:lang w:val="fr-CA"/>
              </w:rPr>
              <w:t>v. (36961)</w:t>
            </w:r>
          </w:p>
          <w:p w:rsidR="00D54E41" w:rsidRPr="009C2345" w:rsidRDefault="00D54E41" w:rsidP="00D54E41">
            <w:pPr>
              <w:tabs>
                <w:tab w:val="left" w:pos="-1440"/>
                <w:tab w:val="left" w:pos="-720"/>
              </w:tabs>
              <w:rPr>
                <w:sz w:val="20"/>
                <w:szCs w:val="20"/>
                <w:lang w:val="fr-CA"/>
              </w:rPr>
            </w:pPr>
          </w:p>
          <w:p w:rsidR="00D54E41" w:rsidRPr="009C2345" w:rsidRDefault="00D54E41" w:rsidP="00D54E41">
            <w:pPr>
              <w:tabs>
                <w:tab w:val="left" w:pos="-1440"/>
                <w:tab w:val="left" w:pos="-720"/>
              </w:tabs>
              <w:rPr>
                <w:b/>
                <w:sz w:val="20"/>
                <w:szCs w:val="20"/>
                <w:lang w:val="fr-CA"/>
              </w:rPr>
            </w:pPr>
            <w:r w:rsidRPr="009C2345">
              <w:rPr>
                <w:b/>
                <w:sz w:val="20"/>
                <w:szCs w:val="20"/>
                <w:lang w:val="fr-CA"/>
              </w:rPr>
              <w:t>Zeinab Hassanein et al. (Alta.)</w:t>
            </w:r>
          </w:p>
          <w:p w:rsidR="00D54E41" w:rsidRPr="009C2345" w:rsidRDefault="00D54E41" w:rsidP="00D54E41">
            <w:pPr>
              <w:tabs>
                <w:tab w:val="left" w:pos="-1440"/>
                <w:tab w:val="left" w:pos="-720"/>
              </w:tabs>
              <w:rPr>
                <w:sz w:val="20"/>
                <w:szCs w:val="20"/>
                <w:lang w:val="fr-CA"/>
              </w:rPr>
            </w:pPr>
            <w:r w:rsidRPr="009C2345">
              <w:rPr>
                <w:sz w:val="20"/>
                <w:szCs w:val="20"/>
                <w:lang w:val="fr-CA"/>
              </w:rPr>
              <w:tab/>
              <w:t>Zeinab Hassanein et al.</w:t>
            </w:r>
          </w:p>
          <w:p w:rsidR="00D54E41" w:rsidRPr="009C2345" w:rsidRDefault="00D54E41" w:rsidP="00D54E41">
            <w:pPr>
              <w:tabs>
                <w:tab w:val="left" w:pos="-1440"/>
                <w:tab w:val="left" w:pos="-720"/>
              </w:tabs>
              <w:rPr>
                <w:sz w:val="20"/>
                <w:szCs w:val="20"/>
                <w:lang w:val="fr-CA"/>
              </w:rPr>
            </w:pPr>
          </w:p>
          <w:p w:rsidR="00D54E41" w:rsidRPr="009C2345" w:rsidRDefault="00D54E41" w:rsidP="00D54E41">
            <w:pPr>
              <w:rPr>
                <w:sz w:val="20"/>
                <w:szCs w:val="20"/>
              </w:rPr>
            </w:pPr>
            <w:r w:rsidRPr="009C2345">
              <w:rPr>
                <w:sz w:val="20"/>
                <w:szCs w:val="20"/>
              </w:rPr>
              <w:t xml:space="preserve">FILING DATE: </w:t>
            </w:r>
            <w:r w:rsidR="00496D30" w:rsidRPr="009C2345">
              <w:rPr>
                <w:sz w:val="20"/>
                <w:szCs w:val="20"/>
              </w:rPr>
              <w:t>1</w:t>
            </w:r>
            <w:r w:rsidRPr="009C2345">
              <w:rPr>
                <w:sz w:val="20"/>
                <w:szCs w:val="20"/>
              </w:rPr>
              <w:t>9.04.2016</w:t>
            </w:r>
          </w:p>
          <w:p w:rsidR="00C21644" w:rsidRPr="009C2345" w:rsidRDefault="0082006E" w:rsidP="00D54E41">
            <w:pPr>
              <w:rPr>
                <w:sz w:val="20"/>
                <w:szCs w:val="20"/>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9C2345" w:rsidRDefault="00C21644" w:rsidP="00242AEE">
            <w:pPr>
              <w:jc w:val="center"/>
              <w:rPr>
                <w:sz w:val="20"/>
                <w:szCs w:val="20"/>
              </w:rPr>
            </w:pPr>
          </w:p>
          <w:p w:rsidR="00C21644" w:rsidRPr="009C2345" w:rsidRDefault="00C21644" w:rsidP="00242AEE">
            <w:pPr>
              <w:jc w:val="center"/>
              <w:rPr>
                <w:sz w:val="20"/>
                <w:szCs w:val="20"/>
              </w:rPr>
            </w:pPr>
          </w:p>
          <w:p w:rsidR="00C21644" w:rsidRPr="009C2345" w:rsidRDefault="00C21644" w:rsidP="00242AEE">
            <w:pPr>
              <w:jc w:val="center"/>
              <w:rPr>
                <w:sz w:val="20"/>
                <w:szCs w:val="20"/>
              </w:rPr>
            </w:pPr>
          </w:p>
          <w:p w:rsidR="00C21644" w:rsidRPr="009C2345" w:rsidRDefault="00C21644" w:rsidP="00242AEE">
            <w:pPr>
              <w:jc w:val="center"/>
              <w:rPr>
                <w:sz w:val="20"/>
                <w:szCs w:val="20"/>
              </w:rPr>
            </w:pPr>
          </w:p>
          <w:p w:rsidR="00C21644" w:rsidRPr="009C2345" w:rsidRDefault="00C21644" w:rsidP="00242AEE">
            <w:pPr>
              <w:jc w:val="center"/>
              <w:rPr>
                <w:sz w:val="20"/>
                <w:szCs w:val="20"/>
              </w:rPr>
            </w:pPr>
          </w:p>
          <w:p w:rsidR="00C21644" w:rsidRPr="009C2345" w:rsidRDefault="00C21644" w:rsidP="00242AEE">
            <w:pPr>
              <w:jc w:val="center"/>
              <w:rPr>
                <w:sz w:val="20"/>
                <w:szCs w:val="20"/>
              </w:rPr>
            </w:pPr>
          </w:p>
          <w:p w:rsidR="00C21644" w:rsidRPr="009C2345" w:rsidRDefault="00C21644" w:rsidP="00242AEE">
            <w:pPr>
              <w:jc w:val="center"/>
              <w:rPr>
                <w:sz w:val="20"/>
                <w:szCs w:val="20"/>
              </w:rPr>
            </w:pPr>
          </w:p>
          <w:p w:rsidR="00C21644" w:rsidRPr="009C2345" w:rsidRDefault="00C21644" w:rsidP="00242AEE">
            <w:pPr>
              <w:jc w:val="center"/>
              <w:rPr>
                <w:sz w:val="20"/>
                <w:szCs w:val="20"/>
              </w:rPr>
            </w:pPr>
          </w:p>
          <w:p w:rsidR="00C21644" w:rsidRPr="009C2345" w:rsidRDefault="00C21644" w:rsidP="00242AEE">
            <w:pPr>
              <w:jc w:val="center"/>
              <w:rPr>
                <w:sz w:val="20"/>
                <w:szCs w:val="20"/>
              </w:rPr>
            </w:pPr>
          </w:p>
          <w:p w:rsidR="00C21644" w:rsidRPr="009C2345" w:rsidRDefault="00C21644" w:rsidP="00242AEE">
            <w:pPr>
              <w:jc w:val="center"/>
              <w:rPr>
                <w:sz w:val="20"/>
                <w:szCs w:val="20"/>
              </w:rPr>
            </w:pPr>
          </w:p>
          <w:p w:rsidR="00C21644" w:rsidRPr="009C2345" w:rsidRDefault="00C21644" w:rsidP="00242AEE">
            <w:pPr>
              <w:jc w:val="center"/>
              <w:rPr>
                <w:sz w:val="20"/>
                <w:szCs w:val="20"/>
              </w:rPr>
            </w:pPr>
          </w:p>
        </w:tc>
        <w:tc>
          <w:tcPr>
            <w:tcW w:w="4320" w:type="dxa"/>
            <w:shd w:val="clear" w:color="auto" w:fill="auto"/>
          </w:tcPr>
          <w:p w:rsidR="00E03244" w:rsidRPr="009C2345" w:rsidRDefault="00E03244" w:rsidP="00D54E41">
            <w:pPr>
              <w:rPr>
                <w:b/>
                <w:sz w:val="20"/>
                <w:szCs w:val="20"/>
              </w:rPr>
            </w:pPr>
            <w:r w:rsidRPr="009C2345">
              <w:rPr>
                <w:b/>
                <w:sz w:val="20"/>
                <w:szCs w:val="20"/>
              </w:rPr>
              <w:t>Normand St-Germain et autres</w:t>
            </w:r>
          </w:p>
          <w:p w:rsidR="00E03244" w:rsidRPr="009C2345" w:rsidRDefault="00E03244" w:rsidP="00D54E41">
            <w:pPr>
              <w:rPr>
                <w:sz w:val="20"/>
                <w:szCs w:val="20"/>
              </w:rPr>
            </w:pPr>
            <w:r w:rsidRPr="009C2345">
              <w:rPr>
                <w:b/>
                <w:sz w:val="20"/>
                <w:szCs w:val="20"/>
              </w:rPr>
              <w:tab/>
            </w:r>
            <w:r w:rsidRPr="009C2345">
              <w:rPr>
                <w:sz w:val="20"/>
                <w:szCs w:val="20"/>
              </w:rPr>
              <w:t>Yves Robillard</w:t>
            </w:r>
          </w:p>
          <w:p w:rsidR="00E03244" w:rsidRPr="009C2345" w:rsidRDefault="00E03244" w:rsidP="00E03244">
            <w:pPr>
              <w:ind w:left="720"/>
              <w:rPr>
                <w:sz w:val="20"/>
                <w:szCs w:val="20"/>
              </w:rPr>
            </w:pPr>
            <w:r w:rsidRPr="009C2345">
              <w:rPr>
                <w:sz w:val="20"/>
                <w:szCs w:val="20"/>
              </w:rPr>
              <w:t>Miller, Thompson S.E.N.C.R.L. s.r.l.</w:t>
            </w:r>
          </w:p>
          <w:p w:rsidR="00E03244" w:rsidRPr="009C2345" w:rsidRDefault="00E03244" w:rsidP="00E03244">
            <w:pPr>
              <w:ind w:left="720"/>
              <w:rPr>
                <w:sz w:val="20"/>
                <w:szCs w:val="20"/>
              </w:rPr>
            </w:pPr>
          </w:p>
          <w:p w:rsidR="00E03244" w:rsidRPr="009C2345" w:rsidRDefault="00E03244" w:rsidP="00E03244">
            <w:pPr>
              <w:ind w:left="720"/>
              <w:rPr>
                <w:sz w:val="20"/>
                <w:szCs w:val="20"/>
              </w:rPr>
            </w:pPr>
            <w:r w:rsidRPr="009C2345">
              <w:rPr>
                <w:sz w:val="20"/>
                <w:szCs w:val="20"/>
              </w:rPr>
              <w:t>c. (36958)</w:t>
            </w:r>
          </w:p>
          <w:p w:rsidR="00E03244" w:rsidRPr="009C2345" w:rsidRDefault="00E03244" w:rsidP="00E03244">
            <w:pPr>
              <w:ind w:left="720"/>
              <w:rPr>
                <w:sz w:val="20"/>
                <w:szCs w:val="20"/>
              </w:rPr>
            </w:pPr>
          </w:p>
          <w:p w:rsidR="00E03244" w:rsidRPr="009C2345" w:rsidRDefault="00E03244" w:rsidP="00E03244">
            <w:pPr>
              <w:rPr>
                <w:b/>
                <w:sz w:val="20"/>
                <w:szCs w:val="20"/>
              </w:rPr>
            </w:pPr>
            <w:r w:rsidRPr="009C2345">
              <w:rPr>
                <w:b/>
                <w:sz w:val="20"/>
                <w:szCs w:val="20"/>
              </w:rPr>
              <w:t>Doris St-Germain (Qc)</w:t>
            </w:r>
          </w:p>
          <w:p w:rsidR="00E03244" w:rsidRPr="009C2345" w:rsidRDefault="00E03244" w:rsidP="00E03244">
            <w:pPr>
              <w:rPr>
                <w:sz w:val="20"/>
                <w:szCs w:val="20"/>
                <w:lang w:val="fr-CA"/>
              </w:rPr>
            </w:pPr>
            <w:r w:rsidRPr="009C2345">
              <w:rPr>
                <w:sz w:val="20"/>
                <w:szCs w:val="20"/>
              </w:rPr>
              <w:tab/>
            </w:r>
            <w:r w:rsidRPr="009C2345">
              <w:rPr>
                <w:sz w:val="20"/>
                <w:szCs w:val="20"/>
                <w:lang w:val="fr-CA"/>
              </w:rPr>
              <w:t>Guy Paquette</w:t>
            </w:r>
          </w:p>
          <w:p w:rsidR="00E03244" w:rsidRPr="009C2345" w:rsidRDefault="00E03244" w:rsidP="00E03244">
            <w:pPr>
              <w:rPr>
                <w:sz w:val="20"/>
                <w:szCs w:val="20"/>
                <w:lang w:val="fr-CA"/>
              </w:rPr>
            </w:pPr>
            <w:r w:rsidRPr="009C2345">
              <w:rPr>
                <w:sz w:val="20"/>
                <w:szCs w:val="20"/>
                <w:lang w:val="fr-CA"/>
              </w:rPr>
              <w:tab/>
              <w:t>Paquette Gadler inc.</w:t>
            </w:r>
          </w:p>
          <w:p w:rsidR="00E03244" w:rsidRPr="009C2345" w:rsidRDefault="00E03244" w:rsidP="00E03244">
            <w:pPr>
              <w:rPr>
                <w:sz w:val="20"/>
                <w:szCs w:val="20"/>
                <w:lang w:val="fr-CA"/>
              </w:rPr>
            </w:pPr>
          </w:p>
          <w:p w:rsidR="00E03244" w:rsidRPr="009C2345" w:rsidRDefault="00E03244" w:rsidP="00E03244">
            <w:pPr>
              <w:rPr>
                <w:sz w:val="20"/>
                <w:szCs w:val="20"/>
                <w:lang w:val="fr-CA"/>
              </w:rPr>
            </w:pPr>
            <w:r w:rsidRPr="009C2345">
              <w:rPr>
                <w:sz w:val="20"/>
                <w:szCs w:val="20"/>
                <w:lang w:val="fr-CA"/>
              </w:rPr>
              <w:t>DATE DE PRODUCTION : 15.04.2016</w:t>
            </w:r>
          </w:p>
          <w:p w:rsidR="00E03244" w:rsidRPr="009C2345" w:rsidRDefault="0082006E" w:rsidP="00E03244">
            <w:pPr>
              <w:rPr>
                <w:sz w:val="20"/>
                <w:szCs w:val="20"/>
                <w:lang w:val="fr-CA"/>
              </w:rPr>
            </w:pPr>
            <w:r>
              <w:rPr>
                <w:sz w:val="20"/>
                <w:szCs w:val="20"/>
                <w:lang w:val="fr-CA"/>
              </w:rPr>
              <w:pict>
                <v:rect id="_x0000_i1030" style="width:108pt;height:1pt" o:hrpct="0" o:hralign="center" o:hrstd="t" o:hrnoshade="t" o:hr="t" fillcolor="black [3213]" stroked="f"/>
              </w:pict>
            </w:r>
          </w:p>
          <w:p w:rsidR="00E03244" w:rsidRPr="009C2345" w:rsidRDefault="00E03244" w:rsidP="00E03244">
            <w:pPr>
              <w:rPr>
                <w:i/>
                <w:sz w:val="20"/>
                <w:szCs w:val="20"/>
                <w:lang w:val="fr-CA"/>
              </w:rPr>
            </w:pPr>
          </w:p>
        </w:tc>
      </w:tr>
      <w:tr w:rsidR="00E03244" w:rsidRPr="009C2345" w:rsidTr="00191045">
        <w:trPr>
          <w:cantSplit/>
        </w:trPr>
        <w:tc>
          <w:tcPr>
            <w:tcW w:w="4320" w:type="dxa"/>
            <w:shd w:val="clear" w:color="auto" w:fill="auto"/>
          </w:tcPr>
          <w:p w:rsidR="00E03244" w:rsidRPr="009C2345" w:rsidRDefault="00E03244" w:rsidP="00D54E41">
            <w:pPr>
              <w:rPr>
                <w:b/>
                <w:sz w:val="20"/>
                <w:szCs w:val="20"/>
                <w:lang w:val="fr-CA"/>
              </w:rPr>
            </w:pPr>
            <w:r w:rsidRPr="009C2345">
              <w:rPr>
                <w:b/>
                <w:sz w:val="20"/>
                <w:szCs w:val="20"/>
                <w:lang w:val="fr-CA"/>
              </w:rPr>
              <w:t>Jean-Marc Poulin de Courval, ès qualité de syndic à la faillite de Ergün Bouloud</w:t>
            </w:r>
          </w:p>
          <w:p w:rsidR="00E03244" w:rsidRPr="009C2345" w:rsidRDefault="00E03244" w:rsidP="00D54E41">
            <w:pPr>
              <w:rPr>
                <w:sz w:val="20"/>
                <w:szCs w:val="20"/>
                <w:lang w:val="fr-CA"/>
              </w:rPr>
            </w:pPr>
            <w:r w:rsidRPr="009C2345">
              <w:rPr>
                <w:b/>
                <w:sz w:val="20"/>
                <w:szCs w:val="20"/>
                <w:lang w:val="fr-CA"/>
              </w:rPr>
              <w:tab/>
            </w:r>
            <w:r w:rsidRPr="009C2345">
              <w:rPr>
                <w:sz w:val="20"/>
                <w:szCs w:val="20"/>
                <w:lang w:val="fr-CA"/>
              </w:rPr>
              <w:t>Jean-Philippe Gervais</w:t>
            </w:r>
          </w:p>
          <w:p w:rsidR="00E03244" w:rsidRPr="009C2345" w:rsidRDefault="00E03244" w:rsidP="00D54E41">
            <w:pPr>
              <w:rPr>
                <w:sz w:val="20"/>
                <w:szCs w:val="20"/>
                <w:lang w:val="fr-CA"/>
              </w:rPr>
            </w:pPr>
          </w:p>
          <w:p w:rsidR="00E03244" w:rsidRPr="009C2345" w:rsidRDefault="00E03244" w:rsidP="00D54E41">
            <w:pPr>
              <w:rPr>
                <w:sz w:val="20"/>
                <w:szCs w:val="20"/>
                <w:lang w:val="fr-CA"/>
              </w:rPr>
            </w:pPr>
            <w:r w:rsidRPr="009C2345">
              <w:rPr>
                <w:sz w:val="20"/>
                <w:szCs w:val="20"/>
                <w:lang w:val="fr-CA"/>
              </w:rPr>
              <w:tab/>
              <w:t>c. (36934)</w:t>
            </w:r>
          </w:p>
          <w:p w:rsidR="00E03244" w:rsidRPr="009C2345" w:rsidRDefault="00E03244" w:rsidP="00D54E41">
            <w:pPr>
              <w:rPr>
                <w:sz w:val="20"/>
                <w:szCs w:val="20"/>
                <w:lang w:val="fr-CA"/>
              </w:rPr>
            </w:pPr>
          </w:p>
          <w:p w:rsidR="00E03244" w:rsidRPr="009C2345" w:rsidRDefault="00E03244" w:rsidP="00D54E41">
            <w:pPr>
              <w:rPr>
                <w:b/>
                <w:sz w:val="20"/>
                <w:szCs w:val="20"/>
                <w:lang w:val="fr-CA"/>
              </w:rPr>
            </w:pPr>
            <w:r w:rsidRPr="009C2345">
              <w:rPr>
                <w:b/>
                <w:sz w:val="20"/>
                <w:szCs w:val="20"/>
                <w:lang w:val="fr-CA"/>
              </w:rPr>
              <w:t>Ministre de la sécurité publique et de la protection civile (C.F.)</w:t>
            </w:r>
          </w:p>
          <w:p w:rsidR="00E03244" w:rsidRPr="009C2345" w:rsidRDefault="00E03244" w:rsidP="00D54E41">
            <w:pPr>
              <w:rPr>
                <w:sz w:val="20"/>
                <w:szCs w:val="20"/>
                <w:lang w:val="fr-CA"/>
              </w:rPr>
            </w:pPr>
            <w:r w:rsidRPr="009C2345">
              <w:rPr>
                <w:sz w:val="20"/>
                <w:szCs w:val="20"/>
                <w:lang w:val="fr-CA"/>
              </w:rPr>
              <w:tab/>
              <w:t>Maguy Hachem</w:t>
            </w:r>
          </w:p>
          <w:p w:rsidR="00E03244" w:rsidRPr="009C2345" w:rsidRDefault="00E03244" w:rsidP="00D54E41">
            <w:pPr>
              <w:rPr>
                <w:sz w:val="20"/>
                <w:szCs w:val="20"/>
                <w:lang w:val="fr-CA"/>
              </w:rPr>
            </w:pPr>
            <w:r w:rsidRPr="009C2345">
              <w:rPr>
                <w:sz w:val="20"/>
                <w:szCs w:val="20"/>
                <w:lang w:val="fr-CA"/>
              </w:rPr>
              <w:tab/>
            </w:r>
            <w:r w:rsidR="00496D30" w:rsidRPr="009C2345">
              <w:rPr>
                <w:sz w:val="20"/>
                <w:szCs w:val="20"/>
                <w:lang w:val="fr-CA"/>
              </w:rPr>
              <w:t>P.G. du</w:t>
            </w:r>
            <w:r w:rsidRPr="009C2345">
              <w:rPr>
                <w:sz w:val="20"/>
                <w:szCs w:val="20"/>
                <w:lang w:val="fr-CA"/>
              </w:rPr>
              <w:t xml:space="preserve"> Canada</w:t>
            </w:r>
          </w:p>
          <w:p w:rsidR="00E03244" w:rsidRPr="009C2345" w:rsidRDefault="00E03244" w:rsidP="00D54E41">
            <w:pPr>
              <w:rPr>
                <w:sz w:val="20"/>
                <w:szCs w:val="20"/>
                <w:lang w:val="fr-CA"/>
              </w:rPr>
            </w:pPr>
          </w:p>
          <w:p w:rsidR="00E03244" w:rsidRPr="009C2345" w:rsidRDefault="00E03244" w:rsidP="00D54E41">
            <w:pPr>
              <w:rPr>
                <w:sz w:val="20"/>
                <w:szCs w:val="20"/>
              </w:rPr>
            </w:pPr>
            <w:r w:rsidRPr="009C2345">
              <w:rPr>
                <w:sz w:val="20"/>
                <w:szCs w:val="20"/>
              </w:rPr>
              <w:t>DATE DE PRODUCTION : 08.04.2016</w:t>
            </w:r>
          </w:p>
          <w:p w:rsidR="00BB1DE3" w:rsidRPr="009C2345" w:rsidRDefault="0082006E" w:rsidP="001B27B4">
            <w:pPr>
              <w:rPr>
                <w:sz w:val="20"/>
                <w:szCs w:val="20"/>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E03244" w:rsidRPr="009C2345" w:rsidRDefault="00E03244" w:rsidP="00242AEE">
            <w:pPr>
              <w:jc w:val="center"/>
              <w:rPr>
                <w:sz w:val="20"/>
                <w:szCs w:val="20"/>
              </w:rPr>
            </w:pPr>
          </w:p>
        </w:tc>
        <w:tc>
          <w:tcPr>
            <w:tcW w:w="4320" w:type="dxa"/>
            <w:shd w:val="clear" w:color="auto" w:fill="auto"/>
          </w:tcPr>
          <w:p w:rsidR="00E03244" w:rsidRPr="009C2345" w:rsidRDefault="00BB1DE3" w:rsidP="00BB1DE3">
            <w:pPr>
              <w:rPr>
                <w:b/>
                <w:sz w:val="20"/>
                <w:szCs w:val="20"/>
              </w:rPr>
            </w:pPr>
            <w:r w:rsidRPr="009C2345">
              <w:rPr>
                <w:b/>
                <w:sz w:val="20"/>
                <w:szCs w:val="20"/>
              </w:rPr>
              <w:t>Joey John Toutsaint</w:t>
            </w:r>
          </w:p>
          <w:p w:rsidR="00BB1DE3" w:rsidRPr="009C2345" w:rsidRDefault="00BB1DE3" w:rsidP="00BB1DE3">
            <w:pPr>
              <w:rPr>
                <w:sz w:val="20"/>
                <w:szCs w:val="20"/>
              </w:rPr>
            </w:pPr>
            <w:r w:rsidRPr="009C2345">
              <w:rPr>
                <w:b/>
                <w:sz w:val="20"/>
                <w:szCs w:val="20"/>
              </w:rPr>
              <w:tab/>
            </w:r>
            <w:r w:rsidRPr="009C2345">
              <w:rPr>
                <w:sz w:val="20"/>
                <w:szCs w:val="20"/>
              </w:rPr>
              <w:t>Bruce K. Campbell</w:t>
            </w:r>
          </w:p>
          <w:p w:rsidR="00BB1DE3" w:rsidRPr="009C2345" w:rsidRDefault="00BB1DE3" w:rsidP="00BB1DE3">
            <w:pPr>
              <w:rPr>
                <w:sz w:val="20"/>
                <w:szCs w:val="20"/>
              </w:rPr>
            </w:pPr>
            <w:r w:rsidRPr="009C2345">
              <w:rPr>
                <w:sz w:val="20"/>
                <w:szCs w:val="20"/>
              </w:rPr>
              <w:tab/>
              <w:t>Legal Aid Saskatchewan</w:t>
            </w:r>
          </w:p>
          <w:p w:rsidR="00BB1DE3" w:rsidRPr="009C2345" w:rsidRDefault="00BB1DE3" w:rsidP="00BB1DE3">
            <w:pPr>
              <w:rPr>
                <w:sz w:val="20"/>
                <w:szCs w:val="20"/>
              </w:rPr>
            </w:pPr>
          </w:p>
          <w:p w:rsidR="00BB1DE3" w:rsidRPr="009C2345" w:rsidRDefault="00BB1DE3" w:rsidP="00BB1DE3">
            <w:pPr>
              <w:rPr>
                <w:sz w:val="20"/>
                <w:szCs w:val="20"/>
              </w:rPr>
            </w:pPr>
            <w:r w:rsidRPr="009C2345">
              <w:rPr>
                <w:sz w:val="20"/>
                <w:szCs w:val="20"/>
              </w:rPr>
              <w:tab/>
              <w:t>v. (36943)</w:t>
            </w:r>
          </w:p>
          <w:p w:rsidR="00BB1DE3" w:rsidRPr="009C2345" w:rsidRDefault="00BB1DE3" w:rsidP="00BB1DE3">
            <w:pPr>
              <w:rPr>
                <w:sz w:val="20"/>
                <w:szCs w:val="20"/>
              </w:rPr>
            </w:pPr>
          </w:p>
          <w:p w:rsidR="00BB1DE3" w:rsidRPr="009C2345" w:rsidRDefault="00BB1DE3" w:rsidP="00BB1DE3">
            <w:pPr>
              <w:rPr>
                <w:b/>
                <w:sz w:val="20"/>
                <w:szCs w:val="20"/>
              </w:rPr>
            </w:pPr>
            <w:r w:rsidRPr="009C2345">
              <w:rPr>
                <w:b/>
                <w:sz w:val="20"/>
                <w:szCs w:val="20"/>
              </w:rPr>
              <w:t>Her Majesty the Queen (Sask.)</w:t>
            </w:r>
          </w:p>
          <w:p w:rsidR="00BB1DE3" w:rsidRPr="009C2345" w:rsidRDefault="00BB1DE3" w:rsidP="00BB1DE3">
            <w:pPr>
              <w:rPr>
                <w:sz w:val="20"/>
                <w:szCs w:val="20"/>
              </w:rPr>
            </w:pPr>
            <w:r w:rsidRPr="009C2345">
              <w:rPr>
                <w:sz w:val="20"/>
                <w:szCs w:val="20"/>
              </w:rPr>
              <w:tab/>
              <w:t>W. Dean Sinclair, Q.C.</w:t>
            </w:r>
          </w:p>
          <w:p w:rsidR="00BB1DE3" w:rsidRPr="009C2345" w:rsidRDefault="00BB1DE3" w:rsidP="00BB1DE3">
            <w:pPr>
              <w:rPr>
                <w:sz w:val="20"/>
                <w:szCs w:val="20"/>
              </w:rPr>
            </w:pPr>
            <w:r w:rsidRPr="009C2345">
              <w:rPr>
                <w:sz w:val="20"/>
                <w:szCs w:val="20"/>
              </w:rPr>
              <w:tab/>
              <w:t>A.G. of Saskatchewan</w:t>
            </w:r>
          </w:p>
          <w:p w:rsidR="00BB1DE3" w:rsidRPr="009C2345" w:rsidRDefault="00BB1DE3" w:rsidP="00BB1DE3">
            <w:pPr>
              <w:rPr>
                <w:sz w:val="20"/>
                <w:szCs w:val="20"/>
              </w:rPr>
            </w:pPr>
          </w:p>
          <w:p w:rsidR="00BB1DE3" w:rsidRPr="009C2345" w:rsidRDefault="00BB1DE3" w:rsidP="00BB1DE3">
            <w:pPr>
              <w:rPr>
                <w:sz w:val="20"/>
                <w:szCs w:val="20"/>
              </w:rPr>
            </w:pPr>
            <w:r w:rsidRPr="009C2345">
              <w:rPr>
                <w:sz w:val="20"/>
                <w:szCs w:val="20"/>
              </w:rPr>
              <w:t>FILING DATE: 08.04.2016</w:t>
            </w:r>
          </w:p>
          <w:p w:rsidR="00BB1DE3" w:rsidRPr="009C2345" w:rsidRDefault="0082006E" w:rsidP="00BB1DE3">
            <w:pPr>
              <w:rPr>
                <w:sz w:val="20"/>
                <w:szCs w:val="20"/>
              </w:rPr>
            </w:pPr>
            <w:r>
              <w:rPr>
                <w:sz w:val="20"/>
                <w:szCs w:val="20"/>
                <w:lang w:val="fr-CA"/>
              </w:rPr>
              <w:pict>
                <v:rect id="_x0000_i1032" style="width:108pt;height:1pt" o:hrpct="0" o:hralign="center" o:hrstd="t" o:hrnoshade="t" o:hr="t" fillcolor="black [3213]" stroked="f"/>
              </w:pict>
            </w:r>
          </w:p>
        </w:tc>
      </w:tr>
      <w:tr w:rsidR="00BB1DE3" w:rsidRPr="009C2345" w:rsidTr="00191045">
        <w:trPr>
          <w:cantSplit/>
        </w:trPr>
        <w:tc>
          <w:tcPr>
            <w:tcW w:w="4320" w:type="dxa"/>
            <w:shd w:val="clear" w:color="auto" w:fill="auto"/>
          </w:tcPr>
          <w:p w:rsidR="001B27B4" w:rsidRPr="009C2345" w:rsidRDefault="001B27B4" w:rsidP="001B27B4">
            <w:pPr>
              <w:rPr>
                <w:b/>
                <w:sz w:val="20"/>
                <w:szCs w:val="20"/>
                <w:lang w:val="fr-CA"/>
              </w:rPr>
            </w:pPr>
            <w:r w:rsidRPr="009C2345">
              <w:rPr>
                <w:b/>
                <w:sz w:val="20"/>
                <w:szCs w:val="20"/>
                <w:lang w:val="fr-CA"/>
              </w:rPr>
              <w:t>Jacques Pellan</w:t>
            </w:r>
          </w:p>
          <w:p w:rsidR="001B27B4" w:rsidRPr="009C2345" w:rsidRDefault="001B27B4" w:rsidP="001B27B4">
            <w:pPr>
              <w:rPr>
                <w:sz w:val="20"/>
                <w:szCs w:val="20"/>
                <w:lang w:val="fr-CA"/>
              </w:rPr>
            </w:pPr>
            <w:r w:rsidRPr="009C2345">
              <w:rPr>
                <w:sz w:val="20"/>
                <w:szCs w:val="20"/>
                <w:lang w:val="fr-CA"/>
              </w:rPr>
              <w:tab/>
              <w:t>Vincent Fortier</w:t>
            </w:r>
          </w:p>
          <w:p w:rsidR="001B27B4" w:rsidRPr="009C2345" w:rsidRDefault="001B27B4" w:rsidP="001B27B4">
            <w:pPr>
              <w:rPr>
                <w:sz w:val="20"/>
                <w:szCs w:val="20"/>
                <w:lang w:val="fr-CA"/>
              </w:rPr>
            </w:pPr>
            <w:r w:rsidRPr="009C2345">
              <w:rPr>
                <w:sz w:val="20"/>
                <w:szCs w:val="20"/>
                <w:lang w:val="fr-CA"/>
              </w:rPr>
              <w:tab/>
              <w:t>Quessy, Henry</w:t>
            </w:r>
            <w:r w:rsidR="00B53685" w:rsidRPr="009C2345">
              <w:rPr>
                <w:sz w:val="20"/>
                <w:szCs w:val="20"/>
                <w:lang w:val="fr-CA"/>
              </w:rPr>
              <w:t>,</w:t>
            </w:r>
            <w:r w:rsidRPr="009C2345">
              <w:rPr>
                <w:sz w:val="20"/>
                <w:szCs w:val="20"/>
                <w:lang w:val="fr-CA"/>
              </w:rPr>
              <w:t xml:space="preserve"> St-Hilaire</w:t>
            </w:r>
          </w:p>
          <w:p w:rsidR="001B27B4" w:rsidRPr="009C2345" w:rsidRDefault="001B27B4" w:rsidP="001B27B4">
            <w:pPr>
              <w:rPr>
                <w:b/>
                <w:sz w:val="20"/>
                <w:szCs w:val="20"/>
                <w:lang w:val="fr-CA"/>
              </w:rPr>
            </w:pPr>
          </w:p>
          <w:p w:rsidR="001B27B4" w:rsidRPr="009C2345" w:rsidRDefault="001B27B4" w:rsidP="001B27B4">
            <w:pPr>
              <w:rPr>
                <w:sz w:val="20"/>
                <w:szCs w:val="20"/>
                <w:lang w:val="fr-CA"/>
              </w:rPr>
            </w:pPr>
            <w:r w:rsidRPr="009C2345">
              <w:rPr>
                <w:b/>
                <w:sz w:val="20"/>
                <w:szCs w:val="20"/>
                <w:lang w:val="fr-CA"/>
              </w:rPr>
              <w:tab/>
            </w:r>
            <w:r w:rsidRPr="009C2345">
              <w:rPr>
                <w:sz w:val="20"/>
                <w:szCs w:val="20"/>
                <w:lang w:val="fr-CA"/>
              </w:rPr>
              <w:t>c. (36945)</w:t>
            </w:r>
          </w:p>
          <w:p w:rsidR="001B27B4" w:rsidRPr="009C2345" w:rsidRDefault="001B27B4" w:rsidP="001B27B4">
            <w:pPr>
              <w:rPr>
                <w:b/>
                <w:sz w:val="20"/>
                <w:szCs w:val="20"/>
                <w:lang w:val="fr-CA"/>
              </w:rPr>
            </w:pPr>
          </w:p>
          <w:p w:rsidR="001B27B4" w:rsidRPr="009C2345" w:rsidRDefault="001B27B4" w:rsidP="001B27B4">
            <w:pPr>
              <w:rPr>
                <w:b/>
                <w:sz w:val="20"/>
                <w:szCs w:val="20"/>
                <w:lang w:val="fr-CA"/>
              </w:rPr>
            </w:pPr>
            <w:r w:rsidRPr="009C2345">
              <w:rPr>
                <w:b/>
                <w:sz w:val="20"/>
                <w:szCs w:val="20"/>
                <w:lang w:val="fr-CA"/>
              </w:rPr>
              <w:t xml:space="preserve">Agence de </w:t>
            </w:r>
            <w:r w:rsidR="00496D30" w:rsidRPr="009C2345">
              <w:rPr>
                <w:b/>
                <w:sz w:val="20"/>
                <w:szCs w:val="20"/>
                <w:lang w:val="fr-CA"/>
              </w:rPr>
              <w:t>r</w:t>
            </w:r>
            <w:r w:rsidRPr="009C2345">
              <w:rPr>
                <w:b/>
                <w:sz w:val="20"/>
                <w:szCs w:val="20"/>
                <w:lang w:val="fr-CA"/>
              </w:rPr>
              <w:t>evenu du Québec (Qc)</w:t>
            </w:r>
          </w:p>
          <w:p w:rsidR="001B27B4" w:rsidRPr="009C2345" w:rsidRDefault="001B27B4" w:rsidP="001B27B4">
            <w:pPr>
              <w:rPr>
                <w:sz w:val="20"/>
                <w:szCs w:val="20"/>
                <w:lang w:val="fr-CA"/>
              </w:rPr>
            </w:pPr>
            <w:r w:rsidRPr="009C2345">
              <w:rPr>
                <w:sz w:val="20"/>
                <w:szCs w:val="20"/>
                <w:lang w:val="fr-CA"/>
              </w:rPr>
              <w:tab/>
              <w:t>Danny Galarneau</w:t>
            </w:r>
          </w:p>
          <w:p w:rsidR="001B27B4" w:rsidRPr="009C2345" w:rsidRDefault="001B27B4" w:rsidP="001B27B4">
            <w:pPr>
              <w:rPr>
                <w:sz w:val="20"/>
                <w:szCs w:val="20"/>
                <w:lang w:val="fr-CA"/>
              </w:rPr>
            </w:pPr>
            <w:r w:rsidRPr="009C2345">
              <w:rPr>
                <w:b/>
                <w:sz w:val="20"/>
                <w:szCs w:val="20"/>
                <w:lang w:val="fr-CA"/>
              </w:rPr>
              <w:tab/>
            </w:r>
            <w:r w:rsidRPr="009C2345">
              <w:rPr>
                <w:sz w:val="20"/>
                <w:szCs w:val="20"/>
                <w:lang w:val="fr-CA"/>
              </w:rPr>
              <w:t>Larivière, Meunier</w:t>
            </w:r>
          </w:p>
          <w:p w:rsidR="001B27B4" w:rsidRPr="009C2345" w:rsidRDefault="001B27B4" w:rsidP="001B27B4">
            <w:pPr>
              <w:rPr>
                <w:b/>
                <w:sz w:val="20"/>
                <w:szCs w:val="20"/>
                <w:lang w:val="fr-CA"/>
              </w:rPr>
            </w:pPr>
          </w:p>
          <w:p w:rsidR="001B27B4" w:rsidRPr="009C2345" w:rsidRDefault="001B27B4" w:rsidP="001B27B4">
            <w:pPr>
              <w:rPr>
                <w:sz w:val="20"/>
                <w:szCs w:val="20"/>
                <w:lang w:val="fr-CA"/>
              </w:rPr>
            </w:pPr>
            <w:r w:rsidRPr="009C2345">
              <w:rPr>
                <w:sz w:val="20"/>
                <w:szCs w:val="20"/>
                <w:lang w:val="fr-CA"/>
              </w:rPr>
              <w:t>DATE DE PRODUCTION : 08.04.2016</w:t>
            </w:r>
          </w:p>
          <w:p w:rsidR="001B27B4" w:rsidRPr="009C2345" w:rsidRDefault="0082006E" w:rsidP="001B27B4">
            <w:pPr>
              <w:rPr>
                <w:b/>
                <w:sz w:val="20"/>
                <w:szCs w:val="20"/>
                <w:lang w:val="fr-CA"/>
              </w:rPr>
            </w:pPr>
            <w:r>
              <w:rPr>
                <w:sz w:val="20"/>
                <w:szCs w:val="20"/>
                <w:lang w:val="fr-CA"/>
              </w:rPr>
              <w:pict>
                <v:rect id="_x0000_i1033" style="width:108pt;height:1pt" o:hrpct="0" o:hralign="center" o:hrstd="t" o:hrnoshade="t" o:hr="t" fillcolor="black [3213]" stroked="f"/>
              </w:pict>
            </w:r>
          </w:p>
          <w:p w:rsidR="001B27B4" w:rsidRPr="009C2345" w:rsidRDefault="001B27B4" w:rsidP="001B27B4">
            <w:pPr>
              <w:rPr>
                <w:b/>
                <w:sz w:val="20"/>
                <w:szCs w:val="20"/>
                <w:lang w:val="fr-CA"/>
              </w:rPr>
            </w:pPr>
          </w:p>
          <w:p w:rsidR="00BB1DE3" w:rsidRPr="009C2345" w:rsidRDefault="00BB1DE3" w:rsidP="00D54E41">
            <w:pPr>
              <w:rPr>
                <w:b/>
                <w:sz w:val="20"/>
                <w:szCs w:val="20"/>
                <w:lang w:val="fr-CA"/>
              </w:rPr>
            </w:pPr>
          </w:p>
        </w:tc>
        <w:tc>
          <w:tcPr>
            <w:tcW w:w="1181" w:type="dxa"/>
            <w:shd w:val="clear" w:color="auto" w:fill="auto"/>
          </w:tcPr>
          <w:p w:rsidR="00BB1DE3" w:rsidRPr="009C2345" w:rsidRDefault="00BB1DE3" w:rsidP="00242AEE">
            <w:pPr>
              <w:jc w:val="center"/>
              <w:rPr>
                <w:sz w:val="20"/>
                <w:szCs w:val="20"/>
                <w:lang w:val="fr-CA"/>
              </w:rPr>
            </w:pPr>
          </w:p>
        </w:tc>
        <w:tc>
          <w:tcPr>
            <w:tcW w:w="4320" w:type="dxa"/>
            <w:shd w:val="clear" w:color="auto" w:fill="auto"/>
          </w:tcPr>
          <w:p w:rsidR="00BB1DE3" w:rsidRPr="009C2345" w:rsidRDefault="001B27B4" w:rsidP="00BB1DE3">
            <w:pPr>
              <w:rPr>
                <w:b/>
                <w:sz w:val="20"/>
                <w:szCs w:val="20"/>
                <w:lang w:val="fr-CA"/>
              </w:rPr>
            </w:pPr>
            <w:r w:rsidRPr="009C2345">
              <w:rPr>
                <w:b/>
                <w:sz w:val="20"/>
                <w:szCs w:val="20"/>
                <w:lang w:val="fr-CA"/>
              </w:rPr>
              <w:t>Daniel Laforest</w:t>
            </w:r>
          </w:p>
          <w:p w:rsidR="001B27B4" w:rsidRPr="009C2345" w:rsidRDefault="001B27B4" w:rsidP="00BB1DE3">
            <w:pPr>
              <w:rPr>
                <w:sz w:val="20"/>
                <w:szCs w:val="20"/>
                <w:lang w:val="fr-CA"/>
              </w:rPr>
            </w:pPr>
            <w:r w:rsidRPr="009C2345">
              <w:rPr>
                <w:sz w:val="20"/>
                <w:szCs w:val="20"/>
                <w:lang w:val="fr-CA"/>
              </w:rPr>
              <w:tab/>
              <w:t>Daniel Laforest</w:t>
            </w:r>
          </w:p>
          <w:p w:rsidR="001B27B4" w:rsidRPr="009C2345" w:rsidRDefault="001B27B4" w:rsidP="00BB1DE3">
            <w:pPr>
              <w:rPr>
                <w:sz w:val="20"/>
                <w:szCs w:val="20"/>
                <w:lang w:val="fr-CA"/>
              </w:rPr>
            </w:pPr>
          </w:p>
          <w:p w:rsidR="001B27B4" w:rsidRPr="009C2345" w:rsidRDefault="001B27B4" w:rsidP="00BB1DE3">
            <w:pPr>
              <w:rPr>
                <w:sz w:val="20"/>
                <w:szCs w:val="20"/>
                <w:lang w:val="fr-CA"/>
              </w:rPr>
            </w:pPr>
            <w:r w:rsidRPr="009C2345">
              <w:rPr>
                <w:sz w:val="20"/>
                <w:szCs w:val="20"/>
                <w:lang w:val="fr-CA"/>
              </w:rPr>
              <w:tab/>
              <w:t>c. (36948)</w:t>
            </w:r>
          </w:p>
          <w:p w:rsidR="001B27B4" w:rsidRPr="009C2345" w:rsidRDefault="001B27B4" w:rsidP="00BB1DE3">
            <w:pPr>
              <w:rPr>
                <w:sz w:val="20"/>
                <w:szCs w:val="20"/>
                <w:lang w:val="fr-CA"/>
              </w:rPr>
            </w:pPr>
          </w:p>
          <w:p w:rsidR="001B27B4" w:rsidRPr="009C2345" w:rsidRDefault="001B27B4" w:rsidP="00BB1DE3">
            <w:pPr>
              <w:rPr>
                <w:b/>
                <w:sz w:val="20"/>
                <w:szCs w:val="20"/>
                <w:lang w:val="fr-CA"/>
              </w:rPr>
            </w:pPr>
            <w:r w:rsidRPr="009C2345">
              <w:rPr>
                <w:b/>
                <w:sz w:val="20"/>
                <w:szCs w:val="20"/>
                <w:lang w:val="fr-CA"/>
              </w:rPr>
              <w:t>Sa Majesté la Reine (C.F.)</w:t>
            </w:r>
          </w:p>
          <w:p w:rsidR="001B27B4" w:rsidRPr="009C2345" w:rsidRDefault="001B27B4" w:rsidP="00BB1DE3">
            <w:pPr>
              <w:rPr>
                <w:sz w:val="20"/>
                <w:szCs w:val="20"/>
                <w:lang w:val="fr-CA"/>
              </w:rPr>
            </w:pPr>
            <w:r w:rsidRPr="009C2345">
              <w:rPr>
                <w:sz w:val="20"/>
                <w:szCs w:val="20"/>
                <w:lang w:val="fr-CA"/>
              </w:rPr>
              <w:tab/>
              <w:t>Dany Leduc</w:t>
            </w:r>
          </w:p>
          <w:p w:rsidR="001B27B4" w:rsidRPr="009C2345" w:rsidRDefault="001B27B4" w:rsidP="00BB1DE3">
            <w:pPr>
              <w:rPr>
                <w:sz w:val="20"/>
                <w:szCs w:val="20"/>
                <w:lang w:val="fr-CA"/>
              </w:rPr>
            </w:pPr>
            <w:r w:rsidRPr="009C2345">
              <w:rPr>
                <w:sz w:val="20"/>
                <w:szCs w:val="20"/>
                <w:lang w:val="fr-CA"/>
              </w:rPr>
              <w:tab/>
              <w:t>P.G. du Canada</w:t>
            </w:r>
          </w:p>
          <w:p w:rsidR="001B27B4" w:rsidRPr="009C2345" w:rsidRDefault="001B27B4" w:rsidP="00BB1DE3">
            <w:pPr>
              <w:rPr>
                <w:sz w:val="20"/>
                <w:szCs w:val="20"/>
                <w:lang w:val="fr-CA"/>
              </w:rPr>
            </w:pPr>
          </w:p>
          <w:p w:rsidR="001B27B4" w:rsidRPr="009C2345" w:rsidRDefault="001B27B4" w:rsidP="00BB1DE3">
            <w:pPr>
              <w:rPr>
                <w:sz w:val="20"/>
                <w:szCs w:val="20"/>
                <w:lang w:val="fr-CA"/>
              </w:rPr>
            </w:pPr>
            <w:r w:rsidRPr="009C2345">
              <w:rPr>
                <w:sz w:val="20"/>
                <w:szCs w:val="20"/>
                <w:lang w:val="fr-CA"/>
              </w:rPr>
              <w:t>DATE DE PRODUCTION : 11.04.2016</w:t>
            </w:r>
          </w:p>
          <w:p w:rsidR="001B27B4" w:rsidRPr="009C2345" w:rsidRDefault="0082006E" w:rsidP="00BB1DE3">
            <w:pPr>
              <w:rPr>
                <w:sz w:val="20"/>
                <w:szCs w:val="20"/>
                <w:lang w:val="fr-CA"/>
              </w:rPr>
            </w:pPr>
            <w:r>
              <w:rPr>
                <w:sz w:val="20"/>
                <w:szCs w:val="20"/>
                <w:lang w:val="fr-CA"/>
              </w:rPr>
              <w:pict>
                <v:rect id="_x0000_i1034" style="width:108pt;height:1pt" o:hrpct="0" o:hralign="center" o:hrstd="t" o:hrnoshade="t" o:hr="t" fillcolor="black [3213]" stroked="f"/>
              </w:pict>
            </w:r>
          </w:p>
        </w:tc>
      </w:tr>
      <w:tr w:rsidR="001B27B4" w:rsidRPr="009C2345" w:rsidTr="00191045">
        <w:trPr>
          <w:cantSplit/>
        </w:trPr>
        <w:tc>
          <w:tcPr>
            <w:tcW w:w="4320" w:type="dxa"/>
            <w:shd w:val="clear" w:color="auto" w:fill="auto"/>
          </w:tcPr>
          <w:p w:rsidR="001B27B4" w:rsidRPr="009C2345" w:rsidRDefault="001B27B4" w:rsidP="001B27B4">
            <w:pPr>
              <w:rPr>
                <w:b/>
                <w:sz w:val="20"/>
                <w:szCs w:val="20"/>
                <w:lang w:val="fr-CA"/>
              </w:rPr>
            </w:pPr>
          </w:p>
        </w:tc>
        <w:tc>
          <w:tcPr>
            <w:tcW w:w="1181" w:type="dxa"/>
            <w:shd w:val="clear" w:color="auto" w:fill="auto"/>
          </w:tcPr>
          <w:p w:rsidR="001B27B4" w:rsidRPr="009C2345" w:rsidRDefault="001B27B4" w:rsidP="00242AEE">
            <w:pPr>
              <w:jc w:val="center"/>
              <w:rPr>
                <w:sz w:val="20"/>
                <w:szCs w:val="20"/>
                <w:lang w:val="fr-CA"/>
              </w:rPr>
            </w:pPr>
          </w:p>
        </w:tc>
        <w:tc>
          <w:tcPr>
            <w:tcW w:w="4320" w:type="dxa"/>
            <w:shd w:val="clear" w:color="auto" w:fill="auto"/>
          </w:tcPr>
          <w:p w:rsidR="001B27B4" w:rsidRPr="009C2345" w:rsidRDefault="001B27B4" w:rsidP="00BB1DE3">
            <w:pPr>
              <w:rPr>
                <w:b/>
                <w:sz w:val="20"/>
                <w:szCs w:val="20"/>
                <w:lang w:val="fr-CA"/>
              </w:rPr>
            </w:pPr>
          </w:p>
        </w:tc>
      </w:tr>
    </w:tbl>
    <w:p w:rsidR="006C3F47" w:rsidRPr="009C2345" w:rsidRDefault="006C3F47" w:rsidP="0095096B">
      <w:pPr>
        <w:tabs>
          <w:tab w:val="right" w:pos="9360"/>
        </w:tabs>
        <w:rPr>
          <w:sz w:val="20"/>
          <w:szCs w:val="20"/>
          <w:lang w:val="fr-CA"/>
        </w:rPr>
      </w:pPr>
    </w:p>
    <w:p w:rsidR="00D94028" w:rsidRPr="009C2345" w:rsidRDefault="00D94028" w:rsidP="0095096B">
      <w:pPr>
        <w:tabs>
          <w:tab w:val="right" w:pos="9360"/>
        </w:tabs>
        <w:rPr>
          <w:sz w:val="20"/>
          <w:szCs w:val="20"/>
          <w:lang w:val="fr-CA"/>
        </w:rPr>
      </w:pPr>
    </w:p>
    <w:p w:rsidR="00242AEE" w:rsidRPr="009C2345" w:rsidRDefault="00242AEE" w:rsidP="0095096B">
      <w:pPr>
        <w:tabs>
          <w:tab w:val="right" w:pos="9360"/>
        </w:tabs>
        <w:rPr>
          <w:sz w:val="20"/>
          <w:szCs w:val="20"/>
          <w:lang w:val="fr-CA"/>
        </w:rPr>
      </w:pPr>
    </w:p>
    <w:p w:rsidR="00242AEE" w:rsidRPr="009C2345" w:rsidRDefault="00242AEE" w:rsidP="0095096B">
      <w:pPr>
        <w:tabs>
          <w:tab w:val="right" w:pos="9360"/>
        </w:tabs>
        <w:rPr>
          <w:sz w:val="20"/>
          <w:szCs w:val="20"/>
          <w:lang w:val="fr-CA"/>
        </w:rPr>
        <w:sectPr w:rsidR="00242AEE" w:rsidRPr="009C2345" w:rsidSect="0082006E">
          <w:headerReference w:type="default" r:id="rId17"/>
          <w:footerReference w:type="default" r:id="rId18"/>
          <w:headerReference w:type="first" r:id="rId19"/>
          <w:footerReference w:type="first" r:id="rId20"/>
          <w:pgSz w:w="12240" w:h="15840"/>
          <w:pgMar w:top="720" w:right="965" w:bottom="1080" w:left="1656" w:header="706" w:footer="706" w:gutter="0"/>
          <w:pgNumType w:start="645"/>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82006E" w:rsidTr="00BA6468">
        <w:trPr>
          <w:trHeight w:val="900"/>
        </w:trPr>
        <w:tc>
          <w:tcPr>
            <w:tcW w:w="4200" w:type="dxa"/>
            <w:tcMar>
              <w:left w:w="0" w:type="dxa"/>
              <w:right w:w="0" w:type="dxa"/>
            </w:tcMar>
          </w:tcPr>
          <w:p w:rsidR="002E2327" w:rsidRPr="009C2345" w:rsidRDefault="002E2327" w:rsidP="002E2327">
            <w:pPr>
              <w:keepNext/>
              <w:keepLines/>
              <w:widowControl w:val="0"/>
              <w:rPr>
                <w:b/>
                <w:szCs w:val="24"/>
              </w:rPr>
            </w:pPr>
            <w:r w:rsidRPr="009C2345">
              <w:rPr>
                <w:b/>
                <w:szCs w:val="24"/>
              </w:rPr>
              <w:t>APPLICATIONS FOR LEAVE SUBMITTED TO COURT SINCE LAST ISSUE</w:t>
            </w:r>
          </w:p>
        </w:tc>
        <w:tc>
          <w:tcPr>
            <w:tcW w:w="1200" w:type="dxa"/>
            <w:tcMar>
              <w:left w:w="0" w:type="dxa"/>
              <w:right w:w="0" w:type="dxa"/>
            </w:tcMar>
          </w:tcPr>
          <w:p w:rsidR="002E2327" w:rsidRPr="009C2345" w:rsidRDefault="002E2327" w:rsidP="002E2327">
            <w:pPr>
              <w:keepNext/>
              <w:keepLines/>
              <w:widowControl w:val="0"/>
              <w:jc w:val="center"/>
              <w:rPr>
                <w:b/>
                <w:szCs w:val="24"/>
              </w:rPr>
            </w:pPr>
          </w:p>
          <w:p w:rsidR="001D0D5F" w:rsidRPr="009C2345" w:rsidRDefault="001D0D5F" w:rsidP="002E2327">
            <w:pPr>
              <w:keepNext/>
              <w:keepLines/>
              <w:widowControl w:val="0"/>
              <w:jc w:val="center"/>
              <w:rPr>
                <w:b/>
                <w:szCs w:val="24"/>
              </w:rPr>
            </w:pPr>
          </w:p>
          <w:p w:rsidR="001D0D5F" w:rsidRPr="009C2345" w:rsidRDefault="001D0D5F" w:rsidP="002E2327">
            <w:pPr>
              <w:keepNext/>
              <w:keepLines/>
              <w:widowControl w:val="0"/>
              <w:jc w:val="center"/>
              <w:rPr>
                <w:b/>
                <w:szCs w:val="24"/>
              </w:rPr>
            </w:pPr>
          </w:p>
          <w:p w:rsidR="001D0D5F" w:rsidRPr="009C2345" w:rsidRDefault="001D0D5F" w:rsidP="002E2327">
            <w:pPr>
              <w:keepNext/>
              <w:keepLines/>
              <w:widowControl w:val="0"/>
              <w:jc w:val="center"/>
              <w:rPr>
                <w:b/>
                <w:szCs w:val="24"/>
              </w:rPr>
            </w:pPr>
          </w:p>
        </w:tc>
        <w:tc>
          <w:tcPr>
            <w:tcW w:w="4080" w:type="dxa"/>
            <w:tcMar>
              <w:left w:w="0" w:type="dxa"/>
              <w:right w:w="0" w:type="dxa"/>
            </w:tcMar>
          </w:tcPr>
          <w:p w:rsidR="002E2327" w:rsidRPr="009C2345" w:rsidRDefault="002E2327" w:rsidP="002E2327">
            <w:pPr>
              <w:keepLines/>
              <w:widowControl w:val="0"/>
              <w:rPr>
                <w:szCs w:val="24"/>
                <w:lang w:val="fr-CA"/>
              </w:rPr>
            </w:pPr>
            <w:r w:rsidRPr="009C2345">
              <w:rPr>
                <w:b/>
                <w:szCs w:val="24"/>
                <w:lang w:val="fr-CA"/>
              </w:rPr>
              <w:t>DEMANDES SOUMISES À LA COUR DEPUIS LA DERNIÈRE PARUTION</w:t>
            </w:r>
          </w:p>
          <w:p w:rsidR="002E2327" w:rsidRPr="009C2345"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9C2345" w:rsidRDefault="002E2327" w:rsidP="002E2327">
      <w:pPr>
        <w:widowControl w:val="0"/>
        <w:rPr>
          <w:b/>
          <w:sz w:val="20"/>
          <w:szCs w:val="20"/>
          <w:lang w:val="fr-CA"/>
        </w:rPr>
      </w:pPr>
    </w:p>
    <w:p w:rsidR="00CB3520" w:rsidRPr="009C2345" w:rsidRDefault="00F728DC" w:rsidP="00CB3520">
      <w:pPr>
        <w:widowControl w:val="0"/>
        <w:rPr>
          <w:b/>
          <w:sz w:val="20"/>
          <w:szCs w:val="20"/>
        </w:rPr>
      </w:pPr>
      <w:r w:rsidRPr="009C2345">
        <w:rPr>
          <w:b/>
          <w:sz w:val="20"/>
          <w:szCs w:val="20"/>
        </w:rPr>
        <w:t>MAY</w:t>
      </w:r>
      <w:r w:rsidR="00CB3520" w:rsidRPr="009C2345">
        <w:rPr>
          <w:b/>
          <w:sz w:val="20"/>
          <w:szCs w:val="20"/>
        </w:rPr>
        <w:t xml:space="preserve"> 2, 201</w:t>
      </w:r>
      <w:r w:rsidR="0030050B" w:rsidRPr="009C2345">
        <w:rPr>
          <w:b/>
          <w:sz w:val="20"/>
          <w:szCs w:val="20"/>
        </w:rPr>
        <w:t>6</w:t>
      </w:r>
      <w:r w:rsidR="00CB3520" w:rsidRPr="009C2345">
        <w:rPr>
          <w:b/>
          <w:sz w:val="20"/>
          <w:szCs w:val="20"/>
        </w:rPr>
        <w:t xml:space="preserve"> / LE 2 </w:t>
      </w:r>
      <w:r w:rsidRPr="009C2345">
        <w:rPr>
          <w:b/>
          <w:sz w:val="20"/>
          <w:szCs w:val="20"/>
        </w:rPr>
        <w:t>MAI</w:t>
      </w:r>
      <w:r w:rsidR="00CB3520" w:rsidRPr="009C2345">
        <w:rPr>
          <w:b/>
          <w:sz w:val="20"/>
          <w:szCs w:val="20"/>
        </w:rPr>
        <w:t xml:space="preserve"> 201</w:t>
      </w:r>
      <w:r w:rsidR="0030050B" w:rsidRPr="009C2345">
        <w:rPr>
          <w:b/>
          <w:sz w:val="20"/>
          <w:szCs w:val="20"/>
        </w:rPr>
        <w:t>6</w:t>
      </w:r>
    </w:p>
    <w:p w:rsidR="00CB3520" w:rsidRPr="009C2345" w:rsidRDefault="00CB3520" w:rsidP="00CB3520">
      <w:pPr>
        <w:widowControl w:val="0"/>
        <w:rPr>
          <w:b/>
          <w:sz w:val="20"/>
          <w:szCs w:val="20"/>
        </w:rPr>
      </w:pPr>
    </w:p>
    <w:p w:rsidR="00CB3520" w:rsidRPr="009C2345" w:rsidRDefault="00CB3520" w:rsidP="00CB3520">
      <w:pPr>
        <w:widowControl w:val="0"/>
        <w:jc w:val="center"/>
        <w:rPr>
          <w:b/>
          <w:sz w:val="20"/>
          <w:szCs w:val="20"/>
        </w:rPr>
      </w:pPr>
      <w:r w:rsidRPr="009C2345">
        <w:rPr>
          <w:b/>
          <w:sz w:val="20"/>
          <w:szCs w:val="20"/>
        </w:rPr>
        <w:t xml:space="preserve">CORAM:  Chief Justice McLachlin and </w:t>
      </w:r>
      <w:r w:rsidR="00F728DC" w:rsidRPr="009C2345">
        <w:rPr>
          <w:b/>
          <w:sz w:val="20"/>
          <w:szCs w:val="20"/>
        </w:rPr>
        <w:t>Moldaver</w:t>
      </w:r>
      <w:r w:rsidRPr="009C2345">
        <w:rPr>
          <w:b/>
          <w:sz w:val="20"/>
          <w:szCs w:val="20"/>
        </w:rPr>
        <w:t xml:space="preserve"> and </w:t>
      </w:r>
      <w:r w:rsidR="00FA3373" w:rsidRPr="009C2345">
        <w:rPr>
          <w:b/>
          <w:sz w:val="20"/>
          <w:szCs w:val="20"/>
        </w:rPr>
        <w:t xml:space="preserve">Gascon </w:t>
      </w:r>
      <w:r w:rsidRPr="009C2345">
        <w:rPr>
          <w:b/>
          <w:sz w:val="20"/>
          <w:szCs w:val="20"/>
        </w:rPr>
        <w:t>JJ.</w:t>
      </w:r>
    </w:p>
    <w:p w:rsidR="00CB3520" w:rsidRPr="009C2345" w:rsidRDefault="00CB3520" w:rsidP="00CB3520">
      <w:pPr>
        <w:widowControl w:val="0"/>
        <w:jc w:val="center"/>
        <w:rPr>
          <w:sz w:val="20"/>
          <w:szCs w:val="20"/>
          <w:lang w:val="fr-CA"/>
        </w:rPr>
      </w:pPr>
      <w:r w:rsidRPr="009C2345">
        <w:rPr>
          <w:b/>
          <w:sz w:val="20"/>
          <w:szCs w:val="20"/>
          <w:lang w:val="fr-CA"/>
        </w:rPr>
        <w:t xml:space="preserve">La juge en chef McLachlin et les juges </w:t>
      </w:r>
      <w:r w:rsidR="00F728DC" w:rsidRPr="009C2345">
        <w:rPr>
          <w:b/>
          <w:sz w:val="20"/>
          <w:szCs w:val="20"/>
          <w:lang w:val="fr-CA"/>
        </w:rPr>
        <w:t>Moldaver</w:t>
      </w:r>
      <w:r w:rsidRPr="009C2345">
        <w:rPr>
          <w:b/>
          <w:sz w:val="20"/>
          <w:szCs w:val="20"/>
          <w:lang w:val="fr-CA"/>
        </w:rPr>
        <w:t xml:space="preserve"> et </w:t>
      </w:r>
      <w:r w:rsidR="00FA3373" w:rsidRPr="009C2345">
        <w:rPr>
          <w:b/>
          <w:sz w:val="20"/>
          <w:szCs w:val="20"/>
          <w:lang w:val="fr-CA"/>
        </w:rPr>
        <w:t>Gascon</w:t>
      </w:r>
    </w:p>
    <w:p w:rsidR="00CB3520" w:rsidRPr="009C2345" w:rsidRDefault="00CB3520" w:rsidP="00CB3520">
      <w:pPr>
        <w:widowControl w:val="0"/>
        <w:rPr>
          <w:sz w:val="20"/>
          <w:szCs w:val="20"/>
          <w:lang w:val="fr-CA"/>
        </w:rPr>
      </w:pPr>
    </w:p>
    <w:p w:rsidR="00CB3520" w:rsidRPr="009C2345" w:rsidRDefault="0020498D" w:rsidP="00CB3520">
      <w:pPr>
        <w:pStyle w:val="ListParagraph"/>
        <w:widowControl w:val="0"/>
        <w:numPr>
          <w:ilvl w:val="0"/>
          <w:numId w:val="1"/>
        </w:numPr>
        <w:ind w:hanging="720"/>
        <w:jc w:val="both"/>
        <w:rPr>
          <w:sz w:val="20"/>
          <w:szCs w:val="20"/>
        </w:rPr>
      </w:pPr>
      <w:r w:rsidRPr="009C2345">
        <w:rPr>
          <w:i/>
          <w:sz w:val="20"/>
          <w:szCs w:val="20"/>
        </w:rPr>
        <w:t>Gerald Robert Ryan</w:t>
      </w:r>
      <w:r w:rsidR="00CB3520" w:rsidRPr="009C2345">
        <w:rPr>
          <w:i/>
          <w:sz w:val="20"/>
          <w:szCs w:val="20"/>
        </w:rPr>
        <w:t xml:space="preserve"> v. </w:t>
      </w:r>
      <w:r w:rsidRPr="009C2345">
        <w:rPr>
          <w:i/>
          <w:sz w:val="20"/>
          <w:szCs w:val="20"/>
        </w:rPr>
        <w:t>Her Majesty the Queen</w:t>
      </w:r>
      <w:r w:rsidR="00CB3520" w:rsidRPr="009C2345">
        <w:rPr>
          <w:sz w:val="20"/>
          <w:szCs w:val="20"/>
        </w:rPr>
        <w:t xml:space="preserve"> (</w:t>
      </w:r>
      <w:r w:rsidRPr="009C2345">
        <w:rPr>
          <w:sz w:val="20"/>
          <w:szCs w:val="20"/>
        </w:rPr>
        <w:t>Alta</w:t>
      </w:r>
      <w:r w:rsidR="00CB3520" w:rsidRPr="009C2345">
        <w:rPr>
          <w:sz w:val="20"/>
          <w:szCs w:val="20"/>
        </w:rPr>
        <w:t>.) (Crim.) (By Leave) (36</w:t>
      </w:r>
      <w:r w:rsidRPr="009C2345">
        <w:rPr>
          <w:sz w:val="20"/>
          <w:szCs w:val="20"/>
        </w:rPr>
        <w:t>841</w:t>
      </w:r>
      <w:r w:rsidR="00CB3520" w:rsidRPr="009C2345">
        <w:rPr>
          <w:sz w:val="20"/>
          <w:szCs w:val="20"/>
        </w:rPr>
        <w:t>)</w:t>
      </w:r>
    </w:p>
    <w:p w:rsidR="00CB3520" w:rsidRPr="009C2345" w:rsidRDefault="00CB3520" w:rsidP="00CB3520">
      <w:pPr>
        <w:widowControl w:val="0"/>
        <w:jc w:val="both"/>
        <w:rPr>
          <w:sz w:val="20"/>
          <w:szCs w:val="20"/>
        </w:rPr>
      </w:pPr>
    </w:p>
    <w:p w:rsidR="00CB3520" w:rsidRPr="009C2345" w:rsidRDefault="00022972" w:rsidP="00CB3520">
      <w:pPr>
        <w:pStyle w:val="ListParagraph"/>
        <w:widowControl w:val="0"/>
        <w:numPr>
          <w:ilvl w:val="0"/>
          <w:numId w:val="1"/>
        </w:numPr>
        <w:ind w:hanging="720"/>
        <w:jc w:val="both"/>
        <w:rPr>
          <w:sz w:val="20"/>
          <w:szCs w:val="20"/>
        </w:rPr>
      </w:pPr>
      <w:r w:rsidRPr="009C2345">
        <w:rPr>
          <w:i/>
          <w:sz w:val="20"/>
          <w:szCs w:val="20"/>
        </w:rPr>
        <w:t>Jeremy James Peers</w:t>
      </w:r>
      <w:r w:rsidR="00CB3520" w:rsidRPr="009C2345">
        <w:rPr>
          <w:i/>
          <w:sz w:val="20"/>
          <w:szCs w:val="20"/>
        </w:rPr>
        <w:t xml:space="preserve"> v. </w:t>
      </w:r>
      <w:r w:rsidRPr="009C2345">
        <w:rPr>
          <w:i/>
          <w:sz w:val="20"/>
          <w:szCs w:val="20"/>
        </w:rPr>
        <w:t>Her Majesty the Queen (Alberta Securities Commission)</w:t>
      </w:r>
      <w:r w:rsidR="00CB3520" w:rsidRPr="009C2345">
        <w:rPr>
          <w:sz w:val="20"/>
          <w:szCs w:val="20"/>
        </w:rPr>
        <w:t xml:space="preserve"> (</w:t>
      </w:r>
      <w:r w:rsidRPr="009C2345">
        <w:rPr>
          <w:sz w:val="20"/>
          <w:szCs w:val="20"/>
        </w:rPr>
        <w:t>Alta.) (Civil) (By Leave) (36865</w:t>
      </w:r>
      <w:r w:rsidR="00CB3520" w:rsidRPr="009C2345">
        <w:rPr>
          <w:sz w:val="20"/>
          <w:szCs w:val="20"/>
        </w:rPr>
        <w:t>)</w:t>
      </w:r>
    </w:p>
    <w:p w:rsidR="00CB3520" w:rsidRPr="009C2345" w:rsidRDefault="00CB3520" w:rsidP="00CB3520">
      <w:pPr>
        <w:widowControl w:val="0"/>
        <w:jc w:val="both"/>
        <w:rPr>
          <w:sz w:val="20"/>
          <w:szCs w:val="20"/>
        </w:rPr>
      </w:pPr>
    </w:p>
    <w:p w:rsidR="00CB3520" w:rsidRPr="009C2345" w:rsidRDefault="00E73F45" w:rsidP="00CB3520">
      <w:pPr>
        <w:pStyle w:val="ListParagraph"/>
        <w:widowControl w:val="0"/>
        <w:numPr>
          <w:ilvl w:val="0"/>
          <w:numId w:val="1"/>
        </w:numPr>
        <w:ind w:hanging="720"/>
        <w:jc w:val="both"/>
        <w:rPr>
          <w:sz w:val="20"/>
          <w:szCs w:val="20"/>
        </w:rPr>
      </w:pPr>
      <w:r w:rsidRPr="009C2345">
        <w:rPr>
          <w:i/>
          <w:sz w:val="20"/>
          <w:szCs w:val="20"/>
        </w:rPr>
        <w:t>Ronald James Aitkens</w:t>
      </w:r>
      <w:r w:rsidR="00CB3520" w:rsidRPr="009C2345">
        <w:rPr>
          <w:i/>
          <w:sz w:val="20"/>
          <w:szCs w:val="20"/>
        </w:rPr>
        <w:t xml:space="preserve"> v. </w:t>
      </w:r>
      <w:r w:rsidRPr="009C2345">
        <w:rPr>
          <w:i/>
          <w:sz w:val="20"/>
          <w:szCs w:val="20"/>
        </w:rPr>
        <w:t>Alberta Securities Commission</w:t>
      </w:r>
      <w:r w:rsidR="00CB3520" w:rsidRPr="009C2345">
        <w:rPr>
          <w:sz w:val="20"/>
          <w:szCs w:val="20"/>
        </w:rPr>
        <w:t xml:space="preserve"> (</w:t>
      </w:r>
      <w:r w:rsidRPr="009C2345">
        <w:rPr>
          <w:sz w:val="20"/>
          <w:szCs w:val="20"/>
        </w:rPr>
        <w:t>Alta</w:t>
      </w:r>
      <w:r w:rsidR="00CB3520" w:rsidRPr="009C2345">
        <w:rPr>
          <w:sz w:val="20"/>
          <w:szCs w:val="20"/>
        </w:rPr>
        <w:t>.) (Civil) (By Leave) (3</w:t>
      </w:r>
      <w:r w:rsidRPr="009C2345">
        <w:rPr>
          <w:sz w:val="20"/>
          <w:szCs w:val="20"/>
        </w:rPr>
        <w:t>6866</w:t>
      </w:r>
      <w:r w:rsidR="00CB3520" w:rsidRPr="009C2345">
        <w:rPr>
          <w:sz w:val="20"/>
          <w:szCs w:val="20"/>
        </w:rPr>
        <w:t>)</w:t>
      </w:r>
    </w:p>
    <w:p w:rsidR="00CB3520" w:rsidRPr="009C2345" w:rsidRDefault="00CB3520" w:rsidP="00CB3520">
      <w:pPr>
        <w:widowControl w:val="0"/>
        <w:rPr>
          <w:sz w:val="20"/>
          <w:szCs w:val="20"/>
        </w:rPr>
      </w:pPr>
    </w:p>
    <w:p w:rsidR="00CB3520" w:rsidRPr="009C2345" w:rsidRDefault="00CB3520" w:rsidP="00CB3520">
      <w:pPr>
        <w:pStyle w:val="ListParagraph"/>
        <w:widowControl w:val="0"/>
        <w:numPr>
          <w:ilvl w:val="0"/>
          <w:numId w:val="1"/>
        </w:numPr>
        <w:ind w:hanging="720"/>
        <w:jc w:val="both"/>
        <w:rPr>
          <w:sz w:val="20"/>
          <w:szCs w:val="20"/>
        </w:rPr>
      </w:pPr>
      <w:r w:rsidRPr="009C2345">
        <w:rPr>
          <w:i/>
          <w:sz w:val="20"/>
          <w:szCs w:val="20"/>
          <w:lang w:val="fr-CA"/>
        </w:rPr>
        <w:t>C</w:t>
      </w:r>
      <w:r w:rsidR="00313B53" w:rsidRPr="009C2345">
        <w:rPr>
          <w:i/>
          <w:sz w:val="20"/>
          <w:szCs w:val="20"/>
          <w:lang w:val="fr-CA"/>
        </w:rPr>
        <w:t>PNI Inc.</w:t>
      </w:r>
      <w:r w:rsidRPr="009C2345">
        <w:rPr>
          <w:i/>
          <w:sz w:val="20"/>
          <w:szCs w:val="20"/>
          <w:lang w:val="fr-CA"/>
        </w:rPr>
        <w:t xml:space="preserve"> v. </w:t>
      </w:r>
      <w:r w:rsidR="00313B53" w:rsidRPr="009C2345">
        <w:rPr>
          <w:i/>
          <w:sz w:val="20"/>
          <w:szCs w:val="20"/>
          <w:lang w:val="fr-CA"/>
        </w:rPr>
        <w:t xml:space="preserve">Paramjit Gill </w:t>
      </w:r>
      <w:r w:rsidRPr="009C2345">
        <w:rPr>
          <w:i/>
          <w:sz w:val="20"/>
          <w:szCs w:val="20"/>
          <w:lang w:val="fr-CA"/>
        </w:rPr>
        <w:t>et al.</w:t>
      </w:r>
      <w:r w:rsidRPr="009C2345">
        <w:rPr>
          <w:sz w:val="20"/>
          <w:szCs w:val="20"/>
          <w:lang w:val="fr-CA"/>
        </w:rPr>
        <w:t xml:space="preserve"> </w:t>
      </w:r>
      <w:r w:rsidRPr="009C2345">
        <w:rPr>
          <w:sz w:val="20"/>
          <w:szCs w:val="20"/>
        </w:rPr>
        <w:t>(Ont.) (Civil) (By Leave) (3</w:t>
      </w:r>
      <w:r w:rsidR="00313B53" w:rsidRPr="009C2345">
        <w:rPr>
          <w:sz w:val="20"/>
          <w:szCs w:val="20"/>
        </w:rPr>
        <w:t>6874</w:t>
      </w:r>
      <w:r w:rsidRPr="009C2345">
        <w:rPr>
          <w:sz w:val="20"/>
          <w:szCs w:val="20"/>
        </w:rPr>
        <w:t>)</w:t>
      </w:r>
    </w:p>
    <w:p w:rsidR="00CB3520" w:rsidRPr="009C2345" w:rsidRDefault="00CB3520" w:rsidP="00CB3520">
      <w:pPr>
        <w:widowControl w:val="0"/>
        <w:rPr>
          <w:sz w:val="20"/>
          <w:szCs w:val="20"/>
        </w:rPr>
      </w:pPr>
    </w:p>
    <w:p w:rsidR="00CB3520" w:rsidRPr="009C2345" w:rsidRDefault="00CB3520" w:rsidP="00CB3520">
      <w:pPr>
        <w:widowControl w:val="0"/>
        <w:rPr>
          <w:sz w:val="20"/>
          <w:szCs w:val="20"/>
        </w:rPr>
      </w:pPr>
    </w:p>
    <w:p w:rsidR="00CB3520" w:rsidRPr="009C2345" w:rsidRDefault="00CB3520" w:rsidP="00CB3520">
      <w:pPr>
        <w:widowControl w:val="0"/>
        <w:jc w:val="center"/>
        <w:rPr>
          <w:b/>
          <w:sz w:val="20"/>
          <w:szCs w:val="20"/>
        </w:rPr>
      </w:pPr>
      <w:r w:rsidRPr="009C2345">
        <w:rPr>
          <w:b/>
          <w:sz w:val="20"/>
          <w:szCs w:val="20"/>
        </w:rPr>
        <w:t xml:space="preserve">CORAM: </w:t>
      </w:r>
      <w:r w:rsidR="00FA3373" w:rsidRPr="009C2345">
        <w:rPr>
          <w:b/>
          <w:sz w:val="20"/>
          <w:szCs w:val="20"/>
        </w:rPr>
        <w:t>Abella</w:t>
      </w:r>
      <w:r w:rsidRPr="009C2345">
        <w:rPr>
          <w:b/>
          <w:sz w:val="20"/>
          <w:szCs w:val="20"/>
        </w:rPr>
        <w:t xml:space="preserve">, Karakatsanis and </w:t>
      </w:r>
      <w:r w:rsidR="00F143E7" w:rsidRPr="009C2345">
        <w:rPr>
          <w:b/>
          <w:sz w:val="20"/>
          <w:szCs w:val="20"/>
        </w:rPr>
        <w:t>Brown</w:t>
      </w:r>
      <w:r w:rsidRPr="009C2345">
        <w:rPr>
          <w:b/>
          <w:sz w:val="20"/>
          <w:szCs w:val="20"/>
        </w:rPr>
        <w:t xml:space="preserve"> JJ.</w:t>
      </w:r>
    </w:p>
    <w:p w:rsidR="00CB3520" w:rsidRPr="009C2345" w:rsidRDefault="00CB3520" w:rsidP="00CB3520">
      <w:pPr>
        <w:widowControl w:val="0"/>
        <w:jc w:val="center"/>
        <w:rPr>
          <w:b/>
          <w:sz w:val="20"/>
          <w:szCs w:val="20"/>
          <w:lang w:val="fr-CA"/>
        </w:rPr>
      </w:pPr>
      <w:r w:rsidRPr="009C2345">
        <w:rPr>
          <w:b/>
          <w:sz w:val="20"/>
          <w:szCs w:val="20"/>
          <w:lang w:val="fr-CA"/>
        </w:rPr>
        <w:t xml:space="preserve">Les juges </w:t>
      </w:r>
      <w:r w:rsidR="00FA3373" w:rsidRPr="009C2345">
        <w:rPr>
          <w:b/>
          <w:sz w:val="20"/>
          <w:szCs w:val="20"/>
          <w:lang w:val="fr-CA"/>
        </w:rPr>
        <w:t>Abella</w:t>
      </w:r>
      <w:r w:rsidRPr="009C2345">
        <w:rPr>
          <w:b/>
          <w:sz w:val="20"/>
          <w:szCs w:val="20"/>
          <w:lang w:val="fr-CA"/>
        </w:rPr>
        <w:t xml:space="preserve">, Karakatsanis et </w:t>
      </w:r>
      <w:r w:rsidR="00F143E7" w:rsidRPr="009C2345">
        <w:rPr>
          <w:b/>
          <w:sz w:val="20"/>
          <w:szCs w:val="20"/>
          <w:lang w:val="fr-CA"/>
        </w:rPr>
        <w:t>Brown</w:t>
      </w:r>
    </w:p>
    <w:p w:rsidR="00CB3520" w:rsidRPr="009C2345" w:rsidRDefault="00CB3520" w:rsidP="00CB3520">
      <w:pPr>
        <w:widowControl w:val="0"/>
        <w:jc w:val="both"/>
        <w:rPr>
          <w:sz w:val="20"/>
          <w:szCs w:val="20"/>
          <w:lang w:val="fr-CA"/>
        </w:rPr>
      </w:pPr>
    </w:p>
    <w:p w:rsidR="00CB3520" w:rsidRPr="009C2345" w:rsidRDefault="00053933" w:rsidP="00CB3520">
      <w:pPr>
        <w:pStyle w:val="ListParagraph"/>
        <w:widowControl w:val="0"/>
        <w:numPr>
          <w:ilvl w:val="0"/>
          <w:numId w:val="1"/>
        </w:numPr>
        <w:ind w:hanging="720"/>
        <w:jc w:val="both"/>
        <w:rPr>
          <w:sz w:val="20"/>
          <w:szCs w:val="20"/>
        </w:rPr>
      </w:pPr>
      <w:r w:rsidRPr="009C2345">
        <w:rPr>
          <w:i/>
          <w:sz w:val="20"/>
          <w:szCs w:val="20"/>
        </w:rPr>
        <w:t xml:space="preserve">Louis Kakoutis </w:t>
      </w:r>
      <w:r w:rsidR="00CB3520" w:rsidRPr="009C2345">
        <w:rPr>
          <w:i/>
          <w:sz w:val="20"/>
          <w:szCs w:val="20"/>
        </w:rPr>
        <w:t>et al.</w:t>
      </w:r>
      <w:r w:rsidRPr="009C2345">
        <w:rPr>
          <w:i/>
          <w:sz w:val="20"/>
          <w:szCs w:val="20"/>
        </w:rPr>
        <w:t xml:space="preserve"> v. Bank of Nova Scotia </w:t>
      </w:r>
      <w:r w:rsidR="00CB3520" w:rsidRPr="009C2345">
        <w:rPr>
          <w:sz w:val="20"/>
          <w:szCs w:val="20"/>
        </w:rPr>
        <w:t xml:space="preserve"> (</w:t>
      </w:r>
      <w:r w:rsidRPr="009C2345">
        <w:rPr>
          <w:sz w:val="20"/>
          <w:szCs w:val="20"/>
        </w:rPr>
        <w:t>Ont</w:t>
      </w:r>
      <w:r w:rsidR="00CB3520" w:rsidRPr="009C2345">
        <w:rPr>
          <w:sz w:val="20"/>
          <w:szCs w:val="20"/>
        </w:rPr>
        <w:t>.) (Civil) (By Leave) (3</w:t>
      </w:r>
      <w:r w:rsidRPr="009C2345">
        <w:rPr>
          <w:sz w:val="20"/>
          <w:szCs w:val="20"/>
        </w:rPr>
        <w:t>6878</w:t>
      </w:r>
      <w:r w:rsidR="00CB3520" w:rsidRPr="009C2345">
        <w:rPr>
          <w:sz w:val="20"/>
          <w:szCs w:val="20"/>
        </w:rPr>
        <w:t>)</w:t>
      </w:r>
    </w:p>
    <w:p w:rsidR="00CB3520" w:rsidRPr="009C2345" w:rsidRDefault="00CB3520" w:rsidP="008E74C4">
      <w:pPr>
        <w:widowControl w:val="0"/>
        <w:tabs>
          <w:tab w:val="left" w:pos="1164"/>
        </w:tabs>
        <w:jc w:val="both"/>
        <w:rPr>
          <w:sz w:val="20"/>
          <w:szCs w:val="20"/>
        </w:rPr>
      </w:pPr>
    </w:p>
    <w:p w:rsidR="00CB3520" w:rsidRPr="009C2345" w:rsidRDefault="00854A50" w:rsidP="00CB3520">
      <w:pPr>
        <w:pStyle w:val="ListParagraph"/>
        <w:widowControl w:val="0"/>
        <w:numPr>
          <w:ilvl w:val="0"/>
          <w:numId w:val="1"/>
        </w:numPr>
        <w:ind w:hanging="720"/>
        <w:jc w:val="both"/>
        <w:rPr>
          <w:sz w:val="20"/>
          <w:szCs w:val="20"/>
        </w:rPr>
      </w:pPr>
      <w:r w:rsidRPr="009C2345">
        <w:rPr>
          <w:i/>
          <w:sz w:val="20"/>
          <w:szCs w:val="20"/>
        </w:rPr>
        <w:t>Rosa Everett et al.</w:t>
      </w:r>
      <w:r w:rsidR="00CB3520" w:rsidRPr="009C2345">
        <w:rPr>
          <w:i/>
          <w:sz w:val="20"/>
          <w:szCs w:val="20"/>
        </w:rPr>
        <w:t xml:space="preserve"> v.</w:t>
      </w:r>
      <w:r w:rsidRPr="009C2345">
        <w:rPr>
          <w:i/>
          <w:sz w:val="20"/>
          <w:szCs w:val="20"/>
        </w:rPr>
        <w:t xml:space="preserve"> Keith McCaskill et al.</w:t>
      </w:r>
      <w:r w:rsidR="00CB3520" w:rsidRPr="009C2345">
        <w:rPr>
          <w:sz w:val="20"/>
          <w:szCs w:val="20"/>
        </w:rPr>
        <w:t xml:space="preserve"> (</w:t>
      </w:r>
      <w:r w:rsidRPr="009C2345">
        <w:rPr>
          <w:sz w:val="20"/>
          <w:szCs w:val="20"/>
        </w:rPr>
        <w:t>Man</w:t>
      </w:r>
      <w:r w:rsidR="00CB3520" w:rsidRPr="009C2345">
        <w:rPr>
          <w:sz w:val="20"/>
          <w:szCs w:val="20"/>
        </w:rPr>
        <w:t>.) (Civil) (By Leave) (36</w:t>
      </w:r>
      <w:r w:rsidRPr="009C2345">
        <w:rPr>
          <w:sz w:val="20"/>
          <w:szCs w:val="20"/>
        </w:rPr>
        <w:t>847</w:t>
      </w:r>
      <w:r w:rsidR="00CB3520" w:rsidRPr="009C2345">
        <w:rPr>
          <w:sz w:val="20"/>
          <w:szCs w:val="20"/>
        </w:rPr>
        <w:t>)</w:t>
      </w:r>
    </w:p>
    <w:p w:rsidR="00CB3520" w:rsidRPr="009C2345" w:rsidRDefault="00CB3520" w:rsidP="00CB3520">
      <w:pPr>
        <w:widowControl w:val="0"/>
        <w:jc w:val="both"/>
        <w:rPr>
          <w:sz w:val="20"/>
          <w:szCs w:val="20"/>
        </w:rPr>
      </w:pPr>
    </w:p>
    <w:p w:rsidR="00CB3520" w:rsidRPr="009C2345" w:rsidRDefault="00017A3C" w:rsidP="00CB3520">
      <w:pPr>
        <w:pStyle w:val="ListParagraph"/>
        <w:widowControl w:val="0"/>
        <w:numPr>
          <w:ilvl w:val="0"/>
          <w:numId w:val="1"/>
        </w:numPr>
        <w:ind w:hanging="720"/>
        <w:jc w:val="both"/>
        <w:rPr>
          <w:sz w:val="20"/>
          <w:szCs w:val="20"/>
          <w:lang w:val="fr-CA"/>
        </w:rPr>
      </w:pPr>
      <w:r w:rsidRPr="009C2345">
        <w:rPr>
          <w:i/>
          <w:sz w:val="20"/>
          <w:szCs w:val="20"/>
        </w:rPr>
        <w:t>Nadejda Aletkina</w:t>
      </w:r>
      <w:r w:rsidR="00CB3520" w:rsidRPr="009C2345">
        <w:rPr>
          <w:i/>
          <w:sz w:val="20"/>
          <w:szCs w:val="20"/>
        </w:rPr>
        <w:t xml:space="preserve"> </w:t>
      </w:r>
      <w:r w:rsidRPr="009C2345">
        <w:rPr>
          <w:i/>
          <w:sz w:val="20"/>
          <w:szCs w:val="20"/>
        </w:rPr>
        <w:t>v</w:t>
      </w:r>
      <w:r w:rsidR="00CB3520" w:rsidRPr="009C2345">
        <w:rPr>
          <w:i/>
          <w:sz w:val="20"/>
          <w:szCs w:val="20"/>
        </w:rPr>
        <w:t xml:space="preserve">. </w:t>
      </w:r>
      <w:r w:rsidRPr="009C2345">
        <w:rPr>
          <w:i/>
          <w:sz w:val="20"/>
          <w:szCs w:val="20"/>
        </w:rPr>
        <w:t>Hospital for Sick Children</w:t>
      </w:r>
      <w:r w:rsidR="00CB3520" w:rsidRPr="009C2345">
        <w:rPr>
          <w:sz w:val="20"/>
          <w:szCs w:val="20"/>
        </w:rPr>
        <w:t xml:space="preserve"> (</w:t>
      </w:r>
      <w:r w:rsidRPr="009C2345">
        <w:rPr>
          <w:sz w:val="20"/>
          <w:szCs w:val="20"/>
        </w:rPr>
        <w:t>Ont.</w:t>
      </w:r>
      <w:r w:rsidR="00CB3520" w:rsidRPr="009C2345">
        <w:rPr>
          <w:sz w:val="20"/>
          <w:szCs w:val="20"/>
        </w:rPr>
        <w:t xml:space="preserve">) </w:t>
      </w:r>
      <w:r w:rsidR="00CB3520" w:rsidRPr="009C2345">
        <w:rPr>
          <w:sz w:val="20"/>
          <w:szCs w:val="20"/>
          <w:lang w:val="fr-CA"/>
        </w:rPr>
        <w:t>(Civil) (</w:t>
      </w:r>
      <w:r w:rsidRPr="009C2345">
        <w:rPr>
          <w:sz w:val="20"/>
          <w:szCs w:val="20"/>
          <w:lang w:val="fr-CA"/>
        </w:rPr>
        <w:t>By Leave</w:t>
      </w:r>
      <w:r w:rsidR="00CB3520" w:rsidRPr="009C2345">
        <w:rPr>
          <w:sz w:val="20"/>
          <w:szCs w:val="20"/>
          <w:lang w:val="fr-CA"/>
        </w:rPr>
        <w:t>) (3</w:t>
      </w:r>
      <w:r w:rsidR="006031FF" w:rsidRPr="009C2345">
        <w:rPr>
          <w:sz w:val="20"/>
          <w:szCs w:val="20"/>
          <w:lang w:val="fr-CA"/>
        </w:rPr>
        <w:t>6871</w:t>
      </w:r>
      <w:r w:rsidR="00CB3520" w:rsidRPr="009C2345">
        <w:rPr>
          <w:sz w:val="20"/>
          <w:szCs w:val="20"/>
          <w:lang w:val="fr-CA"/>
        </w:rPr>
        <w:t>)</w:t>
      </w:r>
    </w:p>
    <w:p w:rsidR="00CB3520" w:rsidRPr="009C2345" w:rsidRDefault="00CB3520" w:rsidP="00CB3520">
      <w:pPr>
        <w:widowControl w:val="0"/>
        <w:rPr>
          <w:sz w:val="20"/>
          <w:szCs w:val="20"/>
          <w:lang w:val="fr-CA"/>
        </w:rPr>
      </w:pPr>
    </w:p>
    <w:p w:rsidR="00CB3520" w:rsidRPr="009C2345" w:rsidRDefault="00282FB3" w:rsidP="00CB3520">
      <w:pPr>
        <w:pStyle w:val="ListParagraph"/>
        <w:widowControl w:val="0"/>
        <w:numPr>
          <w:ilvl w:val="0"/>
          <w:numId w:val="1"/>
        </w:numPr>
        <w:ind w:hanging="720"/>
        <w:jc w:val="both"/>
        <w:rPr>
          <w:sz w:val="20"/>
          <w:szCs w:val="20"/>
          <w:lang w:val="fr-CA"/>
        </w:rPr>
      </w:pPr>
      <w:r w:rsidRPr="009C2345">
        <w:rPr>
          <w:i/>
          <w:sz w:val="20"/>
          <w:szCs w:val="20"/>
        </w:rPr>
        <w:t>Angelina Bailey</w:t>
      </w:r>
      <w:r w:rsidR="00CB3520" w:rsidRPr="009C2345">
        <w:rPr>
          <w:i/>
          <w:sz w:val="20"/>
          <w:szCs w:val="20"/>
        </w:rPr>
        <w:t xml:space="preserve"> </w:t>
      </w:r>
      <w:r w:rsidRPr="009C2345">
        <w:rPr>
          <w:i/>
          <w:sz w:val="20"/>
          <w:szCs w:val="20"/>
        </w:rPr>
        <w:t>v</w:t>
      </w:r>
      <w:r w:rsidR="00CB3520" w:rsidRPr="009C2345">
        <w:rPr>
          <w:i/>
          <w:sz w:val="20"/>
          <w:szCs w:val="20"/>
        </w:rPr>
        <w:t xml:space="preserve">. </w:t>
      </w:r>
      <w:r w:rsidRPr="009C2345">
        <w:rPr>
          <w:i/>
          <w:sz w:val="20"/>
          <w:szCs w:val="20"/>
        </w:rPr>
        <w:t>Estate of Gerald Harry Barbour</w:t>
      </w:r>
      <w:r w:rsidR="00CB3520" w:rsidRPr="009C2345">
        <w:rPr>
          <w:sz w:val="20"/>
          <w:szCs w:val="20"/>
        </w:rPr>
        <w:t xml:space="preserve"> (</w:t>
      </w:r>
      <w:r w:rsidRPr="009C2345">
        <w:rPr>
          <w:sz w:val="20"/>
          <w:szCs w:val="20"/>
        </w:rPr>
        <w:t>Ont.</w:t>
      </w:r>
      <w:r w:rsidR="00CB3520" w:rsidRPr="009C2345">
        <w:rPr>
          <w:sz w:val="20"/>
          <w:szCs w:val="20"/>
        </w:rPr>
        <w:t xml:space="preserve">) </w:t>
      </w:r>
      <w:r w:rsidR="00CB3520" w:rsidRPr="009C2345">
        <w:rPr>
          <w:sz w:val="20"/>
          <w:szCs w:val="20"/>
          <w:lang w:val="fr-CA"/>
        </w:rPr>
        <w:t>(Civil) (</w:t>
      </w:r>
      <w:r w:rsidRPr="009C2345">
        <w:rPr>
          <w:sz w:val="20"/>
          <w:szCs w:val="20"/>
          <w:lang w:val="fr-CA"/>
        </w:rPr>
        <w:t>By Leave</w:t>
      </w:r>
      <w:r w:rsidR="00CB3520" w:rsidRPr="009C2345">
        <w:rPr>
          <w:sz w:val="20"/>
          <w:szCs w:val="20"/>
          <w:lang w:val="fr-CA"/>
        </w:rPr>
        <w:t>) (3</w:t>
      </w:r>
      <w:r w:rsidRPr="009C2345">
        <w:rPr>
          <w:sz w:val="20"/>
          <w:szCs w:val="20"/>
          <w:lang w:val="fr-CA"/>
        </w:rPr>
        <w:t>6926</w:t>
      </w:r>
      <w:r w:rsidR="00CB3520" w:rsidRPr="009C2345">
        <w:rPr>
          <w:sz w:val="20"/>
          <w:szCs w:val="20"/>
          <w:lang w:val="fr-CA"/>
        </w:rPr>
        <w:t>)</w:t>
      </w:r>
    </w:p>
    <w:p w:rsidR="00CB3520" w:rsidRPr="009C2345" w:rsidRDefault="00CB3520" w:rsidP="00CB3520">
      <w:pPr>
        <w:widowControl w:val="0"/>
        <w:jc w:val="both"/>
        <w:rPr>
          <w:sz w:val="20"/>
          <w:szCs w:val="20"/>
          <w:lang w:val="fr-CA"/>
        </w:rPr>
      </w:pPr>
    </w:p>
    <w:p w:rsidR="00CB3520" w:rsidRPr="009C2345" w:rsidRDefault="00972E2C" w:rsidP="00CB3520">
      <w:pPr>
        <w:pStyle w:val="ListParagraph"/>
        <w:widowControl w:val="0"/>
        <w:numPr>
          <w:ilvl w:val="0"/>
          <w:numId w:val="1"/>
        </w:numPr>
        <w:ind w:hanging="720"/>
        <w:jc w:val="both"/>
        <w:rPr>
          <w:sz w:val="20"/>
          <w:szCs w:val="20"/>
        </w:rPr>
      </w:pPr>
      <w:r w:rsidRPr="009C2345">
        <w:rPr>
          <w:i/>
          <w:sz w:val="20"/>
          <w:szCs w:val="20"/>
          <w:lang w:val="fr-CA"/>
        </w:rPr>
        <w:t>Raynald Grenier</w:t>
      </w:r>
      <w:r w:rsidR="00CB3520" w:rsidRPr="009C2345">
        <w:rPr>
          <w:i/>
          <w:sz w:val="20"/>
          <w:szCs w:val="20"/>
          <w:lang w:val="fr-CA"/>
        </w:rPr>
        <w:t xml:space="preserve"> </w:t>
      </w:r>
      <w:r w:rsidRPr="009C2345">
        <w:rPr>
          <w:i/>
          <w:sz w:val="20"/>
          <w:szCs w:val="20"/>
          <w:lang w:val="fr-CA"/>
        </w:rPr>
        <w:t>c</w:t>
      </w:r>
      <w:r w:rsidR="00CB3520" w:rsidRPr="009C2345">
        <w:rPr>
          <w:i/>
          <w:sz w:val="20"/>
          <w:szCs w:val="20"/>
          <w:lang w:val="fr-CA"/>
        </w:rPr>
        <w:t xml:space="preserve">. </w:t>
      </w:r>
      <w:r w:rsidRPr="009C2345">
        <w:rPr>
          <w:i/>
          <w:sz w:val="20"/>
          <w:szCs w:val="20"/>
          <w:lang w:val="fr-CA"/>
        </w:rPr>
        <w:t>Procureur général du Canada pour l’Agence du revenu du Canada (ARC)</w:t>
      </w:r>
      <w:r w:rsidR="00CB3520" w:rsidRPr="009C2345">
        <w:rPr>
          <w:sz w:val="20"/>
          <w:szCs w:val="20"/>
          <w:lang w:val="fr-CA"/>
        </w:rPr>
        <w:t xml:space="preserve"> (</w:t>
      </w:r>
      <w:r w:rsidRPr="009C2345">
        <w:rPr>
          <w:sz w:val="20"/>
          <w:szCs w:val="20"/>
          <w:lang w:val="fr-CA"/>
        </w:rPr>
        <w:t>C.F.</w:t>
      </w:r>
      <w:r w:rsidR="00CB3520" w:rsidRPr="009C2345">
        <w:rPr>
          <w:sz w:val="20"/>
          <w:szCs w:val="20"/>
          <w:lang w:val="fr-CA"/>
        </w:rPr>
        <w:t xml:space="preserve">) </w:t>
      </w:r>
      <w:r w:rsidR="00CB3520" w:rsidRPr="009C2345">
        <w:rPr>
          <w:sz w:val="20"/>
          <w:szCs w:val="20"/>
        </w:rPr>
        <w:t>(Civil</w:t>
      </w:r>
      <w:r w:rsidRPr="009C2345">
        <w:rPr>
          <w:sz w:val="20"/>
          <w:szCs w:val="20"/>
        </w:rPr>
        <w:t>e</w:t>
      </w:r>
      <w:r w:rsidR="00CB3520" w:rsidRPr="009C2345">
        <w:rPr>
          <w:sz w:val="20"/>
          <w:szCs w:val="20"/>
        </w:rPr>
        <w:t>) (</w:t>
      </w:r>
      <w:r w:rsidRPr="009C2345">
        <w:rPr>
          <w:sz w:val="20"/>
          <w:szCs w:val="20"/>
        </w:rPr>
        <w:t>Autorisation</w:t>
      </w:r>
      <w:r w:rsidR="00CB3520" w:rsidRPr="009C2345">
        <w:rPr>
          <w:sz w:val="20"/>
          <w:szCs w:val="20"/>
        </w:rPr>
        <w:t>) (3</w:t>
      </w:r>
      <w:r w:rsidRPr="009C2345">
        <w:rPr>
          <w:sz w:val="20"/>
          <w:szCs w:val="20"/>
        </w:rPr>
        <w:t>6876</w:t>
      </w:r>
      <w:r w:rsidR="00CB3520" w:rsidRPr="009C2345">
        <w:rPr>
          <w:sz w:val="20"/>
          <w:szCs w:val="20"/>
        </w:rPr>
        <w:t>)</w:t>
      </w:r>
    </w:p>
    <w:p w:rsidR="00CB3520" w:rsidRPr="009C2345" w:rsidRDefault="00CB3520" w:rsidP="00CB3520">
      <w:pPr>
        <w:widowControl w:val="0"/>
        <w:jc w:val="both"/>
        <w:rPr>
          <w:sz w:val="20"/>
          <w:szCs w:val="20"/>
        </w:rPr>
      </w:pPr>
    </w:p>
    <w:p w:rsidR="00CB3520" w:rsidRPr="009C2345" w:rsidRDefault="00CB3520" w:rsidP="00CB3520">
      <w:pPr>
        <w:widowControl w:val="0"/>
        <w:jc w:val="both"/>
        <w:rPr>
          <w:sz w:val="20"/>
          <w:szCs w:val="20"/>
        </w:rPr>
      </w:pPr>
    </w:p>
    <w:p w:rsidR="00CB3520" w:rsidRPr="009C2345" w:rsidRDefault="00CB3520" w:rsidP="00CB3520">
      <w:pPr>
        <w:widowControl w:val="0"/>
        <w:jc w:val="center"/>
        <w:rPr>
          <w:b/>
          <w:sz w:val="20"/>
          <w:szCs w:val="20"/>
        </w:rPr>
      </w:pPr>
      <w:r w:rsidRPr="009C2345">
        <w:rPr>
          <w:b/>
          <w:sz w:val="20"/>
          <w:szCs w:val="20"/>
        </w:rPr>
        <w:t xml:space="preserve">CORAM: </w:t>
      </w:r>
      <w:r w:rsidR="00F143E7" w:rsidRPr="009C2345">
        <w:rPr>
          <w:b/>
          <w:sz w:val="20"/>
          <w:szCs w:val="20"/>
        </w:rPr>
        <w:t>Cromwell</w:t>
      </w:r>
      <w:r w:rsidRPr="009C2345">
        <w:rPr>
          <w:b/>
          <w:sz w:val="20"/>
          <w:szCs w:val="20"/>
        </w:rPr>
        <w:t xml:space="preserve">, </w:t>
      </w:r>
      <w:r w:rsidR="00F143E7" w:rsidRPr="009C2345">
        <w:rPr>
          <w:b/>
          <w:sz w:val="20"/>
          <w:szCs w:val="20"/>
        </w:rPr>
        <w:t>Wagner</w:t>
      </w:r>
      <w:r w:rsidR="00FA3373" w:rsidRPr="009C2345">
        <w:rPr>
          <w:b/>
          <w:sz w:val="20"/>
          <w:szCs w:val="20"/>
        </w:rPr>
        <w:t xml:space="preserve"> </w:t>
      </w:r>
      <w:r w:rsidRPr="009C2345">
        <w:rPr>
          <w:b/>
          <w:sz w:val="20"/>
          <w:szCs w:val="20"/>
        </w:rPr>
        <w:t xml:space="preserve">and </w:t>
      </w:r>
      <w:r w:rsidR="00F143E7" w:rsidRPr="009C2345">
        <w:rPr>
          <w:b/>
          <w:sz w:val="20"/>
          <w:szCs w:val="20"/>
        </w:rPr>
        <w:t>Côté</w:t>
      </w:r>
      <w:r w:rsidRPr="009C2345">
        <w:rPr>
          <w:b/>
          <w:sz w:val="20"/>
          <w:szCs w:val="20"/>
        </w:rPr>
        <w:t xml:space="preserve"> JJ.</w:t>
      </w:r>
    </w:p>
    <w:p w:rsidR="00CB3520" w:rsidRPr="009C2345" w:rsidRDefault="00CB3520" w:rsidP="00CB3520">
      <w:pPr>
        <w:widowControl w:val="0"/>
        <w:jc w:val="center"/>
        <w:rPr>
          <w:b/>
          <w:sz w:val="20"/>
          <w:szCs w:val="20"/>
          <w:lang w:val="fr-CA"/>
        </w:rPr>
      </w:pPr>
      <w:r w:rsidRPr="009C2345">
        <w:rPr>
          <w:b/>
          <w:sz w:val="20"/>
          <w:szCs w:val="20"/>
          <w:lang w:val="fr-CA"/>
        </w:rPr>
        <w:t xml:space="preserve">Les juges </w:t>
      </w:r>
      <w:r w:rsidR="00F143E7" w:rsidRPr="009C2345">
        <w:rPr>
          <w:b/>
          <w:sz w:val="20"/>
          <w:szCs w:val="20"/>
          <w:lang w:val="fr-CA"/>
        </w:rPr>
        <w:t>Cromwell</w:t>
      </w:r>
      <w:r w:rsidRPr="009C2345">
        <w:rPr>
          <w:b/>
          <w:sz w:val="20"/>
          <w:szCs w:val="20"/>
          <w:lang w:val="fr-CA"/>
        </w:rPr>
        <w:t xml:space="preserve">, </w:t>
      </w:r>
      <w:r w:rsidR="00F143E7" w:rsidRPr="009C2345">
        <w:rPr>
          <w:b/>
          <w:sz w:val="20"/>
          <w:szCs w:val="20"/>
          <w:lang w:val="fr-CA"/>
        </w:rPr>
        <w:t>Wagner</w:t>
      </w:r>
      <w:r w:rsidR="00FA3373" w:rsidRPr="009C2345">
        <w:rPr>
          <w:b/>
          <w:sz w:val="20"/>
          <w:szCs w:val="20"/>
          <w:lang w:val="fr-CA"/>
        </w:rPr>
        <w:t xml:space="preserve"> </w:t>
      </w:r>
      <w:r w:rsidRPr="009C2345">
        <w:rPr>
          <w:b/>
          <w:sz w:val="20"/>
          <w:szCs w:val="20"/>
          <w:lang w:val="fr-CA"/>
        </w:rPr>
        <w:t xml:space="preserve">et </w:t>
      </w:r>
      <w:r w:rsidR="00F143E7" w:rsidRPr="009C2345">
        <w:rPr>
          <w:b/>
          <w:sz w:val="20"/>
          <w:szCs w:val="20"/>
          <w:lang w:val="fr-CA"/>
        </w:rPr>
        <w:t>Côté</w:t>
      </w:r>
    </w:p>
    <w:p w:rsidR="00CB3520" w:rsidRPr="009C2345" w:rsidRDefault="00CB3520" w:rsidP="00CB3520">
      <w:pPr>
        <w:widowControl w:val="0"/>
        <w:jc w:val="both"/>
        <w:rPr>
          <w:sz w:val="20"/>
          <w:szCs w:val="20"/>
          <w:lang w:val="fr-CA"/>
        </w:rPr>
      </w:pPr>
    </w:p>
    <w:p w:rsidR="00CB3520" w:rsidRPr="009C2345" w:rsidRDefault="009434B5" w:rsidP="00CB3520">
      <w:pPr>
        <w:pStyle w:val="ListParagraph"/>
        <w:widowControl w:val="0"/>
        <w:numPr>
          <w:ilvl w:val="0"/>
          <w:numId w:val="1"/>
        </w:numPr>
        <w:ind w:hanging="720"/>
        <w:jc w:val="both"/>
        <w:rPr>
          <w:sz w:val="20"/>
          <w:szCs w:val="20"/>
          <w:lang w:val="fr-CA"/>
        </w:rPr>
      </w:pPr>
      <w:r w:rsidRPr="009C2345">
        <w:rPr>
          <w:i/>
          <w:sz w:val="20"/>
          <w:szCs w:val="20"/>
          <w:lang w:val="fr-CA"/>
        </w:rPr>
        <w:t>Pellerin Savitz s.e.n.c.r.l.</w:t>
      </w:r>
      <w:r w:rsidR="00CB3520" w:rsidRPr="009C2345">
        <w:rPr>
          <w:i/>
          <w:sz w:val="20"/>
          <w:szCs w:val="20"/>
          <w:lang w:val="fr-CA"/>
        </w:rPr>
        <w:t xml:space="preserve"> </w:t>
      </w:r>
      <w:r w:rsidRPr="009C2345">
        <w:rPr>
          <w:i/>
          <w:sz w:val="20"/>
          <w:szCs w:val="20"/>
          <w:lang w:val="fr-CA"/>
        </w:rPr>
        <w:t>c</w:t>
      </w:r>
      <w:r w:rsidR="00CB3520" w:rsidRPr="009C2345">
        <w:rPr>
          <w:i/>
          <w:sz w:val="20"/>
          <w:szCs w:val="20"/>
          <w:lang w:val="fr-CA"/>
        </w:rPr>
        <w:t xml:space="preserve">. </w:t>
      </w:r>
      <w:r w:rsidRPr="009C2345">
        <w:rPr>
          <w:i/>
          <w:sz w:val="20"/>
          <w:szCs w:val="20"/>
          <w:lang w:val="fr-CA"/>
        </w:rPr>
        <w:t>Serge Guindon</w:t>
      </w:r>
      <w:r w:rsidR="00CB3520" w:rsidRPr="009C2345">
        <w:rPr>
          <w:sz w:val="20"/>
          <w:szCs w:val="20"/>
          <w:lang w:val="fr-CA"/>
        </w:rPr>
        <w:t xml:space="preserve"> (</w:t>
      </w:r>
      <w:r w:rsidRPr="009C2345">
        <w:rPr>
          <w:sz w:val="20"/>
          <w:szCs w:val="20"/>
          <w:lang w:val="fr-CA"/>
        </w:rPr>
        <w:t>Qc</w:t>
      </w:r>
      <w:r w:rsidR="00CB3520" w:rsidRPr="009C2345">
        <w:rPr>
          <w:sz w:val="20"/>
          <w:szCs w:val="20"/>
          <w:lang w:val="fr-CA"/>
        </w:rPr>
        <w:t>) (Civil</w:t>
      </w:r>
      <w:r w:rsidRPr="009C2345">
        <w:rPr>
          <w:sz w:val="20"/>
          <w:szCs w:val="20"/>
          <w:lang w:val="fr-CA"/>
        </w:rPr>
        <w:t>e</w:t>
      </w:r>
      <w:r w:rsidR="00CB3520" w:rsidRPr="009C2345">
        <w:rPr>
          <w:sz w:val="20"/>
          <w:szCs w:val="20"/>
          <w:lang w:val="fr-CA"/>
        </w:rPr>
        <w:t>) (</w:t>
      </w:r>
      <w:r w:rsidRPr="009C2345">
        <w:rPr>
          <w:sz w:val="20"/>
          <w:szCs w:val="20"/>
          <w:lang w:val="fr-CA"/>
        </w:rPr>
        <w:t>Autorisation</w:t>
      </w:r>
      <w:r w:rsidR="00CB3520" w:rsidRPr="009C2345">
        <w:rPr>
          <w:sz w:val="20"/>
          <w:szCs w:val="20"/>
          <w:lang w:val="fr-CA"/>
        </w:rPr>
        <w:t>) (3</w:t>
      </w:r>
      <w:r w:rsidRPr="009C2345">
        <w:rPr>
          <w:sz w:val="20"/>
          <w:szCs w:val="20"/>
          <w:lang w:val="fr-CA"/>
        </w:rPr>
        <w:t>6915</w:t>
      </w:r>
      <w:r w:rsidR="00CB3520" w:rsidRPr="009C2345">
        <w:rPr>
          <w:sz w:val="20"/>
          <w:szCs w:val="20"/>
          <w:lang w:val="fr-CA"/>
        </w:rPr>
        <w:t>)</w:t>
      </w:r>
    </w:p>
    <w:p w:rsidR="00CB3520" w:rsidRPr="009C2345" w:rsidRDefault="00CB3520" w:rsidP="00CB3520">
      <w:pPr>
        <w:widowControl w:val="0"/>
        <w:jc w:val="both"/>
        <w:rPr>
          <w:sz w:val="20"/>
          <w:szCs w:val="20"/>
          <w:lang w:val="fr-CA"/>
        </w:rPr>
      </w:pPr>
    </w:p>
    <w:p w:rsidR="00CB3520" w:rsidRPr="009C2345" w:rsidRDefault="008859E3" w:rsidP="00CB3520">
      <w:pPr>
        <w:pStyle w:val="ListParagraph"/>
        <w:widowControl w:val="0"/>
        <w:numPr>
          <w:ilvl w:val="0"/>
          <w:numId w:val="1"/>
        </w:numPr>
        <w:ind w:hanging="720"/>
        <w:jc w:val="both"/>
        <w:rPr>
          <w:sz w:val="20"/>
          <w:szCs w:val="20"/>
        </w:rPr>
      </w:pPr>
      <w:r w:rsidRPr="009C2345">
        <w:rPr>
          <w:i/>
          <w:sz w:val="20"/>
          <w:szCs w:val="20"/>
          <w:lang w:val="fr-CA"/>
        </w:rPr>
        <w:t>Société d’assurance générale Northbridge</w:t>
      </w:r>
      <w:r w:rsidR="00CB3520" w:rsidRPr="009C2345">
        <w:rPr>
          <w:i/>
          <w:sz w:val="20"/>
          <w:szCs w:val="20"/>
          <w:lang w:val="fr-CA"/>
        </w:rPr>
        <w:t xml:space="preserve"> </w:t>
      </w:r>
      <w:r w:rsidRPr="009C2345">
        <w:rPr>
          <w:i/>
          <w:sz w:val="20"/>
          <w:szCs w:val="20"/>
          <w:lang w:val="fr-CA"/>
        </w:rPr>
        <w:t>c</w:t>
      </w:r>
      <w:r w:rsidR="00CB3520" w:rsidRPr="009C2345">
        <w:rPr>
          <w:i/>
          <w:sz w:val="20"/>
          <w:szCs w:val="20"/>
          <w:lang w:val="fr-CA"/>
        </w:rPr>
        <w:t>.</w:t>
      </w:r>
      <w:r w:rsidRPr="009C2345">
        <w:rPr>
          <w:i/>
          <w:sz w:val="20"/>
          <w:szCs w:val="20"/>
          <w:lang w:val="fr-CA"/>
        </w:rPr>
        <w:t xml:space="preserve"> Technologies CII inc.</w:t>
      </w:r>
      <w:r w:rsidR="00CB3520" w:rsidRPr="009C2345">
        <w:rPr>
          <w:sz w:val="20"/>
          <w:szCs w:val="20"/>
          <w:lang w:val="fr-CA"/>
        </w:rPr>
        <w:t xml:space="preserve"> </w:t>
      </w:r>
      <w:r w:rsidR="00CB3520" w:rsidRPr="009C2345">
        <w:rPr>
          <w:sz w:val="20"/>
          <w:szCs w:val="20"/>
        </w:rPr>
        <w:t>(</w:t>
      </w:r>
      <w:r w:rsidRPr="009C2345">
        <w:rPr>
          <w:sz w:val="20"/>
          <w:szCs w:val="20"/>
        </w:rPr>
        <w:t>Qc</w:t>
      </w:r>
      <w:r w:rsidR="00CB3520" w:rsidRPr="009C2345">
        <w:rPr>
          <w:sz w:val="20"/>
          <w:szCs w:val="20"/>
        </w:rPr>
        <w:t>) (Civil</w:t>
      </w:r>
      <w:r w:rsidRPr="009C2345">
        <w:rPr>
          <w:sz w:val="20"/>
          <w:szCs w:val="20"/>
        </w:rPr>
        <w:t>e</w:t>
      </w:r>
      <w:r w:rsidR="00CB3520" w:rsidRPr="009C2345">
        <w:rPr>
          <w:sz w:val="20"/>
          <w:szCs w:val="20"/>
        </w:rPr>
        <w:t>) (</w:t>
      </w:r>
      <w:r w:rsidRPr="009C2345">
        <w:rPr>
          <w:sz w:val="20"/>
          <w:szCs w:val="20"/>
        </w:rPr>
        <w:t>Autorisation</w:t>
      </w:r>
      <w:r w:rsidR="00CB3520" w:rsidRPr="009C2345">
        <w:rPr>
          <w:sz w:val="20"/>
          <w:szCs w:val="20"/>
        </w:rPr>
        <w:t>) (3</w:t>
      </w:r>
      <w:r w:rsidRPr="009C2345">
        <w:rPr>
          <w:sz w:val="20"/>
          <w:szCs w:val="20"/>
        </w:rPr>
        <w:t>6897</w:t>
      </w:r>
      <w:r w:rsidR="00CB3520" w:rsidRPr="009C2345">
        <w:rPr>
          <w:sz w:val="20"/>
          <w:szCs w:val="20"/>
        </w:rPr>
        <w:t>)</w:t>
      </w:r>
    </w:p>
    <w:p w:rsidR="00CB3520" w:rsidRPr="009C2345" w:rsidRDefault="00CB3520" w:rsidP="00CB3520">
      <w:pPr>
        <w:widowControl w:val="0"/>
        <w:rPr>
          <w:i/>
          <w:sz w:val="20"/>
          <w:szCs w:val="20"/>
        </w:rPr>
      </w:pPr>
    </w:p>
    <w:p w:rsidR="00CB3520" w:rsidRPr="009C2345" w:rsidRDefault="005D4369" w:rsidP="00CB3520">
      <w:pPr>
        <w:pStyle w:val="ListParagraph"/>
        <w:widowControl w:val="0"/>
        <w:numPr>
          <w:ilvl w:val="0"/>
          <w:numId w:val="1"/>
        </w:numPr>
        <w:ind w:hanging="720"/>
        <w:jc w:val="both"/>
        <w:rPr>
          <w:sz w:val="20"/>
          <w:szCs w:val="20"/>
          <w:lang w:val="fr-CA"/>
        </w:rPr>
      </w:pPr>
      <w:r w:rsidRPr="009C2345">
        <w:rPr>
          <w:i/>
          <w:sz w:val="20"/>
          <w:szCs w:val="20"/>
          <w:lang w:val="fr-CA"/>
        </w:rPr>
        <w:t>Roger Guignard</w:t>
      </w:r>
      <w:r w:rsidR="00CB3520" w:rsidRPr="009C2345">
        <w:rPr>
          <w:i/>
          <w:sz w:val="20"/>
          <w:szCs w:val="20"/>
          <w:lang w:val="fr-CA"/>
        </w:rPr>
        <w:t xml:space="preserve"> </w:t>
      </w:r>
      <w:r w:rsidRPr="009C2345">
        <w:rPr>
          <w:i/>
          <w:sz w:val="20"/>
          <w:szCs w:val="20"/>
          <w:lang w:val="fr-CA"/>
        </w:rPr>
        <w:t>c</w:t>
      </w:r>
      <w:r w:rsidR="00CB3520" w:rsidRPr="009C2345">
        <w:rPr>
          <w:i/>
          <w:sz w:val="20"/>
          <w:szCs w:val="20"/>
          <w:lang w:val="fr-CA"/>
        </w:rPr>
        <w:t xml:space="preserve">. </w:t>
      </w:r>
      <w:r w:rsidRPr="009C2345">
        <w:rPr>
          <w:i/>
          <w:sz w:val="20"/>
          <w:szCs w:val="20"/>
          <w:lang w:val="fr-CA"/>
        </w:rPr>
        <w:t>Ville de Saint-Hyacinthe</w:t>
      </w:r>
      <w:r w:rsidR="00CB3520" w:rsidRPr="009C2345">
        <w:rPr>
          <w:sz w:val="20"/>
          <w:szCs w:val="20"/>
          <w:lang w:val="fr-CA"/>
        </w:rPr>
        <w:t xml:space="preserve"> (</w:t>
      </w:r>
      <w:r w:rsidRPr="009C2345">
        <w:rPr>
          <w:sz w:val="20"/>
          <w:szCs w:val="20"/>
          <w:lang w:val="fr-CA"/>
        </w:rPr>
        <w:t>Qc</w:t>
      </w:r>
      <w:r w:rsidR="00CB3520" w:rsidRPr="009C2345">
        <w:rPr>
          <w:sz w:val="20"/>
          <w:szCs w:val="20"/>
          <w:lang w:val="fr-CA"/>
        </w:rPr>
        <w:t>) (Civil</w:t>
      </w:r>
      <w:r w:rsidRPr="009C2345">
        <w:rPr>
          <w:sz w:val="20"/>
          <w:szCs w:val="20"/>
          <w:lang w:val="fr-CA"/>
        </w:rPr>
        <w:t>e</w:t>
      </w:r>
      <w:r w:rsidR="00CB3520" w:rsidRPr="009C2345">
        <w:rPr>
          <w:sz w:val="20"/>
          <w:szCs w:val="20"/>
          <w:lang w:val="fr-CA"/>
        </w:rPr>
        <w:t>) (</w:t>
      </w:r>
      <w:r w:rsidRPr="009C2345">
        <w:rPr>
          <w:sz w:val="20"/>
          <w:szCs w:val="20"/>
          <w:lang w:val="fr-CA"/>
        </w:rPr>
        <w:t>Autorisation</w:t>
      </w:r>
      <w:r w:rsidR="00CB3520" w:rsidRPr="009C2345">
        <w:rPr>
          <w:sz w:val="20"/>
          <w:szCs w:val="20"/>
          <w:lang w:val="fr-CA"/>
        </w:rPr>
        <w:t>) (3</w:t>
      </w:r>
      <w:r w:rsidRPr="009C2345">
        <w:rPr>
          <w:sz w:val="20"/>
          <w:szCs w:val="20"/>
          <w:lang w:val="fr-CA"/>
        </w:rPr>
        <w:t>6808</w:t>
      </w:r>
      <w:r w:rsidR="00CB3520" w:rsidRPr="009C2345">
        <w:rPr>
          <w:sz w:val="20"/>
          <w:szCs w:val="20"/>
          <w:lang w:val="fr-CA"/>
        </w:rPr>
        <w:t>)</w:t>
      </w:r>
    </w:p>
    <w:p w:rsidR="00CB3520" w:rsidRPr="009C2345" w:rsidRDefault="00CB3520" w:rsidP="00CB3520">
      <w:pPr>
        <w:widowControl w:val="0"/>
        <w:jc w:val="both"/>
        <w:rPr>
          <w:sz w:val="20"/>
          <w:szCs w:val="20"/>
          <w:lang w:val="fr-CA"/>
        </w:rPr>
      </w:pPr>
    </w:p>
    <w:p w:rsidR="00CB3520" w:rsidRPr="009C2345" w:rsidRDefault="00BB61B8" w:rsidP="00CB3520">
      <w:pPr>
        <w:pStyle w:val="ListParagraph"/>
        <w:widowControl w:val="0"/>
        <w:numPr>
          <w:ilvl w:val="0"/>
          <w:numId w:val="1"/>
        </w:numPr>
        <w:ind w:hanging="720"/>
        <w:jc w:val="both"/>
        <w:rPr>
          <w:sz w:val="20"/>
          <w:szCs w:val="20"/>
        </w:rPr>
      </w:pPr>
      <w:r w:rsidRPr="009C2345">
        <w:rPr>
          <w:i/>
          <w:sz w:val="20"/>
          <w:szCs w:val="20"/>
        </w:rPr>
        <w:t>Verolin Spence et al.</w:t>
      </w:r>
      <w:r w:rsidR="00CB3520" w:rsidRPr="009C2345">
        <w:rPr>
          <w:i/>
          <w:sz w:val="20"/>
          <w:szCs w:val="20"/>
        </w:rPr>
        <w:t xml:space="preserve"> v. </w:t>
      </w:r>
      <w:r w:rsidRPr="009C2345">
        <w:rPr>
          <w:i/>
          <w:sz w:val="20"/>
          <w:szCs w:val="20"/>
        </w:rPr>
        <w:t>BMO Trust Company</w:t>
      </w:r>
      <w:r w:rsidR="00CB3520" w:rsidRPr="009C2345">
        <w:rPr>
          <w:sz w:val="20"/>
          <w:szCs w:val="20"/>
        </w:rPr>
        <w:t xml:space="preserve"> (</w:t>
      </w:r>
      <w:r w:rsidRPr="009C2345">
        <w:rPr>
          <w:sz w:val="20"/>
          <w:szCs w:val="20"/>
        </w:rPr>
        <w:t>Ont.</w:t>
      </w:r>
      <w:r w:rsidR="00CB3520" w:rsidRPr="009C2345">
        <w:rPr>
          <w:sz w:val="20"/>
          <w:szCs w:val="20"/>
        </w:rPr>
        <w:t>) (Civil) (By Leave) (3</w:t>
      </w:r>
      <w:r w:rsidRPr="009C2345">
        <w:rPr>
          <w:sz w:val="20"/>
          <w:szCs w:val="20"/>
        </w:rPr>
        <w:t>6904</w:t>
      </w:r>
      <w:r w:rsidR="00CB3520" w:rsidRPr="009C2345">
        <w:rPr>
          <w:sz w:val="20"/>
          <w:szCs w:val="20"/>
        </w:rPr>
        <w:t>)</w:t>
      </w:r>
    </w:p>
    <w:p w:rsidR="002E2327" w:rsidRPr="009C2345" w:rsidRDefault="002E2327" w:rsidP="00F50E8F">
      <w:pPr>
        <w:widowControl w:val="0"/>
        <w:rPr>
          <w:sz w:val="20"/>
          <w:szCs w:val="20"/>
        </w:rPr>
      </w:pPr>
    </w:p>
    <w:p w:rsidR="002E2327" w:rsidRPr="009C2345" w:rsidRDefault="0082006E" w:rsidP="002E2327">
      <w:pPr>
        <w:widowControl w:val="0"/>
        <w:rPr>
          <w:sz w:val="20"/>
          <w:szCs w:val="20"/>
        </w:rPr>
      </w:pPr>
      <w:r>
        <w:rPr>
          <w:sz w:val="20"/>
          <w:szCs w:val="20"/>
        </w:rPr>
        <w:pict>
          <v:rect id="_x0000_i1037" style="width:2in;height:1pt" o:hrpct="0" o:hralign="center" o:hrstd="t" o:hrnoshade="t" o:hr="t" fillcolor="black [3213]" stroked="f"/>
        </w:pict>
      </w:r>
    </w:p>
    <w:p w:rsidR="00D94028" w:rsidRPr="009C2345" w:rsidRDefault="00D94028" w:rsidP="002E2327">
      <w:pPr>
        <w:widowControl w:val="0"/>
        <w:rPr>
          <w:sz w:val="20"/>
          <w:szCs w:val="20"/>
        </w:rPr>
      </w:pPr>
    </w:p>
    <w:p w:rsidR="00D94028" w:rsidRPr="009C2345" w:rsidRDefault="00D94028" w:rsidP="002E2327">
      <w:pPr>
        <w:widowControl w:val="0"/>
        <w:rPr>
          <w:sz w:val="20"/>
          <w:szCs w:val="20"/>
        </w:rPr>
      </w:pPr>
    </w:p>
    <w:p w:rsidR="00D94028" w:rsidRPr="009C2345" w:rsidRDefault="00D94028" w:rsidP="002E2327">
      <w:pPr>
        <w:widowControl w:val="0"/>
        <w:rPr>
          <w:sz w:val="20"/>
          <w:szCs w:val="20"/>
        </w:rPr>
      </w:pPr>
    </w:p>
    <w:p w:rsidR="0044776A" w:rsidRPr="009C2345" w:rsidRDefault="0044776A" w:rsidP="002E2327">
      <w:pPr>
        <w:widowControl w:val="0"/>
        <w:spacing w:line="0" w:lineRule="atLeast"/>
        <w:rPr>
          <w:sz w:val="20"/>
          <w:szCs w:val="20"/>
        </w:rPr>
        <w:sectPr w:rsidR="0044776A" w:rsidRPr="009C2345"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82006E" w:rsidTr="00ED7E83">
        <w:tc>
          <w:tcPr>
            <w:tcW w:w="4200" w:type="dxa"/>
            <w:tcMar>
              <w:left w:w="0" w:type="dxa"/>
              <w:right w:w="0" w:type="dxa"/>
            </w:tcMar>
          </w:tcPr>
          <w:p w:rsidR="008D292F" w:rsidRPr="009C2345" w:rsidRDefault="008D292F" w:rsidP="00ED7E83">
            <w:pPr>
              <w:keepNext/>
              <w:keepLines/>
              <w:jc w:val="both"/>
              <w:rPr>
                <w:b/>
                <w:szCs w:val="24"/>
              </w:rPr>
            </w:pPr>
            <w:bookmarkStart w:id="1" w:name="QuickMark_1"/>
            <w:bookmarkEnd w:id="1"/>
            <w:r w:rsidRPr="009C2345">
              <w:rPr>
                <w:b/>
                <w:szCs w:val="24"/>
              </w:rPr>
              <w:t>JUDGMENTS ON APPLICATIONS</w:t>
            </w:r>
          </w:p>
          <w:p w:rsidR="008D292F" w:rsidRPr="009C2345" w:rsidRDefault="008D292F" w:rsidP="00ED7E83">
            <w:pPr>
              <w:keepNext/>
              <w:keepLines/>
              <w:jc w:val="both"/>
              <w:rPr>
                <w:b/>
                <w:szCs w:val="24"/>
              </w:rPr>
            </w:pPr>
            <w:r w:rsidRPr="009C2345">
              <w:rPr>
                <w:b/>
                <w:szCs w:val="24"/>
              </w:rPr>
              <w:t>FOR LEAVE</w:t>
            </w:r>
          </w:p>
        </w:tc>
        <w:tc>
          <w:tcPr>
            <w:tcW w:w="1200" w:type="dxa"/>
            <w:tcMar>
              <w:left w:w="0" w:type="dxa"/>
              <w:right w:w="0" w:type="dxa"/>
            </w:tcMar>
          </w:tcPr>
          <w:p w:rsidR="008D292F" w:rsidRPr="009C2345" w:rsidRDefault="008D292F" w:rsidP="008D292F">
            <w:pPr>
              <w:keepNext/>
              <w:keepLines/>
              <w:jc w:val="center"/>
              <w:rPr>
                <w:b/>
                <w:szCs w:val="24"/>
              </w:rPr>
            </w:pPr>
          </w:p>
          <w:p w:rsidR="008D292F" w:rsidRPr="009C2345" w:rsidRDefault="008D292F" w:rsidP="008D292F">
            <w:pPr>
              <w:keepNext/>
              <w:keepLines/>
              <w:jc w:val="center"/>
              <w:rPr>
                <w:b/>
                <w:szCs w:val="24"/>
              </w:rPr>
            </w:pPr>
          </w:p>
          <w:p w:rsidR="008D292F" w:rsidRPr="009C2345" w:rsidRDefault="008D292F" w:rsidP="008D292F">
            <w:pPr>
              <w:keepNext/>
              <w:keepLines/>
              <w:jc w:val="center"/>
              <w:rPr>
                <w:b/>
                <w:szCs w:val="24"/>
              </w:rPr>
            </w:pPr>
          </w:p>
        </w:tc>
        <w:tc>
          <w:tcPr>
            <w:tcW w:w="4080" w:type="dxa"/>
            <w:tcMar>
              <w:left w:w="0" w:type="dxa"/>
              <w:right w:w="0" w:type="dxa"/>
            </w:tcMar>
          </w:tcPr>
          <w:p w:rsidR="008D292F" w:rsidRPr="009C2345" w:rsidRDefault="008D292F" w:rsidP="00ED7E83">
            <w:pPr>
              <w:keepNext/>
              <w:keepLines/>
              <w:jc w:val="both"/>
              <w:rPr>
                <w:b/>
                <w:szCs w:val="24"/>
                <w:lang w:val="fr-CA"/>
              </w:rPr>
            </w:pPr>
            <w:r w:rsidRPr="009C2345">
              <w:rPr>
                <w:b/>
                <w:szCs w:val="24"/>
                <w:lang w:val="fr-CA"/>
              </w:rPr>
              <w:t>JUGEMENTS RENDUS SUR LES DEMANDES D’AUTORISATION</w:t>
            </w:r>
          </w:p>
        </w:tc>
      </w:tr>
    </w:tbl>
    <w:p w:rsidR="008D292F" w:rsidRPr="009C2345" w:rsidRDefault="008D292F" w:rsidP="008D292F">
      <w:pPr>
        <w:rPr>
          <w:sz w:val="20"/>
          <w:szCs w:val="20"/>
          <w:lang w:val="fr-CA"/>
        </w:rPr>
      </w:pPr>
    </w:p>
    <w:p w:rsidR="000E2959" w:rsidRPr="009C2345" w:rsidRDefault="000219B8" w:rsidP="000E2959">
      <w:pPr>
        <w:rPr>
          <w:b/>
          <w:sz w:val="20"/>
          <w:szCs w:val="20"/>
        </w:rPr>
      </w:pPr>
      <w:r w:rsidRPr="009C2345">
        <w:rPr>
          <w:b/>
          <w:sz w:val="20"/>
          <w:szCs w:val="20"/>
        </w:rPr>
        <w:t>MAY</w:t>
      </w:r>
      <w:r w:rsidR="000E2959" w:rsidRPr="009C2345">
        <w:rPr>
          <w:b/>
          <w:sz w:val="20"/>
          <w:szCs w:val="20"/>
        </w:rPr>
        <w:t xml:space="preserve"> </w:t>
      </w:r>
      <w:r w:rsidRPr="009C2345">
        <w:rPr>
          <w:b/>
          <w:sz w:val="20"/>
          <w:szCs w:val="20"/>
        </w:rPr>
        <w:t>5</w:t>
      </w:r>
      <w:r w:rsidR="000E2959" w:rsidRPr="009C2345">
        <w:rPr>
          <w:b/>
          <w:sz w:val="20"/>
          <w:szCs w:val="20"/>
        </w:rPr>
        <w:t xml:space="preserve">, </w:t>
      </w:r>
      <w:r w:rsidR="0030050B" w:rsidRPr="009C2345">
        <w:rPr>
          <w:b/>
          <w:sz w:val="20"/>
          <w:szCs w:val="20"/>
        </w:rPr>
        <w:t>2016</w:t>
      </w:r>
      <w:r w:rsidR="000E2959" w:rsidRPr="009C2345">
        <w:rPr>
          <w:b/>
          <w:sz w:val="20"/>
          <w:szCs w:val="20"/>
        </w:rPr>
        <w:t xml:space="preserve"> / LE </w:t>
      </w:r>
      <w:r w:rsidRPr="009C2345">
        <w:rPr>
          <w:b/>
          <w:sz w:val="20"/>
          <w:szCs w:val="20"/>
        </w:rPr>
        <w:t>5</w:t>
      </w:r>
      <w:r w:rsidR="000E2959" w:rsidRPr="009C2345">
        <w:rPr>
          <w:b/>
          <w:sz w:val="20"/>
          <w:szCs w:val="20"/>
        </w:rPr>
        <w:t xml:space="preserve"> </w:t>
      </w:r>
      <w:r w:rsidRPr="009C2345">
        <w:rPr>
          <w:b/>
          <w:sz w:val="20"/>
          <w:szCs w:val="20"/>
        </w:rPr>
        <w:t>MAI</w:t>
      </w:r>
      <w:r w:rsidR="000E2959" w:rsidRPr="009C2345">
        <w:rPr>
          <w:b/>
          <w:sz w:val="20"/>
          <w:szCs w:val="20"/>
        </w:rPr>
        <w:t xml:space="preserve"> </w:t>
      </w:r>
      <w:r w:rsidR="0030050B" w:rsidRPr="009C2345">
        <w:rPr>
          <w:b/>
          <w:sz w:val="20"/>
          <w:szCs w:val="20"/>
        </w:rPr>
        <w:t>2016</w:t>
      </w:r>
    </w:p>
    <w:p w:rsidR="000E2959" w:rsidRPr="009C2345" w:rsidRDefault="000E2959" w:rsidP="000E2959">
      <w:pPr>
        <w:rPr>
          <w:sz w:val="20"/>
          <w:szCs w:val="20"/>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082"/>
      </w:tblGrid>
      <w:tr w:rsidR="000E2959" w:rsidRPr="004B6DEF" w:rsidTr="004B6DEF">
        <w:trPr>
          <w:cantSplit/>
        </w:trPr>
        <w:tc>
          <w:tcPr>
            <w:tcW w:w="1458" w:type="dxa"/>
          </w:tcPr>
          <w:p w:rsidR="000E2959" w:rsidRPr="004B6DEF" w:rsidRDefault="000E2959" w:rsidP="0004528B">
            <w:pPr>
              <w:rPr>
                <w:sz w:val="20"/>
                <w:szCs w:val="20"/>
              </w:rPr>
            </w:pPr>
            <w:r w:rsidRPr="004B6DEF">
              <w:rPr>
                <w:rStyle w:val="SCCFileNumberChar"/>
                <w:sz w:val="20"/>
                <w:szCs w:val="20"/>
              </w:rPr>
              <w:t>36</w:t>
            </w:r>
            <w:r w:rsidR="00061949" w:rsidRPr="004B6DEF">
              <w:rPr>
                <w:rStyle w:val="SCCFileNumberChar"/>
                <w:sz w:val="20"/>
                <w:szCs w:val="20"/>
              </w:rPr>
              <w:t>618</w:t>
            </w:r>
          </w:p>
          <w:p w:rsidR="000E2959" w:rsidRPr="004B6DEF" w:rsidRDefault="000E2959" w:rsidP="0004528B">
            <w:pPr>
              <w:rPr>
                <w:b/>
                <w:sz w:val="20"/>
                <w:szCs w:val="20"/>
                <w:lang w:val="fr-CA"/>
              </w:rPr>
            </w:pPr>
          </w:p>
        </w:tc>
        <w:tc>
          <w:tcPr>
            <w:tcW w:w="8082" w:type="dxa"/>
          </w:tcPr>
          <w:p w:rsidR="000E2959" w:rsidRPr="004B6DEF" w:rsidRDefault="00061949" w:rsidP="004E6EF3">
            <w:pPr>
              <w:jc w:val="both"/>
              <w:rPr>
                <w:sz w:val="20"/>
                <w:szCs w:val="20"/>
                <w:lang w:val="fr-CA"/>
              </w:rPr>
            </w:pPr>
            <w:r w:rsidRPr="004B6DEF">
              <w:rPr>
                <w:b/>
                <w:sz w:val="20"/>
                <w:szCs w:val="20"/>
                <w:u w:val="single"/>
                <w:lang w:val="fr-CA"/>
              </w:rPr>
              <w:t>Lambros Demos, Angela Brilakis, Ge Lu, Manuel Botelho, James de la Boursodière</w:t>
            </w:r>
            <w:r w:rsidR="00435162" w:rsidRPr="004B6DEF">
              <w:rPr>
                <w:b/>
                <w:sz w:val="20"/>
                <w:szCs w:val="20"/>
                <w:u w:val="single"/>
                <w:lang w:val="fr-CA"/>
              </w:rPr>
              <w:t xml:space="preserve"> et</w:t>
            </w:r>
            <w:r w:rsidRPr="004B6DEF">
              <w:rPr>
                <w:b/>
                <w:sz w:val="20"/>
                <w:szCs w:val="20"/>
                <w:u w:val="single"/>
                <w:lang w:val="fr-CA"/>
              </w:rPr>
              <w:t xml:space="preserve"> Craig Cornoni </w:t>
            </w:r>
            <w:r w:rsidR="00435162" w:rsidRPr="004B6DEF">
              <w:rPr>
                <w:b/>
                <w:sz w:val="20"/>
                <w:szCs w:val="20"/>
                <w:u w:val="single"/>
                <w:lang w:val="fr-CA"/>
              </w:rPr>
              <w:t>c</w:t>
            </w:r>
            <w:r w:rsidRPr="004B6DEF">
              <w:rPr>
                <w:b/>
                <w:sz w:val="20"/>
                <w:szCs w:val="20"/>
                <w:u w:val="single"/>
                <w:lang w:val="fr-CA"/>
              </w:rPr>
              <w:t xml:space="preserve">. Demers Beaulne </w:t>
            </w:r>
            <w:r w:rsidR="00435162" w:rsidRPr="004B6DEF">
              <w:rPr>
                <w:b/>
                <w:sz w:val="20"/>
                <w:szCs w:val="20"/>
                <w:u w:val="single"/>
                <w:lang w:val="fr-CA"/>
              </w:rPr>
              <w:t>i</w:t>
            </w:r>
            <w:r w:rsidRPr="004B6DEF">
              <w:rPr>
                <w:b/>
                <w:sz w:val="20"/>
                <w:szCs w:val="20"/>
                <w:u w:val="single"/>
                <w:lang w:val="fr-CA"/>
              </w:rPr>
              <w:t>nc.</w:t>
            </w:r>
            <w:r w:rsidRPr="004B6DEF">
              <w:rPr>
                <w:sz w:val="20"/>
                <w:szCs w:val="20"/>
                <w:lang w:val="fr-CA"/>
              </w:rPr>
              <w:t xml:space="preserve"> (Q</w:t>
            </w:r>
            <w:r w:rsidR="00435162" w:rsidRPr="004B6DEF">
              <w:rPr>
                <w:sz w:val="20"/>
                <w:szCs w:val="20"/>
                <w:lang w:val="fr-CA"/>
              </w:rPr>
              <w:t>c</w:t>
            </w:r>
            <w:r w:rsidRPr="004B6DEF">
              <w:rPr>
                <w:sz w:val="20"/>
                <w:szCs w:val="20"/>
                <w:lang w:val="fr-CA"/>
              </w:rPr>
              <w:t>) (Civil</w:t>
            </w:r>
            <w:r w:rsidR="00435162" w:rsidRPr="004B6DEF">
              <w:rPr>
                <w:sz w:val="20"/>
                <w:szCs w:val="20"/>
                <w:lang w:val="fr-CA"/>
              </w:rPr>
              <w:t>e</w:t>
            </w:r>
            <w:r w:rsidRPr="004B6DEF">
              <w:rPr>
                <w:sz w:val="20"/>
                <w:szCs w:val="20"/>
                <w:lang w:val="fr-CA"/>
              </w:rPr>
              <w:t>) (</w:t>
            </w:r>
            <w:r w:rsidR="00435162" w:rsidRPr="004B6DEF">
              <w:rPr>
                <w:sz w:val="20"/>
                <w:szCs w:val="20"/>
                <w:lang w:val="fr-CA"/>
              </w:rPr>
              <w:t>Autorisation</w:t>
            </w:r>
            <w:r w:rsidRPr="004B6DEF">
              <w:rPr>
                <w:sz w:val="20"/>
                <w:szCs w:val="20"/>
                <w:lang w:val="fr-CA"/>
              </w:rPr>
              <w:t>)</w:t>
            </w:r>
          </w:p>
          <w:p w:rsidR="000E2959" w:rsidRPr="004B6DEF" w:rsidRDefault="000E2959" w:rsidP="0004528B">
            <w:pPr>
              <w:rPr>
                <w:sz w:val="20"/>
                <w:szCs w:val="20"/>
                <w:lang w:val="fr-CA"/>
              </w:rPr>
            </w:pPr>
          </w:p>
        </w:tc>
      </w:tr>
      <w:tr w:rsidR="000E2959" w:rsidRPr="0082006E" w:rsidTr="004B6DEF">
        <w:trPr>
          <w:cantSplit/>
        </w:trPr>
        <w:tc>
          <w:tcPr>
            <w:tcW w:w="1458" w:type="dxa"/>
          </w:tcPr>
          <w:p w:rsidR="000E2959" w:rsidRPr="004B6DEF" w:rsidRDefault="000E2959" w:rsidP="0004528B">
            <w:pPr>
              <w:rPr>
                <w:sz w:val="20"/>
                <w:szCs w:val="20"/>
              </w:rPr>
            </w:pPr>
            <w:r w:rsidRPr="004B6DEF">
              <w:rPr>
                <w:sz w:val="20"/>
                <w:szCs w:val="20"/>
              </w:rPr>
              <w:t>Coram :</w:t>
            </w:r>
          </w:p>
        </w:tc>
        <w:tc>
          <w:tcPr>
            <w:tcW w:w="8082" w:type="dxa"/>
          </w:tcPr>
          <w:p w:rsidR="000E2959" w:rsidRPr="004B6DEF" w:rsidRDefault="00435162" w:rsidP="0004528B">
            <w:pPr>
              <w:rPr>
                <w:rStyle w:val="SCCCoramChar"/>
                <w:sz w:val="20"/>
                <w:szCs w:val="20"/>
              </w:rPr>
            </w:pPr>
            <w:r w:rsidRPr="004B6DEF">
              <w:rPr>
                <w:rStyle w:val="SCCCoramChar"/>
                <w:sz w:val="20"/>
                <w:szCs w:val="20"/>
              </w:rPr>
              <w:t>Les</w:t>
            </w:r>
            <w:r w:rsidR="004B6DEF" w:rsidRPr="004B6DEF">
              <w:rPr>
                <w:rStyle w:val="SCCCoramChar"/>
                <w:sz w:val="20"/>
                <w:szCs w:val="20"/>
              </w:rPr>
              <w:t xml:space="preserve"> juges Cromwell, Wagner et Côté</w:t>
            </w:r>
          </w:p>
          <w:p w:rsidR="00435162" w:rsidRPr="004B6DEF" w:rsidRDefault="00435162" w:rsidP="0004528B">
            <w:pPr>
              <w:rPr>
                <w:sz w:val="20"/>
                <w:szCs w:val="20"/>
                <w:lang w:val="fr-CA"/>
              </w:rPr>
            </w:pPr>
          </w:p>
        </w:tc>
      </w:tr>
      <w:tr w:rsidR="000E2959" w:rsidRPr="004B6DEF" w:rsidTr="004B6DEF">
        <w:trPr>
          <w:cantSplit/>
        </w:trPr>
        <w:tc>
          <w:tcPr>
            <w:tcW w:w="9540" w:type="dxa"/>
            <w:gridSpan w:val="2"/>
          </w:tcPr>
          <w:p w:rsidR="000E2959" w:rsidRPr="004B6DEF" w:rsidRDefault="00435162" w:rsidP="0004528B">
            <w:pPr>
              <w:pStyle w:val="SCCShortJudgment"/>
              <w:ind w:firstLine="0"/>
              <w:rPr>
                <w:lang w:val="fr-CA"/>
              </w:rPr>
            </w:pPr>
            <w:r w:rsidRPr="004B6DEF">
              <w:rPr>
                <w:lang w:val="fr-CA"/>
              </w:rPr>
              <w:tab/>
              <w:t>La demande d’autorisation d’appel de l’arrêt de la Cour d’appel du Québec (Montréal), numéro 500-09-024076-135, 2015 QCCA 1069, daté du 19 juin 2015, est rejetée sans dépens.</w:t>
            </w:r>
          </w:p>
          <w:p w:rsidR="00435162" w:rsidRPr="004B6DEF" w:rsidRDefault="00435162" w:rsidP="0004528B">
            <w:pPr>
              <w:pStyle w:val="SCCShortJudgment"/>
              <w:ind w:firstLine="0"/>
              <w:rPr>
                <w:szCs w:val="20"/>
                <w:lang w:val="fr-CA"/>
              </w:rPr>
            </w:pPr>
          </w:p>
          <w:p w:rsidR="000E2959" w:rsidRPr="004B6DEF" w:rsidRDefault="00435162" w:rsidP="0004528B">
            <w:pPr>
              <w:pStyle w:val="SCCShortJudgment"/>
              <w:rPr>
                <w:szCs w:val="20"/>
              </w:rPr>
            </w:pPr>
            <w:r w:rsidRPr="004B6DEF">
              <w:rPr>
                <w:lang w:val="en-US"/>
              </w:rPr>
              <w:t>The application for leave to appeal from the judgment of the Court of Appeal of Quebec (Montréal), Number 500-09-024076-135, 2015 QCCA 1069, dated June 19, 2015, is dismissed without costs.</w:t>
            </w:r>
          </w:p>
        </w:tc>
      </w:tr>
    </w:tbl>
    <w:p w:rsidR="000E2959" w:rsidRPr="009C2345" w:rsidRDefault="000E2959" w:rsidP="000E2959">
      <w:pPr>
        <w:rPr>
          <w:sz w:val="20"/>
          <w:szCs w:val="20"/>
        </w:rPr>
      </w:pPr>
    </w:p>
    <w:p w:rsidR="000E2959" w:rsidRPr="009C2345" w:rsidRDefault="000E2959" w:rsidP="000E2959">
      <w:pPr>
        <w:rPr>
          <w:sz w:val="20"/>
          <w:szCs w:val="20"/>
          <w:u w:val="single"/>
        </w:rPr>
      </w:pPr>
      <w:r w:rsidRPr="009C2345">
        <w:rPr>
          <w:sz w:val="20"/>
          <w:szCs w:val="20"/>
          <w:u w:val="single"/>
        </w:rPr>
        <w:t>CASE SUMMARY</w:t>
      </w:r>
    </w:p>
    <w:p w:rsidR="000E2959" w:rsidRPr="009C2345" w:rsidRDefault="000E2959" w:rsidP="0006194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61949" w:rsidRPr="009C2345" w:rsidTr="00017A3C">
        <w:tc>
          <w:tcPr>
            <w:tcW w:w="5000" w:type="pct"/>
            <w:gridSpan w:val="3"/>
          </w:tcPr>
          <w:p w:rsidR="00061949" w:rsidRPr="009C2345" w:rsidRDefault="00061949" w:rsidP="00061949">
            <w:pPr>
              <w:jc w:val="both"/>
              <w:rPr>
                <w:sz w:val="20"/>
                <w:szCs w:val="20"/>
              </w:rPr>
            </w:pPr>
            <w:r w:rsidRPr="009C2345">
              <w:rPr>
                <w:i/>
                <w:sz w:val="20"/>
                <w:szCs w:val="20"/>
              </w:rPr>
              <w:t>Charter of Rights and Freedoms</w:t>
            </w:r>
            <w:r w:rsidRPr="009C2345">
              <w:rPr>
                <w:sz w:val="20"/>
                <w:szCs w:val="20"/>
              </w:rPr>
              <w:t xml:space="preserve"> – Constitutional law – Right to equality – Bankruptcy and insolvency – Property and ownership – Real estate agency – Real estate broker – Commission – Sums held in account of bankrupt real estate agency – Trust – Constructive trust – Applicability in civil law – Whether harmonization of federal law with civil law infringes applicants’ </w:t>
            </w:r>
            <w:r w:rsidRPr="009C2345">
              <w:rPr>
                <w:i/>
                <w:sz w:val="20"/>
                <w:szCs w:val="20"/>
              </w:rPr>
              <w:t>Charter</w:t>
            </w:r>
            <w:r w:rsidRPr="009C2345">
              <w:rPr>
                <w:sz w:val="20"/>
                <w:szCs w:val="20"/>
              </w:rPr>
              <w:t xml:space="preserve"> right to equality before and under law and equal protection and benefit of law – Whether removal of Quebec Superior Court’s equitable jurisdiction provided for in </w:t>
            </w:r>
            <w:r w:rsidRPr="009C2345">
              <w:rPr>
                <w:i/>
                <w:sz w:val="20"/>
                <w:szCs w:val="20"/>
              </w:rPr>
              <w:t>Bankruptcy and Insolvency Act</w:t>
            </w:r>
            <w:r w:rsidRPr="009C2345">
              <w:rPr>
                <w:sz w:val="20"/>
                <w:szCs w:val="20"/>
              </w:rPr>
              <w:t xml:space="preserve"> infringes applicants’ </w:t>
            </w:r>
            <w:r w:rsidRPr="009C2345">
              <w:rPr>
                <w:i/>
                <w:sz w:val="20"/>
                <w:szCs w:val="20"/>
              </w:rPr>
              <w:t>Charter</w:t>
            </w:r>
            <w:r w:rsidRPr="009C2345">
              <w:rPr>
                <w:sz w:val="20"/>
                <w:szCs w:val="20"/>
              </w:rPr>
              <w:t xml:space="preserve"> right to equality before and under law and equal protection and benefit of law – </w:t>
            </w:r>
            <w:r w:rsidRPr="009C2345">
              <w:rPr>
                <w:i/>
                <w:sz w:val="20"/>
                <w:szCs w:val="20"/>
              </w:rPr>
              <w:t>Bankruptcy and Insolvency Act</w:t>
            </w:r>
            <w:r w:rsidRPr="009C2345">
              <w:rPr>
                <w:sz w:val="20"/>
                <w:szCs w:val="20"/>
              </w:rPr>
              <w:t>, R.S.C. 1985 c. B</w:t>
            </w:r>
            <w:r w:rsidRPr="009C2345">
              <w:rPr>
                <w:sz w:val="20"/>
                <w:szCs w:val="20"/>
              </w:rPr>
              <w:noBreakHyphen/>
              <w:t xml:space="preserve">3, s. 67 – </w:t>
            </w:r>
            <w:r w:rsidRPr="009C2345">
              <w:rPr>
                <w:i/>
                <w:sz w:val="20"/>
                <w:szCs w:val="20"/>
              </w:rPr>
              <w:t xml:space="preserve">Federal Law </w:t>
            </w:r>
            <w:r w:rsidRPr="009C2345">
              <w:rPr>
                <w:sz w:val="20"/>
                <w:szCs w:val="20"/>
              </w:rPr>
              <w:t xml:space="preserve">- </w:t>
            </w:r>
            <w:r w:rsidRPr="009C2345">
              <w:rPr>
                <w:i/>
                <w:sz w:val="20"/>
                <w:szCs w:val="20"/>
              </w:rPr>
              <w:t>Civil Law Harmonization Act, No. 1</w:t>
            </w:r>
            <w:r w:rsidRPr="009C2345">
              <w:rPr>
                <w:sz w:val="20"/>
                <w:szCs w:val="20"/>
              </w:rPr>
              <w:t xml:space="preserve">, S.C. 2001, c. 4 – </w:t>
            </w:r>
            <w:r w:rsidRPr="009C2345">
              <w:rPr>
                <w:i/>
                <w:sz w:val="20"/>
                <w:szCs w:val="20"/>
              </w:rPr>
              <w:t>Charter of Rights and Freedoms</w:t>
            </w:r>
            <w:r w:rsidRPr="009C2345">
              <w:rPr>
                <w:sz w:val="20"/>
                <w:szCs w:val="20"/>
              </w:rPr>
              <w:t>, s. 15.</w:t>
            </w:r>
          </w:p>
        </w:tc>
      </w:tr>
      <w:tr w:rsidR="00061949" w:rsidRPr="009C2345" w:rsidTr="00017A3C">
        <w:tc>
          <w:tcPr>
            <w:tcW w:w="5000" w:type="pct"/>
            <w:gridSpan w:val="3"/>
          </w:tcPr>
          <w:p w:rsidR="00061949" w:rsidRPr="009C2345" w:rsidRDefault="00061949" w:rsidP="00061949">
            <w:pPr>
              <w:jc w:val="both"/>
              <w:rPr>
                <w:i/>
                <w:sz w:val="20"/>
                <w:szCs w:val="20"/>
              </w:rPr>
            </w:pPr>
          </w:p>
        </w:tc>
      </w:tr>
      <w:tr w:rsidR="00061949" w:rsidRPr="009C2345" w:rsidTr="00017A3C">
        <w:tc>
          <w:tcPr>
            <w:tcW w:w="5000" w:type="pct"/>
            <w:gridSpan w:val="3"/>
          </w:tcPr>
          <w:p w:rsidR="00061949" w:rsidRPr="009C2345" w:rsidRDefault="00061949" w:rsidP="00061949">
            <w:pPr>
              <w:jc w:val="both"/>
              <w:rPr>
                <w:sz w:val="20"/>
                <w:szCs w:val="20"/>
              </w:rPr>
            </w:pPr>
            <w:r w:rsidRPr="009C2345">
              <w:rPr>
                <w:sz w:val="20"/>
                <w:szCs w:val="20"/>
              </w:rPr>
              <w:t>When Groupe Sutton</w:t>
            </w:r>
            <w:r w:rsidRPr="009C2345">
              <w:rPr>
                <w:sz w:val="20"/>
                <w:szCs w:val="20"/>
              </w:rPr>
              <w:noBreakHyphen/>
              <w:t xml:space="preserve">Royal, a real estate agency, went bankrupt, the applicant real estate brokers’ commissions were in its bank account. The applicants filed a claim for property with the respondent trustee, Demers Baulne Inc. After the respondent trustee disallowed their proofs of claim, the applicants brought an action in the Quebec courts seeking to be declared the sole owners of the commissions. The courts below found that the commissions were property of the bankrupt and could not be considered property held by the bankrupt in trust, since Quebec civil law rules on trusts had to be applied in interpreting s. 67 of the </w:t>
            </w:r>
            <w:r w:rsidRPr="009C2345">
              <w:rPr>
                <w:i/>
                <w:sz w:val="20"/>
                <w:szCs w:val="20"/>
              </w:rPr>
              <w:t>Bankruptcy and Insolvency Act</w:t>
            </w:r>
            <w:r w:rsidRPr="009C2345">
              <w:rPr>
                <w:sz w:val="20"/>
                <w:szCs w:val="20"/>
              </w:rPr>
              <w:t xml:space="preserve">. </w:t>
            </w:r>
          </w:p>
          <w:p w:rsidR="00061949" w:rsidRPr="009C2345" w:rsidRDefault="00061949" w:rsidP="00061949">
            <w:pPr>
              <w:jc w:val="both"/>
              <w:rPr>
                <w:sz w:val="20"/>
                <w:szCs w:val="20"/>
              </w:rPr>
            </w:pPr>
          </w:p>
          <w:p w:rsidR="00061949" w:rsidRPr="009C2345" w:rsidRDefault="00061949" w:rsidP="00061949">
            <w:pPr>
              <w:jc w:val="both"/>
              <w:rPr>
                <w:sz w:val="20"/>
                <w:szCs w:val="20"/>
              </w:rPr>
            </w:pPr>
            <w:r w:rsidRPr="009C2345">
              <w:rPr>
                <w:sz w:val="20"/>
                <w:szCs w:val="20"/>
              </w:rPr>
              <w:t xml:space="preserve">The applicants are asking this Court to intervene by declaring the differing application of the </w:t>
            </w:r>
            <w:r w:rsidRPr="009C2345">
              <w:rPr>
                <w:i/>
                <w:sz w:val="20"/>
                <w:szCs w:val="20"/>
              </w:rPr>
              <w:t>Bankruptcy and Insolvency Act</w:t>
            </w:r>
            <w:r w:rsidRPr="009C2345">
              <w:rPr>
                <w:sz w:val="20"/>
                <w:szCs w:val="20"/>
              </w:rPr>
              <w:t xml:space="preserve"> in the common law and in Quebec civil law unconstitutional. </w:t>
            </w:r>
          </w:p>
          <w:p w:rsidR="00061949" w:rsidRPr="009C2345" w:rsidRDefault="00061949" w:rsidP="00061949">
            <w:pPr>
              <w:jc w:val="both"/>
              <w:rPr>
                <w:sz w:val="20"/>
                <w:szCs w:val="20"/>
              </w:rPr>
            </w:pPr>
          </w:p>
        </w:tc>
      </w:tr>
      <w:tr w:rsidR="00061949" w:rsidRPr="009C2345" w:rsidTr="00017A3C">
        <w:tc>
          <w:tcPr>
            <w:tcW w:w="2427" w:type="pct"/>
          </w:tcPr>
          <w:p w:rsidR="00061949" w:rsidRPr="009C2345" w:rsidRDefault="00061949" w:rsidP="00061949">
            <w:pPr>
              <w:jc w:val="both"/>
              <w:rPr>
                <w:sz w:val="20"/>
                <w:szCs w:val="20"/>
              </w:rPr>
            </w:pPr>
            <w:r w:rsidRPr="009C2345">
              <w:rPr>
                <w:sz w:val="20"/>
                <w:szCs w:val="20"/>
              </w:rPr>
              <w:t>November 22, 2013</w:t>
            </w:r>
          </w:p>
          <w:p w:rsidR="00061949" w:rsidRPr="009C2345" w:rsidRDefault="00061949" w:rsidP="00061949">
            <w:pPr>
              <w:jc w:val="both"/>
              <w:rPr>
                <w:sz w:val="20"/>
                <w:szCs w:val="20"/>
              </w:rPr>
            </w:pPr>
            <w:r w:rsidRPr="009C2345">
              <w:rPr>
                <w:sz w:val="20"/>
                <w:szCs w:val="20"/>
              </w:rPr>
              <w:t>Quebec Superior Court</w:t>
            </w:r>
          </w:p>
          <w:p w:rsidR="00061949" w:rsidRPr="009C2345" w:rsidRDefault="00061949" w:rsidP="00061949">
            <w:pPr>
              <w:jc w:val="both"/>
              <w:rPr>
                <w:sz w:val="20"/>
                <w:szCs w:val="20"/>
              </w:rPr>
            </w:pPr>
            <w:r w:rsidRPr="009C2345">
              <w:rPr>
                <w:sz w:val="20"/>
                <w:szCs w:val="20"/>
              </w:rPr>
              <w:t>(Lalonde J.)</w:t>
            </w:r>
          </w:p>
          <w:p w:rsidR="00061949" w:rsidRPr="009C2345" w:rsidRDefault="0082006E" w:rsidP="00061949">
            <w:pPr>
              <w:jc w:val="both"/>
              <w:rPr>
                <w:sz w:val="20"/>
                <w:szCs w:val="20"/>
              </w:rPr>
            </w:pPr>
            <w:hyperlink r:id="rId25" w:history="1">
              <w:r w:rsidR="00061949" w:rsidRPr="009C2345">
                <w:rPr>
                  <w:color w:val="0000FF" w:themeColor="hyperlink"/>
                  <w:sz w:val="20"/>
                  <w:szCs w:val="20"/>
                  <w:u w:val="single"/>
                </w:rPr>
                <w:t>2013 QCCS 5934</w:t>
              </w:r>
            </w:hyperlink>
            <w:r w:rsidR="00061949" w:rsidRPr="009C2345">
              <w:rPr>
                <w:sz w:val="20"/>
                <w:szCs w:val="20"/>
              </w:rPr>
              <w:t xml:space="preserve"> </w:t>
            </w:r>
          </w:p>
          <w:p w:rsidR="00061949" w:rsidRPr="009C2345" w:rsidRDefault="00061949" w:rsidP="00061949">
            <w:pPr>
              <w:jc w:val="both"/>
              <w:rPr>
                <w:sz w:val="20"/>
                <w:szCs w:val="20"/>
              </w:rPr>
            </w:pPr>
          </w:p>
        </w:tc>
        <w:tc>
          <w:tcPr>
            <w:tcW w:w="243" w:type="pct"/>
          </w:tcPr>
          <w:p w:rsidR="00061949" w:rsidRPr="009C2345" w:rsidRDefault="00061949" w:rsidP="00061949">
            <w:pPr>
              <w:jc w:val="both"/>
              <w:rPr>
                <w:sz w:val="20"/>
                <w:szCs w:val="20"/>
              </w:rPr>
            </w:pPr>
          </w:p>
        </w:tc>
        <w:tc>
          <w:tcPr>
            <w:tcW w:w="2330" w:type="pct"/>
          </w:tcPr>
          <w:p w:rsidR="00061949" w:rsidRPr="009C2345" w:rsidRDefault="00061949" w:rsidP="00061949">
            <w:pPr>
              <w:jc w:val="both"/>
              <w:rPr>
                <w:sz w:val="20"/>
                <w:szCs w:val="20"/>
              </w:rPr>
            </w:pPr>
            <w:r w:rsidRPr="009C2345">
              <w:rPr>
                <w:sz w:val="20"/>
                <w:szCs w:val="20"/>
              </w:rPr>
              <w:t xml:space="preserve">Appeal from respondent trustee’s decision disallowing claim for property dismissed and commissions confirmed to be property of bankrupt </w:t>
            </w:r>
          </w:p>
          <w:p w:rsidR="00061949" w:rsidRPr="009C2345" w:rsidRDefault="00061949" w:rsidP="00061949">
            <w:pPr>
              <w:jc w:val="both"/>
              <w:rPr>
                <w:sz w:val="20"/>
                <w:szCs w:val="20"/>
              </w:rPr>
            </w:pPr>
          </w:p>
        </w:tc>
      </w:tr>
      <w:tr w:rsidR="00061949" w:rsidRPr="009C2345" w:rsidTr="00017A3C">
        <w:tc>
          <w:tcPr>
            <w:tcW w:w="2427" w:type="pct"/>
          </w:tcPr>
          <w:p w:rsidR="00061949" w:rsidRPr="009C2345" w:rsidRDefault="00061949" w:rsidP="00061949">
            <w:pPr>
              <w:jc w:val="both"/>
              <w:rPr>
                <w:sz w:val="20"/>
                <w:szCs w:val="20"/>
              </w:rPr>
            </w:pPr>
            <w:r w:rsidRPr="009C2345">
              <w:rPr>
                <w:sz w:val="20"/>
                <w:szCs w:val="20"/>
              </w:rPr>
              <w:t>June 19, 2015</w:t>
            </w:r>
          </w:p>
          <w:p w:rsidR="00061949" w:rsidRPr="009C2345" w:rsidRDefault="00061949" w:rsidP="00061949">
            <w:pPr>
              <w:jc w:val="both"/>
              <w:rPr>
                <w:sz w:val="20"/>
                <w:szCs w:val="20"/>
              </w:rPr>
            </w:pPr>
            <w:r w:rsidRPr="009C2345">
              <w:rPr>
                <w:sz w:val="20"/>
                <w:szCs w:val="20"/>
              </w:rPr>
              <w:t>Quebec Court of Appeal (Montréal)</w:t>
            </w:r>
          </w:p>
          <w:p w:rsidR="00061949" w:rsidRPr="009C2345" w:rsidRDefault="00061949" w:rsidP="00061949">
            <w:pPr>
              <w:jc w:val="both"/>
              <w:rPr>
                <w:sz w:val="20"/>
                <w:szCs w:val="20"/>
              </w:rPr>
            </w:pPr>
            <w:r w:rsidRPr="009C2345">
              <w:rPr>
                <w:sz w:val="20"/>
                <w:szCs w:val="20"/>
              </w:rPr>
              <w:t>(Bich, Kasirer and Gagnon JJ.A.)</w:t>
            </w:r>
          </w:p>
          <w:p w:rsidR="00061949" w:rsidRPr="009C2345" w:rsidRDefault="0082006E" w:rsidP="00061949">
            <w:pPr>
              <w:jc w:val="both"/>
              <w:rPr>
                <w:sz w:val="20"/>
                <w:szCs w:val="20"/>
              </w:rPr>
            </w:pPr>
            <w:hyperlink r:id="rId26" w:history="1">
              <w:r w:rsidR="00061949" w:rsidRPr="009C2345">
                <w:rPr>
                  <w:color w:val="0000FF" w:themeColor="hyperlink"/>
                  <w:sz w:val="20"/>
                  <w:szCs w:val="20"/>
                  <w:u w:val="single"/>
                </w:rPr>
                <w:t>2015 QCCA 1069</w:t>
              </w:r>
            </w:hyperlink>
          </w:p>
          <w:p w:rsidR="00061949" w:rsidRPr="009C2345" w:rsidRDefault="00061949" w:rsidP="00061949">
            <w:pPr>
              <w:jc w:val="both"/>
              <w:rPr>
                <w:sz w:val="20"/>
                <w:szCs w:val="20"/>
              </w:rPr>
            </w:pPr>
          </w:p>
        </w:tc>
        <w:tc>
          <w:tcPr>
            <w:tcW w:w="243" w:type="pct"/>
          </w:tcPr>
          <w:p w:rsidR="00061949" w:rsidRPr="009C2345" w:rsidRDefault="00061949" w:rsidP="00061949">
            <w:pPr>
              <w:jc w:val="both"/>
              <w:rPr>
                <w:sz w:val="20"/>
                <w:szCs w:val="20"/>
              </w:rPr>
            </w:pPr>
          </w:p>
        </w:tc>
        <w:tc>
          <w:tcPr>
            <w:tcW w:w="2330" w:type="pct"/>
          </w:tcPr>
          <w:p w:rsidR="00061949" w:rsidRPr="009C2345" w:rsidRDefault="00061949" w:rsidP="00061949">
            <w:pPr>
              <w:jc w:val="both"/>
              <w:rPr>
                <w:sz w:val="20"/>
                <w:szCs w:val="20"/>
              </w:rPr>
            </w:pPr>
            <w:r w:rsidRPr="009C2345">
              <w:rPr>
                <w:sz w:val="20"/>
                <w:szCs w:val="20"/>
              </w:rPr>
              <w:t>Appeal dismissed</w:t>
            </w:r>
          </w:p>
          <w:p w:rsidR="00061949" w:rsidRPr="009C2345" w:rsidRDefault="00061949" w:rsidP="00061949">
            <w:pPr>
              <w:jc w:val="both"/>
              <w:rPr>
                <w:sz w:val="20"/>
                <w:szCs w:val="20"/>
              </w:rPr>
            </w:pPr>
          </w:p>
        </w:tc>
      </w:tr>
      <w:tr w:rsidR="00061949" w:rsidRPr="009C2345" w:rsidTr="00017A3C">
        <w:tc>
          <w:tcPr>
            <w:tcW w:w="2427" w:type="pct"/>
          </w:tcPr>
          <w:p w:rsidR="00061949" w:rsidRPr="009C2345" w:rsidRDefault="00061949" w:rsidP="00061949">
            <w:pPr>
              <w:jc w:val="both"/>
              <w:rPr>
                <w:sz w:val="20"/>
                <w:szCs w:val="20"/>
              </w:rPr>
            </w:pPr>
            <w:r w:rsidRPr="009C2345">
              <w:rPr>
                <w:sz w:val="20"/>
                <w:szCs w:val="20"/>
              </w:rPr>
              <w:t>September 18, 2015</w:t>
            </w:r>
          </w:p>
          <w:p w:rsidR="00061949" w:rsidRPr="009C2345" w:rsidRDefault="00061949" w:rsidP="00061949">
            <w:pPr>
              <w:jc w:val="both"/>
              <w:rPr>
                <w:sz w:val="20"/>
                <w:szCs w:val="20"/>
              </w:rPr>
            </w:pPr>
            <w:r w:rsidRPr="009C2345">
              <w:rPr>
                <w:sz w:val="20"/>
                <w:szCs w:val="20"/>
              </w:rPr>
              <w:t>Supreme Court of Canada</w:t>
            </w:r>
          </w:p>
        </w:tc>
        <w:tc>
          <w:tcPr>
            <w:tcW w:w="243" w:type="pct"/>
          </w:tcPr>
          <w:p w:rsidR="00061949" w:rsidRPr="009C2345" w:rsidRDefault="00061949" w:rsidP="00061949">
            <w:pPr>
              <w:jc w:val="both"/>
              <w:rPr>
                <w:sz w:val="20"/>
                <w:szCs w:val="20"/>
              </w:rPr>
            </w:pPr>
          </w:p>
        </w:tc>
        <w:tc>
          <w:tcPr>
            <w:tcW w:w="2330" w:type="pct"/>
          </w:tcPr>
          <w:p w:rsidR="00061949" w:rsidRPr="009C2345" w:rsidRDefault="00061949" w:rsidP="00061949">
            <w:pPr>
              <w:jc w:val="both"/>
              <w:rPr>
                <w:sz w:val="20"/>
                <w:szCs w:val="20"/>
              </w:rPr>
            </w:pPr>
            <w:r w:rsidRPr="009C2345">
              <w:rPr>
                <w:sz w:val="20"/>
                <w:szCs w:val="20"/>
              </w:rPr>
              <w:t>Application for leave to appeal filed</w:t>
            </w:r>
          </w:p>
          <w:p w:rsidR="00061949" w:rsidRPr="009C2345" w:rsidRDefault="00061949" w:rsidP="00061949">
            <w:pPr>
              <w:jc w:val="both"/>
              <w:rPr>
                <w:sz w:val="20"/>
                <w:szCs w:val="20"/>
              </w:rPr>
            </w:pPr>
          </w:p>
        </w:tc>
      </w:tr>
    </w:tbl>
    <w:p w:rsidR="000E2959" w:rsidRPr="009C2345" w:rsidRDefault="000E2959" w:rsidP="000E2959">
      <w:pPr>
        <w:rPr>
          <w:sz w:val="20"/>
          <w:szCs w:val="20"/>
        </w:rPr>
      </w:pPr>
    </w:p>
    <w:p w:rsidR="000E2959" w:rsidRPr="009C2345" w:rsidRDefault="0082006E" w:rsidP="000E2959">
      <w:pPr>
        <w:rPr>
          <w:sz w:val="20"/>
          <w:szCs w:val="20"/>
        </w:rPr>
      </w:pPr>
      <w:r>
        <w:rPr>
          <w:sz w:val="20"/>
          <w:szCs w:val="20"/>
          <w:lang w:val="fr-CA"/>
        </w:rPr>
        <w:pict>
          <v:rect id="_x0000_i1040" style="width:2in;height:1pt" o:hrpct="0" o:hralign="center" o:hrstd="t" o:hrnoshade="t" o:hr="t" fillcolor="black [3213]" stroked="f"/>
        </w:pict>
      </w:r>
    </w:p>
    <w:p w:rsidR="000E2959" w:rsidRPr="009C2345" w:rsidRDefault="000E2959" w:rsidP="000E2959">
      <w:pPr>
        <w:rPr>
          <w:sz w:val="20"/>
          <w:szCs w:val="20"/>
        </w:rPr>
      </w:pPr>
    </w:p>
    <w:p w:rsidR="000E2959" w:rsidRPr="009C2345" w:rsidRDefault="000E2959" w:rsidP="000E2959">
      <w:pPr>
        <w:rPr>
          <w:sz w:val="20"/>
          <w:szCs w:val="20"/>
          <w:u w:val="single"/>
          <w:lang w:val="fr-CA"/>
        </w:rPr>
      </w:pPr>
      <w:r w:rsidRPr="009C2345">
        <w:rPr>
          <w:sz w:val="20"/>
          <w:szCs w:val="20"/>
          <w:u w:val="single"/>
          <w:lang w:val="fr-CA"/>
        </w:rPr>
        <w:t>RÉSUMÉ DE L’AFFAIRE</w:t>
      </w:r>
    </w:p>
    <w:p w:rsidR="000E2959" w:rsidRPr="009C2345" w:rsidRDefault="000E2959" w:rsidP="000E2959">
      <w:pPr>
        <w:rPr>
          <w:sz w:val="20"/>
          <w:szCs w:val="20"/>
        </w:rPr>
      </w:pPr>
    </w:p>
    <w:tbl>
      <w:tblPr>
        <w:tblW w:w="4959" w:type="pct"/>
        <w:tblLayout w:type="fixed"/>
        <w:tblCellMar>
          <w:left w:w="0" w:type="dxa"/>
          <w:bottom w:w="99" w:type="dxa"/>
          <w:right w:w="0" w:type="dxa"/>
        </w:tblCellMar>
        <w:tblLook w:val="04A0" w:firstRow="1" w:lastRow="0" w:firstColumn="1" w:lastColumn="0" w:noHBand="0" w:noVBand="1"/>
      </w:tblPr>
      <w:tblGrid>
        <w:gridCol w:w="4623"/>
        <w:gridCol w:w="464"/>
        <w:gridCol w:w="4453"/>
      </w:tblGrid>
      <w:tr w:rsidR="009F7094" w:rsidRPr="0082006E" w:rsidTr="00A67A3D">
        <w:tc>
          <w:tcPr>
            <w:tcW w:w="5000" w:type="pct"/>
            <w:gridSpan w:val="3"/>
          </w:tcPr>
          <w:p w:rsidR="009F7094" w:rsidRPr="009C2345" w:rsidRDefault="009F7094" w:rsidP="009F7094">
            <w:pPr>
              <w:jc w:val="both"/>
              <w:rPr>
                <w:sz w:val="20"/>
                <w:szCs w:val="20"/>
                <w:lang w:val="fr-CA"/>
              </w:rPr>
            </w:pPr>
            <w:r w:rsidRPr="009C2345">
              <w:rPr>
                <w:i/>
                <w:sz w:val="20"/>
                <w:szCs w:val="20"/>
                <w:lang w:val="fr-CA"/>
              </w:rPr>
              <w:t>Charte des droits et libertés</w:t>
            </w:r>
            <w:r w:rsidRPr="009C2345">
              <w:rPr>
                <w:sz w:val="20"/>
                <w:szCs w:val="20"/>
                <w:lang w:val="fr-CA"/>
              </w:rPr>
              <w:t xml:space="preserve"> – Droit constitutionnel –  Droit à l’égalité – Faillite et insolvabilité – Biens et propriété – Agence immobilière – Courtier immobilier – Commission – Sommes détenues dans le compte d'une agence immobilière faillit – Fiducie – Fiducie par interprétation – Applicabilité en droit civil – L’harmonisation du droit fédéral avec le droit civil porte-t-elle atteinte au droit des demandeurs à l’égalité devant la loi, à l’égalité de bénéfice et à la protection égale prévu par la </w:t>
            </w:r>
            <w:r w:rsidRPr="009C2345">
              <w:rPr>
                <w:i/>
                <w:sz w:val="20"/>
                <w:szCs w:val="20"/>
                <w:lang w:val="fr-CA"/>
              </w:rPr>
              <w:t>Charte</w:t>
            </w:r>
            <w:r w:rsidRPr="009C2345">
              <w:rPr>
                <w:sz w:val="20"/>
                <w:szCs w:val="20"/>
                <w:lang w:val="fr-CA"/>
              </w:rPr>
              <w:t xml:space="preserve">? – Le retrait de la compétence de la Cour supérieur du Québec en </w:t>
            </w:r>
            <w:r w:rsidRPr="009C2345">
              <w:rPr>
                <w:i/>
                <w:sz w:val="20"/>
                <w:szCs w:val="20"/>
                <w:lang w:val="fr-CA"/>
              </w:rPr>
              <w:t>Equity</w:t>
            </w:r>
            <w:r w:rsidRPr="009C2345">
              <w:rPr>
                <w:sz w:val="20"/>
                <w:szCs w:val="20"/>
                <w:lang w:val="fr-CA"/>
              </w:rPr>
              <w:t xml:space="preserve"> prévu par la </w:t>
            </w:r>
            <w:r w:rsidRPr="009C2345">
              <w:rPr>
                <w:i/>
                <w:sz w:val="20"/>
                <w:szCs w:val="20"/>
                <w:lang w:val="fr-CA"/>
              </w:rPr>
              <w:t>Loi sur la faillite et l’insolvabilité</w:t>
            </w:r>
            <w:r w:rsidRPr="009C2345">
              <w:rPr>
                <w:sz w:val="20"/>
                <w:szCs w:val="20"/>
                <w:lang w:val="fr-CA"/>
              </w:rPr>
              <w:t xml:space="preserve"> porte-t-il atteinte au droit des demandeurs à l’égalité devant la loi, à l’égalité de bénéfice et à la protection égale prévu par la </w:t>
            </w:r>
            <w:r w:rsidRPr="009C2345">
              <w:rPr>
                <w:i/>
                <w:sz w:val="20"/>
                <w:szCs w:val="20"/>
                <w:lang w:val="fr-CA"/>
              </w:rPr>
              <w:t>Charte</w:t>
            </w:r>
            <w:r w:rsidRPr="009C2345">
              <w:rPr>
                <w:sz w:val="20"/>
                <w:szCs w:val="20"/>
                <w:lang w:val="fr-CA"/>
              </w:rPr>
              <w:t xml:space="preserve">? – </w:t>
            </w:r>
            <w:r w:rsidRPr="009C2345">
              <w:rPr>
                <w:i/>
                <w:sz w:val="20"/>
                <w:szCs w:val="20"/>
                <w:lang w:val="fr-CA"/>
              </w:rPr>
              <w:t>Loi sur la faillite et l’insolvabilité</w:t>
            </w:r>
            <w:r w:rsidRPr="009C2345">
              <w:rPr>
                <w:sz w:val="20"/>
                <w:szCs w:val="20"/>
                <w:lang w:val="fr-CA"/>
              </w:rPr>
              <w:t xml:space="preserve">, L.R.C. 1985 c. B-3, art. 67 – </w:t>
            </w:r>
            <w:r w:rsidRPr="009C2345">
              <w:rPr>
                <w:i/>
                <w:sz w:val="20"/>
                <w:szCs w:val="20"/>
                <w:lang w:val="fr-CA"/>
              </w:rPr>
              <w:t>Loi d’harmonisation no 1 du droit fédéral avec le droit civil</w:t>
            </w:r>
            <w:r w:rsidRPr="009C2345">
              <w:rPr>
                <w:sz w:val="20"/>
                <w:szCs w:val="20"/>
                <w:lang w:val="fr-CA"/>
              </w:rPr>
              <w:t xml:space="preserve">, L.C. 2001, ch. 4 – </w:t>
            </w:r>
            <w:r w:rsidRPr="009C2345">
              <w:rPr>
                <w:i/>
                <w:sz w:val="20"/>
                <w:szCs w:val="20"/>
                <w:lang w:val="fr-CA"/>
              </w:rPr>
              <w:t>Charte des droits et libertés</w:t>
            </w:r>
            <w:r w:rsidRPr="009C2345">
              <w:rPr>
                <w:sz w:val="20"/>
                <w:szCs w:val="20"/>
                <w:lang w:val="fr-CA"/>
              </w:rPr>
              <w:t>, art. 15</w:t>
            </w:r>
          </w:p>
        </w:tc>
      </w:tr>
      <w:tr w:rsidR="009F7094" w:rsidRPr="0082006E" w:rsidTr="00A67A3D">
        <w:tc>
          <w:tcPr>
            <w:tcW w:w="5000" w:type="pct"/>
            <w:gridSpan w:val="3"/>
          </w:tcPr>
          <w:p w:rsidR="009F7094" w:rsidRPr="009C2345" w:rsidRDefault="009F7094" w:rsidP="009F7094">
            <w:pPr>
              <w:jc w:val="both"/>
              <w:rPr>
                <w:i/>
                <w:sz w:val="20"/>
                <w:szCs w:val="20"/>
                <w:lang w:val="fr-CA"/>
              </w:rPr>
            </w:pPr>
          </w:p>
        </w:tc>
      </w:tr>
      <w:tr w:rsidR="009F7094" w:rsidRPr="0082006E" w:rsidTr="00A67A3D">
        <w:tc>
          <w:tcPr>
            <w:tcW w:w="5000" w:type="pct"/>
            <w:gridSpan w:val="3"/>
          </w:tcPr>
          <w:p w:rsidR="009F7094" w:rsidRPr="009C2345" w:rsidRDefault="009F7094" w:rsidP="009F7094">
            <w:pPr>
              <w:jc w:val="both"/>
              <w:rPr>
                <w:sz w:val="20"/>
                <w:szCs w:val="20"/>
                <w:lang w:val="fr-CA"/>
              </w:rPr>
            </w:pPr>
            <w:r w:rsidRPr="009C2345">
              <w:rPr>
                <w:sz w:val="20"/>
                <w:szCs w:val="20"/>
                <w:lang w:val="fr-CA"/>
              </w:rPr>
              <w:t xml:space="preserve">Au moment de la faillite de l’agence immobilière Groupe Sutton-Royal, les commissions des courtiers immobiliers demandeurs se trouvaient dans le compte bancaire de celle-ci. Les demandeurs ont déposé une réclamation de biens au syndic-intimé Demers Baulne Inc. Suite au rejet du syndic-intimé de leurs preuves de réclamation, les demandeurs intentent une action devant les tribunaux québécois, cherchant à se faire déclarer seuls et uniques propriétaires des commissions. Les tribunaux inférieurs ont conclu que les commissions sont des biens du failli et qu’elles ne peuvent être considérées comme des biens détenus par le failli en fiducie, puisqu’il faut appliquer les règles du droit civil québécois en matière de fiducie au moment de l’interprétation de l’article 67 de la </w:t>
            </w:r>
            <w:r w:rsidRPr="009C2345">
              <w:rPr>
                <w:i/>
                <w:sz w:val="20"/>
                <w:szCs w:val="20"/>
                <w:lang w:val="fr-CA"/>
              </w:rPr>
              <w:t>Loi sur la faillite et l'insolvabilité</w:t>
            </w:r>
            <w:r w:rsidRPr="009C2345">
              <w:rPr>
                <w:sz w:val="20"/>
                <w:szCs w:val="20"/>
                <w:lang w:val="fr-CA"/>
              </w:rPr>
              <w:t xml:space="preserve">. </w:t>
            </w:r>
          </w:p>
          <w:p w:rsidR="009F7094" w:rsidRPr="009C2345" w:rsidRDefault="009F7094" w:rsidP="009F7094">
            <w:pPr>
              <w:jc w:val="both"/>
              <w:rPr>
                <w:sz w:val="20"/>
                <w:szCs w:val="20"/>
                <w:lang w:val="fr-CA"/>
              </w:rPr>
            </w:pPr>
          </w:p>
          <w:p w:rsidR="009F7094" w:rsidRPr="009C2345" w:rsidRDefault="009F7094" w:rsidP="009F7094">
            <w:pPr>
              <w:jc w:val="both"/>
              <w:rPr>
                <w:sz w:val="20"/>
                <w:szCs w:val="20"/>
                <w:lang w:val="fr-CA"/>
              </w:rPr>
            </w:pPr>
            <w:r w:rsidRPr="009C2345">
              <w:rPr>
                <w:sz w:val="20"/>
                <w:szCs w:val="20"/>
                <w:lang w:val="fr-CA"/>
              </w:rPr>
              <w:t xml:space="preserve">Les demandeurs demandent l’intervention de cette Cour pour faire déclarer inconstitutionnelle l’application distincte de la </w:t>
            </w:r>
            <w:r w:rsidRPr="009C2345">
              <w:rPr>
                <w:i/>
                <w:sz w:val="20"/>
                <w:szCs w:val="20"/>
                <w:lang w:val="fr-CA"/>
              </w:rPr>
              <w:t>Loi sur la faillite et l’insolvabilité</w:t>
            </w:r>
            <w:r w:rsidRPr="009C2345">
              <w:rPr>
                <w:sz w:val="20"/>
                <w:szCs w:val="20"/>
                <w:lang w:val="fr-CA"/>
              </w:rPr>
              <w:t xml:space="preserve"> dans la </w:t>
            </w:r>
            <w:r w:rsidRPr="009C2345">
              <w:rPr>
                <w:i/>
                <w:sz w:val="20"/>
                <w:szCs w:val="20"/>
                <w:lang w:val="fr-CA"/>
              </w:rPr>
              <w:t>Common Law</w:t>
            </w:r>
            <w:r w:rsidRPr="009C2345">
              <w:rPr>
                <w:sz w:val="20"/>
                <w:szCs w:val="20"/>
                <w:lang w:val="fr-CA"/>
              </w:rPr>
              <w:t xml:space="preserve"> et le droit civil québécois. </w:t>
            </w:r>
          </w:p>
          <w:p w:rsidR="009F7094" w:rsidRPr="009C2345" w:rsidRDefault="009F7094" w:rsidP="009F7094">
            <w:pPr>
              <w:jc w:val="both"/>
              <w:rPr>
                <w:sz w:val="20"/>
                <w:szCs w:val="20"/>
                <w:lang w:val="fr-CA"/>
              </w:rPr>
            </w:pPr>
          </w:p>
        </w:tc>
      </w:tr>
      <w:tr w:rsidR="009F7094" w:rsidRPr="0082006E" w:rsidTr="00A67A3D">
        <w:tc>
          <w:tcPr>
            <w:tcW w:w="2423" w:type="pct"/>
          </w:tcPr>
          <w:p w:rsidR="009F7094" w:rsidRPr="009C2345" w:rsidRDefault="009F7094" w:rsidP="009F7094">
            <w:pPr>
              <w:jc w:val="both"/>
              <w:rPr>
                <w:sz w:val="20"/>
                <w:szCs w:val="20"/>
                <w:lang w:val="fr-CA"/>
              </w:rPr>
            </w:pPr>
            <w:r w:rsidRPr="009C2345">
              <w:rPr>
                <w:sz w:val="20"/>
                <w:szCs w:val="20"/>
                <w:lang w:val="fr-CA"/>
              </w:rPr>
              <w:t>Le 22 novembre 2013</w:t>
            </w:r>
          </w:p>
          <w:p w:rsidR="009F7094" w:rsidRPr="009C2345" w:rsidRDefault="009F7094" w:rsidP="009F7094">
            <w:pPr>
              <w:jc w:val="both"/>
              <w:rPr>
                <w:sz w:val="20"/>
                <w:szCs w:val="20"/>
                <w:lang w:val="fr-CA"/>
              </w:rPr>
            </w:pPr>
            <w:r w:rsidRPr="009C2345">
              <w:rPr>
                <w:sz w:val="20"/>
                <w:szCs w:val="20"/>
                <w:lang w:val="fr-CA"/>
              </w:rPr>
              <w:t>Cour supérieure du Québec</w:t>
            </w:r>
          </w:p>
          <w:p w:rsidR="009F7094" w:rsidRPr="009C2345" w:rsidRDefault="009F7094" w:rsidP="009F7094">
            <w:pPr>
              <w:jc w:val="both"/>
              <w:rPr>
                <w:sz w:val="20"/>
                <w:szCs w:val="20"/>
                <w:lang w:val="fr-CA"/>
              </w:rPr>
            </w:pPr>
            <w:r w:rsidRPr="009C2345">
              <w:rPr>
                <w:sz w:val="20"/>
                <w:szCs w:val="20"/>
                <w:lang w:val="fr-CA"/>
              </w:rPr>
              <w:t>(Le juge Lalonde)</w:t>
            </w:r>
          </w:p>
          <w:p w:rsidR="009F7094" w:rsidRPr="009C2345" w:rsidRDefault="0082006E" w:rsidP="009F7094">
            <w:pPr>
              <w:jc w:val="both"/>
              <w:rPr>
                <w:sz w:val="20"/>
                <w:szCs w:val="20"/>
                <w:u w:val="single"/>
                <w:lang w:val="fr-CA"/>
              </w:rPr>
            </w:pPr>
            <w:hyperlink r:id="rId27" w:history="1">
              <w:r w:rsidR="009F7094" w:rsidRPr="009C2345">
                <w:rPr>
                  <w:color w:val="0000FF" w:themeColor="hyperlink"/>
                  <w:sz w:val="20"/>
                  <w:szCs w:val="20"/>
                  <w:u w:val="single"/>
                  <w:lang w:val="fr-CA"/>
                </w:rPr>
                <w:t>2013 QCCS 5934</w:t>
              </w:r>
            </w:hyperlink>
            <w:r w:rsidR="009F7094" w:rsidRPr="009C2345">
              <w:rPr>
                <w:sz w:val="20"/>
                <w:szCs w:val="20"/>
                <w:u w:val="single"/>
                <w:lang w:val="fr-CA"/>
              </w:rPr>
              <w:t xml:space="preserve"> </w:t>
            </w:r>
          </w:p>
          <w:p w:rsidR="009F7094" w:rsidRPr="009C2345" w:rsidRDefault="009F7094" w:rsidP="009F7094">
            <w:pPr>
              <w:jc w:val="both"/>
              <w:rPr>
                <w:sz w:val="20"/>
                <w:szCs w:val="20"/>
                <w:lang w:val="en-US"/>
              </w:rPr>
            </w:pPr>
          </w:p>
        </w:tc>
        <w:tc>
          <w:tcPr>
            <w:tcW w:w="243" w:type="pct"/>
          </w:tcPr>
          <w:p w:rsidR="009F7094" w:rsidRPr="009C2345" w:rsidRDefault="009F7094" w:rsidP="009F7094">
            <w:pPr>
              <w:jc w:val="both"/>
              <w:rPr>
                <w:sz w:val="20"/>
                <w:szCs w:val="20"/>
                <w:lang w:val="en-US"/>
              </w:rPr>
            </w:pPr>
          </w:p>
        </w:tc>
        <w:tc>
          <w:tcPr>
            <w:tcW w:w="2334" w:type="pct"/>
          </w:tcPr>
          <w:p w:rsidR="009F7094" w:rsidRPr="009C2345" w:rsidRDefault="009F7094" w:rsidP="009F7094">
            <w:pPr>
              <w:jc w:val="both"/>
              <w:rPr>
                <w:sz w:val="20"/>
                <w:szCs w:val="20"/>
                <w:lang w:val="fr-CA"/>
              </w:rPr>
            </w:pPr>
            <w:r w:rsidRPr="009C2345">
              <w:rPr>
                <w:sz w:val="20"/>
                <w:szCs w:val="20"/>
                <w:lang w:val="fr-CA"/>
              </w:rPr>
              <w:t xml:space="preserve">Appel de la décision du syndic-intimé rejetant la réclamation de biens; Appel rejeté, confirme que les commissions sont des biens du failli. </w:t>
            </w:r>
          </w:p>
          <w:p w:rsidR="009F7094" w:rsidRPr="009C2345" w:rsidRDefault="009F7094" w:rsidP="009F7094">
            <w:pPr>
              <w:jc w:val="both"/>
              <w:rPr>
                <w:sz w:val="20"/>
                <w:szCs w:val="20"/>
                <w:lang w:val="fr-CA"/>
              </w:rPr>
            </w:pPr>
          </w:p>
        </w:tc>
      </w:tr>
      <w:tr w:rsidR="009F7094" w:rsidRPr="009C2345" w:rsidTr="00A67A3D">
        <w:tc>
          <w:tcPr>
            <w:tcW w:w="2423" w:type="pct"/>
          </w:tcPr>
          <w:p w:rsidR="009F7094" w:rsidRPr="009C2345" w:rsidRDefault="009F7094" w:rsidP="009F7094">
            <w:pPr>
              <w:jc w:val="both"/>
              <w:rPr>
                <w:sz w:val="20"/>
                <w:szCs w:val="20"/>
                <w:lang w:val="fr-CA"/>
              </w:rPr>
            </w:pPr>
            <w:r w:rsidRPr="009C2345">
              <w:rPr>
                <w:sz w:val="20"/>
                <w:szCs w:val="20"/>
                <w:lang w:val="fr-CA"/>
              </w:rPr>
              <w:t>Le 19 juin 2015</w:t>
            </w:r>
          </w:p>
          <w:p w:rsidR="009F7094" w:rsidRPr="009C2345" w:rsidRDefault="009F7094" w:rsidP="009F7094">
            <w:pPr>
              <w:jc w:val="both"/>
              <w:rPr>
                <w:sz w:val="20"/>
                <w:szCs w:val="20"/>
                <w:lang w:val="fr-CA"/>
              </w:rPr>
            </w:pPr>
            <w:r w:rsidRPr="009C2345">
              <w:rPr>
                <w:sz w:val="20"/>
                <w:szCs w:val="20"/>
                <w:lang w:val="fr-CA"/>
              </w:rPr>
              <w:t>Cour d’appel du Québec (Montréal)</w:t>
            </w:r>
          </w:p>
          <w:p w:rsidR="009F7094" w:rsidRPr="009C2345" w:rsidRDefault="009F7094" w:rsidP="009F7094">
            <w:pPr>
              <w:jc w:val="both"/>
              <w:rPr>
                <w:sz w:val="20"/>
                <w:szCs w:val="20"/>
                <w:lang w:val="fr-CA"/>
              </w:rPr>
            </w:pPr>
            <w:r w:rsidRPr="009C2345">
              <w:rPr>
                <w:sz w:val="20"/>
                <w:szCs w:val="20"/>
                <w:lang w:val="fr-CA"/>
              </w:rPr>
              <w:t>(Les juges Bich, Kasirer et Gagnon)</w:t>
            </w:r>
          </w:p>
          <w:p w:rsidR="009F7094" w:rsidRPr="009C2345" w:rsidRDefault="0082006E" w:rsidP="009F7094">
            <w:pPr>
              <w:jc w:val="both"/>
              <w:rPr>
                <w:sz w:val="20"/>
                <w:szCs w:val="20"/>
                <w:u w:val="single"/>
                <w:lang w:val="fr-CA"/>
              </w:rPr>
            </w:pPr>
            <w:hyperlink r:id="rId28" w:history="1">
              <w:r w:rsidR="009F7094" w:rsidRPr="009C2345">
                <w:rPr>
                  <w:color w:val="0000FF" w:themeColor="hyperlink"/>
                  <w:sz w:val="20"/>
                  <w:szCs w:val="20"/>
                  <w:u w:val="single"/>
                  <w:lang w:val="fr-CA"/>
                </w:rPr>
                <w:t>2015 QCCA 1069</w:t>
              </w:r>
            </w:hyperlink>
          </w:p>
          <w:p w:rsidR="009F7094" w:rsidRPr="009C2345" w:rsidRDefault="009F7094" w:rsidP="009F7094">
            <w:pPr>
              <w:jc w:val="both"/>
              <w:rPr>
                <w:sz w:val="20"/>
                <w:szCs w:val="20"/>
                <w:lang w:val="fr-CA"/>
              </w:rPr>
            </w:pPr>
          </w:p>
        </w:tc>
        <w:tc>
          <w:tcPr>
            <w:tcW w:w="243" w:type="pct"/>
          </w:tcPr>
          <w:p w:rsidR="009F7094" w:rsidRPr="009C2345" w:rsidRDefault="009F7094" w:rsidP="009F7094">
            <w:pPr>
              <w:jc w:val="both"/>
              <w:rPr>
                <w:sz w:val="20"/>
                <w:szCs w:val="20"/>
                <w:lang w:val="fr-CA"/>
              </w:rPr>
            </w:pPr>
          </w:p>
        </w:tc>
        <w:tc>
          <w:tcPr>
            <w:tcW w:w="2334" w:type="pct"/>
          </w:tcPr>
          <w:p w:rsidR="009F7094" w:rsidRPr="009C2345" w:rsidRDefault="009F7094" w:rsidP="009F7094">
            <w:pPr>
              <w:jc w:val="both"/>
              <w:rPr>
                <w:sz w:val="20"/>
                <w:szCs w:val="20"/>
                <w:lang w:val="fr-CA"/>
              </w:rPr>
            </w:pPr>
            <w:r w:rsidRPr="009C2345">
              <w:rPr>
                <w:sz w:val="20"/>
                <w:szCs w:val="20"/>
                <w:lang w:val="fr-CA"/>
              </w:rPr>
              <w:t>Appel rejeté.</w:t>
            </w:r>
          </w:p>
          <w:p w:rsidR="009F7094" w:rsidRPr="009C2345" w:rsidRDefault="009F7094" w:rsidP="009F7094">
            <w:pPr>
              <w:jc w:val="both"/>
              <w:rPr>
                <w:sz w:val="20"/>
                <w:szCs w:val="20"/>
                <w:lang w:val="fr-CA"/>
              </w:rPr>
            </w:pPr>
          </w:p>
        </w:tc>
      </w:tr>
      <w:tr w:rsidR="009F7094" w:rsidRPr="009C2345" w:rsidTr="00A67A3D">
        <w:tc>
          <w:tcPr>
            <w:tcW w:w="2423" w:type="pct"/>
          </w:tcPr>
          <w:p w:rsidR="009F7094" w:rsidRPr="009C2345" w:rsidRDefault="009F7094" w:rsidP="009F7094">
            <w:pPr>
              <w:jc w:val="both"/>
              <w:rPr>
                <w:sz w:val="20"/>
                <w:szCs w:val="20"/>
                <w:lang w:val="fr-CA"/>
              </w:rPr>
            </w:pPr>
            <w:r w:rsidRPr="009C2345">
              <w:rPr>
                <w:sz w:val="20"/>
                <w:szCs w:val="20"/>
                <w:lang w:val="fr-CA"/>
              </w:rPr>
              <w:t>Le 18 septembre 2015</w:t>
            </w:r>
          </w:p>
          <w:p w:rsidR="009F7094" w:rsidRPr="009C2345" w:rsidRDefault="009F7094" w:rsidP="009F7094">
            <w:pPr>
              <w:jc w:val="both"/>
              <w:rPr>
                <w:sz w:val="20"/>
                <w:szCs w:val="20"/>
                <w:lang w:val="fr-CA"/>
              </w:rPr>
            </w:pPr>
            <w:r w:rsidRPr="009C2345">
              <w:rPr>
                <w:sz w:val="20"/>
                <w:szCs w:val="20"/>
                <w:lang w:val="fr-CA"/>
              </w:rPr>
              <w:t>Cour suprême du Canada</w:t>
            </w:r>
          </w:p>
        </w:tc>
        <w:tc>
          <w:tcPr>
            <w:tcW w:w="243" w:type="pct"/>
          </w:tcPr>
          <w:p w:rsidR="009F7094" w:rsidRPr="009C2345" w:rsidRDefault="009F7094" w:rsidP="009F7094">
            <w:pPr>
              <w:jc w:val="both"/>
              <w:rPr>
                <w:sz w:val="20"/>
                <w:szCs w:val="20"/>
                <w:lang w:val="fr-CA"/>
              </w:rPr>
            </w:pPr>
          </w:p>
        </w:tc>
        <w:tc>
          <w:tcPr>
            <w:tcW w:w="2334" w:type="pct"/>
          </w:tcPr>
          <w:p w:rsidR="009F7094" w:rsidRPr="009C2345" w:rsidRDefault="009F7094" w:rsidP="009F7094">
            <w:pPr>
              <w:jc w:val="both"/>
              <w:rPr>
                <w:sz w:val="20"/>
                <w:szCs w:val="20"/>
                <w:lang w:val="fr-CA"/>
              </w:rPr>
            </w:pPr>
            <w:r w:rsidRPr="009C2345">
              <w:rPr>
                <w:sz w:val="20"/>
                <w:szCs w:val="20"/>
                <w:lang w:val="fr-CA"/>
              </w:rPr>
              <w:t>Demande d'autorisation d'appel déposée.</w:t>
            </w:r>
          </w:p>
          <w:p w:rsidR="009F7094" w:rsidRPr="009C2345" w:rsidRDefault="009F7094" w:rsidP="009F7094">
            <w:pPr>
              <w:jc w:val="both"/>
              <w:rPr>
                <w:sz w:val="20"/>
                <w:szCs w:val="20"/>
                <w:lang w:val="fr-CA"/>
              </w:rPr>
            </w:pPr>
          </w:p>
        </w:tc>
      </w:tr>
    </w:tbl>
    <w:p w:rsidR="000E2959" w:rsidRPr="009C2345" w:rsidRDefault="000E2959" w:rsidP="000E2959">
      <w:pPr>
        <w:rPr>
          <w:sz w:val="20"/>
          <w:szCs w:val="20"/>
        </w:rPr>
      </w:pPr>
    </w:p>
    <w:p w:rsidR="000E2959" w:rsidRPr="009C2345" w:rsidRDefault="0082006E" w:rsidP="000E2959">
      <w:pPr>
        <w:rPr>
          <w:sz w:val="20"/>
          <w:szCs w:val="20"/>
        </w:rPr>
      </w:pPr>
      <w:r>
        <w:rPr>
          <w:sz w:val="20"/>
          <w:szCs w:val="20"/>
          <w:lang w:val="fr-CA"/>
        </w:rPr>
        <w:pict>
          <v:rect id="_x0000_i1041" style="width:2in;height:1pt" o:hrpct="0" o:hralign="center" o:hrstd="t" o:hrnoshade="t" o:hr="t" fillcolor="black [3213]" stroked="f"/>
        </w:pict>
      </w:r>
    </w:p>
    <w:p w:rsidR="000E2959" w:rsidRPr="009C2345" w:rsidRDefault="000E2959" w:rsidP="000E2959">
      <w:pPr>
        <w:rPr>
          <w:sz w:val="20"/>
          <w:szCs w:val="20"/>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082"/>
      </w:tblGrid>
      <w:tr w:rsidR="00B475AA" w:rsidRPr="004B6DEF" w:rsidTr="00A67A3D">
        <w:trPr>
          <w:cantSplit/>
        </w:trPr>
        <w:tc>
          <w:tcPr>
            <w:tcW w:w="1458" w:type="dxa"/>
          </w:tcPr>
          <w:p w:rsidR="00B475AA" w:rsidRPr="004B6DEF" w:rsidRDefault="00B475AA" w:rsidP="00017A3C">
            <w:pPr>
              <w:rPr>
                <w:sz w:val="20"/>
                <w:szCs w:val="20"/>
              </w:rPr>
            </w:pPr>
            <w:r w:rsidRPr="004B6DEF">
              <w:rPr>
                <w:rStyle w:val="SCCFileNumberChar"/>
                <w:sz w:val="20"/>
                <w:szCs w:val="20"/>
              </w:rPr>
              <w:t>366</w:t>
            </w:r>
            <w:r w:rsidR="008D2181" w:rsidRPr="004B6DEF">
              <w:rPr>
                <w:rStyle w:val="SCCFileNumberChar"/>
                <w:sz w:val="20"/>
                <w:szCs w:val="20"/>
              </w:rPr>
              <w:t>5</w:t>
            </w:r>
            <w:r w:rsidRPr="004B6DEF">
              <w:rPr>
                <w:rStyle w:val="SCCFileNumberChar"/>
                <w:sz w:val="20"/>
                <w:szCs w:val="20"/>
              </w:rPr>
              <w:t>1</w:t>
            </w:r>
          </w:p>
          <w:p w:rsidR="00B475AA" w:rsidRPr="004B6DEF" w:rsidRDefault="00B475AA" w:rsidP="00017A3C">
            <w:pPr>
              <w:rPr>
                <w:b/>
                <w:sz w:val="20"/>
                <w:szCs w:val="20"/>
                <w:lang w:val="fr-CA"/>
              </w:rPr>
            </w:pPr>
          </w:p>
        </w:tc>
        <w:tc>
          <w:tcPr>
            <w:tcW w:w="8082" w:type="dxa"/>
          </w:tcPr>
          <w:p w:rsidR="00B475AA" w:rsidRPr="004B6DEF" w:rsidRDefault="00435162" w:rsidP="00D9119C">
            <w:pPr>
              <w:rPr>
                <w:sz w:val="20"/>
                <w:szCs w:val="20"/>
                <w:lang w:val="fr-CA"/>
              </w:rPr>
            </w:pPr>
            <w:r w:rsidRPr="004B6DEF">
              <w:rPr>
                <w:b/>
                <w:sz w:val="20"/>
                <w:szCs w:val="20"/>
                <w:u w:val="single"/>
                <w:lang w:val="fr-CA"/>
              </w:rPr>
              <w:t>Sa Majesté la Reine</w:t>
            </w:r>
            <w:r w:rsidR="00D9119C" w:rsidRPr="004B6DEF">
              <w:rPr>
                <w:b/>
                <w:sz w:val="20"/>
                <w:szCs w:val="20"/>
                <w:u w:val="single"/>
                <w:lang w:val="fr-CA"/>
              </w:rPr>
              <w:t xml:space="preserve"> </w:t>
            </w:r>
            <w:r w:rsidRPr="004B6DEF">
              <w:rPr>
                <w:b/>
                <w:sz w:val="20"/>
                <w:szCs w:val="20"/>
                <w:u w:val="single"/>
                <w:lang w:val="fr-CA"/>
              </w:rPr>
              <w:t>c</w:t>
            </w:r>
            <w:r w:rsidR="00D9119C" w:rsidRPr="004B6DEF">
              <w:rPr>
                <w:b/>
                <w:sz w:val="20"/>
                <w:szCs w:val="20"/>
                <w:u w:val="single"/>
                <w:lang w:val="fr-CA"/>
              </w:rPr>
              <w:t>. Tobby Carrier</w:t>
            </w:r>
            <w:r w:rsidR="00D9119C" w:rsidRPr="004B6DEF">
              <w:rPr>
                <w:sz w:val="20"/>
                <w:szCs w:val="20"/>
                <w:lang w:val="fr-CA"/>
              </w:rPr>
              <w:t xml:space="preserve"> </w:t>
            </w:r>
            <w:r w:rsidRPr="004B6DEF">
              <w:rPr>
                <w:sz w:val="20"/>
                <w:szCs w:val="20"/>
                <w:lang w:val="fr-CA"/>
              </w:rPr>
              <w:t>(Qc</w:t>
            </w:r>
            <w:r w:rsidR="00D9119C" w:rsidRPr="004B6DEF">
              <w:rPr>
                <w:sz w:val="20"/>
                <w:szCs w:val="20"/>
                <w:lang w:val="fr-CA"/>
              </w:rPr>
              <w:t>) (Crim</w:t>
            </w:r>
            <w:r w:rsidRPr="004B6DEF">
              <w:rPr>
                <w:sz w:val="20"/>
                <w:szCs w:val="20"/>
                <w:lang w:val="fr-CA"/>
              </w:rPr>
              <w:t>.</w:t>
            </w:r>
            <w:r w:rsidR="00D9119C" w:rsidRPr="004B6DEF">
              <w:rPr>
                <w:sz w:val="20"/>
                <w:szCs w:val="20"/>
                <w:lang w:val="fr-CA"/>
              </w:rPr>
              <w:t>) (</w:t>
            </w:r>
            <w:r w:rsidRPr="004B6DEF">
              <w:rPr>
                <w:sz w:val="20"/>
                <w:szCs w:val="20"/>
                <w:lang w:val="fr-CA"/>
              </w:rPr>
              <w:t>Autorisation</w:t>
            </w:r>
            <w:r w:rsidR="00D9119C" w:rsidRPr="004B6DEF">
              <w:rPr>
                <w:sz w:val="20"/>
                <w:szCs w:val="20"/>
                <w:lang w:val="fr-CA"/>
              </w:rPr>
              <w:t>)</w:t>
            </w:r>
          </w:p>
          <w:p w:rsidR="00B475AA" w:rsidRPr="004B6DEF" w:rsidRDefault="00B475AA" w:rsidP="00017A3C">
            <w:pPr>
              <w:rPr>
                <w:sz w:val="20"/>
                <w:szCs w:val="20"/>
                <w:lang w:val="fr-CA"/>
              </w:rPr>
            </w:pPr>
          </w:p>
        </w:tc>
      </w:tr>
      <w:tr w:rsidR="00B475AA" w:rsidRPr="0082006E" w:rsidTr="00A67A3D">
        <w:trPr>
          <w:cantSplit/>
        </w:trPr>
        <w:tc>
          <w:tcPr>
            <w:tcW w:w="1458" w:type="dxa"/>
          </w:tcPr>
          <w:p w:rsidR="00B475AA" w:rsidRPr="004B6DEF" w:rsidRDefault="00B475AA" w:rsidP="00017A3C">
            <w:pPr>
              <w:rPr>
                <w:sz w:val="20"/>
                <w:szCs w:val="20"/>
              </w:rPr>
            </w:pPr>
            <w:r w:rsidRPr="004B6DEF">
              <w:rPr>
                <w:sz w:val="20"/>
                <w:szCs w:val="20"/>
              </w:rPr>
              <w:t>Coram :</w:t>
            </w:r>
          </w:p>
        </w:tc>
        <w:tc>
          <w:tcPr>
            <w:tcW w:w="8082" w:type="dxa"/>
          </w:tcPr>
          <w:p w:rsidR="00B475AA" w:rsidRPr="004B6DEF" w:rsidRDefault="00435162" w:rsidP="00017A3C">
            <w:pPr>
              <w:rPr>
                <w:rStyle w:val="SCCCoramChar"/>
                <w:sz w:val="20"/>
                <w:szCs w:val="20"/>
              </w:rPr>
            </w:pPr>
            <w:r w:rsidRPr="004B6DEF">
              <w:rPr>
                <w:rStyle w:val="SCCCoramChar"/>
                <w:sz w:val="20"/>
                <w:szCs w:val="20"/>
              </w:rPr>
              <w:t>Les juges Cromwell, Wagner et Côté</w:t>
            </w:r>
          </w:p>
          <w:p w:rsidR="00435162" w:rsidRPr="004B6DEF" w:rsidRDefault="00435162" w:rsidP="00017A3C">
            <w:pPr>
              <w:rPr>
                <w:sz w:val="20"/>
                <w:szCs w:val="20"/>
                <w:lang w:val="fr-CA"/>
              </w:rPr>
            </w:pPr>
          </w:p>
        </w:tc>
      </w:tr>
      <w:tr w:rsidR="00B475AA" w:rsidRPr="004B6DEF" w:rsidTr="00A67A3D">
        <w:trPr>
          <w:cantSplit/>
        </w:trPr>
        <w:tc>
          <w:tcPr>
            <w:tcW w:w="9540" w:type="dxa"/>
            <w:gridSpan w:val="2"/>
          </w:tcPr>
          <w:p w:rsidR="00B475AA" w:rsidRPr="004B6DEF" w:rsidRDefault="00435162" w:rsidP="00017A3C">
            <w:pPr>
              <w:pStyle w:val="SCCShortJudgment"/>
              <w:ind w:firstLine="0"/>
              <w:rPr>
                <w:lang w:val="fr-CA"/>
              </w:rPr>
            </w:pPr>
            <w:r w:rsidRPr="004B6DEF">
              <w:rPr>
                <w:lang w:val="fr-CA"/>
              </w:rPr>
              <w:tab/>
              <w:t>La requête en prorogation du délai de signification et de dépôt de la réponse à la demande d’autorisation d’appel est rejetée. La demande d’autorisation d’appel de l’arrêt de la Cour d’appel du Québec (Québec), numéro 200-10-002935-133, 2015 QCCA 1183, daté du 20 juillet 2015, est rejetée.</w:t>
            </w:r>
          </w:p>
          <w:p w:rsidR="00435162" w:rsidRPr="004B6DEF" w:rsidRDefault="00435162" w:rsidP="00017A3C">
            <w:pPr>
              <w:pStyle w:val="SCCShortJudgment"/>
              <w:ind w:firstLine="0"/>
              <w:rPr>
                <w:szCs w:val="20"/>
                <w:lang w:val="fr-CA"/>
              </w:rPr>
            </w:pPr>
          </w:p>
          <w:p w:rsidR="00B475AA" w:rsidRPr="004B6DEF" w:rsidRDefault="00435162" w:rsidP="00017A3C">
            <w:pPr>
              <w:pStyle w:val="SCCShortJudgment"/>
              <w:rPr>
                <w:szCs w:val="20"/>
              </w:rPr>
            </w:pPr>
            <w:r w:rsidRPr="004B6DEF">
              <w:t>The motion for an extension of time to serve and file the response to the application for leave to appeal is dismissed. The application for leave to appeal from the judgment of the Court of Appeal of Quebec (Québec), Number 200-10-002935-133, 2015 QCCA 1183, dated July 20, 2015, is dismissed.</w:t>
            </w:r>
          </w:p>
        </w:tc>
      </w:tr>
    </w:tbl>
    <w:p w:rsidR="00B475AA" w:rsidRPr="009C2345" w:rsidRDefault="00B475AA" w:rsidP="00B475AA">
      <w:pPr>
        <w:rPr>
          <w:sz w:val="20"/>
          <w:szCs w:val="20"/>
        </w:rPr>
      </w:pPr>
    </w:p>
    <w:p w:rsidR="00733B0A" w:rsidRPr="009C2345" w:rsidRDefault="00733B0A">
      <w:pPr>
        <w:rPr>
          <w:sz w:val="20"/>
          <w:szCs w:val="20"/>
          <w:u w:val="single"/>
        </w:rPr>
      </w:pPr>
      <w:r w:rsidRPr="009C2345">
        <w:rPr>
          <w:sz w:val="20"/>
          <w:szCs w:val="20"/>
          <w:u w:val="single"/>
        </w:rPr>
        <w:br w:type="page"/>
      </w:r>
    </w:p>
    <w:p w:rsidR="00B475AA" w:rsidRPr="009C2345" w:rsidRDefault="00B475AA" w:rsidP="00B475AA">
      <w:pPr>
        <w:rPr>
          <w:sz w:val="20"/>
          <w:szCs w:val="20"/>
          <w:u w:val="single"/>
        </w:rPr>
      </w:pPr>
      <w:r w:rsidRPr="009C2345">
        <w:rPr>
          <w:sz w:val="20"/>
          <w:szCs w:val="20"/>
          <w:u w:val="single"/>
        </w:rPr>
        <w:t>CASE SUMMARY</w:t>
      </w:r>
    </w:p>
    <w:p w:rsidR="00B475AA" w:rsidRPr="009C2345" w:rsidRDefault="00B475AA" w:rsidP="00B475A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9119C" w:rsidRPr="009C2345" w:rsidTr="00017A3C">
        <w:tc>
          <w:tcPr>
            <w:tcW w:w="5000" w:type="pct"/>
            <w:gridSpan w:val="3"/>
          </w:tcPr>
          <w:p w:rsidR="00D9119C" w:rsidRPr="009C2345" w:rsidRDefault="00D9119C" w:rsidP="00D9119C">
            <w:pPr>
              <w:jc w:val="both"/>
              <w:rPr>
                <w:sz w:val="20"/>
                <w:szCs w:val="20"/>
              </w:rPr>
            </w:pPr>
            <w:r w:rsidRPr="009C2345">
              <w:rPr>
                <w:sz w:val="20"/>
                <w:szCs w:val="20"/>
              </w:rPr>
              <w:t xml:space="preserve">Criminal law — Judge’s duties — Charge or instructions — Defences — Automatism — Insanity or mental disorder — Three convictions entered against respondent, one for second degree murder of his brother and two for attempted murder of his parents — Whether trial judge erred in law in not putting to jury defence of mental disorder automatism under s. 16 of </w:t>
            </w:r>
            <w:r w:rsidRPr="009C2345">
              <w:rPr>
                <w:i/>
                <w:sz w:val="20"/>
                <w:szCs w:val="20"/>
              </w:rPr>
              <w:t>Criminal Code</w:t>
            </w:r>
            <w:r w:rsidRPr="009C2345">
              <w:rPr>
                <w:sz w:val="20"/>
                <w:szCs w:val="20"/>
              </w:rPr>
              <w:t xml:space="preserve"> — Whether Court of Appeal erred in holding that s. 686(1)(b)(iii) of </w:t>
            </w:r>
            <w:r w:rsidRPr="009C2345">
              <w:rPr>
                <w:i/>
                <w:sz w:val="20"/>
                <w:szCs w:val="20"/>
              </w:rPr>
              <w:t xml:space="preserve">Criminal Code </w:t>
            </w:r>
            <w:r w:rsidRPr="009C2345">
              <w:rPr>
                <w:sz w:val="20"/>
                <w:szCs w:val="20"/>
              </w:rPr>
              <w:t>is necessarily inapplicable where alleged error of law consists of not putting defence having air of reality to jury.</w:t>
            </w:r>
          </w:p>
        </w:tc>
      </w:tr>
      <w:tr w:rsidR="00D9119C" w:rsidRPr="009C2345" w:rsidTr="00017A3C">
        <w:tc>
          <w:tcPr>
            <w:tcW w:w="5000" w:type="pct"/>
            <w:gridSpan w:val="3"/>
          </w:tcPr>
          <w:p w:rsidR="00D9119C" w:rsidRPr="009C2345" w:rsidRDefault="00D9119C" w:rsidP="00D9119C">
            <w:pPr>
              <w:jc w:val="both"/>
              <w:rPr>
                <w:sz w:val="20"/>
                <w:szCs w:val="20"/>
              </w:rPr>
            </w:pPr>
          </w:p>
        </w:tc>
      </w:tr>
      <w:tr w:rsidR="00D9119C" w:rsidRPr="009C2345" w:rsidTr="00017A3C">
        <w:tc>
          <w:tcPr>
            <w:tcW w:w="5000" w:type="pct"/>
            <w:gridSpan w:val="3"/>
          </w:tcPr>
          <w:p w:rsidR="00D9119C" w:rsidRPr="009C2345" w:rsidRDefault="00D9119C" w:rsidP="00D9119C">
            <w:pPr>
              <w:jc w:val="both"/>
              <w:rPr>
                <w:sz w:val="20"/>
                <w:szCs w:val="20"/>
              </w:rPr>
            </w:pPr>
            <w:r w:rsidRPr="009C2345">
              <w:rPr>
                <w:sz w:val="20"/>
                <w:szCs w:val="20"/>
              </w:rPr>
              <w:t xml:space="preserve">After being charged with the first degree murder of his brother, Ismaël Carrier, and the attempted murder of his parents, Nelson Carrier and Chantal Michaud, the respondent was convicted by a jury of second degree murder and the two counts of attempted murder. On appeal, he argued mainly that the trial judge had erred in law in not putting the defence of mental disorder and the defence of mental disorder automatism to the jury. The Court of Appeal held that the defence of mental disorder automatism, which in its view had an air of reality, should indeed have been put to the jury. However, the Court of Appeal refused to apply the curative proviso in s. 686(1)(b)(iii) of the </w:t>
            </w:r>
            <w:r w:rsidRPr="009C2345">
              <w:rPr>
                <w:i/>
                <w:sz w:val="20"/>
                <w:szCs w:val="20"/>
              </w:rPr>
              <w:t>Criminal Code</w:t>
            </w:r>
            <w:r w:rsidRPr="009C2345">
              <w:rPr>
                <w:sz w:val="20"/>
                <w:szCs w:val="20"/>
              </w:rPr>
              <w:t>. It therefore allowed the appeal and ordered a new trial on the same charges.</w:t>
            </w:r>
          </w:p>
          <w:p w:rsidR="00D9119C" w:rsidRPr="009C2345" w:rsidRDefault="00D9119C" w:rsidP="00D9119C">
            <w:pPr>
              <w:jc w:val="both"/>
              <w:rPr>
                <w:sz w:val="20"/>
                <w:szCs w:val="20"/>
              </w:rPr>
            </w:pPr>
          </w:p>
        </w:tc>
      </w:tr>
      <w:tr w:rsidR="00D9119C" w:rsidRPr="009C2345" w:rsidTr="00017A3C">
        <w:tc>
          <w:tcPr>
            <w:tcW w:w="2427" w:type="pct"/>
          </w:tcPr>
          <w:p w:rsidR="00D9119C" w:rsidRPr="009C2345" w:rsidRDefault="00D9119C" w:rsidP="00D9119C">
            <w:pPr>
              <w:jc w:val="both"/>
              <w:rPr>
                <w:sz w:val="20"/>
                <w:szCs w:val="20"/>
              </w:rPr>
            </w:pPr>
            <w:r w:rsidRPr="009C2345">
              <w:rPr>
                <w:sz w:val="20"/>
                <w:szCs w:val="20"/>
              </w:rPr>
              <w:t>February 22, 2013</w:t>
            </w:r>
          </w:p>
          <w:p w:rsidR="00D9119C" w:rsidRPr="009C2345" w:rsidRDefault="00D9119C" w:rsidP="00D9119C">
            <w:pPr>
              <w:jc w:val="both"/>
              <w:rPr>
                <w:sz w:val="20"/>
                <w:szCs w:val="20"/>
              </w:rPr>
            </w:pPr>
            <w:r w:rsidRPr="009C2345">
              <w:rPr>
                <w:sz w:val="20"/>
                <w:szCs w:val="20"/>
              </w:rPr>
              <w:t>Quebec Superior Court</w:t>
            </w:r>
          </w:p>
          <w:p w:rsidR="00D9119C" w:rsidRPr="009C2345" w:rsidRDefault="00D9119C" w:rsidP="00D9119C">
            <w:pPr>
              <w:jc w:val="both"/>
              <w:rPr>
                <w:sz w:val="20"/>
                <w:szCs w:val="20"/>
              </w:rPr>
            </w:pPr>
            <w:r w:rsidRPr="009C2345">
              <w:rPr>
                <w:sz w:val="20"/>
                <w:szCs w:val="20"/>
              </w:rPr>
              <w:t>(Huot J.)</w:t>
            </w:r>
          </w:p>
          <w:p w:rsidR="00D9119C" w:rsidRPr="009C2345" w:rsidRDefault="00D9119C" w:rsidP="00D9119C">
            <w:pPr>
              <w:jc w:val="both"/>
              <w:rPr>
                <w:sz w:val="20"/>
                <w:szCs w:val="20"/>
              </w:rPr>
            </w:pPr>
          </w:p>
        </w:tc>
        <w:tc>
          <w:tcPr>
            <w:tcW w:w="243" w:type="pct"/>
          </w:tcPr>
          <w:p w:rsidR="00D9119C" w:rsidRPr="009C2345" w:rsidRDefault="00D9119C" w:rsidP="00D9119C">
            <w:pPr>
              <w:jc w:val="both"/>
              <w:rPr>
                <w:sz w:val="20"/>
                <w:szCs w:val="20"/>
              </w:rPr>
            </w:pPr>
          </w:p>
        </w:tc>
        <w:tc>
          <w:tcPr>
            <w:tcW w:w="2330" w:type="pct"/>
          </w:tcPr>
          <w:p w:rsidR="00D9119C" w:rsidRPr="009C2345" w:rsidRDefault="00D9119C" w:rsidP="00D9119C">
            <w:pPr>
              <w:jc w:val="both"/>
              <w:rPr>
                <w:sz w:val="20"/>
                <w:szCs w:val="20"/>
              </w:rPr>
            </w:pPr>
            <w:r w:rsidRPr="009C2345">
              <w:rPr>
                <w:sz w:val="20"/>
                <w:szCs w:val="20"/>
              </w:rPr>
              <w:t>Three convictions entered by jury against respondent, one for second degree murder and two for attempted murder</w:t>
            </w:r>
          </w:p>
          <w:p w:rsidR="00D9119C" w:rsidRPr="009C2345" w:rsidRDefault="00D9119C" w:rsidP="00D9119C">
            <w:pPr>
              <w:jc w:val="both"/>
              <w:rPr>
                <w:sz w:val="20"/>
                <w:szCs w:val="20"/>
              </w:rPr>
            </w:pPr>
          </w:p>
        </w:tc>
      </w:tr>
      <w:tr w:rsidR="00D9119C" w:rsidRPr="009C2345" w:rsidTr="00017A3C">
        <w:tc>
          <w:tcPr>
            <w:tcW w:w="2427" w:type="pct"/>
          </w:tcPr>
          <w:p w:rsidR="00D9119C" w:rsidRPr="009C2345" w:rsidRDefault="00D9119C" w:rsidP="00D9119C">
            <w:pPr>
              <w:jc w:val="both"/>
              <w:rPr>
                <w:sz w:val="20"/>
                <w:szCs w:val="20"/>
              </w:rPr>
            </w:pPr>
            <w:r w:rsidRPr="009C2345">
              <w:rPr>
                <w:sz w:val="20"/>
                <w:szCs w:val="20"/>
              </w:rPr>
              <w:t>July 20, 2015</w:t>
            </w:r>
          </w:p>
          <w:p w:rsidR="00D9119C" w:rsidRPr="009C2345" w:rsidRDefault="00D9119C" w:rsidP="00D9119C">
            <w:pPr>
              <w:jc w:val="both"/>
              <w:rPr>
                <w:sz w:val="20"/>
                <w:szCs w:val="20"/>
              </w:rPr>
            </w:pPr>
            <w:r w:rsidRPr="009C2345">
              <w:rPr>
                <w:sz w:val="20"/>
                <w:szCs w:val="20"/>
              </w:rPr>
              <w:t>Quebec Court of Appeal (Québec)</w:t>
            </w:r>
          </w:p>
          <w:p w:rsidR="00D9119C" w:rsidRPr="009C2345" w:rsidRDefault="00D9119C" w:rsidP="00D9119C">
            <w:pPr>
              <w:jc w:val="both"/>
              <w:rPr>
                <w:sz w:val="20"/>
                <w:szCs w:val="20"/>
              </w:rPr>
            </w:pPr>
            <w:r w:rsidRPr="009C2345">
              <w:rPr>
                <w:sz w:val="20"/>
                <w:szCs w:val="20"/>
              </w:rPr>
              <w:t>(Morin, Morissette and Bouchard JJ.A.)</w:t>
            </w:r>
          </w:p>
          <w:p w:rsidR="00D9119C" w:rsidRPr="009C2345" w:rsidRDefault="0082006E" w:rsidP="00D9119C">
            <w:pPr>
              <w:jc w:val="both"/>
              <w:rPr>
                <w:sz w:val="20"/>
                <w:szCs w:val="20"/>
              </w:rPr>
            </w:pPr>
            <w:hyperlink r:id="rId29" w:history="1">
              <w:r w:rsidR="00D9119C" w:rsidRPr="009C2345">
                <w:rPr>
                  <w:color w:val="0000FF" w:themeColor="hyperlink"/>
                  <w:sz w:val="20"/>
                  <w:szCs w:val="20"/>
                  <w:u w:val="single"/>
                </w:rPr>
                <w:t>2015 QCCA 1183</w:t>
              </w:r>
            </w:hyperlink>
            <w:r w:rsidR="00D9119C" w:rsidRPr="009C2345">
              <w:rPr>
                <w:sz w:val="20"/>
                <w:szCs w:val="20"/>
              </w:rPr>
              <w:t xml:space="preserve"> </w:t>
            </w:r>
          </w:p>
          <w:p w:rsidR="00D9119C" w:rsidRPr="009C2345" w:rsidRDefault="00D9119C" w:rsidP="00D9119C">
            <w:pPr>
              <w:jc w:val="both"/>
              <w:rPr>
                <w:sz w:val="20"/>
                <w:szCs w:val="20"/>
              </w:rPr>
            </w:pPr>
          </w:p>
        </w:tc>
        <w:tc>
          <w:tcPr>
            <w:tcW w:w="243" w:type="pct"/>
          </w:tcPr>
          <w:p w:rsidR="00D9119C" w:rsidRPr="009C2345" w:rsidRDefault="00D9119C" w:rsidP="00D9119C">
            <w:pPr>
              <w:jc w:val="both"/>
              <w:rPr>
                <w:sz w:val="20"/>
                <w:szCs w:val="20"/>
              </w:rPr>
            </w:pPr>
          </w:p>
        </w:tc>
        <w:tc>
          <w:tcPr>
            <w:tcW w:w="2330" w:type="pct"/>
          </w:tcPr>
          <w:p w:rsidR="00D9119C" w:rsidRPr="009C2345" w:rsidRDefault="00D9119C" w:rsidP="00D9119C">
            <w:pPr>
              <w:jc w:val="both"/>
              <w:rPr>
                <w:sz w:val="20"/>
                <w:szCs w:val="20"/>
              </w:rPr>
            </w:pPr>
            <w:r w:rsidRPr="009C2345">
              <w:rPr>
                <w:sz w:val="20"/>
                <w:szCs w:val="20"/>
              </w:rPr>
              <w:t xml:space="preserve">Appeal allowed and new trial ordered on same charges </w:t>
            </w:r>
          </w:p>
          <w:p w:rsidR="00D9119C" w:rsidRPr="009C2345" w:rsidRDefault="00D9119C" w:rsidP="00D9119C">
            <w:pPr>
              <w:jc w:val="both"/>
              <w:rPr>
                <w:sz w:val="20"/>
                <w:szCs w:val="20"/>
              </w:rPr>
            </w:pPr>
          </w:p>
        </w:tc>
      </w:tr>
      <w:tr w:rsidR="00D9119C" w:rsidRPr="009C2345" w:rsidTr="00017A3C">
        <w:tc>
          <w:tcPr>
            <w:tcW w:w="2427" w:type="pct"/>
          </w:tcPr>
          <w:p w:rsidR="00D9119C" w:rsidRPr="009C2345" w:rsidRDefault="00D9119C" w:rsidP="00D9119C">
            <w:pPr>
              <w:ind w:right="-2223"/>
              <w:jc w:val="both"/>
              <w:rPr>
                <w:sz w:val="20"/>
                <w:szCs w:val="20"/>
              </w:rPr>
            </w:pPr>
            <w:r w:rsidRPr="009C2345">
              <w:rPr>
                <w:sz w:val="20"/>
                <w:szCs w:val="20"/>
              </w:rPr>
              <w:t>September 29, 2015</w:t>
            </w:r>
          </w:p>
          <w:p w:rsidR="00D9119C" w:rsidRPr="009C2345" w:rsidRDefault="00D9119C" w:rsidP="00C831E5">
            <w:pPr>
              <w:jc w:val="both"/>
              <w:rPr>
                <w:sz w:val="20"/>
                <w:szCs w:val="20"/>
              </w:rPr>
            </w:pPr>
            <w:r w:rsidRPr="009C2345">
              <w:rPr>
                <w:sz w:val="20"/>
                <w:szCs w:val="20"/>
              </w:rPr>
              <w:t>Supreme Court of Canada</w:t>
            </w:r>
          </w:p>
        </w:tc>
        <w:tc>
          <w:tcPr>
            <w:tcW w:w="243" w:type="pct"/>
          </w:tcPr>
          <w:p w:rsidR="00D9119C" w:rsidRPr="009C2345" w:rsidRDefault="00D9119C" w:rsidP="00D9119C">
            <w:pPr>
              <w:jc w:val="both"/>
              <w:rPr>
                <w:sz w:val="20"/>
                <w:szCs w:val="20"/>
              </w:rPr>
            </w:pPr>
          </w:p>
        </w:tc>
        <w:tc>
          <w:tcPr>
            <w:tcW w:w="2330" w:type="pct"/>
          </w:tcPr>
          <w:p w:rsidR="00D9119C" w:rsidRPr="009C2345" w:rsidRDefault="00D9119C" w:rsidP="00D9119C">
            <w:pPr>
              <w:jc w:val="both"/>
              <w:rPr>
                <w:sz w:val="20"/>
                <w:szCs w:val="20"/>
              </w:rPr>
            </w:pPr>
            <w:r w:rsidRPr="009C2345">
              <w:rPr>
                <w:sz w:val="20"/>
                <w:szCs w:val="20"/>
              </w:rPr>
              <w:t>Application for leave to appeal filed</w:t>
            </w:r>
          </w:p>
        </w:tc>
      </w:tr>
    </w:tbl>
    <w:p w:rsidR="005B71FF" w:rsidRPr="009C2345" w:rsidRDefault="005B71FF" w:rsidP="000E2959">
      <w:pPr>
        <w:rPr>
          <w:sz w:val="20"/>
          <w:szCs w:val="20"/>
        </w:rPr>
      </w:pPr>
    </w:p>
    <w:p w:rsidR="00B475AA" w:rsidRPr="009C2345" w:rsidRDefault="0082006E" w:rsidP="00B475AA">
      <w:pPr>
        <w:rPr>
          <w:sz w:val="20"/>
          <w:szCs w:val="20"/>
        </w:rPr>
      </w:pPr>
      <w:r>
        <w:rPr>
          <w:sz w:val="20"/>
          <w:szCs w:val="20"/>
          <w:lang w:val="fr-CA"/>
        </w:rPr>
        <w:pict>
          <v:rect id="_x0000_i1042" style="width:2in;height:1pt" o:hrpct="0" o:hralign="center" o:hrstd="t" o:hrnoshade="t" o:hr="t" fillcolor="black [3213]" stroked="f"/>
        </w:pict>
      </w:r>
    </w:p>
    <w:p w:rsidR="00B475AA" w:rsidRPr="009C2345" w:rsidRDefault="00B475AA" w:rsidP="00B475AA">
      <w:pPr>
        <w:rPr>
          <w:sz w:val="20"/>
          <w:szCs w:val="20"/>
        </w:rPr>
      </w:pPr>
    </w:p>
    <w:p w:rsidR="00B475AA" w:rsidRPr="009C2345" w:rsidRDefault="00B475AA" w:rsidP="00B475AA">
      <w:pPr>
        <w:rPr>
          <w:sz w:val="20"/>
          <w:szCs w:val="20"/>
          <w:u w:val="single"/>
          <w:lang w:val="fr-CA"/>
        </w:rPr>
      </w:pPr>
      <w:r w:rsidRPr="009C2345">
        <w:rPr>
          <w:sz w:val="20"/>
          <w:szCs w:val="20"/>
          <w:u w:val="single"/>
          <w:lang w:val="fr-CA"/>
        </w:rPr>
        <w:t>RÉSUMÉ DE L’AFFAIRE</w:t>
      </w:r>
    </w:p>
    <w:p w:rsidR="00B475AA" w:rsidRPr="009C2345" w:rsidRDefault="00B475AA" w:rsidP="00B475AA">
      <w:pPr>
        <w:rPr>
          <w:sz w:val="20"/>
          <w:szCs w:val="20"/>
        </w:rPr>
      </w:pPr>
    </w:p>
    <w:tbl>
      <w:tblPr>
        <w:tblW w:w="4959" w:type="pct"/>
        <w:tblLayout w:type="fixed"/>
        <w:tblCellMar>
          <w:left w:w="0" w:type="dxa"/>
          <w:bottom w:w="99" w:type="dxa"/>
          <w:right w:w="0" w:type="dxa"/>
        </w:tblCellMar>
        <w:tblLook w:val="04A0" w:firstRow="1" w:lastRow="0" w:firstColumn="1" w:lastColumn="0" w:noHBand="0" w:noVBand="1"/>
      </w:tblPr>
      <w:tblGrid>
        <w:gridCol w:w="4623"/>
        <w:gridCol w:w="464"/>
        <w:gridCol w:w="4453"/>
      </w:tblGrid>
      <w:tr w:rsidR="00D9119C" w:rsidRPr="0082006E" w:rsidTr="00A67A3D">
        <w:tc>
          <w:tcPr>
            <w:tcW w:w="5000" w:type="pct"/>
            <w:gridSpan w:val="3"/>
          </w:tcPr>
          <w:p w:rsidR="00D9119C" w:rsidRPr="009C2345" w:rsidRDefault="00D9119C" w:rsidP="00D9119C">
            <w:pPr>
              <w:jc w:val="both"/>
              <w:rPr>
                <w:sz w:val="20"/>
                <w:szCs w:val="20"/>
                <w:lang w:val="fr-CA"/>
              </w:rPr>
            </w:pPr>
            <w:r w:rsidRPr="009C2345">
              <w:rPr>
                <w:sz w:val="20"/>
                <w:szCs w:val="20"/>
                <w:lang w:val="fr-CA"/>
              </w:rPr>
              <w:t xml:space="preserve">Droit criminel — Devoirs du juge — Exposé ou directives — Moyens de défense — Automatisme — Aliénation ou troubles mentaux — Intimé coupable de trois verdicts de culpabilité, un le déclarant coupable de meurtre au deuxième degré de son frère et deux le déclarant coupable de tentatives de meurtre aux dépens de ses parents — Est-ce que le juge du procès a commis une erreur de droit en ne soumettant pas au jury la défense d’automatisme avec troubles mentaux en vertu de l’art. 16 du </w:t>
            </w:r>
            <w:r w:rsidRPr="009C2345">
              <w:rPr>
                <w:i/>
                <w:sz w:val="20"/>
                <w:szCs w:val="20"/>
                <w:lang w:val="fr-CA"/>
              </w:rPr>
              <w:t>Code criminel</w:t>
            </w:r>
            <w:r w:rsidRPr="009C2345">
              <w:rPr>
                <w:sz w:val="20"/>
                <w:szCs w:val="20"/>
                <w:lang w:val="fr-CA"/>
              </w:rPr>
              <w:t xml:space="preserve">? — Est-ce que la Cour d’appel a commis une erreur en décidant que l’art. 686(1)b)iii) du </w:t>
            </w:r>
            <w:r w:rsidRPr="009C2345">
              <w:rPr>
                <w:i/>
                <w:sz w:val="20"/>
                <w:szCs w:val="20"/>
                <w:lang w:val="fr-CA"/>
              </w:rPr>
              <w:t>Code criminel</w:t>
            </w:r>
            <w:r w:rsidRPr="009C2345">
              <w:rPr>
                <w:sz w:val="20"/>
                <w:szCs w:val="20"/>
                <w:lang w:val="fr-CA"/>
              </w:rPr>
              <w:t xml:space="preserve"> est nécessairement inapplicable lorsque l’erreur de droit alléguée réside dans le fait de ne pas avoir présenté au jury un moyen de défense qui présenterait un air de vraisemblance?</w:t>
            </w:r>
          </w:p>
        </w:tc>
      </w:tr>
      <w:tr w:rsidR="00D9119C" w:rsidRPr="0082006E" w:rsidTr="00A67A3D">
        <w:tc>
          <w:tcPr>
            <w:tcW w:w="5000" w:type="pct"/>
            <w:gridSpan w:val="3"/>
          </w:tcPr>
          <w:p w:rsidR="00D9119C" w:rsidRPr="009C2345" w:rsidRDefault="00D9119C" w:rsidP="00D9119C">
            <w:pPr>
              <w:jc w:val="both"/>
              <w:rPr>
                <w:sz w:val="20"/>
                <w:szCs w:val="20"/>
                <w:lang w:val="fr-CA"/>
              </w:rPr>
            </w:pPr>
          </w:p>
        </w:tc>
      </w:tr>
      <w:tr w:rsidR="00D9119C" w:rsidRPr="0082006E" w:rsidTr="00A67A3D">
        <w:tc>
          <w:tcPr>
            <w:tcW w:w="5000" w:type="pct"/>
            <w:gridSpan w:val="3"/>
          </w:tcPr>
          <w:p w:rsidR="00D9119C" w:rsidRPr="009C2345" w:rsidRDefault="00D9119C" w:rsidP="00D9119C">
            <w:pPr>
              <w:jc w:val="both"/>
              <w:rPr>
                <w:sz w:val="20"/>
                <w:szCs w:val="20"/>
                <w:lang w:val="fr-CA"/>
              </w:rPr>
            </w:pPr>
            <w:r w:rsidRPr="009C2345">
              <w:rPr>
                <w:sz w:val="20"/>
                <w:szCs w:val="20"/>
                <w:lang w:val="fr-CA"/>
              </w:rPr>
              <w:t xml:space="preserve">Accusé du meurtre au premier degré de son frère Ismaël Carrier ainsi que de tentatives de meurtre aux dépens de ses parents Nelson Carrier et Chantal Michaud, l’intimé a été déclaré coupable par un jury de meurtre au deuxième degré et des deux accusations de tentatives de meurtre. En appel, il plaide principalement que le juge du procès a erré en droit en ne soumettant pas au jury la défense de troubles mentaux et la défense d’automatisme avec troubles mentaux. La Cour d’appel décide que la défense d’automatisme avec troubles mentaux, ayant en son sens un air de vraisemblance, aurait effectivement dû être soumise au jury. La Cour d’appel refuse toutefois d’appliquer la disposition réparatrice du sous-alinéa 686(1)b)(iii) du </w:t>
            </w:r>
            <w:r w:rsidRPr="009C2345">
              <w:rPr>
                <w:i/>
                <w:sz w:val="20"/>
                <w:szCs w:val="20"/>
                <w:lang w:val="fr-CA"/>
              </w:rPr>
              <w:t>Code criminel</w:t>
            </w:r>
            <w:r w:rsidRPr="009C2345">
              <w:rPr>
                <w:sz w:val="20"/>
                <w:szCs w:val="20"/>
                <w:lang w:val="fr-CA"/>
              </w:rPr>
              <w:t>. La Cour d’appel</w:t>
            </w:r>
            <w:r w:rsidRPr="009C2345">
              <w:rPr>
                <w:b/>
                <w:sz w:val="20"/>
                <w:szCs w:val="20"/>
                <w:lang w:val="fr-CA"/>
              </w:rPr>
              <w:t xml:space="preserve"> </w:t>
            </w:r>
            <w:r w:rsidRPr="009C2345">
              <w:rPr>
                <w:sz w:val="20"/>
                <w:szCs w:val="20"/>
                <w:lang w:val="fr-CA"/>
              </w:rPr>
              <w:t>accueille donc l’appel et ordonne un nouveau procès sur les mêmes chefs d’accusation.</w:t>
            </w:r>
          </w:p>
          <w:p w:rsidR="00D9119C" w:rsidRPr="009C2345" w:rsidRDefault="00D9119C" w:rsidP="00D9119C">
            <w:pPr>
              <w:jc w:val="both"/>
              <w:rPr>
                <w:sz w:val="20"/>
                <w:szCs w:val="20"/>
                <w:lang w:val="fr-CA"/>
              </w:rPr>
            </w:pPr>
          </w:p>
        </w:tc>
      </w:tr>
      <w:tr w:rsidR="00D9119C" w:rsidRPr="0082006E" w:rsidTr="00A67A3D">
        <w:tc>
          <w:tcPr>
            <w:tcW w:w="2423" w:type="pct"/>
          </w:tcPr>
          <w:p w:rsidR="00D9119C" w:rsidRPr="009C2345" w:rsidRDefault="00D9119C" w:rsidP="00D9119C">
            <w:pPr>
              <w:jc w:val="both"/>
              <w:rPr>
                <w:sz w:val="20"/>
                <w:szCs w:val="20"/>
                <w:lang w:val="fr-CA"/>
              </w:rPr>
            </w:pPr>
            <w:r w:rsidRPr="009C2345">
              <w:rPr>
                <w:sz w:val="20"/>
                <w:szCs w:val="20"/>
                <w:lang w:val="fr-CA"/>
              </w:rPr>
              <w:t>Le 22 février 2013</w:t>
            </w:r>
          </w:p>
          <w:p w:rsidR="00D9119C" w:rsidRPr="009C2345" w:rsidRDefault="00D9119C" w:rsidP="00D9119C">
            <w:pPr>
              <w:jc w:val="both"/>
              <w:rPr>
                <w:sz w:val="20"/>
                <w:szCs w:val="20"/>
                <w:lang w:val="fr-CA"/>
              </w:rPr>
            </w:pPr>
            <w:r w:rsidRPr="009C2345">
              <w:rPr>
                <w:sz w:val="20"/>
                <w:szCs w:val="20"/>
                <w:lang w:val="fr-CA"/>
              </w:rPr>
              <w:t>Cour supérieure du Québec</w:t>
            </w:r>
          </w:p>
          <w:p w:rsidR="00D9119C" w:rsidRPr="009C2345" w:rsidRDefault="00D9119C" w:rsidP="00D9119C">
            <w:pPr>
              <w:jc w:val="both"/>
              <w:rPr>
                <w:sz w:val="20"/>
                <w:szCs w:val="20"/>
                <w:lang w:val="fr-CA"/>
              </w:rPr>
            </w:pPr>
            <w:r w:rsidRPr="009C2345">
              <w:rPr>
                <w:sz w:val="20"/>
                <w:szCs w:val="20"/>
                <w:lang w:val="fr-CA"/>
              </w:rPr>
              <w:t>(Huot J.)</w:t>
            </w:r>
          </w:p>
          <w:p w:rsidR="00D9119C" w:rsidRPr="009C2345" w:rsidRDefault="00D9119C" w:rsidP="00D9119C">
            <w:pPr>
              <w:jc w:val="both"/>
              <w:rPr>
                <w:sz w:val="20"/>
                <w:szCs w:val="20"/>
                <w:lang w:val="en-US"/>
              </w:rPr>
            </w:pPr>
          </w:p>
        </w:tc>
        <w:tc>
          <w:tcPr>
            <w:tcW w:w="243" w:type="pct"/>
          </w:tcPr>
          <w:p w:rsidR="00D9119C" w:rsidRPr="009C2345" w:rsidRDefault="00D9119C" w:rsidP="00D9119C">
            <w:pPr>
              <w:jc w:val="both"/>
              <w:rPr>
                <w:sz w:val="20"/>
                <w:szCs w:val="20"/>
                <w:lang w:val="en-US"/>
              </w:rPr>
            </w:pPr>
          </w:p>
        </w:tc>
        <w:tc>
          <w:tcPr>
            <w:tcW w:w="2334" w:type="pct"/>
          </w:tcPr>
          <w:p w:rsidR="00D9119C" w:rsidRPr="009C2345" w:rsidRDefault="00D9119C" w:rsidP="00D9119C">
            <w:pPr>
              <w:jc w:val="both"/>
              <w:rPr>
                <w:sz w:val="20"/>
                <w:szCs w:val="20"/>
                <w:lang w:val="fr-CA"/>
              </w:rPr>
            </w:pPr>
            <w:r w:rsidRPr="009C2345">
              <w:rPr>
                <w:sz w:val="20"/>
                <w:szCs w:val="20"/>
                <w:lang w:val="fr-CA"/>
              </w:rPr>
              <w:t>Intimé coupable de trois verdicts de culpabilité, prononcés par un jury, un le déclarant coupable de meurtre au deuxième degré et deux le déclarant coupable de tentatives de meurtre.</w:t>
            </w:r>
          </w:p>
          <w:p w:rsidR="00D9119C" w:rsidRPr="009C2345" w:rsidRDefault="00D9119C" w:rsidP="00D9119C">
            <w:pPr>
              <w:jc w:val="both"/>
              <w:rPr>
                <w:sz w:val="20"/>
                <w:szCs w:val="20"/>
                <w:lang w:val="fr-CA"/>
              </w:rPr>
            </w:pPr>
          </w:p>
        </w:tc>
      </w:tr>
      <w:tr w:rsidR="00D9119C" w:rsidRPr="0082006E" w:rsidTr="00A67A3D">
        <w:tc>
          <w:tcPr>
            <w:tcW w:w="2423" w:type="pct"/>
          </w:tcPr>
          <w:p w:rsidR="00D9119C" w:rsidRPr="009C2345" w:rsidRDefault="00D9119C" w:rsidP="00D9119C">
            <w:pPr>
              <w:jc w:val="both"/>
              <w:rPr>
                <w:sz w:val="20"/>
                <w:szCs w:val="20"/>
                <w:lang w:val="fr-CA"/>
              </w:rPr>
            </w:pPr>
            <w:r w:rsidRPr="009C2345">
              <w:rPr>
                <w:sz w:val="20"/>
                <w:szCs w:val="20"/>
                <w:lang w:val="fr-CA"/>
              </w:rPr>
              <w:t>Le 20 juillet 2015</w:t>
            </w:r>
          </w:p>
          <w:p w:rsidR="00D9119C" w:rsidRPr="009C2345" w:rsidRDefault="00D9119C" w:rsidP="00D9119C">
            <w:pPr>
              <w:jc w:val="both"/>
              <w:rPr>
                <w:sz w:val="20"/>
                <w:szCs w:val="20"/>
                <w:lang w:val="fr-CA"/>
              </w:rPr>
            </w:pPr>
            <w:r w:rsidRPr="009C2345">
              <w:rPr>
                <w:sz w:val="20"/>
                <w:szCs w:val="20"/>
                <w:lang w:val="fr-CA"/>
              </w:rPr>
              <w:t>Cour d’appel du Québec (Québec)</w:t>
            </w:r>
          </w:p>
          <w:p w:rsidR="00D9119C" w:rsidRPr="009C2345" w:rsidRDefault="00D9119C" w:rsidP="00D9119C">
            <w:pPr>
              <w:jc w:val="both"/>
              <w:rPr>
                <w:sz w:val="20"/>
                <w:szCs w:val="20"/>
                <w:lang w:val="fr-CA"/>
              </w:rPr>
            </w:pPr>
            <w:r w:rsidRPr="009C2345">
              <w:rPr>
                <w:sz w:val="20"/>
                <w:szCs w:val="20"/>
                <w:lang w:val="fr-CA"/>
              </w:rPr>
              <w:t>(Morin, Morissette et Bouchard J.C.A.)</w:t>
            </w:r>
          </w:p>
          <w:p w:rsidR="00D9119C" w:rsidRPr="009C2345" w:rsidRDefault="0082006E" w:rsidP="00D9119C">
            <w:pPr>
              <w:jc w:val="both"/>
              <w:rPr>
                <w:sz w:val="20"/>
                <w:szCs w:val="20"/>
                <w:u w:val="single"/>
                <w:lang w:val="fr-CA"/>
              </w:rPr>
            </w:pPr>
            <w:hyperlink r:id="rId30" w:history="1">
              <w:r w:rsidR="00D9119C" w:rsidRPr="009C2345">
                <w:rPr>
                  <w:color w:val="0000FF" w:themeColor="hyperlink"/>
                  <w:sz w:val="20"/>
                  <w:szCs w:val="20"/>
                  <w:u w:val="single"/>
                  <w:lang w:val="fr-CA"/>
                </w:rPr>
                <w:t>2015 QCCA 1183</w:t>
              </w:r>
            </w:hyperlink>
            <w:r w:rsidR="00D9119C" w:rsidRPr="009C2345">
              <w:rPr>
                <w:sz w:val="20"/>
                <w:szCs w:val="20"/>
                <w:u w:val="single"/>
                <w:lang w:val="fr-CA"/>
              </w:rPr>
              <w:t xml:space="preserve"> </w:t>
            </w:r>
          </w:p>
          <w:p w:rsidR="00D9119C" w:rsidRPr="009C2345" w:rsidRDefault="00D9119C" w:rsidP="00D9119C">
            <w:pPr>
              <w:jc w:val="both"/>
              <w:rPr>
                <w:sz w:val="20"/>
                <w:szCs w:val="20"/>
                <w:lang w:val="fr-CA"/>
              </w:rPr>
            </w:pPr>
          </w:p>
        </w:tc>
        <w:tc>
          <w:tcPr>
            <w:tcW w:w="243" w:type="pct"/>
          </w:tcPr>
          <w:p w:rsidR="00D9119C" w:rsidRPr="009C2345" w:rsidRDefault="00D9119C" w:rsidP="00D9119C">
            <w:pPr>
              <w:jc w:val="both"/>
              <w:rPr>
                <w:sz w:val="20"/>
                <w:szCs w:val="20"/>
                <w:lang w:val="en-US"/>
              </w:rPr>
            </w:pPr>
          </w:p>
        </w:tc>
        <w:tc>
          <w:tcPr>
            <w:tcW w:w="2334" w:type="pct"/>
          </w:tcPr>
          <w:p w:rsidR="00D9119C" w:rsidRPr="009C2345" w:rsidRDefault="00D9119C" w:rsidP="00D9119C">
            <w:pPr>
              <w:jc w:val="both"/>
              <w:rPr>
                <w:sz w:val="20"/>
                <w:szCs w:val="20"/>
                <w:lang w:val="fr-CA"/>
              </w:rPr>
            </w:pPr>
            <w:r w:rsidRPr="009C2345">
              <w:rPr>
                <w:sz w:val="20"/>
                <w:szCs w:val="20"/>
                <w:lang w:val="fr-CA"/>
              </w:rPr>
              <w:t>Appel accueilli et nouveau procès sur les mêmes chefs d’accusation ordonné.</w:t>
            </w:r>
          </w:p>
          <w:p w:rsidR="00D9119C" w:rsidRPr="009C2345" w:rsidRDefault="00D9119C" w:rsidP="00D9119C">
            <w:pPr>
              <w:jc w:val="both"/>
              <w:rPr>
                <w:sz w:val="20"/>
                <w:szCs w:val="20"/>
                <w:lang w:val="fr-CA"/>
              </w:rPr>
            </w:pPr>
          </w:p>
        </w:tc>
      </w:tr>
      <w:tr w:rsidR="00D9119C" w:rsidRPr="009C2345" w:rsidTr="00A67A3D">
        <w:tc>
          <w:tcPr>
            <w:tcW w:w="2423" w:type="pct"/>
          </w:tcPr>
          <w:p w:rsidR="00D9119C" w:rsidRPr="009C2345" w:rsidRDefault="00D9119C" w:rsidP="00D9119C">
            <w:pPr>
              <w:ind w:right="-2223"/>
              <w:jc w:val="both"/>
              <w:rPr>
                <w:sz w:val="20"/>
                <w:szCs w:val="20"/>
                <w:lang w:val="fr-CA"/>
              </w:rPr>
            </w:pPr>
            <w:r w:rsidRPr="009C2345">
              <w:rPr>
                <w:sz w:val="20"/>
                <w:szCs w:val="20"/>
                <w:lang w:val="fr-CA"/>
              </w:rPr>
              <w:t>Le 29 septembre 2015</w:t>
            </w:r>
          </w:p>
          <w:p w:rsidR="00D9119C" w:rsidRPr="009C2345" w:rsidRDefault="00D9119C" w:rsidP="00D9119C">
            <w:pPr>
              <w:jc w:val="both"/>
              <w:rPr>
                <w:sz w:val="20"/>
                <w:szCs w:val="20"/>
                <w:lang w:val="fr-CA"/>
              </w:rPr>
            </w:pPr>
            <w:r w:rsidRPr="009C2345">
              <w:rPr>
                <w:sz w:val="20"/>
                <w:szCs w:val="20"/>
                <w:lang w:val="fr-CA"/>
              </w:rPr>
              <w:t>Cour suprême du Canada</w:t>
            </w:r>
          </w:p>
        </w:tc>
        <w:tc>
          <w:tcPr>
            <w:tcW w:w="243" w:type="pct"/>
          </w:tcPr>
          <w:p w:rsidR="00D9119C" w:rsidRPr="009C2345" w:rsidRDefault="00D9119C" w:rsidP="00D9119C">
            <w:pPr>
              <w:jc w:val="both"/>
              <w:rPr>
                <w:sz w:val="20"/>
                <w:szCs w:val="20"/>
                <w:lang w:val="fr-FR"/>
              </w:rPr>
            </w:pPr>
          </w:p>
        </w:tc>
        <w:tc>
          <w:tcPr>
            <w:tcW w:w="2334" w:type="pct"/>
          </w:tcPr>
          <w:p w:rsidR="00D9119C" w:rsidRPr="009C2345" w:rsidRDefault="00D9119C" w:rsidP="00D9119C">
            <w:pPr>
              <w:jc w:val="both"/>
              <w:rPr>
                <w:sz w:val="20"/>
                <w:szCs w:val="20"/>
                <w:lang w:val="fr-CA"/>
              </w:rPr>
            </w:pPr>
            <w:r w:rsidRPr="009C2345">
              <w:rPr>
                <w:sz w:val="20"/>
                <w:szCs w:val="20"/>
                <w:lang w:val="fr-CA"/>
              </w:rPr>
              <w:t>Demande d’autorisation d’appel déposée.</w:t>
            </w:r>
          </w:p>
        </w:tc>
      </w:tr>
    </w:tbl>
    <w:p w:rsidR="005B71FF" w:rsidRPr="009C2345" w:rsidRDefault="005B71FF" w:rsidP="000E2959">
      <w:pPr>
        <w:rPr>
          <w:sz w:val="20"/>
          <w:szCs w:val="20"/>
        </w:rPr>
      </w:pPr>
    </w:p>
    <w:p w:rsidR="005B71FF" w:rsidRPr="009C2345" w:rsidRDefault="0082006E" w:rsidP="000E2959">
      <w:pPr>
        <w:rPr>
          <w:sz w:val="20"/>
          <w:szCs w:val="20"/>
        </w:rPr>
      </w:pPr>
      <w:r>
        <w:rPr>
          <w:sz w:val="20"/>
          <w:szCs w:val="20"/>
          <w:lang w:val="fr-CA"/>
        </w:rPr>
        <w:pict>
          <v:rect id="_x0000_i1043" style="width:2in;height:1pt" o:hrpct="0" o:hralign="center" o:hrstd="t" o:hrnoshade="t" o:hr="t" fillcolor="black [3213]" stroked="f"/>
        </w:pict>
      </w:r>
    </w:p>
    <w:p w:rsidR="0069709D" w:rsidRPr="009C2345" w:rsidRDefault="0069709D" w:rsidP="0069709D">
      <w:pPr>
        <w:rPr>
          <w:sz w:val="20"/>
          <w:szCs w:val="20"/>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082"/>
      </w:tblGrid>
      <w:tr w:rsidR="0069709D" w:rsidRPr="0082006E" w:rsidTr="00A67A3D">
        <w:trPr>
          <w:cantSplit/>
        </w:trPr>
        <w:tc>
          <w:tcPr>
            <w:tcW w:w="1458" w:type="dxa"/>
          </w:tcPr>
          <w:p w:rsidR="0069709D" w:rsidRPr="00AA717F" w:rsidRDefault="0069709D" w:rsidP="00017A3C">
            <w:pPr>
              <w:rPr>
                <w:sz w:val="20"/>
                <w:szCs w:val="20"/>
              </w:rPr>
            </w:pPr>
            <w:r w:rsidRPr="00AA717F">
              <w:rPr>
                <w:rStyle w:val="SCCFileNumberChar"/>
                <w:sz w:val="20"/>
                <w:szCs w:val="20"/>
              </w:rPr>
              <w:t>36702</w:t>
            </w:r>
          </w:p>
          <w:p w:rsidR="0069709D" w:rsidRPr="00AA717F" w:rsidRDefault="0069709D" w:rsidP="00017A3C">
            <w:pPr>
              <w:rPr>
                <w:b/>
                <w:sz w:val="20"/>
                <w:szCs w:val="20"/>
                <w:lang w:val="fr-CA"/>
              </w:rPr>
            </w:pPr>
          </w:p>
        </w:tc>
        <w:tc>
          <w:tcPr>
            <w:tcW w:w="8082" w:type="dxa"/>
          </w:tcPr>
          <w:p w:rsidR="0069709D" w:rsidRPr="00AA717F" w:rsidRDefault="00026223" w:rsidP="00026223">
            <w:pPr>
              <w:rPr>
                <w:sz w:val="20"/>
                <w:szCs w:val="20"/>
                <w:lang w:val="fr-CA"/>
              </w:rPr>
            </w:pPr>
            <w:r w:rsidRPr="00AA717F">
              <w:rPr>
                <w:b/>
                <w:sz w:val="20"/>
                <w:szCs w:val="20"/>
                <w:u w:val="single"/>
                <w:lang w:val="fr-CA"/>
              </w:rPr>
              <w:t xml:space="preserve">Entreprise Marissa </w:t>
            </w:r>
            <w:r w:rsidR="00372D01" w:rsidRPr="00AA717F">
              <w:rPr>
                <w:b/>
                <w:sz w:val="20"/>
                <w:szCs w:val="20"/>
                <w:u w:val="single"/>
                <w:lang w:val="fr-CA"/>
              </w:rPr>
              <w:t>i</w:t>
            </w:r>
            <w:r w:rsidRPr="00AA717F">
              <w:rPr>
                <w:b/>
                <w:sz w:val="20"/>
                <w:szCs w:val="20"/>
                <w:u w:val="single"/>
                <w:lang w:val="fr-CA"/>
              </w:rPr>
              <w:t xml:space="preserve">nc. </w:t>
            </w:r>
            <w:r w:rsidR="00372D01" w:rsidRPr="00AA717F">
              <w:rPr>
                <w:b/>
                <w:sz w:val="20"/>
                <w:szCs w:val="20"/>
                <w:u w:val="single"/>
                <w:lang w:val="fr-CA"/>
              </w:rPr>
              <w:t>c</w:t>
            </w:r>
            <w:r w:rsidRPr="00AA717F">
              <w:rPr>
                <w:b/>
                <w:sz w:val="20"/>
                <w:szCs w:val="20"/>
                <w:u w:val="single"/>
                <w:lang w:val="fr-CA"/>
              </w:rPr>
              <w:t xml:space="preserve">. </w:t>
            </w:r>
            <w:r w:rsidR="00372D01" w:rsidRPr="00AA717F">
              <w:rPr>
                <w:b/>
                <w:sz w:val="20"/>
                <w:szCs w:val="20"/>
                <w:u w:val="single"/>
                <w:lang w:val="fr-CA"/>
              </w:rPr>
              <w:t>Procureur général du</w:t>
            </w:r>
            <w:r w:rsidRPr="00AA717F">
              <w:rPr>
                <w:b/>
                <w:sz w:val="20"/>
                <w:szCs w:val="20"/>
                <w:u w:val="single"/>
                <w:lang w:val="fr-CA"/>
              </w:rPr>
              <w:t xml:space="preserve"> Canada</w:t>
            </w:r>
            <w:r w:rsidRPr="00AA717F">
              <w:rPr>
                <w:sz w:val="20"/>
                <w:szCs w:val="20"/>
                <w:lang w:val="fr-CA"/>
              </w:rPr>
              <w:t xml:space="preserve"> </w:t>
            </w:r>
            <w:r w:rsidR="00372D01" w:rsidRPr="00AA717F">
              <w:rPr>
                <w:sz w:val="20"/>
                <w:szCs w:val="20"/>
                <w:lang w:val="fr-CA"/>
              </w:rPr>
              <w:t>(Qc</w:t>
            </w:r>
            <w:r w:rsidRPr="00AA717F">
              <w:rPr>
                <w:sz w:val="20"/>
                <w:szCs w:val="20"/>
                <w:lang w:val="fr-CA"/>
              </w:rPr>
              <w:t>) (Civil</w:t>
            </w:r>
            <w:r w:rsidR="00372D01" w:rsidRPr="00AA717F">
              <w:rPr>
                <w:sz w:val="20"/>
                <w:szCs w:val="20"/>
                <w:lang w:val="fr-CA"/>
              </w:rPr>
              <w:t>e</w:t>
            </w:r>
            <w:r w:rsidRPr="00AA717F">
              <w:rPr>
                <w:sz w:val="20"/>
                <w:szCs w:val="20"/>
                <w:lang w:val="fr-CA"/>
              </w:rPr>
              <w:t>) (</w:t>
            </w:r>
            <w:r w:rsidR="00372D01" w:rsidRPr="00AA717F">
              <w:rPr>
                <w:sz w:val="20"/>
                <w:szCs w:val="20"/>
                <w:lang w:val="fr-CA"/>
              </w:rPr>
              <w:t>Autorisation</w:t>
            </w:r>
            <w:r w:rsidRPr="00AA717F">
              <w:rPr>
                <w:sz w:val="20"/>
                <w:szCs w:val="20"/>
                <w:lang w:val="fr-CA"/>
              </w:rPr>
              <w:t>)</w:t>
            </w:r>
          </w:p>
          <w:p w:rsidR="0069709D" w:rsidRPr="00AA717F" w:rsidRDefault="0069709D" w:rsidP="00017A3C">
            <w:pPr>
              <w:rPr>
                <w:sz w:val="20"/>
                <w:szCs w:val="20"/>
                <w:lang w:val="fr-CA"/>
              </w:rPr>
            </w:pPr>
          </w:p>
        </w:tc>
      </w:tr>
      <w:tr w:rsidR="0069709D" w:rsidRPr="0082006E" w:rsidTr="00A67A3D">
        <w:trPr>
          <w:cantSplit/>
        </w:trPr>
        <w:tc>
          <w:tcPr>
            <w:tcW w:w="1458" w:type="dxa"/>
          </w:tcPr>
          <w:p w:rsidR="0069709D" w:rsidRPr="00AA717F" w:rsidRDefault="0069709D" w:rsidP="00017A3C">
            <w:pPr>
              <w:rPr>
                <w:sz w:val="20"/>
                <w:szCs w:val="20"/>
              </w:rPr>
            </w:pPr>
            <w:r w:rsidRPr="00AA717F">
              <w:rPr>
                <w:sz w:val="20"/>
                <w:szCs w:val="20"/>
              </w:rPr>
              <w:t>Coram :</w:t>
            </w:r>
          </w:p>
        </w:tc>
        <w:tc>
          <w:tcPr>
            <w:tcW w:w="8082" w:type="dxa"/>
          </w:tcPr>
          <w:p w:rsidR="0069709D" w:rsidRPr="00AA717F" w:rsidRDefault="00372D01" w:rsidP="00017A3C">
            <w:pPr>
              <w:rPr>
                <w:rStyle w:val="SCCCoramChar"/>
                <w:sz w:val="20"/>
                <w:szCs w:val="20"/>
              </w:rPr>
            </w:pPr>
            <w:r w:rsidRPr="00AA717F">
              <w:rPr>
                <w:rStyle w:val="SCCCoramChar"/>
                <w:sz w:val="20"/>
                <w:szCs w:val="20"/>
              </w:rPr>
              <w:t>Les</w:t>
            </w:r>
            <w:r w:rsidR="00AA717F" w:rsidRPr="00AA717F">
              <w:rPr>
                <w:rStyle w:val="SCCCoramChar"/>
                <w:sz w:val="20"/>
                <w:szCs w:val="20"/>
              </w:rPr>
              <w:t xml:space="preserve"> juges Cromwell, Wagner et Côté</w:t>
            </w:r>
          </w:p>
          <w:p w:rsidR="00372D01" w:rsidRPr="00AA717F" w:rsidRDefault="00372D01" w:rsidP="00017A3C">
            <w:pPr>
              <w:rPr>
                <w:sz w:val="20"/>
                <w:szCs w:val="20"/>
                <w:lang w:val="fr-CA"/>
              </w:rPr>
            </w:pPr>
          </w:p>
        </w:tc>
      </w:tr>
      <w:tr w:rsidR="0069709D" w:rsidRPr="00AA717F" w:rsidTr="00A67A3D">
        <w:trPr>
          <w:cantSplit/>
        </w:trPr>
        <w:tc>
          <w:tcPr>
            <w:tcW w:w="9540" w:type="dxa"/>
            <w:gridSpan w:val="2"/>
          </w:tcPr>
          <w:p w:rsidR="0069709D" w:rsidRPr="00AA717F" w:rsidRDefault="00372D01" w:rsidP="00017A3C">
            <w:pPr>
              <w:pStyle w:val="SCCShortJudgment"/>
              <w:ind w:firstLine="0"/>
              <w:rPr>
                <w:lang w:val="fr-CA"/>
              </w:rPr>
            </w:pPr>
            <w:r w:rsidRPr="00AA717F">
              <w:rPr>
                <w:lang w:val="fr-CA"/>
              </w:rPr>
              <w:tab/>
              <w:t>La demande d’autorisation d’appel de l’arrêt de la Cour d’appel du Québec (Québec), numéro 200-09-008718-147, 2015 QCCA 1400, daté du 3 septembre 2015, est rejetée avec dépens.</w:t>
            </w:r>
          </w:p>
          <w:p w:rsidR="00372D01" w:rsidRPr="00AA717F" w:rsidRDefault="00372D01" w:rsidP="00017A3C">
            <w:pPr>
              <w:pStyle w:val="SCCShortJudgment"/>
              <w:ind w:firstLine="0"/>
              <w:rPr>
                <w:szCs w:val="20"/>
                <w:lang w:val="fr-CA"/>
              </w:rPr>
            </w:pPr>
          </w:p>
          <w:p w:rsidR="0069709D" w:rsidRPr="00AA717F" w:rsidRDefault="00372D01" w:rsidP="00017A3C">
            <w:pPr>
              <w:pStyle w:val="SCCShortJudgment"/>
              <w:rPr>
                <w:szCs w:val="20"/>
              </w:rPr>
            </w:pPr>
            <w:r w:rsidRPr="00AA717F">
              <w:t>The application for leave to appeal from the judgment of the Court of Appeal of Quebec (Québec), Number 200-09-008718-147, 2015 QCCA 1400, dated September 3, 2015, is dismissed with costs.</w:t>
            </w:r>
          </w:p>
        </w:tc>
      </w:tr>
    </w:tbl>
    <w:p w:rsidR="0069709D" w:rsidRPr="009C2345" w:rsidRDefault="0069709D" w:rsidP="0069709D">
      <w:pPr>
        <w:rPr>
          <w:sz w:val="20"/>
          <w:szCs w:val="20"/>
        </w:rPr>
      </w:pPr>
    </w:p>
    <w:p w:rsidR="0069709D" w:rsidRPr="009C2345" w:rsidRDefault="0069709D" w:rsidP="0069709D">
      <w:pPr>
        <w:rPr>
          <w:sz w:val="20"/>
          <w:szCs w:val="20"/>
          <w:u w:val="single"/>
        </w:rPr>
      </w:pPr>
      <w:r w:rsidRPr="009C2345">
        <w:rPr>
          <w:sz w:val="20"/>
          <w:szCs w:val="20"/>
          <w:u w:val="single"/>
        </w:rPr>
        <w:t>CASE SUMMARY</w:t>
      </w:r>
    </w:p>
    <w:p w:rsidR="0069709D" w:rsidRPr="009C2345" w:rsidRDefault="0069709D" w:rsidP="0069709D">
      <w:pPr>
        <w:rPr>
          <w:sz w:val="20"/>
          <w:szCs w:val="20"/>
        </w:rPr>
      </w:pPr>
    </w:p>
    <w:tbl>
      <w:tblPr>
        <w:tblW w:w="4959" w:type="pct"/>
        <w:tblLayout w:type="fixed"/>
        <w:tblCellMar>
          <w:left w:w="0" w:type="dxa"/>
          <w:bottom w:w="99" w:type="dxa"/>
          <w:right w:w="0" w:type="dxa"/>
        </w:tblCellMar>
        <w:tblLook w:val="04A0" w:firstRow="1" w:lastRow="0" w:firstColumn="1" w:lastColumn="0" w:noHBand="0" w:noVBand="1"/>
      </w:tblPr>
      <w:tblGrid>
        <w:gridCol w:w="4553"/>
        <w:gridCol w:w="513"/>
        <w:gridCol w:w="4474"/>
      </w:tblGrid>
      <w:tr w:rsidR="00026223" w:rsidRPr="009C2345" w:rsidTr="00A67A3D">
        <w:tc>
          <w:tcPr>
            <w:tcW w:w="5000" w:type="pct"/>
            <w:gridSpan w:val="3"/>
          </w:tcPr>
          <w:p w:rsidR="00026223" w:rsidRPr="009C2345" w:rsidRDefault="00026223" w:rsidP="00026223">
            <w:pPr>
              <w:jc w:val="both"/>
              <w:rPr>
                <w:sz w:val="20"/>
                <w:szCs w:val="20"/>
              </w:rPr>
            </w:pPr>
            <w:r w:rsidRPr="009C2345">
              <w:rPr>
                <w:sz w:val="20"/>
                <w:szCs w:val="20"/>
              </w:rPr>
              <w:t xml:space="preserve">Administrative law – Canadian International Trade Tribunal – Civil procedure – Exception to dismiss action – </w:t>
            </w:r>
            <w:r w:rsidRPr="009C2345">
              <w:rPr>
                <w:i/>
                <w:sz w:val="20"/>
                <w:szCs w:val="20"/>
              </w:rPr>
              <w:t>Res judicata</w:t>
            </w:r>
            <w:r w:rsidRPr="009C2345">
              <w:rPr>
                <w:sz w:val="20"/>
                <w:szCs w:val="20"/>
              </w:rPr>
              <w:t xml:space="preserve"> – Potential supplier bringing action in damages in Quebec Superior Court following dismissal of its complaint to Canadian International Trade Tribunal – Whether decisions of Canadian International Trade Tribunal can be considered judicial decisions having authority of final judgment (</w:t>
            </w:r>
            <w:r w:rsidRPr="009C2345">
              <w:rPr>
                <w:i/>
                <w:sz w:val="20"/>
                <w:szCs w:val="20"/>
              </w:rPr>
              <w:t>res judicata</w:t>
            </w:r>
            <w:r w:rsidRPr="009C2345">
              <w:rPr>
                <w:sz w:val="20"/>
                <w:szCs w:val="20"/>
              </w:rPr>
              <w:t xml:space="preserve">) within meaning of art. 2848 </w:t>
            </w:r>
            <w:r w:rsidRPr="009C2345">
              <w:rPr>
                <w:i/>
                <w:sz w:val="20"/>
                <w:szCs w:val="20"/>
              </w:rPr>
              <w:t>C.C.Q.</w:t>
            </w:r>
            <w:r w:rsidRPr="009C2345">
              <w:rPr>
                <w:sz w:val="20"/>
                <w:szCs w:val="20"/>
              </w:rPr>
              <w:t xml:space="preserve"> even though Tribunal has power to make recommendations and not binding orders – Whether complaint filed with Canadian International Trade Tribunal precludes action in provincial courts.</w:t>
            </w:r>
          </w:p>
        </w:tc>
      </w:tr>
      <w:tr w:rsidR="00026223" w:rsidRPr="009C2345" w:rsidTr="00A67A3D">
        <w:tc>
          <w:tcPr>
            <w:tcW w:w="5000" w:type="pct"/>
            <w:gridSpan w:val="3"/>
          </w:tcPr>
          <w:p w:rsidR="00026223" w:rsidRPr="009C2345" w:rsidRDefault="00026223" w:rsidP="00026223">
            <w:pPr>
              <w:jc w:val="both"/>
              <w:rPr>
                <w:sz w:val="20"/>
                <w:szCs w:val="20"/>
              </w:rPr>
            </w:pPr>
          </w:p>
        </w:tc>
      </w:tr>
      <w:tr w:rsidR="00026223" w:rsidRPr="009C2345" w:rsidTr="00A67A3D">
        <w:tc>
          <w:tcPr>
            <w:tcW w:w="5000" w:type="pct"/>
            <w:gridSpan w:val="3"/>
          </w:tcPr>
          <w:p w:rsidR="00026223" w:rsidRPr="009C2345" w:rsidRDefault="00026223" w:rsidP="00026223">
            <w:pPr>
              <w:jc w:val="both"/>
              <w:rPr>
                <w:sz w:val="20"/>
                <w:szCs w:val="20"/>
              </w:rPr>
            </w:pPr>
            <w:r w:rsidRPr="009C2345">
              <w:rPr>
                <w:sz w:val="20"/>
                <w:szCs w:val="20"/>
              </w:rPr>
              <w:t xml:space="preserve">In response to an invitation to tender issued by the Department of Public Works and Government Services Canada, the applicant filed a complaint with the Canadian International Trade Tribunal alleging that the invitation to tender created an obstacle to internal trade and was discriminatory. On June 13, 2011, a decision was rendered determining that the complaint was not valid. </w:t>
            </w:r>
          </w:p>
          <w:p w:rsidR="00026223" w:rsidRPr="009C2345" w:rsidRDefault="00026223" w:rsidP="00026223">
            <w:pPr>
              <w:jc w:val="both"/>
              <w:rPr>
                <w:sz w:val="20"/>
                <w:szCs w:val="20"/>
              </w:rPr>
            </w:pPr>
          </w:p>
          <w:p w:rsidR="00026223" w:rsidRPr="009C2345" w:rsidRDefault="00026223" w:rsidP="00026223">
            <w:pPr>
              <w:jc w:val="both"/>
              <w:rPr>
                <w:sz w:val="20"/>
                <w:szCs w:val="20"/>
              </w:rPr>
            </w:pPr>
            <w:r w:rsidRPr="009C2345">
              <w:rPr>
                <w:sz w:val="20"/>
                <w:szCs w:val="20"/>
              </w:rPr>
              <w:t xml:space="preserve">The applicant brought an action in the Quebec Superior Court seeking damages because it had not obtained the tender. The respondent filed a motion to dismiss on the basis that the issue had already been decided by the Canadian International Trade Tribunal and that the Tribunal’s decision should therefore have the authority of a final judgment in the Quebec Superior Court. </w:t>
            </w:r>
          </w:p>
          <w:p w:rsidR="00026223" w:rsidRPr="009C2345" w:rsidRDefault="00026223" w:rsidP="00026223">
            <w:pPr>
              <w:jc w:val="both"/>
              <w:rPr>
                <w:sz w:val="20"/>
                <w:szCs w:val="20"/>
              </w:rPr>
            </w:pPr>
          </w:p>
        </w:tc>
      </w:tr>
      <w:tr w:rsidR="00026223" w:rsidRPr="009C2345" w:rsidTr="00A67A3D">
        <w:tblPrEx>
          <w:tblCellMar>
            <w:bottom w:w="0" w:type="dxa"/>
          </w:tblCellMar>
        </w:tblPrEx>
        <w:tc>
          <w:tcPr>
            <w:tcW w:w="2386" w:type="pct"/>
          </w:tcPr>
          <w:p w:rsidR="00026223" w:rsidRPr="009C2345" w:rsidRDefault="00026223" w:rsidP="00026223">
            <w:pPr>
              <w:jc w:val="both"/>
              <w:rPr>
                <w:sz w:val="20"/>
                <w:szCs w:val="20"/>
                <w:lang w:val="fr-CA"/>
              </w:rPr>
            </w:pPr>
            <w:r w:rsidRPr="009C2345">
              <w:rPr>
                <w:sz w:val="20"/>
                <w:szCs w:val="20"/>
                <w:lang w:val="fr-CA"/>
              </w:rPr>
              <w:t xml:space="preserve">June 13, 2011 </w:t>
            </w:r>
          </w:p>
          <w:p w:rsidR="00026223" w:rsidRPr="009C2345" w:rsidRDefault="00026223" w:rsidP="00026223">
            <w:pPr>
              <w:jc w:val="both"/>
              <w:rPr>
                <w:sz w:val="20"/>
                <w:szCs w:val="20"/>
                <w:lang w:val="fr-CA"/>
              </w:rPr>
            </w:pPr>
            <w:r w:rsidRPr="009C2345">
              <w:rPr>
                <w:sz w:val="20"/>
                <w:szCs w:val="20"/>
                <w:lang w:val="fr-CA"/>
              </w:rPr>
              <w:t>Canadian International Trade Tribunal</w:t>
            </w:r>
          </w:p>
          <w:p w:rsidR="00026223" w:rsidRPr="009C2345" w:rsidRDefault="00026223" w:rsidP="00026223">
            <w:pPr>
              <w:jc w:val="both"/>
              <w:rPr>
                <w:sz w:val="20"/>
                <w:szCs w:val="20"/>
                <w:lang w:val="fr-CA"/>
              </w:rPr>
            </w:pPr>
            <w:r w:rsidRPr="009C2345">
              <w:rPr>
                <w:sz w:val="20"/>
                <w:szCs w:val="20"/>
                <w:lang w:val="fr-CA"/>
              </w:rPr>
              <w:t xml:space="preserve">Serge Fréchette </w:t>
            </w:r>
          </w:p>
          <w:p w:rsidR="00026223" w:rsidRPr="009C2345" w:rsidRDefault="00026223" w:rsidP="00026223">
            <w:pPr>
              <w:jc w:val="both"/>
              <w:rPr>
                <w:sz w:val="20"/>
                <w:szCs w:val="20"/>
              </w:rPr>
            </w:pPr>
            <w:r w:rsidRPr="009C2345">
              <w:rPr>
                <w:sz w:val="20"/>
                <w:szCs w:val="20"/>
              </w:rPr>
              <w:t>No. PR-2010-086 (</w:t>
            </w:r>
            <w:hyperlink r:id="rId31" w:history="1">
              <w:r w:rsidRPr="009C2345">
                <w:rPr>
                  <w:color w:val="0000FF" w:themeColor="hyperlink"/>
                  <w:sz w:val="20"/>
                  <w:szCs w:val="20"/>
                  <w:u w:val="single"/>
                </w:rPr>
                <w:t>2011 CanLII 93786</w:t>
              </w:r>
            </w:hyperlink>
            <w:r w:rsidRPr="009C2345">
              <w:rPr>
                <w:sz w:val="20"/>
                <w:szCs w:val="20"/>
              </w:rPr>
              <w:t>)</w:t>
            </w:r>
          </w:p>
          <w:p w:rsidR="00026223" w:rsidRPr="009C2345" w:rsidRDefault="00026223" w:rsidP="00026223">
            <w:pPr>
              <w:jc w:val="both"/>
              <w:rPr>
                <w:sz w:val="20"/>
                <w:szCs w:val="20"/>
              </w:rPr>
            </w:pPr>
          </w:p>
        </w:tc>
        <w:tc>
          <w:tcPr>
            <w:tcW w:w="269" w:type="pct"/>
          </w:tcPr>
          <w:p w:rsidR="00026223" w:rsidRPr="009C2345" w:rsidRDefault="00026223" w:rsidP="00026223">
            <w:pPr>
              <w:jc w:val="both"/>
              <w:rPr>
                <w:sz w:val="20"/>
                <w:szCs w:val="20"/>
              </w:rPr>
            </w:pPr>
          </w:p>
        </w:tc>
        <w:tc>
          <w:tcPr>
            <w:tcW w:w="2344" w:type="pct"/>
          </w:tcPr>
          <w:p w:rsidR="00026223" w:rsidRPr="009C2345" w:rsidRDefault="00026223" w:rsidP="00026223">
            <w:pPr>
              <w:jc w:val="both"/>
              <w:rPr>
                <w:sz w:val="20"/>
                <w:szCs w:val="20"/>
              </w:rPr>
            </w:pPr>
            <w:r w:rsidRPr="009C2345">
              <w:rPr>
                <w:sz w:val="20"/>
                <w:szCs w:val="20"/>
              </w:rPr>
              <w:t>Complaint dismissed</w:t>
            </w:r>
          </w:p>
          <w:p w:rsidR="00026223" w:rsidRPr="009C2345" w:rsidRDefault="00026223" w:rsidP="00026223">
            <w:pPr>
              <w:jc w:val="both"/>
              <w:rPr>
                <w:sz w:val="20"/>
                <w:szCs w:val="20"/>
              </w:rPr>
            </w:pPr>
          </w:p>
        </w:tc>
      </w:tr>
      <w:tr w:rsidR="00026223" w:rsidRPr="009C2345" w:rsidTr="00A67A3D">
        <w:tblPrEx>
          <w:tblCellMar>
            <w:bottom w:w="0" w:type="dxa"/>
          </w:tblCellMar>
        </w:tblPrEx>
        <w:tc>
          <w:tcPr>
            <w:tcW w:w="2386" w:type="pct"/>
          </w:tcPr>
          <w:p w:rsidR="00026223" w:rsidRPr="009C2345" w:rsidRDefault="00026223" w:rsidP="00026223">
            <w:pPr>
              <w:jc w:val="both"/>
              <w:rPr>
                <w:sz w:val="20"/>
                <w:szCs w:val="20"/>
              </w:rPr>
            </w:pPr>
            <w:r w:rsidRPr="009C2345">
              <w:rPr>
                <w:sz w:val="20"/>
                <w:szCs w:val="20"/>
              </w:rPr>
              <w:t>July 15, 2014</w:t>
            </w:r>
          </w:p>
          <w:p w:rsidR="00026223" w:rsidRPr="009C2345" w:rsidRDefault="00026223" w:rsidP="00026223">
            <w:pPr>
              <w:jc w:val="both"/>
              <w:rPr>
                <w:sz w:val="20"/>
                <w:szCs w:val="20"/>
              </w:rPr>
            </w:pPr>
            <w:r w:rsidRPr="009C2345">
              <w:rPr>
                <w:sz w:val="20"/>
                <w:szCs w:val="20"/>
              </w:rPr>
              <w:t>Quebec Superior Court</w:t>
            </w:r>
          </w:p>
          <w:p w:rsidR="00026223" w:rsidRPr="009C2345" w:rsidRDefault="00026223" w:rsidP="00026223">
            <w:pPr>
              <w:jc w:val="both"/>
              <w:rPr>
                <w:sz w:val="20"/>
                <w:szCs w:val="20"/>
              </w:rPr>
            </w:pPr>
            <w:r w:rsidRPr="009C2345">
              <w:rPr>
                <w:sz w:val="20"/>
                <w:szCs w:val="20"/>
              </w:rPr>
              <w:t>(Bouchard J.)</w:t>
            </w:r>
          </w:p>
          <w:p w:rsidR="00026223" w:rsidRPr="009C2345" w:rsidRDefault="0082006E" w:rsidP="00026223">
            <w:pPr>
              <w:jc w:val="both"/>
              <w:rPr>
                <w:sz w:val="20"/>
                <w:szCs w:val="20"/>
              </w:rPr>
            </w:pPr>
            <w:hyperlink r:id="rId32" w:history="1">
              <w:r w:rsidR="00026223" w:rsidRPr="009C2345">
                <w:rPr>
                  <w:color w:val="0000FF" w:themeColor="hyperlink"/>
                  <w:sz w:val="20"/>
                  <w:szCs w:val="20"/>
                  <w:u w:val="single"/>
                </w:rPr>
                <w:t>2014 QCCS 3451</w:t>
              </w:r>
            </w:hyperlink>
          </w:p>
          <w:p w:rsidR="00026223" w:rsidRPr="009C2345" w:rsidRDefault="00026223" w:rsidP="00026223">
            <w:pPr>
              <w:jc w:val="both"/>
              <w:rPr>
                <w:sz w:val="20"/>
                <w:szCs w:val="20"/>
              </w:rPr>
            </w:pPr>
          </w:p>
        </w:tc>
        <w:tc>
          <w:tcPr>
            <w:tcW w:w="269" w:type="pct"/>
          </w:tcPr>
          <w:p w:rsidR="00026223" w:rsidRPr="009C2345" w:rsidRDefault="00026223" w:rsidP="00026223">
            <w:pPr>
              <w:jc w:val="both"/>
              <w:rPr>
                <w:sz w:val="20"/>
                <w:szCs w:val="20"/>
              </w:rPr>
            </w:pPr>
          </w:p>
        </w:tc>
        <w:tc>
          <w:tcPr>
            <w:tcW w:w="2344" w:type="pct"/>
          </w:tcPr>
          <w:p w:rsidR="00026223" w:rsidRPr="009C2345" w:rsidRDefault="00026223" w:rsidP="00026223">
            <w:pPr>
              <w:jc w:val="both"/>
              <w:rPr>
                <w:sz w:val="20"/>
                <w:szCs w:val="20"/>
              </w:rPr>
            </w:pPr>
            <w:r w:rsidRPr="009C2345">
              <w:rPr>
                <w:sz w:val="20"/>
                <w:szCs w:val="20"/>
              </w:rPr>
              <w:t xml:space="preserve">Motion to dismiss dismissed; decision of Canadian International Trade Tribunal found not to have authority of final judgment </w:t>
            </w:r>
          </w:p>
          <w:p w:rsidR="00026223" w:rsidRPr="009C2345" w:rsidRDefault="00026223" w:rsidP="00026223">
            <w:pPr>
              <w:jc w:val="both"/>
              <w:rPr>
                <w:sz w:val="20"/>
                <w:szCs w:val="20"/>
              </w:rPr>
            </w:pPr>
          </w:p>
          <w:p w:rsidR="00026223" w:rsidRPr="009C2345" w:rsidRDefault="00026223" w:rsidP="00026223">
            <w:pPr>
              <w:jc w:val="both"/>
              <w:rPr>
                <w:sz w:val="20"/>
                <w:szCs w:val="20"/>
              </w:rPr>
            </w:pPr>
          </w:p>
        </w:tc>
      </w:tr>
      <w:tr w:rsidR="00026223" w:rsidRPr="009C2345" w:rsidTr="00A67A3D">
        <w:tblPrEx>
          <w:tblCellMar>
            <w:bottom w:w="0" w:type="dxa"/>
          </w:tblCellMar>
        </w:tblPrEx>
        <w:tc>
          <w:tcPr>
            <w:tcW w:w="2386" w:type="pct"/>
          </w:tcPr>
          <w:p w:rsidR="00026223" w:rsidRPr="009C2345" w:rsidRDefault="00026223" w:rsidP="00026223">
            <w:pPr>
              <w:jc w:val="both"/>
              <w:rPr>
                <w:sz w:val="20"/>
                <w:szCs w:val="20"/>
              </w:rPr>
            </w:pPr>
            <w:r w:rsidRPr="009C2345">
              <w:rPr>
                <w:sz w:val="20"/>
                <w:szCs w:val="20"/>
              </w:rPr>
              <w:t>September 3, 2015</w:t>
            </w:r>
          </w:p>
          <w:p w:rsidR="00026223" w:rsidRPr="009C2345" w:rsidRDefault="00026223" w:rsidP="00026223">
            <w:pPr>
              <w:jc w:val="both"/>
              <w:rPr>
                <w:sz w:val="20"/>
                <w:szCs w:val="20"/>
              </w:rPr>
            </w:pPr>
            <w:r w:rsidRPr="009C2345">
              <w:rPr>
                <w:sz w:val="20"/>
                <w:szCs w:val="20"/>
              </w:rPr>
              <w:t>Quebec Court of Appeal (Québec)</w:t>
            </w:r>
          </w:p>
          <w:p w:rsidR="00026223" w:rsidRPr="009C2345" w:rsidRDefault="00026223" w:rsidP="00026223">
            <w:pPr>
              <w:jc w:val="both"/>
              <w:rPr>
                <w:sz w:val="20"/>
                <w:szCs w:val="20"/>
              </w:rPr>
            </w:pPr>
            <w:r w:rsidRPr="009C2345">
              <w:rPr>
                <w:sz w:val="20"/>
                <w:szCs w:val="20"/>
              </w:rPr>
              <w:t>(Rochette, Pelletier and Giroux JJ.A.)</w:t>
            </w:r>
          </w:p>
          <w:p w:rsidR="00026223" w:rsidRPr="009C2345" w:rsidRDefault="0082006E" w:rsidP="00026223">
            <w:pPr>
              <w:jc w:val="both"/>
              <w:rPr>
                <w:sz w:val="20"/>
                <w:szCs w:val="20"/>
              </w:rPr>
            </w:pPr>
            <w:hyperlink r:id="rId33" w:history="1">
              <w:r w:rsidR="00026223" w:rsidRPr="009C2345">
                <w:rPr>
                  <w:color w:val="0000FF" w:themeColor="hyperlink"/>
                  <w:sz w:val="20"/>
                  <w:szCs w:val="20"/>
                  <w:u w:val="single"/>
                </w:rPr>
                <w:t>2015 QCCA 1400</w:t>
              </w:r>
            </w:hyperlink>
          </w:p>
          <w:p w:rsidR="00026223" w:rsidRPr="009C2345" w:rsidRDefault="00026223" w:rsidP="00026223">
            <w:pPr>
              <w:jc w:val="both"/>
              <w:rPr>
                <w:sz w:val="20"/>
                <w:szCs w:val="20"/>
              </w:rPr>
            </w:pPr>
          </w:p>
        </w:tc>
        <w:tc>
          <w:tcPr>
            <w:tcW w:w="269" w:type="pct"/>
          </w:tcPr>
          <w:p w:rsidR="00026223" w:rsidRPr="009C2345" w:rsidRDefault="00026223" w:rsidP="00026223">
            <w:pPr>
              <w:jc w:val="both"/>
              <w:rPr>
                <w:sz w:val="20"/>
                <w:szCs w:val="20"/>
              </w:rPr>
            </w:pPr>
          </w:p>
        </w:tc>
        <w:tc>
          <w:tcPr>
            <w:tcW w:w="2344" w:type="pct"/>
          </w:tcPr>
          <w:p w:rsidR="00026223" w:rsidRPr="009C2345" w:rsidRDefault="00026223" w:rsidP="00026223">
            <w:pPr>
              <w:jc w:val="both"/>
              <w:rPr>
                <w:sz w:val="20"/>
                <w:szCs w:val="20"/>
              </w:rPr>
            </w:pPr>
            <w:r w:rsidRPr="009C2345">
              <w:rPr>
                <w:sz w:val="20"/>
                <w:szCs w:val="20"/>
              </w:rPr>
              <w:t xml:space="preserve">Appeal allowed; decision of Canadian International Trade Tribunal found to have authority of final judgment </w:t>
            </w:r>
          </w:p>
          <w:p w:rsidR="00026223" w:rsidRPr="009C2345" w:rsidRDefault="00026223" w:rsidP="00026223">
            <w:pPr>
              <w:jc w:val="both"/>
              <w:rPr>
                <w:sz w:val="20"/>
                <w:szCs w:val="20"/>
              </w:rPr>
            </w:pPr>
          </w:p>
          <w:p w:rsidR="00026223" w:rsidRPr="009C2345" w:rsidRDefault="00026223" w:rsidP="00026223">
            <w:pPr>
              <w:jc w:val="both"/>
              <w:rPr>
                <w:sz w:val="20"/>
                <w:szCs w:val="20"/>
              </w:rPr>
            </w:pPr>
          </w:p>
        </w:tc>
      </w:tr>
      <w:tr w:rsidR="00026223" w:rsidRPr="009C2345" w:rsidTr="00A67A3D">
        <w:tblPrEx>
          <w:tblCellMar>
            <w:bottom w:w="0" w:type="dxa"/>
          </w:tblCellMar>
        </w:tblPrEx>
        <w:tc>
          <w:tcPr>
            <w:tcW w:w="2386" w:type="pct"/>
          </w:tcPr>
          <w:p w:rsidR="00026223" w:rsidRPr="009C2345" w:rsidRDefault="00026223" w:rsidP="00026223">
            <w:pPr>
              <w:jc w:val="both"/>
              <w:rPr>
                <w:sz w:val="20"/>
                <w:szCs w:val="20"/>
              </w:rPr>
            </w:pPr>
            <w:r w:rsidRPr="009C2345">
              <w:rPr>
                <w:sz w:val="20"/>
                <w:szCs w:val="20"/>
              </w:rPr>
              <w:t>October 30, 2015</w:t>
            </w:r>
          </w:p>
          <w:p w:rsidR="00026223" w:rsidRPr="009C2345" w:rsidRDefault="00026223" w:rsidP="00026223">
            <w:pPr>
              <w:jc w:val="both"/>
              <w:rPr>
                <w:sz w:val="20"/>
                <w:szCs w:val="20"/>
              </w:rPr>
            </w:pPr>
            <w:r w:rsidRPr="009C2345">
              <w:rPr>
                <w:sz w:val="20"/>
                <w:szCs w:val="20"/>
              </w:rPr>
              <w:t>Supreme Court of Canada</w:t>
            </w:r>
          </w:p>
        </w:tc>
        <w:tc>
          <w:tcPr>
            <w:tcW w:w="269" w:type="pct"/>
          </w:tcPr>
          <w:p w:rsidR="00026223" w:rsidRPr="009C2345" w:rsidRDefault="00026223" w:rsidP="00026223">
            <w:pPr>
              <w:jc w:val="both"/>
              <w:rPr>
                <w:sz w:val="20"/>
                <w:szCs w:val="20"/>
              </w:rPr>
            </w:pPr>
          </w:p>
        </w:tc>
        <w:tc>
          <w:tcPr>
            <w:tcW w:w="2344" w:type="pct"/>
          </w:tcPr>
          <w:p w:rsidR="00026223" w:rsidRPr="009C2345" w:rsidRDefault="00026223" w:rsidP="00026223">
            <w:pPr>
              <w:jc w:val="both"/>
              <w:rPr>
                <w:sz w:val="20"/>
                <w:szCs w:val="20"/>
              </w:rPr>
            </w:pPr>
            <w:r w:rsidRPr="009C2345">
              <w:rPr>
                <w:sz w:val="20"/>
                <w:szCs w:val="20"/>
              </w:rPr>
              <w:t>Application for leave to appeal filed</w:t>
            </w:r>
          </w:p>
          <w:p w:rsidR="00026223" w:rsidRPr="009C2345" w:rsidRDefault="00026223" w:rsidP="00026223">
            <w:pPr>
              <w:jc w:val="both"/>
              <w:rPr>
                <w:sz w:val="20"/>
                <w:szCs w:val="20"/>
              </w:rPr>
            </w:pPr>
          </w:p>
        </w:tc>
      </w:tr>
    </w:tbl>
    <w:p w:rsidR="005B71FF" w:rsidRPr="009C2345" w:rsidRDefault="005B71FF" w:rsidP="000E2959">
      <w:pPr>
        <w:rPr>
          <w:sz w:val="20"/>
          <w:szCs w:val="20"/>
        </w:rPr>
      </w:pPr>
    </w:p>
    <w:p w:rsidR="005B71FF" w:rsidRPr="009C2345" w:rsidRDefault="0082006E" w:rsidP="000E2959">
      <w:pPr>
        <w:rPr>
          <w:sz w:val="20"/>
          <w:szCs w:val="20"/>
        </w:rPr>
      </w:pPr>
      <w:r>
        <w:rPr>
          <w:sz w:val="20"/>
          <w:szCs w:val="20"/>
          <w:lang w:val="fr-CA"/>
        </w:rPr>
        <w:pict>
          <v:rect id="_x0000_i1044" style="width:2in;height:1pt" o:hrpct="0" o:hralign="center" o:hrstd="t" o:hrnoshade="t" o:hr="t" fillcolor="black [3213]" stroked="f"/>
        </w:pict>
      </w:r>
    </w:p>
    <w:p w:rsidR="0069709D" w:rsidRPr="009C2345" w:rsidRDefault="0069709D" w:rsidP="0069709D">
      <w:pPr>
        <w:rPr>
          <w:sz w:val="20"/>
          <w:szCs w:val="20"/>
        </w:rPr>
      </w:pPr>
    </w:p>
    <w:p w:rsidR="0069709D" w:rsidRPr="009C2345" w:rsidRDefault="0069709D" w:rsidP="0069709D">
      <w:pPr>
        <w:rPr>
          <w:sz w:val="20"/>
          <w:szCs w:val="20"/>
          <w:u w:val="single"/>
          <w:lang w:val="fr-CA"/>
        </w:rPr>
      </w:pPr>
      <w:r w:rsidRPr="009C2345">
        <w:rPr>
          <w:sz w:val="20"/>
          <w:szCs w:val="20"/>
          <w:u w:val="single"/>
          <w:lang w:val="fr-CA"/>
        </w:rPr>
        <w:t>RÉSUMÉ DE L’AFFAIRE</w:t>
      </w:r>
    </w:p>
    <w:p w:rsidR="0069709D" w:rsidRPr="009C2345" w:rsidRDefault="0069709D" w:rsidP="0069709D">
      <w:pPr>
        <w:rPr>
          <w:sz w:val="20"/>
          <w:szCs w:val="20"/>
        </w:rPr>
      </w:pPr>
    </w:p>
    <w:tbl>
      <w:tblPr>
        <w:tblW w:w="5006" w:type="pct"/>
        <w:tblLayout w:type="fixed"/>
        <w:tblCellMar>
          <w:left w:w="0" w:type="dxa"/>
          <w:bottom w:w="99" w:type="dxa"/>
          <w:right w:w="0" w:type="dxa"/>
        </w:tblCellMar>
        <w:tblLook w:val="04A0" w:firstRow="1" w:lastRow="0" w:firstColumn="1" w:lastColumn="0" w:noHBand="0" w:noVBand="1"/>
      </w:tblPr>
      <w:tblGrid>
        <w:gridCol w:w="4554"/>
        <w:gridCol w:w="514"/>
        <w:gridCol w:w="4563"/>
      </w:tblGrid>
      <w:tr w:rsidR="00C90F6C" w:rsidRPr="0082006E" w:rsidTr="00525901">
        <w:tc>
          <w:tcPr>
            <w:tcW w:w="5000" w:type="pct"/>
            <w:gridSpan w:val="3"/>
          </w:tcPr>
          <w:p w:rsidR="00C90F6C" w:rsidRPr="009C2345" w:rsidRDefault="00C90F6C" w:rsidP="00C90F6C">
            <w:pPr>
              <w:jc w:val="both"/>
              <w:rPr>
                <w:sz w:val="20"/>
                <w:szCs w:val="20"/>
                <w:lang w:val="fr-CA"/>
              </w:rPr>
            </w:pPr>
            <w:r w:rsidRPr="009C2345">
              <w:rPr>
                <w:sz w:val="20"/>
                <w:szCs w:val="20"/>
                <w:lang w:val="fr-CA"/>
              </w:rPr>
              <w:t xml:space="preserve">Droit administratif – Tribunal canadien du commerce extérieur – Procédure civile – Moyen de non-recevabilité – Chose jugée – Un fournisseur potentiel intente une action en dommages devant la Cour supérieure du Québec après le rejet de sa plainte au Tribunal canadien du commerce extérieur – Les décisions du Tribunal canadien du commerce extérieur peuvent-elles être qualifiées de décisions judiciaires jouissant de l’autorité de la chose jugée au sens de l’article 2848 </w:t>
            </w:r>
            <w:r w:rsidRPr="009C2345">
              <w:rPr>
                <w:i/>
                <w:sz w:val="20"/>
                <w:szCs w:val="20"/>
                <w:lang w:val="fr-CA"/>
              </w:rPr>
              <w:t>C.c.Q</w:t>
            </w:r>
            <w:r w:rsidRPr="009C2345">
              <w:rPr>
                <w:sz w:val="20"/>
                <w:szCs w:val="20"/>
                <w:lang w:val="fr-CA"/>
              </w:rPr>
              <w:t>. alors qu’il détient le pouvoir d’émettre des recommandations et non des ordonnances exécutoires? – Une plainte déposée au Tribunal canadien du commerce extérieur exclut-elle un recours devant les tribunaux provinciaux?</w:t>
            </w:r>
          </w:p>
        </w:tc>
      </w:tr>
      <w:tr w:rsidR="00C90F6C" w:rsidRPr="0082006E" w:rsidTr="00525901">
        <w:tc>
          <w:tcPr>
            <w:tcW w:w="5000" w:type="pct"/>
            <w:gridSpan w:val="3"/>
          </w:tcPr>
          <w:p w:rsidR="00C90F6C" w:rsidRPr="009C2345" w:rsidRDefault="00C90F6C" w:rsidP="00C90F6C">
            <w:pPr>
              <w:jc w:val="both"/>
              <w:rPr>
                <w:sz w:val="20"/>
                <w:szCs w:val="20"/>
                <w:lang w:val="fr-CA"/>
              </w:rPr>
            </w:pPr>
          </w:p>
        </w:tc>
      </w:tr>
      <w:tr w:rsidR="00C90F6C" w:rsidRPr="0082006E" w:rsidTr="00525901">
        <w:tc>
          <w:tcPr>
            <w:tcW w:w="5000" w:type="pct"/>
            <w:gridSpan w:val="3"/>
          </w:tcPr>
          <w:p w:rsidR="00C90F6C" w:rsidRPr="009C2345" w:rsidRDefault="00C90F6C" w:rsidP="00C90F6C">
            <w:pPr>
              <w:jc w:val="both"/>
              <w:rPr>
                <w:sz w:val="20"/>
                <w:szCs w:val="20"/>
                <w:lang w:val="fr-CA"/>
              </w:rPr>
            </w:pPr>
            <w:r w:rsidRPr="009C2345">
              <w:rPr>
                <w:sz w:val="20"/>
                <w:szCs w:val="20"/>
                <w:lang w:val="fr-CA"/>
              </w:rPr>
              <w:t xml:space="preserve">Suite à un appel d’offres du ministère des Travaux publics et des services gouvernementaux du Canada, la demanderesse dépose une plainte devant le Tribunal canadien du commerce extérieur, alléguant que cet appel d’offres crée un obstacle au commerce intérieur et qu’elle est discriminatoire. Le 13 juin 2011, une décision est rendue et il est déterminé que la plainte est non fondée. </w:t>
            </w:r>
          </w:p>
          <w:p w:rsidR="00C90F6C" w:rsidRPr="009C2345" w:rsidRDefault="00C90F6C" w:rsidP="00C90F6C">
            <w:pPr>
              <w:jc w:val="both"/>
              <w:rPr>
                <w:sz w:val="20"/>
                <w:szCs w:val="20"/>
                <w:lang w:val="fr-CA"/>
              </w:rPr>
            </w:pPr>
          </w:p>
          <w:p w:rsidR="00C90F6C" w:rsidRPr="009C2345" w:rsidRDefault="00C90F6C" w:rsidP="00C90F6C">
            <w:pPr>
              <w:jc w:val="both"/>
              <w:rPr>
                <w:sz w:val="20"/>
                <w:szCs w:val="20"/>
                <w:lang w:val="fr-CA"/>
              </w:rPr>
            </w:pPr>
            <w:r w:rsidRPr="009C2345">
              <w:rPr>
                <w:sz w:val="20"/>
                <w:szCs w:val="20"/>
                <w:lang w:val="fr-CA"/>
              </w:rPr>
              <w:t>La demanderesse intente une action devant la Cour supérieure du Québec, dans le but d’obtenir des dommages du fait qu’elle n’a pas</w:t>
            </w:r>
            <w:r w:rsidR="00CD674C" w:rsidRPr="009C2345">
              <w:rPr>
                <w:sz w:val="20"/>
                <w:szCs w:val="20"/>
                <w:lang w:val="fr-CA"/>
              </w:rPr>
              <w:t xml:space="preserve"> obtenus ladite offre. L’intimé</w:t>
            </w:r>
            <w:r w:rsidRPr="009C2345">
              <w:rPr>
                <w:sz w:val="20"/>
                <w:szCs w:val="20"/>
                <w:lang w:val="fr-CA"/>
              </w:rPr>
              <w:t xml:space="preserve"> dépose une requête en irrecevabilité, sur la base que le litige a déjà été tranché par le Tribunal canadien du commerce extérieur et donc, que cette décision devrait avoir autorité de chose jugée devant la Cour supérieure du Québec. </w:t>
            </w:r>
          </w:p>
          <w:p w:rsidR="00C90F6C" w:rsidRPr="009C2345" w:rsidRDefault="00C90F6C" w:rsidP="00C90F6C">
            <w:pPr>
              <w:jc w:val="both"/>
              <w:rPr>
                <w:sz w:val="20"/>
                <w:szCs w:val="20"/>
                <w:lang w:val="fr-CA"/>
              </w:rPr>
            </w:pPr>
          </w:p>
        </w:tc>
      </w:tr>
      <w:tr w:rsidR="00C90F6C" w:rsidRPr="009C2345" w:rsidTr="00525901">
        <w:tblPrEx>
          <w:tblCellMar>
            <w:bottom w:w="0" w:type="dxa"/>
          </w:tblCellMar>
        </w:tblPrEx>
        <w:tc>
          <w:tcPr>
            <w:tcW w:w="2364" w:type="pct"/>
          </w:tcPr>
          <w:p w:rsidR="00C90F6C" w:rsidRPr="009C2345" w:rsidRDefault="00C90F6C" w:rsidP="00C90F6C">
            <w:pPr>
              <w:jc w:val="both"/>
              <w:rPr>
                <w:sz w:val="20"/>
                <w:szCs w:val="20"/>
                <w:lang w:val="fr-CA"/>
              </w:rPr>
            </w:pPr>
            <w:r w:rsidRPr="009C2345">
              <w:rPr>
                <w:sz w:val="20"/>
                <w:szCs w:val="20"/>
                <w:lang w:val="fr-CA"/>
              </w:rPr>
              <w:t xml:space="preserve">Le 13 juin 2011 </w:t>
            </w:r>
          </w:p>
          <w:p w:rsidR="00C90F6C" w:rsidRPr="009C2345" w:rsidRDefault="00C90F6C" w:rsidP="00C90F6C">
            <w:pPr>
              <w:jc w:val="both"/>
              <w:rPr>
                <w:sz w:val="20"/>
                <w:szCs w:val="20"/>
                <w:lang w:val="fr-CA"/>
              </w:rPr>
            </w:pPr>
            <w:r w:rsidRPr="009C2345">
              <w:rPr>
                <w:sz w:val="20"/>
                <w:szCs w:val="20"/>
                <w:lang w:val="fr-CA"/>
              </w:rPr>
              <w:t>Tribunal canadien du commerce extérieur</w:t>
            </w:r>
          </w:p>
          <w:p w:rsidR="00C90F6C" w:rsidRPr="009C2345" w:rsidRDefault="00C90F6C" w:rsidP="00C90F6C">
            <w:pPr>
              <w:jc w:val="both"/>
              <w:rPr>
                <w:sz w:val="20"/>
                <w:szCs w:val="20"/>
                <w:lang w:val="fr-CA"/>
              </w:rPr>
            </w:pPr>
            <w:r w:rsidRPr="009C2345">
              <w:rPr>
                <w:sz w:val="20"/>
                <w:szCs w:val="20"/>
                <w:lang w:val="fr-CA"/>
              </w:rPr>
              <w:t xml:space="preserve">Serge Fréchette </w:t>
            </w:r>
          </w:p>
          <w:p w:rsidR="00C90F6C" w:rsidRPr="009C2345" w:rsidRDefault="00C90F6C" w:rsidP="00C90F6C">
            <w:pPr>
              <w:jc w:val="both"/>
              <w:rPr>
                <w:sz w:val="20"/>
                <w:szCs w:val="20"/>
                <w:lang w:val="fr-CA"/>
              </w:rPr>
            </w:pPr>
            <w:r w:rsidRPr="009C2345">
              <w:rPr>
                <w:sz w:val="20"/>
                <w:szCs w:val="20"/>
                <w:lang w:val="fr-CA"/>
              </w:rPr>
              <w:t>No. PR-2010-086 (</w:t>
            </w:r>
            <w:hyperlink r:id="rId34" w:history="1">
              <w:r w:rsidRPr="009C2345">
                <w:rPr>
                  <w:color w:val="0000FF" w:themeColor="hyperlink"/>
                  <w:sz w:val="20"/>
                  <w:szCs w:val="20"/>
                  <w:u w:val="single"/>
                  <w:lang w:val="fr-CA"/>
                </w:rPr>
                <w:t>2011 CanLII 93786</w:t>
              </w:r>
            </w:hyperlink>
            <w:r w:rsidRPr="009C2345">
              <w:rPr>
                <w:sz w:val="20"/>
                <w:szCs w:val="20"/>
                <w:lang w:val="fr-CA"/>
              </w:rPr>
              <w:t>)</w:t>
            </w:r>
          </w:p>
          <w:p w:rsidR="00C90F6C" w:rsidRPr="009C2345" w:rsidRDefault="00C90F6C" w:rsidP="00C90F6C">
            <w:pPr>
              <w:jc w:val="both"/>
              <w:rPr>
                <w:sz w:val="20"/>
                <w:szCs w:val="20"/>
                <w:lang w:val="fr-CA"/>
              </w:rPr>
            </w:pPr>
          </w:p>
        </w:tc>
        <w:tc>
          <w:tcPr>
            <w:tcW w:w="267" w:type="pct"/>
          </w:tcPr>
          <w:p w:rsidR="00C90F6C" w:rsidRPr="009C2345" w:rsidRDefault="00C90F6C" w:rsidP="00C90F6C">
            <w:pPr>
              <w:jc w:val="both"/>
              <w:rPr>
                <w:sz w:val="20"/>
                <w:szCs w:val="20"/>
                <w:lang w:val="fr-CA"/>
              </w:rPr>
            </w:pPr>
          </w:p>
        </w:tc>
        <w:tc>
          <w:tcPr>
            <w:tcW w:w="2369" w:type="pct"/>
          </w:tcPr>
          <w:p w:rsidR="00C90F6C" w:rsidRPr="009C2345" w:rsidRDefault="00C90F6C" w:rsidP="00C90F6C">
            <w:pPr>
              <w:jc w:val="both"/>
              <w:rPr>
                <w:sz w:val="20"/>
                <w:szCs w:val="20"/>
                <w:lang w:val="fr-CA"/>
              </w:rPr>
            </w:pPr>
            <w:r w:rsidRPr="009C2345">
              <w:rPr>
                <w:sz w:val="20"/>
                <w:szCs w:val="20"/>
                <w:lang w:val="fr-CA"/>
              </w:rPr>
              <w:t>Plainte rejetée.</w:t>
            </w:r>
          </w:p>
          <w:p w:rsidR="00C90F6C" w:rsidRPr="009C2345" w:rsidRDefault="00C90F6C" w:rsidP="00C90F6C">
            <w:pPr>
              <w:jc w:val="both"/>
              <w:rPr>
                <w:sz w:val="20"/>
                <w:szCs w:val="20"/>
                <w:lang w:val="fr-CA"/>
              </w:rPr>
            </w:pPr>
          </w:p>
        </w:tc>
      </w:tr>
      <w:tr w:rsidR="00C90F6C" w:rsidRPr="0082006E" w:rsidTr="00525901">
        <w:tblPrEx>
          <w:tblCellMar>
            <w:bottom w:w="0" w:type="dxa"/>
          </w:tblCellMar>
        </w:tblPrEx>
        <w:tc>
          <w:tcPr>
            <w:tcW w:w="2364" w:type="pct"/>
          </w:tcPr>
          <w:p w:rsidR="00C90F6C" w:rsidRPr="009C2345" w:rsidRDefault="00C90F6C" w:rsidP="00C90F6C">
            <w:pPr>
              <w:jc w:val="both"/>
              <w:rPr>
                <w:sz w:val="20"/>
                <w:szCs w:val="20"/>
                <w:lang w:val="fr-CA"/>
              </w:rPr>
            </w:pPr>
            <w:r w:rsidRPr="009C2345">
              <w:rPr>
                <w:sz w:val="20"/>
                <w:szCs w:val="20"/>
                <w:lang w:val="fr-CA"/>
              </w:rPr>
              <w:t>Le 15 juillet 2014</w:t>
            </w:r>
          </w:p>
          <w:p w:rsidR="00C90F6C" w:rsidRPr="009C2345" w:rsidRDefault="00C90F6C" w:rsidP="00C90F6C">
            <w:pPr>
              <w:jc w:val="both"/>
              <w:rPr>
                <w:sz w:val="20"/>
                <w:szCs w:val="20"/>
                <w:lang w:val="fr-CA"/>
              </w:rPr>
            </w:pPr>
            <w:r w:rsidRPr="009C2345">
              <w:rPr>
                <w:sz w:val="20"/>
                <w:szCs w:val="20"/>
                <w:lang w:val="fr-CA"/>
              </w:rPr>
              <w:t>Cour supérieure du Québec</w:t>
            </w:r>
          </w:p>
          <w:p w:rsidR="00C90F6C" w:rsidRPr="009C2345" w:rsidRDefault="00C90F6C" w:rsidP="00C90F6C">
            <w:pPr>
              <w:jc w:val="both"/>
              <w:rPr>
                <w:sz w:val="20"/>
                <w:szCs w:val="20"/>
                <w:lang w:val="fr-CA"/>
              </w:rPr>
            </w:pPr>
            <w:r w:rsidRPr="009C2345">
              <w:rPr>
                <w:sz w:val="20"/>
                <w:szCs w:val="20"/>
                <w:lang w:val="fr-CA"/>
              </w:rPr>
              <w:t>(La juge Bouchard)</w:t>
            </w:r>
          </w:p>
          <w:p w:rsidR="00C90F6C" w:rsidRPr="009C2345" w:rsidRDefault="0082006E" w:rsidP="00C90F6C">
            <w:pPr>
              <w:jc w:val="both"/>
              <w:rPr>
                <w:sz w:val="20"/>
                <w:szCs w:val="20"/>
                <w:u w:val="single"/>
                <w:lang w:val="fr-CA"/>
              </w:rPr>
            </w:pPr>
            <w:hyperlink r:id="rId35" w:history="1">
              <w:r w:rsidR="00C90F6C" w:rsidRPr="009C2345">
                <w:rPr>
                  <w:color w:val="0000FF" w:themeColor="hyperlink"/>
                  <w:sz w:val="20"/>
                  <w:szCs w:val="20"/>
                  <w:u w:val="single"/>
                  <w:lang w:val="fr-CA"/>
                </w:rPr>
                <w:t>2014 QCCS 3451</w:t>
              </w:r>
            </w:hyperlink>
          </w:p>
          <w:p w:rsidR="00C90F6C" w:rsidRPr="009C2345" w:rsidRDefault="00C90F6C" w:rsidP="00C90F6C">
            <w:pPr>
              <w:jc w:val="both"/>
              <w:rPr>
                <w:sz w:val="20"/>
                <w:szCs w:val="20"/>
                <w:lang w:val="fr-CA"/>
              </w:rPr>
            </w:pPr>
          </w:p>
        </w:tc>
        <w:tc>
          <w:tcPr>
            <w:tcW w:w="267" w:type="pct"/>
          </w:tcPr>
          <w:p w:rsidR="00C90F6C" w:rsidRPr="009C2345" w:rsidRDefault="00C90F6C" w:rsidP="00C90F6C">
            <w:pPr>
              <w:jc w:val="both"/>
              <w:rPr>
                <w:sz w:val="20"/>
                <w:szCs w:val="20"/>
                <w:lang w:val="fr-CA"/>
              </w:rPr>
            </w:pPr>
          </w:p>
        </w:tc>
        <w:tc>
          <w:tcPr>
            <w:tcW w:w="2369" w:type="pct"/>
          </w:tcPr>
          <w:p w:rsidR="00C90F6C" w:rsidRPr="009C2345" w:rsidRDefault="00C90F6C" w:rsidP="00C90F6C">
            <w:pPr>
              <w:jc w:val="both"/>
              <w:rPr>
                <w:sz w:val="20"/>
                <w:szCs w:val="20"/>
                <w:lang w:val="fr-CA"/>
              </w:rPr>
            </w:pPr>
            <w:r w:rsidRPr="009C2345">
              <w:rPr>
                <w:sz w:val="20"/>
                <w:szCs w:val="20"/>
                <w:lang w:val="fr-CA"/>
              </w:rPr>
              <w:t xml:space="preserve">Requête en irrecevabilité rejetée; décision du Tribunal canadien du commerce extérieur ne jouit pas de l’autorité de la chose jugée. </w:t>
            </w:r>
          </w:p>
          <w:p w:rsidR="00C90F6C" w:rsidRPr="009C2345" w:rsidRDefault="00C90F6C" w:rsidP="00C90F6C">
            <w:pPr>
              <w:jc w:val="both"/>
              <w:rPr>
                <w:sz w:val="20"/>
                <w:szCs w:val="20"/>
                <w:lang w:val="fr-CA"/>
              </w:rPr>
            </w:pPr>
          </w:p>
          <w:p w:rsidR="00C90F6C" w:rsidRPr="009C2345" w:rsidRDefault="00C90F6C" w:rsidP="00C90F6C">
            <w:pPr>
              <w:jc w:val="both"/>
              <w:rPr>
                <w:sz w:val="20"/>
                <w:szCs w:val="20"/>
                <w:lang w:val="fr-CA"/>
              </w:rPr>
            </w:pPr>
          </w:p>
        </w:tc>
      </w:tr>
      <w:tr w:rsidR="00C90F6C" w:rsidRPr="0082006E" w:rsidTr="00525901">
        <w:tblPrEx>
          <w:tblCellMar>
            <w:bottom w:w="0" w:type="dxa"/>
          </w:tblCellMar>
        </w:tblPrEx>
        <w:tc>
          <w:tcPr>
            <w:tcW w:w="2364" w:type="pct"/>
          </w:tcPr>
          <w:p w:rsidR="00C90F6C" w:rsidRPr="009C2345" w:rsidRDefault="00C90F6C" w:rsidP="00C90F6C">
            <w:pPr>
              <w:jc w:val="both"/>
              <w:rPr>
                <w:sz w:val="20"/>
                <w:szCs w:val="20"/>
                <w:lang w:val="fr-CA"/>
              </w:rPr>
            </w:pPr>
            <w:r w:rsidRPr="009C2345">
              <w:rPr>
                <w:sz w:val="20"/>
                <w:szCs w:val="20"/>
                <w:lang w:val="fr-CA"/>
              </w:rPr>
              <w:t>Le 3 septembre 2015</w:t>
            </w:r>
          </w:p>
          <w:p w:rsidR="00C90F6C" w:rsidRPr="009C2345" w:rsidRDefault="00C90F6C" w:rsidP="00C90F6C">
            <w:pPr>
              <w:jc w:val="both"/>
              <w:rPr>
                <w:sz w:val="20"/>
                <w:szCs w:val="20"/>
                <w:lang w:val="fr-CA"/>
              </w:rPr>
            </w:pPr>
            <w:r w:rsidRPr="009C2345">
              <w:rPr>
                <w:sz w:val="20"/>
                <w:szCs w:val="20"/>
                <w:lang w:val="fr-CA"/>
              </w:rPr>
              <w:t>Cour d’appel du Québec (Québec)</w:t>
            </w:r>
          </w:p>
          <w:p w:rsidR="00C90F6C" w:rsidRPr="009C2345" w:rsidRDefault="00C90F6C" w:rsidP="00C90F6C">
            <w:pPr>
              <w:jc w:val="both"/>
              <w:rPr>
                <w:sz w:val="20"/>
                <w:szCs w:val="20"/>
                <w:lang w:val="fr-CA"/>
              </w:rPr>
            </w:pPr>
            <w:r w:rsidRPr="009C2345">
              <w:rPr>
                <w:sz w:val="20"/>
                <w:szCs w:val="20"/>
                <w:lang w:val="fr-CA"/>
              </w:rPr>
              <w:t>(Les juges Rochette, Pelletier et Giroux)</w:t>
            </w:r>
          </w:p>
          <w:p w:rsidR="00C90F6C" w:rsidRPr="009C2345" w:rsidRDefault="0082006E" w:rsidP="00C90F6C">
            <w:pPr>
              <w:jc w:val="both"/>
              <w:rPr>
                <w:sz w:val="20"/>
                <w:szCs w:val="20"/>
                <w:u w:val="single"/>
                <w:lang w:val="fr-CA"/>
              </w:rPr>
            </w:pPr>
            <w:hyperlink r:id="rId36" w:history="1">
              <w:r w:rsidR="00C90F6C" w:rsidRPr="009C2345">
                <w:rPr>
                  <w:color w:val="0000FF" w:themeColor="hyperlink"/>
                  <w:sz w:val="20"/>
                  <w:szCs w:val="20"/>
                  <w:u w:val="single"/>
                  <w:lang w:val="fr-CA"/>
                </w:rPr>
                <w:t>2015 QCCA 1400</w:t>
              </w:r>
            </w:hyperlink>
          </w:p>
          <w:p w:rsidR="00C90F6C" w:rsidRPr="009C2345" w:rsidRDefault="00C90F6C" w:rsidP="00C90F6C">
            <w:pPr>
              <w:jc w:val="both"/>
              <w:rPr>
                <w:sz w:val="20"/>
                <w:szCs w:val="20"/>
                <w:lang w:val="fr-CA"/>
              </w:rPr>
            </w:pPr>
          </w:p>
        </w:tc>
        <w:tc>
          <w:tcPr>
            <w:tcW w:w="267" w:type="pct"/>
          </w:tcPr>
          <w:p w:rsidR="00C90F6C" w:rsidRPr="009C2345" w:rsidRDefault="00C90F6C" w:rsidP="00C90F6C">
            <w:pPr>
              <w:jc w:val="both"/>
              <w:rPr>
                <w:sz w:val="20"/>
                <w:szCs w:val="20"/>
                <w:lang w:val="fr-CA"/>
              </w:rPr>
            </w:pPr>
          </w:p>
        </w:tc>
        <w:tc>
          <w:tcPr>
            <w:tcW w:w="2369" w:type="pct"/>
          </w:tcPr>
          <w:p w:rsidR="00C90F6C" w:rsidRPr="009C2345" w:rsidRDefault="00C90F6C" w:rsidP="00C90F6C">
            <w:pPr>
              <w:jc w:val="both"/>
              <w:rPr>
                <w:sz w:val="20"/>
                <w:szCs w:val="20"/>
                <w:lang w:val="fr-CA"/>
              </w:rPr>
            </w:pPr>
            <w:r w:rsidRPr="009C2345">
              <w:rPr>
                <w:sz w:val="20"/>
                <w:szCs w:val="20"/>
                <w:lang w:val="fr-CA"/>
              </w:rPr>
              <w:t xml:space="preserve">Appel accueilli; décision du Tribunal canadien du commerce extérieur jouit de l’autorité de la chose jugée. </w:t>
            </w:r>
          </w:p>
          <w:p w:rsidR="00C90F6C" w:rsidRPr="009C2345" w:rsidRDefault="00C90F6C" w:rsidP="00C90F6C">
            <w:pPr>
              <w:jc w:val="both"/>
              <w:rPr>
                <w:sz w:val="20"/>
                <w:szCs w:val="20"/>
                <w:lang w:val="fr-CA"/>
              </w:rPr>
            </w:pPr>
          </w:p>
          <w:p w:rsidR="00C90F6C" w:rsidRPr="009C2345" w:rsidRDefault="00C90F6C" w:rsidP="00C90F6C">
            <w:pPr>
              <w:jc w:val="both"/>
              <w:rPr>
                <w:sz w:val="20"/>
                <w:szCs w:val="20"/>
                <w:lang w:val="fr-CA"/>
              </w:rPr>
            </w:pPr>
          </w:p>
        </w:tc>
      </w:tr>
      <w:tr w:rsidR="00C90F6C" w:rsidRPr="009C2345" w:rsidTr="00525901">
        <w:tblPrEx>
          <w:tblCellMar>
            <w:bottom w:w="0" w:type="dxa"/>
          </w:tblCellMar>
        </w:tblPrEx>
        <w:tc>
          <w:tcPr>
            <w:tcW w:w="2364" w:type="pct"/>
          </w:tcPr>
          <w:p w:rsidR="00C90F6C" w:rsidRPr="009C2345" w:rsidRDefault="00C90F6C" w:rsidP="00C90F6C">
            <w:pPr>
              <w:jc w:val="both"/>
              <w:rPr>
                <w:sz w:val="20"/>
                <w:szCs w:val="20"/>
                <w:lang w:val="fr-CA"/>
              </w:rPr>
            </w:pPr>
            <w:r w:rsidRPr="009C2345">
              <w:rPr>
                <w:sz w:val="20"/>
                <w:szCs w:val="20"/>
                <w:lang w:val="fr-CA"/>
              </w:rPr>
              <w:t>Le 30 octobre 2015</w:t>
            </w:r>
          </w:p>
          <w:p w:rsidR="00C90F6C" w:rsidRPr="009C2345" w:rsidRDefault="00C90F6C" w:rsidP="00C90F6C">
            <w:pPr>
              <w:jc w:val="both"/>
              <w:rPr>
                <w:sz w:val="20"/>
                <w:szCs w:val="20"/>
                <w:lang w:val="fr-CA"/>
              </w:rPr>
            </w:pPr>
            <w:r w:rsidRPr="009C2345">
              <w:rPr>
                <w:sz w:val="20"/>
                <w:szCs w:val="20"/>
                <w:lang w:val="fr-CA"/>
              </w:rPr>
              <w:t>Cour suprême du Canada</w:t>
            </w:r>
          </w:p>
        </w:tc>
        <w:tc>
          <w:tcPr>
            <w:tcW w:w="267" w:type="pct"/>
          </w:tcPr>
          <w:p w:rsidR="00C90F6C" w:rsidRPr="009C2345" w:rsidRDefault="00C90F6C" w:rsidP="00C90F6C">
            <w:pPr>
              <w:jc w:val="both"/>
              <w:rPr>
                <w:sz w:val="20"/>
                <w:szCs w:val="20"/>
                <w:lang w:val="fr-CA"/>
              </w:rPr>
            </w:pPr>
          </w:p>
        </w:tc>
        <w:tc>
          <w:tcPr>
            <w:tcW w:w="2369" w:type="pct"/>
          </w:tcPr>
          <w:p w:rsidR="00C90F6C" w:rsidRPr="009C2345" w:rsidRDefault="00C90F6C" w:rsidP="00C90F6C">
            <w:pPr>
              <w:jc w:val="both"/>
              <w:rPr>
                <w:sz w:val="20"/>
                <w:szCs w:val="20"/>
                <w:lang w:val="fr-CA"/>
              </w:rPr>
            </w:pPr>
            <w:r w:rsidRPr="009C2345">
              <w:rPr>
                <w:sz w:val="20"/>
                <w:szCs w:val="20"/>
                <w:lang w:val="fr-CA"/>
              </w:rPr>
              <w:t>Demande d’autorisation d’appel déposée.</w:t>
            </w:r>
          </w:p>
          <w:p w:rsidR="00C90F6C" w:rsidRPr="009C2345" w:rsidRDefault="00C90F6C" w:rsidP="00C90F6C">
            <w:pPr>
              <w:jc w:val="both"/>
              <w:rPr>
                <w:sz w:val="20"/>
                <w:szCs w:val="20"/>
                <w:lang w:val="fr-CA"/>
              </w:rPr>
            </w:pPr>
          </w:p>
        </w:tc>
      </w:tr>
    </w:tbl>
    <w:p w:rsidR="0069709D" w:rsidRPr="009C2345" w:rsidRDefault="0069709D" w:rsidP="008D292F">
      <w:pPr>
        <w:rPr>
          <w:sz w:val="20"/>
          <w:szCs w:val="20"/>
          <w:lang w:val="fr-CA"/>
        </w:rPr>
      </w:pPr>
    </w:p>
    <w:p w:rsidR="0069709D" w:rsidRPr="009C2345" w:rsidRDefault="0082006E" w:rsidP="008D292F">
      <w:pPr>
        <w:rPr>
          <w:sz w:val="20"/>
          <w:szCs w:val="20"/>
          <w:lang w:val="fr-CA"/>
        </w:rPr>
      </w:pPr>
      <w:r>
        <w:rPr>
          <w:sz w:val="20"/>
          <w:szCs w:val="20"/>
          <w:lang w:val="fr-CA"/>
        </w:rPr>
        <w:pict>
          <v:rect id="_x0000_i1045" style="width:2in;height:1pt" o:hrpct="0" o:hralign="center" o:hrstd="t" o:hrnoshade="t" o:hr="t" fillcolor="black [3213]" stroked="f"/>
        </w:pict>
      </w:r>
    </w:p>
    <w:p w:rsidR="0069709D" w:rsidRPr="009C2345" w:rsidRDefault="0069709D" w:rsidP="008D292F">
      <w:pPr>
        <w:rPr>
          <w:sz w:val="20"/>
          <w:szCs w:val="20"/>
          <w:lang w:val="fr-CA"/>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082"/>
      </w:tblGrid>
      <w:tr w:rsidR="000B39F0" w:rsidRPr="00A67A3D" w:rsidTr="00525901">
        <w:trPr>
          <w:cantSplit/>
          <w:trHeight w:val="608"/>
        </w:trPr>
        <w:tc>
          <w:tcPr>
            <w:tcW w:w="1458" w:type="dxa"/>
          </w:tcPr>
          <w:p w:rsidR="000B39F0" w:rsidRPr="00A67A3D" w:rsidRDefault="000B39F0" w:rsidP="00017A3C">
            <w:pPr>
              <w:rPr>
                <w:rFonts w:cs="Times New Roman"/>
                <w:sz w:val="20"/>
                <w:szCs w:val="20"/>
              </w:rPr>
            </w:pPr>
            <w:r w:rsidRPr="00A67A3D">
              <w:rPr>
                <w:rStyle w:val="SCCFileNumberChar"/>
                <w:sz w:val="20"/>
                <w:szCs w:val="20"/>
              </w:rPr>
              <w:t>36703</w:t>
            </w:r>
          </w:p>
          <w:p w:rsidR="000B39F0" w:rsidRPr="00A67A3D" w:rsidRDefault="000B39F0" w:rsidP="00017A3C">
            <w:pPr>
              <w:rPr>
                <w:rFonts w:cs="Times New Roman"/>
                <w:b/>
                <w:sz w:val="20"/>
                <w:szCs w:val="20"/>
                <w:lang w:val="fr-CA"/>
              </w:rPr>
            </w:pPr>
          </w:p>
        </w:tc>
        <w:tc>
          <w:tcPr>
            <w:tcW w:w="8082" w:type="dxa"/>
          </w:tcPr>
          <w:p w:rsidR="000B39F0" w:rsidRPr="00A67A3D" w:rsidRDefault="00640F12" w:rsidP="004E6EF3">
            <w:pPr>
              <w:jc w:val="both"/>
              <w:rPr>
                <w:rFonts w:cs="Times New Roman"/>
                <w:sz w:val="20"/>
                <w:szCs w:val="20"/>
              </w:rPr>
            </w:pPr>
            <w:r w:rsidRPr="00A67A3D">
              <w:rPr>
                <w:rFonts w:cs="Times New Roman"/>
                <w:b/>
                <w:sz w:val="20"/>
                <w:szCs w:val="20"/>
                <w:u w:val="single"/>
              </w:rPr>
              <w:t xml:space="preserve">Mohsen Saadati, by his litigation </w:t>
            </w:r>
            <w:r w:rsidR="008008E0" w:rsidRPr="00A67A3D">
              <w:rPr>
                <w:rFonts w:cs="Times New Roman"/>
                <w:b/>
                <w:sz w:val="20"/>
                <w:szCs w:val="20"/>
                <w:u w:val="single"/>
              </w:rPr>
              <w:t>G</w:t>
            </w:r>
            <w:r w:rsidRPr="00A67A3D">
              <w:rPr>
                <w:rFonts w:cs="Times New Roman"/>
                <w:b/>
                <w:sz w:val="20"/>
                <w:szCs w:val="20"/>
                <w:u w:val="single"/>
              </w:rPr>
              <w:t>uardian, Sara Zarei v. Grant Iain Moorhead</w:t>
            </w:r>
            <w:r w:rsidR="00733B0A" w:rsidRPr="00A67A3D">
              <w:rPr>
                <w:rFonts w:cs="Times New Roman"/>
                <w:b/>
                <w:sz w:val="20"/>
                <w:szCs w:val="20"/>
                <w:u w:val="single"/>
              </w:rPr>
              <w:t>,</w:t>
            </w:r>
            <w:r w:rsidRPr="00A67A3D">
              <w:rPr>
                <w:rFonts w:cs="Times New Roman"/>
                <w:b/>
                <w:sz w:val="20"/>
                <w:szCs w:val="20"/>
                <w:u w:val="single"/>
              </w:rPr>
              <w:t xml:space="preserve"> Able Leasing (2001) Ltd. and Thi Hao Hoang</w:t>
            </w:r>
            <w:r w:rsidRPr="00A67A3D">
              <w:rPr>
                <w:rFonts w:cs="Times New Roman"/>
                <w:sz w:val="20"/>
                <w:szCs w:val="20"/>
              </w:rPr>
              <w:t xml:space="preserve"> (B.C.) (Civil) (By Leave)</w:t>
            </w:r>
          </w:p>
          <w:p w:rsidR="000B39F0" w:rsidRPr="00A67A3D" w:rsidRDefault="000B39F0" w:rsidP="00017A3C">
            <w:pPr>
              <w:rPr>
                <w:rFonts w:cs="Times New Roman"/>
                <w:sz w:val="20"/>
                <w:szCs w:val="20"/>
              </w:rPr>
            </w:pPr>
          </w:p>
        </w:tc>
      </w:tr>
      <w:tr w:rsidR="000B39F0" w:rsidRPr="00A67A3D" w:rsidTr="00525901">
        <w:trPr>
          <w:cantSplit/>
        </w:trPr>
        <w:tc>
          <w:tcPr>
            <w:tcW w:w="1458" w:type="dxa"/>
          </w:tcPr>
          <w:p w:rsidR="000B39F0" w:rsidRPr="00A67A3D" w:rsidRDefault="000B39F0" w:rsidP="00017A3C">
            <w:pPr>
              <w:rPr>
                <w:rFonts w:cs="Times New Roman"/>
                <w:sz w:val="20"/>
                <w:szCs w:val="20"/>
              </w:rPr>
            </w:pPr>
            <w:r w:rsidRPr="00A67A3D">
              <w:rPr>
                <w:rFonts w:cs="Times New Roman"/>
                <w:sz w:val="20"/>
                <w:szCs w:val="20"/>
              </w:rPr>
              <w:t>Coram :</w:t>
            </w:r>
          </w:p>
        </w:tc>
        <w:tc>
          <w:tcPr>
            <w:tcW w:w="8082" w:type="dxa"/>
          </w:tcPr>
          <w:p w:rsidR="000B39F0" w:rsidRPr="00A67A3D" w:rsidRDefault="00903D18" w:rsidP="00017A3C">
            <w:pPr>
              <w:rPr>
                <w:rStyle w:val="SCCCoramChar"/>
                <w:rFonts w:cs="Times New Roman"/>
                <w:sz w:val="20"/>
                <w:szCs w:val="20"/>
                <w:lang w:val="en-CA"/>
              </w:rPr>
            </w:pPr>
            <w:r w:rsidRPr="00A67A3D">
              <w:rPr>
                <w:rStyle w:val="SCCCoramChar"/>
                <w:rFonts w:cs="Times New Roman"/>
                <w:sz w:val="20"/>
                <w:szCs w:val="20"/>
                <w:lang w:val="en-CA"/>
              </w:rPr>
              <w:t>Abella, Karakatsanis and Brown JJ.</w:t>
            </w:r>
          </w:p>
          <w:p w:rsidR="00903D18" w:rsidRPr="00A67A3D" w:rsidRDefault="00903D18" w:rsidP="00017A3C">
            <w:pPr>
              <w:rPr>
                <w:rFonts w:cs="Times New Roman"/>
                <w:sz w:val="20"/>
                <w:szCs w:val="20"/>
              </w:rPr>
            </w:pPr>
          </w:p>
        </w:tc>
      </w:tr>
      <w:tr w:rsidR="000B39F0" w:rsidRPr="0082006E" w:rsidTr="00525901">
        <w:trPr>
          <w:cantSplit/>
        </w:trPr>
        <w:tc>
          <w:tcPr>
            <w:tcW w:w="9540" w:type="dxa"/>
            <w:gridSpan w:val="2"/>
          </w:tcPr>
          <w:p w:rsidR="000B39F0" w:rsidRPr="00A67A3D" w:rsidRDefault="00903D18" w:rsidP="00017A3C">
            <w:pPr>
              <w:pStyle w:val="SCCShortJudgment"/>
              <w:ind w:firstLine="0"/>
              <w:rPr>
                <w:rFonts w:cs="Times New Roman"/>
              </w:rPr>
            </w:pPr>
            <w:r w:rsidRPr="00A67A3D">
              <w:rPr>
                <w:rFonts w:cs="Times New Roman"/>
              </w:rPr>
              <w:tab/>
              <w:t>The application for leave to appeal from the judgment of the Court of Appeal for British Columbia (Vancouver), Number CA42075, 2015 BCCA 393, dated September 23, 2015, is granted with costs in the cause.</w:t>
            </w:r>
          </w:p>
          <w:p w:rsidR="00903D18" w:rsidRPr="00A67A3D" w:rsidRDefault="00903D18" w:rsidP="00017A3C">
            <w:pPr>
              <w:pStyle w:val="SCCShortJudgment"/>
              <w:ind w:firstLine="0"/>
              <w:rPr>
                <w:rFonts w:cs="Times New Roman"/>
                <w:szCs w:val="20"/>
              </w:rPr>
            </w:pPr>
          </w:p>
          <w:p w:rsidR="000B39F0" w:rsidRPr="00A67A3D" w:rsidRDefault="00903D18" w:rsidP="00017A3C">
            <w:pPr>
              <w:pStyle w:val="SCCShortJudgment"/>
              <w:rPr>
                <w:rFonts w:cs="Times New Roman"/>
                <w:szCs w:val="20"/>
                <w:lang w:val="fr-CA"/>
              </w:rPr>
            </w:pPr>
            <w:r w:rsidRPr="00A67A3D">
              <w:rPr>
                <w:rFonts w:cs="Times New Roman"/>
                <w:lang w:val="fr-CA"/>
              </w:rPr>
              <w:t xml:space="preserve">La demande d’autorisation d’appel de l’arrêt de la </w:t>
            </w:r>
            <w:r w:rsidRPr="00A67A3D">
              <w:rPr>
                <w:rFonts w:cs="Times New Roman"/>
                <w:lang w:val="fr-FR"/>
              </w:rPr>
              <w:t>Cour d’appel de la Colombie-Britannique (Vancouver)</w:t>
            </w:r>
            <w:r w:rsidRPr="00A67A3D">
              <w:rPr>
                <w:rFonts w:cs="Times New Roman"/>
                <w:lang w:val="fr-CA"/>
              </w:rPr>
              <w:t xml:space="preserve">, numéro </w:t>
            </w:r>
            <w:r w:rsidRPr="00A67A3D">
              <w:rPr>
                <w:rFonts w:cs="Times New Roman"/>
                <w:lang w:val="fr-FR"/>
              </w:rPr>
              <w:t>CA42075, 2015 BCCA 393</w:t>
            </w:r>
            <w:r w:rsidRPr="00A67A3D">
              <w:rPr>
                <w:rFonts w:cs="Times New Roman"/>
                <w:lang w:val="fr-CA"/>
              </w:rPr>
              <w:t xml:space="preserve">, daté du </w:t>
            </w:r>
            <w:r w:rsidRPr="00A67A3D">
              <w:rPr>
                <w:rFonts w:cs="Times New Roman"/>
                <w:lang w:val="fr-FR"/>
              </w:rPr>
              <w:t>23 septembre 2015</w:t>
            </w:r>
            <w:r w:rsidRPr="00A67A3D">
              <w:rPr>
                <w:rFonts w:cs="Times New Roman"/>
                <w:lang w:val="fr-CA"/>
              </w:rPr>
              <w:t>, est accueillie avec dépens selon l’issue de la cause.</w:t>
            </w:r>
          </w:p>
        </w:tc>
      </w:tr>
    </w:tbl>
    <w:p w:rsidR="000B39F0" w:rsidRPr="009C2345" w:rsidRDefault="000B39F0" w:rsidP="000B39F0">
      <w:pPr>
        <w:rPr>
          <w:sz w:val="20"/>
          <w:szCs w:val="20"/>
          <w:lang w:val="fr-CA"/>
        </w:rPr>
      </w:pPr>
    </w:p>
    <w:p w:rsidR="000B39F0" w:rsidRPr="009C2345" w:rsidRDefault="000B39F0" w:rsidP="000B39F0">
      <w:pPr>
        <w:rPr>
          <w:sz w:val="20"/>
          <w:szCs w:val="20"/>
          <w:u w:val="single"/>
        </w:rPr>
      </w:pPr>
      <w:r w:rsidRPr="009C2345">
        <w:rPr>
          <w:sz w:val="20"/>
          <w:szCs w:val="20"/>
          <w:u w:val="single"/>
        </w:rPr>
        <w:t>CASE SUMMARY</w:t>
      </w:r>
    </w:p>
    <w:p w:rsidR="000B39F0" w:rsidRPr="009C2345" w:rsidRDefault="000B39F0" w:rsidP="000B39F0">
      <w:pPr>
        <w:rPr>
          <w:sz w:val="20"/>
          <w:szCs w:val="20"/>
        </w:rPr>
      </w:pPr>
    </w:p>
    <w:tbl>
      <w:tblPr>
        <w:tblW w:w="4959" w:type="pct"/>
        <w:tblLayout w:type="fixed"/>
        <w:tblCellMar>
          <w:left w:w="0" w:type="dxa"/>
          <w:bottom w:w="99" w:type="dxa"/>
          <w:right w:w="0" w:type="dxa"/>
        </w:tblCellMar>
        <w:tblLook w:val="04A0" w:firstRow="1" w:lastRow="0" w:firstColumn="1" w:lastColumn="0" w:noHBand="0" w:noVBand="1"/>
      </w:tblPr>
      <w:tblGrid>
        <w:gridCol w:w="4430"/>
        <w:gridCol w:w="502"/>
        <w:gridCol w:w="4608"/>
      </w:tblGrid>
      <w:tr w:rsidR="001D5CEE" w:rsidRPr="009C2345" w:rsidTr="00525901">
        <w:tc>
          <w:tcPr>
            <w:tcW w:w="5000" w:type="pct"/>
            <w:gridSpan w:val="3"/>
          </w:tcPr>
          <w:p w:rsidR="001D5CEE" w:rsidRPr="009C2345" w:rsidRDefault="001D5CEE" w:rsidP="001D5CEE">
            <w:pPr>
              <w:jc w:val="both"/>
              <w:rPr>
                <w:sz w:val="20"/>
                <w:szCs w:val="20"/>
              </w:rPr>
            </w:pPr>
            <w:r w:rsidRPr="009C2345">
              <w:rPr>
                <w:sz w:val="20"/>
                <w:szCs w:val="20"/>
              </w:rPr>
              <w:t>Torts — Negligence — Personal injury — Damages — Applicant claiming non-pecuniary damages for psychological injury arising out of motor vehicle accident — Applicant unable to prove recognized psychological or psychiatric condition — Did the Court of Appeal err in ruling that trial judges have no discretion whatsoever to award damages for psychological injuries in the absence of a specific medical diagnosis of what the psychological injury is, even if the trial judge finds as fact from testimonial evidence that a plaintiff has suffered a recognizable psychological injury as a result of the negligence of a defendant? — In circumstances where a plaintiff becomes incompetent during litigation and cannot testify at his personal injury trial, which removes the factual basis of a psychiatric report in evidence which diagnoses a psychological injury, can a trial judge then rely on testimonial evidence of friends and family alone award compensation for the psychological injury?</w:t>
            </w:r>
          </w:p>
          <w:p w:rsidR="001D5CEE" w:rsidRPr="009C2345" w:rsidRDefault="001D5CEE" w:rsidP="001D5CEE">
            <w:pPr>
              <w:jc w:val="both"/>
              <w:rPr>
                <w:sz w:val="20"/>
                <w:szCs w:val="20"/>
              </w:rPr>
            </w:pPr>
          </w:p>
        </w:tc>
      </w:tr>
      <w:tr w:rsidR="001D5CEE" w:rsidRPr="009C2345" w:rsidTr="00525901">
        <w:tc>
          <w:tcPr>
            <w:tcW w:w="5000" w:type="pct"/>
            <w:gridSpan w:val="3"/>
          </w:tcPr>
          <w:p w:rsidR="001D5CEE" w:rsidRPr="009C2345" w:rsidRDefault="001D5CEE" w:rsidP="001D5CEE">
            <w:pPr>
              <w:jc w:val="both"/>
              <w:rPr>
                <w:sz w:val="20"/>
                <w:szCs w:val="20"/>
              </w:rPr>
            </w:pPr>
            <w:r w:rsidRPr="009C2345">
              <w:rPr>
                <w:sz w:val="20"/>
                <w:szCs w:val="20"/>
              </w:rPr>
              <w:t xml:space="preserve">Between 2003 and 2009, Mr. Saadati was involved in five motor vehicle accidents, sustaining various injuries. He was declared mentally incompetent in 2010. This litigation arises out of the second accident on July 5, 2005, whereby Mr. Saadati’s tractor-truck was hit by a Hummer driven by the respondent Mr. Moorhead. Mr. Saadati’s vehicle sustained damage. Mr. Saadati started this action after the third accident. He sought non-pecuniary damages and past wage loss. The respondents admitted liability for the accident, but opposed the claim for damages. </w:t>
            </w:r>
          </w:p>
          <w:p w:rsidR="001D5CEE" w:rsidRPr="009C2345" w:rsidRDefault="001D5CEE" w:rsidP="001D5CEE">
            <w:pPr>
              <w:jc w:val="both"/>
              <w:rPr>
                <w:sz w:val="20"/>
                <w:szCs w:val="20"/>
              </w:rPr>
            </w:pPr>
          </w:p>
          <w:p w:rsidR="001D5CEE" w:rsidRPr="009C2345" w:rsidRDefault="001D5CEE" w:rsidP="001D5CEE">
            <w:pPr>
              <w:jc w:val="both"/>
              <w:rPr>
                <w:sz w:val="20"/>
                <w:szCs w:val="20"/>
              </w:rPr>
            </w:pPr>
            <w:r w:rsidRPr="009C2345">
              <w:rPr>
                <w:sz w:val="20"/>
                <w:szCs w:val="20"/>
              </w:rPr>
              <w:t>The evidence at trial focused on the injuries suffered in the second accident and the effect that the third accident had on those injuries. Mr. Saadati was unavailable to testify at trial. The trial judge rejected Mr. Saadati’s claim for a physical injury arising from the accident. The trial judge also found that Mr. Saadati had not established a psychological injury, based on the evidence of his expert psychiatrist. The trial judge, however, found that the testimony of Mr. Saadati’s family and friends had established a psychological injury.</w:t>
            </w:r>
          </w:p>
          <w:p w:rsidR="001D5CEE" w:rsidRPr="009C2345" w:rsidRDefault="001D5CEE" w:rsidP="001D5CEE">
            <w:pPr>
              <w:jc w:val="both"/>
              <w:rPr>
                <w:sz w:val="20"/>
                <w:szCs w:val="20"/>
              </w:rPr>
            </w:pPr>
          </w:p>
        </w:tc>
      </w:tr>
      <w:tr w:rsidR="001D5CEE" w:rsidRPr="009C2345" w:rsidTr="00525901">
        <w:tblPrEx>
          <w:tblCellMar>
            <w:bottom w:w="0" w:type="dxa"/>
          </w:tblCellMar>
        </w:tblPrEx>
        <w:tc>
          <w:tcPr>
            <w:tcW w:w="2322" w:type="pct"/>
          </w:tcPr>
          <w:p w:rsidR="001D5CEE" w:rsidRPr="009C2345" w:rsidRDefault="001D5CEE" w:rsidP="001D5CEE">
            <w:pPr>
              <w:jc w:val="both"/>
              <w:rPr>
                <w:sz w:val="20"/>
                <w:szCs w:val="20"/>
              </w:rPr>
            </w:pPr>
            <w:r w:rsidRPr="009C2345">
              <w:rPr>
                <w:sz w:val="20"/>
                <w:szCs w:val="20"/>
              </w:rPr>
              <w:t>July 21, 2014</w:t>
            </w:r>
          </w:p>
          <w:p w:rsidR="001D5CEE" w:rsidRPr="009C2345" w:rsidRDefault="001D5CEE" w:rsidP="001D5CEE">
            <w:pPr>
              <w:jc w:val="both"/>
              <w:rPr>
                <w:sz w:val="20"/>
                <w:szCs w:val="20"/>
              </w:rPr>
            </w:pPr>
            <w:r w:rsidRPr="009C2345">
              <w:rPr>
                <w:sz w:val="20"/>
                <w:szCs w:val="20"/>
              </w:rPr>
              <w:t>Supreme Court of British Columbia</w:t>
            </w:r>
          </w:p>
          <w:p w:rsidR="001D5CEE" w:rsidRPr="009C2345" w:rsidRDefault="001D5CEE" w:rsidP="001D5CEE">
            <w:pPr>
              <w:jc w:val="both"/>
              <w:rPr>
                <w:sz w:val="20"/>
                <w:szCs w:val="20"/>
              </w:rPr>
            </w:pPr>
            <w:r w:rsidRPr="009C2345">
              <w:rPr>
                <w:sz w:val="20"/>
                <w:szCs w:val="20"/>
              </w:rPr>
              <w:t>(Funt J.)</w:t>
            </w:r>
          </w:p>
          <w:p w:rsidR="001D5CEE" w:rsidRPr="009C2345" w:rsidRDefault="0082006E" w:rsidP="001D5CEE">
            <w:pPr>
              <w:jc w:val="both"/>
              <w:rPr>
                <w:sz w:val="20"/>
                <w:szCs w:val="20"/>
              </w:rPr>
            </w:pPr>
            <w:hyperlink r:id="rId37" w:history="1">
              <w:r w:rsidR="001D5CEE" w:rsidRPr="009C2345">
                <w:rPr>
                  <w:color w:val="0000FF" w:themeColor="hyperlink"/>
                  <w:sz w:val="20"/>
                  <w:szCs w:val="20"/>
                  <w:u w:val="single"/>
                </w:rPr>
                <w:t>2014 BCSC 1365</w:t>
              </w:r>
            </w:hyperlink>
          </w:p>
          <w:p w:rsidR="001D5CEE" w:rsidRPr="009C2345" w:rsidRDefault="001D5CEE" w:rsidP="001D5CEE">
            <w:pPr>
              <w:jc w:val="both"/>
              <w:rPr>
                <w:sz w:val="20"/>
                <w:szCs w:val="20"/>
              </w:rPr>
            </w:pPr>
          </w:p>
        </w:tc>
        <w:tc>
          <w:tcPr>
            <w:tcW w:w="263" w:type="pct"/>
          </w:tcPr>
          <w:p w:rsidR="001D5CEE" w:rsidRPr="009C2345" w:rsidRDefault="001D5CEE" w:rsidP="001D5CEE">
            <w:pPr>
              <w:jc w:val="both"/>
              <w:rPr>
                <w:sz w:val="20"/>
                <w:szCs w:val="20"/>
              </w:rPr>
            </w:pPr>
          </w:p>
        </w:tc>
        <w:tc>
          <w:tcPr>
            <w:tcW w:w="2415" w:type="pct"/>
          </w:tcPr>
          <w:p w:rsidR="001D5CEE" w:rsidRPr="009C2345" w:rsidRDefault="001D5CEE" w:rsidP="001D5CEE">
            <w:pPr>
              <w:jc w:val="both"/>
              <w:rPr>
                <w:sz w:val="20"/>
                <w:szCs w:val="20"/>
              </w:rPr>
            </w:pPr>
            <w:r w:rsidRPr="009C2345">
              <w:rPr>
                <w:sz w:val="20"/>
                <w:szCs w:val="20"/>
              </w:rPr>
              <w:t>Action allowed in part, $100,000 awarded in non-pecuniary damages</w:t>
            </w:r>
          </w:p>
          <w:p w:rsidR="001D5CEE" w:rsidRPr="009C2345" w:rsidRDefault="001D5CEE" w:rsidP="001D5CEE">
            <w:pPr>
              <w:jc w:val="both"/>
              <w:rPr>
                <w:sz w:val="20"/>
                <w:szCs w:val="20"/>
              </w:rPr>
            </w:pPr>
          </w:p>
        </w:tc>
      </w:tr>
      <w:tr w:rsidR="001D5CEE" w:rsidRPr="009C2345" w:rsidTr="00525901">
        <w:tblPrEx>
          <w:tblCellMar>
            <w:bottom w:w="0" w:type="dxa"/>
          </w:tblCellMar>
        </w:tblPrEx>
        <w:tc>
          <w:tcPr>
            <w:tcW w:w="2322" w:type="pct"/>
          </w:tcPr>
          <w:p w:rsidR="001D5CEE" w:rsidRPr="009C2345" w:rsidRDefault="001D5CEE" w:rsidP="001D5CEE">
            <w:pPr>
              <w:jc w:val="both"/>
              <w:rPr>
                <w:sz w:val="20"/>
                <w:szCs w:val="20"/>
              </w:rPr>
            </w:pPr>
            <w:r w:rsidRPr="009C2345">
              <w:rPr>
                <w:sz w:val="20"/>
                <w:szCs w:val="20"/>
              </w:rPr>
              <w:t>September 23, 2015</w:t>
            </w:r>
          </w:p>
          <w:p w:rsidR="001D5CEE" w:rsidRPr="009C2345" w:rsidRDefault="001D5CEE" w:rsidP="001D5CEE">
            <w:pPr>
              <w:jc w:val="both"/>
              <w:rPr>
                <w:sz w:val="20"/>
                <w:szCs w:val="20"/>
              </w:rPr>
            </w:pPr>
            <w:r w:rsidRPr="009C2345">
              <w:rPr>
                <w:sz w:val="20"/>
                <w:szCs w:val="20"/>
              </w:rPr>
              <w:t xml:space="preserve">Court of Appeal for British Columbia </w:t>
            </w:r>
          </w:p>
          <w:p w:rsidR="001D5CEE" w:rsidRPr="009C2345" w:rsidRDefault="001D5CEE" w:rsidP="001D5CEE">
            <w:pPr>
              <w:jc w:val="both"/>
              <w:rPr>
                <w:sz w:val="20"/>
                <w:szCs w:val="20"/>
              </w:rPr>
            </w:pPr>
            <w:r w:rsidRPr="009C2345">
              <w:rPr>
                <w:sz w:val="20"/>
                <w:szCs w:val="20"/>
              </w:rPr>
              <w:t>(Vancouver)</w:t>
            </w:r>
          </w:p>
          <w:p w:rsidR="001D5CEE" w:rsidRPr="009C2345" w:rsidRDefault="001D5CEE" w:rsidP="001D5CEE">
            <w:pPr>
              <w:jc w:val="both"/>
              <w:rPr>
                <w:sz w:val="20"/>
                <w:szCs w:val="20"/>
              </w:rPr>
            </w:pPr>
            <w:r w:rsidRPr="009C2345">
              <w:rPr>
                <w:sz w:val="20"/>
                <w:szCs w:val="20"/>
              </w:rPr>
              <w:t>(Saunders, Chiasson, Frankel JJ.A.)</w:t>
            </w:r>
          </w:p>
          <w:p w:rsidR="001D5CEE" w:rsidRPr="009C2345" w:rsidRDefault="0082006E" w:rsidP="001D5CEE">
            <w:pPr>
              <w:jc w:val="both"/>
              <w:rPr>
                <w:sz w:val="20"/>
                <w:szCs w:val="20"/>
              </w:rPr>
            </w:pPr>
            <w:hyperlink r:id="rId38" w:history="1">
              <w:r w:rsidR="001D5CEE" w:rsidRPr="009C2345">
                <w:rPr>
                  <w:color w:val="0000FF" w:themeColor="hyperlink"/>
                  <w:sz w:val="20"/>
                  <w:szCs w:val="20"/>
                  <w:u w:val="single"/>
                </w:rPr>
                <w:t>2015 BCCA 393</w:t>
              </w:r>
            </w:hyperlink>
          </w:p>
          <w:p w:rsidR="001D5CEE" w:rsidRPr="009C2345" w:rsidRDefault="001D5CEE" w:rsidP="001D5CEE">
            <w:pPr>
              <w:jc w:val="both"/>
              <w:rPr>
                <w:sz w:val="20"/>
                <w:szCs w:val="20"/>
              </w:rPr>
            </w:pPr>
          </w:p>
        </w:tc>
        <w:tc>
          <w:tcPr>
            <w:tcW w:w="263" w:type="pct"/>
          </w:tcPr>
          <w:p w:rsidR="001D5CEE" w:rsidRPr="009C2345" w:rsidRDefault="001D5CEE" w:rsidP="001D5CEE">
            <w:pPr>
              <w:jc w:val="both"/>
              <w:rPr>
                <w:sz w:val="20"/>
                <w:szCs w:val="20"/>
              </w:rPr>
            </w:pPr>
          </w:p>
        </w:tc>
        <w:tc>
          <w:tcPr>
            <w:tcW w:w="2415" w:type="pct"/>
          </w:tcPr>
          <w:p w:rsidR="001D5CEE" w:rsidRPr="009C2345" w:rsidRDefault="001D5CEE" w:rsidP="001D5CEE">
            <w:pPr>
              <w:jc w:val="both"/>
              <w:rPr>
                <w:sz w:val="20"/>
                <w:szCs w:val="20"/>
              </w:rPr>
            </w:pPr>
            <w:r w:rsidRPr="009C2345">
              <w:rPr>
                <w:sz w:val="20"/>
                <w:szCs w:val="20"/>
              </w:rPr>
              <w:t xml:space="preserve">Appeal from award of damages allowed </w:t>
            </w:r>
          </w:p>
          <w:p w:rsidR="001D5CEE" w:rsidRPr="009C2345" w:rsidRDefault="001D5CEE" w:rsidP="001D5CEE">
            <w:pPr>
              <w:jc w:val="both"/>
              <w:rPr>
                <w:sz w:val="20"/>
                <w:szCs w:val="20"/>
              </w:rPr>
            </w:pPr>
          </w:p>
        </w:tc>
      </w:tr>
      <w:tr w:rsidR="001D5CEE" w:rsidRPr="009C2345" w:rsidTr="00525901">
        <w:tblPrEx>
          <w:tblCellMar>
            <w:bottom w:w="0" w:type="dxa"/>
          </w:tblCellMar>
        </w:tblPrEx>
        <w:tc>
          <w:tcPr>
            <w:tcW w:w="2322" w:type="pct"/>
          </w:tcPr>
          <w:p w:rsidR="001D5CEE" w:rsidRPr="009C2345" w:rsidRDefault="001D5CEE" w:rsidP="001D5CEE">
            <w:pPr>
              <w:jc w:val="both"/>
              <w:rPr>
                <w:sz w:val="20"/>
                <w:szCs w:val="20"/>
              </w:rPr>
            </w:pPr>
            <w:r w:rsidRPr="009C2345">
              <w:rPr>
                <w:sz w:val="20"/>
                <w:szCs w:val="20"/>
              </w:rPr>
              <w:t>October 28, 2015</w:t>
            </w:r>
          </w:p>
          <w:p w:rsidR="001D5CEE" w:rsidRPr="009C2345" w:rsidRDefault="001D5CEE" w:rsidP="001D5CEE">
            <w:pPr>
              <w:jc w:val="both"/>
              <w:rPr>
                <w:sz w:val="20"/>
                <w:szCs w:val="20"/>
              </w:rPr>
            </w:pPr>
            <w:r w:rsidRPr="009C2345">
              <w:rPr>
                <w:sz w:val="20"/>
                <w:szCs w:val="20"/>
              </w:rPr>
              <w:t>Supreme Court of Canada</w:t>
            </w:r>
          </w:p>
        </w:tc>
        <w:tc>
          <w:tcPr>
            <w:tcW w:w="263" w:type="pct"/>
          </w:tcPr>
          <w:p w:rsidR="001D5CEE" w:rsidRPr="009C2345" w:rsidRDefault="001D5CEE" w:rsidP="001D5CEE">
            <w:pPr>
              <w:jc w:val="both"/>
              <w:rPr>
                <w:sz w:val="20"/>
                <w:szCs w:val="20"/>
              </w:rPr>
            </w:pPr>
          </w:p>
        </w:tc>
        <w:tc>
          <w:tcPr>
            <w:tcW w:w="2415" w:type="pct"/>
          </w:tcPr>
          <w:p w:rsidR="001D5CEE" w:rsidRPr="009C2345" w:rsidRDefault="001D5CEE" w:rsidP="001D5CEE">
            <w:pPr>
              <w:jc w:val="both"/>
              <w:rPr>
                <w:sz w:val="20"/>
                <w:szCs w:val="20"/>
              </w:rPr>
            </w:pPr>
            <w:r w:rsidRPr="009C2345">
              <w:rPr>
                <w:sz w:val="20"/>
                <w:szCs w:val="20"/>
              </w:rPr>
              <w:t>Application for leave to appeal filed</w:t>
            </w:r>
          </w:p>
          <w:p w:rsidR="001D5CEE" w:rsidRPr="009C2345" w:rsidRDefault="001D5CEE" w:rsidP="001D5CEE">
            <w:pPr>
              <w:jc w:val="both"/>
              <w:rPr>
                <w:sz w:val="20"/>
                <w:szCs w:val="20"/>
              </w:rPr>
            </w:pPr>
          </w:p>
        </w:tc>
      </w:tr>
    </w:tbl>
    <w:p w:rsidR="000B39F0" w:rsidRPr="009C2345" w:rsidRDefault="000B39F0" w:rsidP="000B39F0">
      <w:pPr>
        <w:rPr>
          <w:sz w:val="20"/>
          <w:szCs w:val="20"/>
        </w:rPr>
      </w:pPr>
    </w:p>
    <w:p w:rsidR="000B39F0" w:rsidRPr="009C2345" w:rsidRDefault="0082006E" w:rsidP="000B39F0">
      <w:pPr>
        <w:rPr>
          <w:sz w:val="20"/>
          <w:szCs w:val="20"/>
        </w:rPr>
      </w:pPr>
      <w:r>
        <w:rPr>
          <w:sz w:val="20"/>
          <w:szCs w:val="20"/>
          <w:lang w:val="fr-CA"/>
        </w:rPr>
        <w:pict>
          <v:rect id="_x0000_i1046" style="width:2in;height:1pt" o:hrpct="0" o:hralign="center" o:hrstd="t" o:hrnoshade="t" o:hr="t" fillcolor="black [3213]" stroked="f"/>
        </w:pict>
      </w:r>
    </w:p>
    <w:p w:rsidR="000B39F0" w:rsidRPr="009C2345" w:rsidRDefault="000B39F0" w:rsidP="000B39F0">
      <w:pPr>
        <w:rPr>
          <w:sz w:val="20"/>
          <w:szCs w:val="20"/>
        </w:rPr>
      </w:pPr>
    </w:p>
    <w:p w:rsidR="000B39F0" w:rsidRPr="009C2345" w:rsidRDefault="000B39F0" w:rsidP="000B39F0">
      <w:pPr>
        <w:rPr>
          <w:sz w:val="20"/>
          <w:szCs w:val="20"/>
          <w:u w:val="single"/>
          <w:lang w:val="fr-CA"/>
        </w:rPr>
      </w:pPr>
      <w:r w:rsidRPr="009C2345">
        <w:rPr>
          <w:sz w:val="20"/>
          <w:szCs w:val="20"/>
          <w:u w:val="single"/>
          <w:lang w:val="fr-CA"/>
        </w:rPr>
        <w:t>RÉSUMÉ DE L’AFFAIRE</w:t>
      </w:r>
    </w:p>
    <w:p w:rsidR="000B39F0" w:rsidRPr="009C2345" w:rsidRDefault="000B39F0" w:rsidP="000B39F0">
      <w:pPr>
        <w:rPr>
          <w:sz w:val="20"/>
          <w:szCs w:val="20"/>
        </w:rPr>
      </w:pPr>
    </w:p>
    <w:tbl>
      <w:tblPr>
        <w:tblW w:w="4959" w:type="pct"/>
        <w:tblLayout w:type="fixed"/>
        <w:tblCellMar>
          <w:left w:w="0" w:type="dxa"/>
          <w:bottom w:w="99" w:type="dxa"/>
          <w:right w:w="0" w:type="dxa"/>
        </w:tblCellMar>
        <w:tblLook w:val="04A0" w:firstRow="1" w:lastRow="0" w:firstColumn="1" w:lastColumn="0" w:noHBand="0" w:noVBand="1"/>
      </w:tblPr>
      <w:tblGrid>
        <w:gridCol w:w="4555"/>
        <w:gridCol w:w="513"/>
        <w:gridCol w:w="4472"/>
      </w:tblGrid>
      <w:tr w:rsidR="006E7F89" w:rsidRPr="0082006E" w:rsidTr="00A67A3D">
        <w:tc>
          <w:tcPr>
            <w:tcW w:w="5000" w:type="pct"/>
            <w:gridSpan w:val="3"/>
          </w:tcPr>
          <w:p w:rsidR="006E7F89" w:rsidRPr="009C2345" w:rsidRDefault="006E7F89" w:rsidP="006E7F89">
            <w:pPr>
              <w:jc w:val="both"/>
              <w:rPr>
                <w:sz w:val="20"/>
                <w:szCs w:val="20"/>
                <w:lang w:val="fr-CA"/>
              </w:rPr>
            </w:pPr>
            <w:r w:rsidRPr="009C2345">
              <w:rPr>
                <w:sz w:val="20"/>
                <w:szCs w:val="20"/>
                <w:lang w:val="fr-CA"/>
              </w:rPr>
              <w:t>Responsabilité délictuelle — Négligence — Préjudice personnel — Dommages-intérêts — Le demandeur sollicite des dommages-intérêts non pécuniaires pour un préjudice psychologique découlant d’un accident automobile — Le demandeur est incapable d’établir un état psychologique ou psychiatrique reconnu — La Cour d’appel a-t-elle commis une erreur en décidant que les juge de première instance n’ont aucun pouvoir discrétionnaire d’accorder des dommages-intérêts pour un préjudice psychologique à défaut de diagnostic médical précis au sujet du préjudice en question, même si le juge de première instance conclut à la lumière de la preuve testimoniale que le demandeur a subi un préjudice psychologique reconnaissable par suite de la négligence du défendeur? Lorsque le demandeur devient frappé d’incapacité au cours d’un litige et ne peut témoigner à son procès pour préjudice personnel, ce qui élimine le fondement factuel d’un rapport psychiatrique déposé en preuve à titre de document établissant l’existence d’un préjudice psychologique, le juge du procès peut-il se fonder uniquement sur le témoignage d’amis et de membres de la famille pour accorder une indemnité à l’égard du préjudice psychologique?</w:t>
            </w:r>
          </w:p>
          <w:p w:rsidR="006E7F89" w:rsidRPr="009C2345" w:rsidRDefault="006E7F89" w:rsidP="006E7F89">
            <w:pPr>
              <w:jc w:val="both"/>
              <w:rPr>
                <w:sz w:val="20"/>
                <w:szCs w:val="20"/>
                <w:lang w:val="fr-CA"/>
              </w:rPr>
            </w:pPr>
          </w:p>
        </w:tc>
      </w:tr>
      <w:tr w:rsidR="006E7F89" w:rsidRPr="0082006E" w:rsidTr="00A67A3D">
        <w:tc>
          <w:tcPr>
            <w:tcW w:w="5000" w:type="pct"/>
            <w:gridSpan w:val="3"/>
          </w:tcPr>
          <w:p w:rsidR="006E7F89" w:rsidRPr="009C2345" w:rsidRDefault="006E7F89" w:rsidP="006E7F89">
            <w:pPr>
              <w:jc w:val="both"/>
              <w:rPr>
                <w:sz w:val="20"/>
                <w:szCs w:val="20"/>
                <w:lang w:val="fr-CA"/>
              </w:rPr>
            </w:pPr>
            <w:r w:rsidRPr="009C2345">
              <w:rPr>
                <w:sz w:val="20"/>
                <w:szCs w:val="20"/>
                <w:lang w:val="fr-CA"/>
              </w:rPr>
              <w:t xml:space="preserve">Entre 2003 et 2009, M. Saadati a eu cinq accidents automobiles et subi plusieurs blessures. Il a été déclaré mentalement incapable en 2010. Le présent litige découle du deuxième accident survenu le 5 juillet 2005, lorsque le camion-tracteur de M. Saadati a été heurté par un Hummer conduit par le défendeur, M. Moorhead. Le véhicule de M. Saadati a été endommagé. M. Saadati a intenté la présente action après le troisième accident. Il a sollicité des dommages-intérêts non pécuniaires et une indemnité pour la perte de rémunération antérieure. Les défendeurs ont admis leur responsabilité à l’égard de l’accident, mais ont contesté la demande de dommages-intérêts. </w:t>
            </w:r>
          </w:p>
          <w:p w:rsidR="006E7F89" w:rsidRPr="009C2345" w:rsidRDefault="006E7F89" w:rsidP="006E7F89">
            <w:pPr>
              <w:jc w:val="both"/>
              <w:rPr>
                <w:sz w:val="20"/>
                <w:szCs w:val="20"/>
                <w:lang w:val="fr-CA"/>
              </w:rPr>
            </w:pPr>
          </w:p>
          <w:p w:rsidR="006E7F89" w:rsidRPr="009C2345" w:rsidRDefault="006E7F89" w:rsidP="006E7F89">
            <w:pPr>
              <w:jc w:val="both"/>
              <w:rPr>
                <w:sz w:val="20"/>
                <w:szCs w:val="20"/>
                <w:lang w:val="fr-CA"/>
              </w:rPr>
            </w:pPr>
            <w:r w:rsidRPr="009C2345">
              <w:rPr>
                <w:sz w:val="20"/>
                <w:szCs w:val="20"/>
                <w:lang w:val="fr-CA"/>
              </w:rPr>
              <w:t>La preuve présentée au procès a porté principalement sur les blessures subies lors du deuxième accident et sur l’effet du troisième accident sur ces blessures. M. Saadati n’était pas disponible pour témoigner au procès. Le juge du procès a rejeté l’allégation de M. Saadati quant aux blessures corporelles qui auraient découlé de l’accident. Il a également conclu que M. Saadati n’avait  pas établi l’existence d’un préjudice psychologique, d’après la preuve que son psychiatre avait présentée. Cependant, le juge du procès a conclu que le témoignage d’amis et de membres de la famille de M. Saadati avait établi l’existence d’un préjudice psychologique.</w:t>
            </w:r>
          </w:p>
          <w:p w:rsidR="006E7F89" w:rsidRPr="009C2345" w:rsidRDefault="006E7F89" w:rsidP="006E7F89">
            <w:pPr>
              <w:jc w:val="both"/>
              <w:rPr>
                <w:sz w:val="20"/>
                <w:szCs w:val="20"/>
                <w:lang w:val="fr-CA"/>
              </w:rPr>
            </w:pPr>
          </w:p>
        </w:tc>
      </w:tr>
      <w:tr w:rsidR="006E7F89" w:rsidRPr="0082006E" w:rsidTr="00A67A3D">
        <w:tblPrEx>
          <w:tblCellMar>
            <w:bottom w:w="0" w:type="dxa"/>
          </w:tblCellMar>
        </w:tblPrEx>
        <w:tc>
          <w:tcPr>
            <w:tcW w:w="2387" w:type="pct"/>
          </w:tcPr>
          <w:p w:rsidR="006E7F89" w:rsidRPr="009C2345" w:rsidRDefault="006E7F89" w:rsidP="006E7F89">
            <w:pPr>
              <w:jc w:val="both"/>
              <w:rPr>
                <w:sz w:val="20"/>
                <w:szCs w:val="20"/>
                <w:lang w:val="fr-CA"/>
              </w:rPr>
            </w:pPr>
            <w:r w:rsidRPr="009C2345">
              <w:rPr>
                <w:sz w:val="20"/>
                <w:szCs w:val="20"/>
                <w:lang w:val="fr-CA"/>
              </w:rPr>
              <w:t>Le 21 juillet 2014</w:t>
            </w:r>
          </w:p>
          <w:p w:rsidR="006E7F89" w:rsidRPr="009C2345" w:rsidRDefault="006E7F89" w:rsidP="006E7F89">
            <w:pPr>
              <w:jc w:val="both"/>
              <w:rPr>
                <w:sz w:val="20"/>
                <w:szCs w:val="20"/>
                <w:lang w:val="fr-CA"/>
              </w:rPr>
            </w:pPr>
            <w:r w:rsidRPr="009C2345">
              <w:rPr>
                <w:sz w:val="20"/>
                <w:szCs w:val="20"/>
                <w:lang w:val="fr-CA"/>
              </w:rPr>
              <w:t xml:space="preserve">Cour suprême de la Colombie-Britannique </w:t>
            </w:r>
          </w:p>
          <w:p w:rsidR="006E7F89" w:rsidRPr="009C2345" w:rsidRDefault="006E7F89" w:rsidP="006E7F89">
            <w:pPr>
              <w:jc w:val="both"/>
              <w:rPr>
                <w:sz w:val="20"/>
                <w:szCs w:val="20"/>
                <w:lang w:val="fr-CA"/>
              </w:rPr>
            </w:pPr>
            <w:r w:rsidRPr="009C2345">
              <w:rPr>
                <w:sz w:val="20"/>
                <w:szCs w:val="20"/>
                <w:lang w:val="fr-CA"/>
              </w:rPr>
              <w:t>(Juge Funt)</w:t>
            </w:r>
          </w:p>
          <w:p w:rsidR="006E7F89" w:rsidRPr="009C2345" w:rsidRDefault="0082006E" w:rsidP="006E7F89">
            <w:pPr>
              <w:jc w:val="both"/>
              <w:rPr>
                <w:sz w:val="20"/>
                <w:szCs w:val="20"/>
                <w:u w:val="single"/>
                <w:lang w:val="fr-CA"/>
              </w:rPr>
            </w:pPr>
            <w:hyperlink r:id="rId39" w:history="1">
              <w:r w:rsidR="006E7F89" w:rsidRPr="009C2345">
                <w:rPr>
                  <w:color w:val="0000FF" w:themeColor="hyperlink"/>
                  <w:sz w:val="20"/>
                  <w:szCs w:val="20"/>
                  <w:u w:val="single"/>
                  <w:lang w:val="fr-CA"/>
                </w:rPr>
                <w:t>2014 BCSC 1365</w:t>
              </w:r>
            </w:hyperlink>
          </w:p>
          <w:p w:rsidR="006E7F89" w:rsidRPr="009C2345" w:rsidRDefault="006E7F89" w:rsidP="006E7F89">
            <w:pPr>
              <w:jc w:val="both"/>
              <w:rPr>
                <w:sz w:val="20"/>
                <w:szCs w:val="20"/>
                <w:lang w:val="fr-CA"/>
              </w:rPr>
            </w:pPr>
          </w:p>
        </w:tc>
        <w:tc>
          <w:tcPr>
            <w:tcW w:w="269" w:type="pct"/>
          </w:tcPr>
          <w:p w:rsidR="006E7F89" w:rsidRPr="009C2345" w:rsidRDefault="006E7F89" w:rsidP="006E7F89">
            <w:pPr>
              <w:jc w:val="both"/>
              <w:rPr>
                <w:sz w:val="20"/>
                <w:szCs w:val="20"/>
                <w:lang w:val="fr-CA"/>
              </w:rPr>
            </w:pPr>
          </w:p>
        </w:tc>
        <w:tc>
          <w:tcPr>
            <w:tcW w:w="2344" w:type="pct"/>
          </w:tcPr>
          <w:p w:rsidR="006E7F89" w:rsidRPr="009C2345" w:rsidRDefault="006E7F89" w:rsidP="006E7F89">
            <w:pPr>
              <w:jc w:val="both"/>
              <w:rPr>
                <w:sz w:val="20"/>
                <w:szCs w:val="20"/>
                <w:lang w:val="fr-CA"/>
              </w:rPr>
            </w:pPr>
            <w:r w:rsidRPr="009C2345">
              <w:rPr>
                <w:sz w:val="20"/>
                <w:szCs w:val="20"/>
                <w:lang w:val="fr-CA"/>
              </w:rPr>
              <w:t>Action accueillie en partie; un montant de 100 000 $ est accordé à titre de dommages-intérêts non pécuniaires</w:t>
            </w:r>
          </w:p>
          <w:p w:rsidR="006E7F89" w:rsidRPr="009C2345" w:rsidRDefault="006E7F89" w:rsidP="006E7F89">
            <w:pPr>
              <w:jc w:val="both"/>
              <w:rPr>
                <w:sz w:val="20"/>
                <w:szCs w:val="20"/>
                <w:lang w:val="fr-CA"/>
              </w:rPr>
            </w:pPr>
          </w:p>
        </w:tc>
      </w:tr>
      <w:tr w:rsidR="006E7F89" w:rsidRPr="0082006E" w:rsidTr="00A67A3D">
        <w:tblPrEx>
          <w:tblCellMar>
            <w:bottom w:w="0" w:type="dxa"/>
          </w:tblCellMar>
        </w:tblPrEx>
        <w:tc>
          <w:tcPr>
            <w:tcW w:w="2387" w:type="pct"/>
          </w:tcPr>
          <w:p w:rsidR="006E7F89" w:rsidRPr="009C2345" w:rsidRDefault="006E7F89" w:rsidP="006E7F89">
            <w:pPr>
              <w:keepNext/>
              <w:jc w:val="both"/>
              <w:rPr>
                <w:sz w:val="20"/>
                <w:szCs w:val="20"/>
                <w:lang w:val="fr-CA"/>
              </w:rPr>
            </w:pPr>
            <w:r w:rsidRPr="009C2345">
              <w:rPr>
                <w:sz w:val="20"/>
                <w:szCs w:val="20"/>
                <w:lang w:val="fr-CA"/>
              </w:rPr>
              <w:t>Le 23 septembre 2015</w:t>
            </w:r>
          </w:p>
          <w:p w:rsidR="006E7F89" w:rsidRPr="009C2345" w:rsidRDefault="006E7F89" w:rsidP="006E7F89">
            <w:pPr>
              <w:keepNext/>
              <w:jc w:val="both"/>
              <w:rPr>
                <w:sz w:val="20"/>
                <w:szCs w:val="20"/>
                <w:lang w:val="fr-CA"/>
              </w:rPr>
            </w:pPr>
            <w:r w:rsidRPr="009C2345">
              <w:rPr>
                <w:sz w:val="20"/>
                <w:szCs w:val="20"/>
                <w:lang w:val="fr-CA"/>
              </w:rPr>
              <w:t>Cour d’appel de la Colombie-Britannique</w:t>
            </w:r>
          </w:p>
          <w:p w:rsidR="006E7F89" w:rsidRPr="009C2345" w:rsidRDefault="006E7F89" w:rsidP="006E7F89">
            <w:pPr>
              <w:keepNext/>
              <w:jc w:val="both"/>
              <w:rPr>
                <w:sz w:val="20"/>
                <w:szCs w:val="20"/>
                <w:lang w:val="fr-CA"/>
              </w:rPr>
            </w:pPr>
            <w:r w:rsidRPr="009C2345">
              <w:rPr>
                <w:sz w:val="20"/>
                <w:szCs w:val="20"/>
                <w:lang w:val="fr-CA"/>
              </w:rPr>
              <w:t>(Vancouver)</w:t>
            </w:r>
          </w:p>
          <w:p w:rsidR="006E7F89" w:rsidRPr="009C2345" w:rsidRDefault="006E7F89" w:rsidP="006E7F89">
            <w:pPr>
              <w:keepNext/>
              <w:jc w:val="both"/>
              <w:rPr>
                <w:sz w:val="20"/>
                <w:szCs w:val="20"/>
                <w:lang w:val="fr-CA"/>
              </w:rPr>
            </w:pPr>
            <w:r w:rsidRPr="009C2345">
              <w:rPr>
                <w:sz w:val="20"/>
                <w:szCs w:val="20"/>
                <w:lang w:val="fr-CA"/>
              </w:rPr>
              <w:t>(Juges Saunders, Chiasson et Frankel)</w:t>
            </w:r>
          </w:p>
          <w:p w:rsidR="006E7F89" w:rsidRPr="009C2345" w:rsidRDefault="0082006E" w:rsidP="006E7F89">
            <w:pPr>
              <w:keepNext/>
              <w:jc w:val="both"/>
              <w:rPr>
                <w:sz w:val="20"/>
                <w:szCs w:val="20"/>
                <w:u w:val="single"/>
                <w:lang w:val="fr-CA"/>
              </w:rPr>
            </w:pPr>
            <w:hyperlink r:id="rId40" w:history="1">
              <w:r w:rsidR="006E7F89" w:rsidRPr="009C2345">
                <w:rPr>
                  <w:color w:val="0000FF" w:themeColor="hyperlink"/>
                  <w:sz w:val="20"/>
                  <w:szCs w:val="20"/>
                  <w:u w:val="single"/>
                  <w:lang w:val="fr-CA"/>
                </w:rPr>
                <w:t>2015 BCCA 393</w:t>
              </w:r>
            </w:hyperlink>
          </w:p>
          <w:p w:rsidR="006E7F89" w:rsidRPr="009C2345" w:rsidRDefault="006E7F89" w:rsidP="006E7F89">
            <w:pPr>
              <w:keepNext/>
              <w:jc w:val="both"/>
              <w:rPr>
                <w:sz w:val="20"/>
                <w:szCs w:val="20"/>
                <w:lang w:val="fr-CA"/>
              </w:rPr>
            </w:pPr>
          </w:p>
        </w:tc>
        <w:tc>
          <w:tcPr>
            <w:tcW w:w="269" w:type="pct"/>
          </w:tcPr>
          <w:p w:rsidR="006E7F89" w:rsidRPr="009C2345" w:rsidRDefault="006E7F89" w:rsidP="006E7F89">
            <w:pPr>
              <w:keepNext/>
              <w:jc w:val="both"/>
              <w:rPr>
                <w:sz w:val="20"/>
                <w:szCs w:val="20"/>
                <w:lang w:val="fr-CA"/>
              </w:rPr>
            </w:pPr>
          </w:p>
        </w:tc>
        <w:tc>
          <w:tcPr>
            <w:tcW w:w="2344" w:type="pct"/>
          </w:tcPr>
          <w:p w:rsidR="006E7F89" w:rsidRPr="009C2345" w:rsidRDefault="006E7F89" w:rsidP="006E7F89">
            <w:pPr>
              <w:keepNext/>
              <w:jc w:val="both"/>
              <w:rPr>
                <w:sz w:val="20"/>
                <w:szCs w:val="20"/>
                <w:lang w:val="fr-CA"/>
              </w:rPr>
            </w:pPr>
            <w:r w:rsidRPr="009C2345">
              <w:rPr>
                <w:sz w:val="20"/>
                <w:szCs w:val="20"/>
                <w:lang w:val="fr-CA"/>
              </w:rPr>
              <w:t xml:space="preserve">Appel de la décision d’accorder des dommages-intérêts accueilli </w:t>
            </w:r>
          </w:p>
          <w:p w:rsidR="006E7F89" w:rsidRPr="009C2345" w:rsidRDefault="006E7F89" w:rsidP="006E7F89">
            <w:pPr>
              <w:keepNext/>
              <w:jc w:val="both"/>
              <w:rPr>
                <w:sz w:val="20"/>
                <w:szCs w:val="20"/>
                <w:lang w:val="fr-CA"/>
              </w:rPr>
            </w:pPr>
          </w:p>
        </w:tc>
      </w:tr>
      <w:tr w:rsidR="006E7F89" w:rsidRPr="0082006E" w:rsidTr="00A67A3D">
        <w:tblPrEx>
          <w:tblCellMar>
            <w:bottom w:w="0" w:type="dxa"/>
          </w:tblCellMar>
        </w:tblPrEx>
        <w:tc>
          <w:tcPr>
            <w:tcW w:w="2387" w:type="pct"/>
          </w:tcPr>
          <w:p w:rsidR="006E7F89" w:rsidRPr="009C2345" w:rsidRDefault="006E7F89" w:rsidP="006E7F89">
            <w:pPr>
              <w:jc w:val="both"/>
              <w:rPr>
                <w:sz w:val="20"/>
                <w:szCs w:val="20"/>
                <w:lang w:val="fr-CA"/>
              </w:rPr>
            </w:pPr>
            <w:r w:rsidRPr="009C2345">
              <w:rPr>
                <w:sz w:val="20"/>
                <w:szCs w:val="20"/>
                <w:lang w:val="fr-CA"/>
              </w:rPr>
              <w:t>Cour suprême du Canada</w:t>
            </w:r>
          </w:p>
        </w:tc>
        <w:tc>
          <w:tcPr>
            <w:tcW w:w="269" w:type="pct"/>
          </w:tcPr>
          <w:p w:rsidR="006E7F89" w:rsidRPr="009C2345" w:rsidRDefault="006E7F89" w:rsidP="006E7F89">
            <w:pPr>
              <w:jc w:val="both"/>
              <w:rPr>
                <w:sz w:val="20"/>
                <w:szCs w:val="20"/>
                <w:lang w:val="fr-CA"/>
              </w:rPr>
            </w:pPr>
          </w:p>
        </w:tc>
        <w:tc>
          <w:tcPr>
            <w:tcW w:w="2344" w:type="pct"/>
          </w:tcPr>
          <w:p w:rsidR="006E7F89" w:rsidRPr="009C2345" w:rsidRDefault="006E7F89" w:rsidP="006E7F89">
            <w:pPr>
              <w:jc w:val="both"/>
              <w:rPr>
                <w:sz w:val="20"/>
                <w:szCs w:val="20"/>
                <w:lang w:val="fr-CA"/>
              </w:rPr>
            </w:pPr>
            <w:r w:rsidRPr="009C2345">
              <w:rPr>
                <w:sz w:val="20"/>
                <w:szCs w:val="20"/>
                <w:lang w:val="fr-CA"/>
              </w:rPr>
              <w:t>Dépôt de la demande d’autorisation d’appel</w:t>
            </w:r>
          </w:p>
        </w:tc>
      </w:tr>
    </w:tbl>
    <w:p w:rsidR="0069709D" w:rsidRPr="009C2345" w:rsidRDefault="0069709D" w:rsidP="008D292F">
      <w:pPr>
        <w:rPr>
          <w:sz w:val="20"/>
          <w:szCs w:val="20"/>
          <w:lang w:val="fr-CA"/>
        </w:rPr>
      </w:pPr>
    </w:p>
    <w:p w:rsidR="000B39F0" w:rsidRPr="009C2345" w:rsidRDefault="0082006E" w:rsidP="008D292F">
      <w:pPr>
        <w:rPr>
          <w:sz w:val="20"/>
          <w:szCs w:val="20"/>
          <w:lang w:val="fr-CA"/>
        </w:rPr>
      </w:pPr>
      <w:r>
        <w:rPr>
          <w:sz w:val="20"/>
          <w:szCs w:val="20"/>
          <w:lang w:val="fr-CA"/>
        </w:rPr>
        <w:pict>
          <v:rect id="_x0000_i1047" style="width:2in;height:1pt" o:hrpct="0" o:hralign="center" o:hrstd="t" o:hrnoshade="t" o:hr="t" fillcolor="black [3213]" stroked="f"/>
        </w:pict>
      </w:r>
    </w:p>
    <w:p w:rsidR="000B39F0" w:rsidRPr="009C2345" w:rsidRDefault="000B39F0" w:rsidP="008D292F">
      <w:pPr>
        <w:rPr>
          <w:sz w:val="20"/>
          <w:szCs w:val="20"/>
          <w:lang w:val="fr-CA"/>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082"/>
      </w:tblGrid>
      <w:tr w:rsidR="00305DBA" w:rsidRPr="009C2345" w:rsidTr="00A67A3D">
        <w:trPr>
          <w:cantSplit/>
          <w:trHeight w:val="437"/>
        </w:trPr>
        <w:tc>
          <w:tcPr>
            <w:tcW w:w="1458" w:type="dxa"/>
          </w:tcPr>
          <w:p w:rsidR="00305DBA" w:rsidRPr="009C2345" w:rsidRDefault="00305DBA" w:rsidP="00017A3C">
            <w:pPr>
              <w:rPr>
                <w:sz w:val="20"/>
                <w:szCs w:val="20"/>
              </w:rPr>
            </w:pPr>
            <w:r w:rsidRPr="009C2345">
              <w:rPr>
                <w:rStyle w:val="SCCFileNumberChar"/>
                <w:sz w:val="20"/>
                <w:szCs w:val="20"/>
              </w:rPr>
              <w:t>36706</w:t>
            </w:r>
          </w:p>
          <w:p w:rsidR="00305DBA" w:rsidRPr="009C2345" w:rsidRDefault="00305DBA" w:rsidP="00017A3C">
            <w:pPr>
              <w:rPr>
                <w:b/>
                <w:sz w:val="20"/>
                <w:szCs w:val="20"/>
                <w:lang w:val="fr-CA"/>
              </w:rPr>
            </w:pPr>
          </w:p>
        </w:tc>
        <w:tc>
          <w:tcPr>
            <w:tcW w:w="8082" w:type="dxa"/>
          </w:tcPr>
          <w:p w:rsidR="00305DBA" w:rsidRPr="009C2345" w:rsidRDefault="00A371F2" w:rsidP="00A371F2">
            <w:pPr>
              <w:rPr>
                <w:sz w:val="20"/>
                <w:szCs w:val="20"/>
              </w:rPr>
            </w:pPr>
            <w:r w:rsidRPr="009C2345">
              <w:rPr>
                <w:b/>
                <w:sz w:val="20"/>
                <w:szCs w:val="20"/>
                <w:u w:val="single"/>
              </w:rPr>
              <w:t>Gene Michaud v. Her Majesty the Queen</w:t>
            </w:r>
            <w:r w:rsidRPr="009C2345">
              <w:rPr>
                <w:sz w:val="20"/>
                <w:szCs w:val="20"/>
              </w:rPr>
              <w:t xml:space="preserve"> (Ont.) (Crim</w:t>
            </w:r>
            <w:r w:rsidR="00733B0A" w:rsidRPr="009C2345">
              <w:rPr>
                <w:sz w:val="20"/>
                <w:szCs w:val="20"/>
              </w:rPr>
              <w:t>.</w:t>
            </w:r>
            <w:r w:rsidRPr="009C2345">
              <w:rPr>
                <w:sz w:val="20"/>
                <w:szCs w:val="20"/>
              </w:rPr>
              <w:t>) (By Leave)</w:t>
            </w:r>
          </w:p>
          <w:p w:rsidR="00305DBA" w:rsidRPr="009C2345" w:rsidRDefault="00305DBA" w:rsidP="00017A3C">
            <w:pPr>
              <w:rPr>
                <w:sz w:val="20"/>
                <w:szCs w:val="20"/>
              </w:rPr>
            </w:pPr>
          </w:p>
        </w:tc>
      </w:tr>
      <w:tr w:rsidR="00305DBA" w:rsidRPr="009C2345" w:rsidTr="00A67A3D">
        <w:trPr>
          <w:cantSplit/>
        </w:trPr>
        <w:tc>
          <w:tcPr>
            <w:tcW w:w="1458" w:type="dxa"/>
          </w:tcPr>
          <w:p w:rsidR="00305DBA" w:rsidRPr="009C2345" w:rsidRDefault="00305DBA" w:rsidP="00017A3C">
            <w:pPr>
              <w:rPr>
                <w:sz w:val="20"/>
                <w:szCs w:val="20"/>
              </w:rPr>
            </w:pPr>
            <w:r w:rsidRPr="009C2345">
              <w:rPr>
                <w:sz w:val="20"/>
                <w:szCs w:val="20"/>
              </w:rPr>
              <w:t>Coram :</w:t>
            </w:r>
          </w:p>
        </w:tc>
        <w:tc>
          <w:tcPr>
            <w:tcW w:w="8082" w:type="dxa"/>
          </w:tcPr>
          <w:p w:rsidR="00305DBA" w:rsidRPr="009C2345" w:rsidRDefault="000F1A6B" w:rsidP="00017A3C">
            <w:pPr>
              <w:rPr>
                <w:sz w:val="20"/>
                <w:szCs w:val="20"/>
                <w:u w:val="single"/>
              </w:rPr>
            </w:pPr>
            <w:r w:rsidRPr="009C2345">
              <w:rPr>
                <w:rStyle w:val="SCCCoramChar"/>
                <w:sz w:val="20"/>
                <w:szCs w:val="20"/>
                <w:lang w:val="en-CA"/>
              </w:rPr>
              <w:t>Abella, Karakatsanis and Brown JJ.</w:t>
            </w:r>
          </w:p>
        </w:tc>
      </w:tr>
      <w:tr w:rsidR="00305DBA" w:rsidRPr="0082006E" w:rsidTr="00A67A3D">
        <w:trPr>
          <w:cantSplit/>
        </w:trPr>
        <w:tc>
          <w:tcPr>
            <w:tcW w:w="9540" w:type="dxa"/>
            <w:gridSpan w:val="2"/>
          </w:tcPr>
          <w:p w:rsidR="00305DBA" w:rsidRPr="009C2345" w:rsidRDefault="000F1A6B" w:rsidP="00017A3C">
            <w:pPr>
              <w:pStyle w:val="SCCShortJudgment"/>
              <w:ind w:firstLine="0"/>
            </w:pPr>
            <w:r w:rsidRPr="009C2345">
              <w:tab/>
              <w:t xml:space="preserve">The application for leave to appeal from the judgment of the Court of Appeal for Ontario, Number C59271, 2015 ONCA 585, dated August 31, 2015, is dismissed. </w:t>
            </w:r>
          </w:p>
          <w:p w:rsidR="000F1A6B" w:rsidRPr="009C2345" w:rsidRDefault="000F1A6B" w:rsidP="00017A3C">
            <w:pPr>
              <w:pStyle w:val="SCCShortJudgment"/>
              <w:ind w:firstLine="0"/>
              <w:rPr>
                <w:szCs w:val="20"/>
              </w:rPr>
            </w:pPr>
          </w:p>
          <w:p w:rsidR="00305DBA" w:rsidRPr="009C2345" w:rsidRDefault="000F1A6B" w:rsidP="00017A3C">
            <w:pPr>
              <w:pStyle w:val="SCCShortJudgment"/>
              <w:rPr>
                <w:szCs w:val="20"/>
                <w:lang w:val="fr-CA"/>
              </w:rPr>
            </w:pPr>
            <w:r w:rsidRPr="009C2345">
              <w:rPr>
                <w:lang w:val="fr-CA"/>
              </w:rPr>
              <w:t xml:space="preserve">La demande d’autorisation d’appel de l’arrêt de la </w:t>
            </w:r>
            <w:r w:rsidRPr="009C2345">
              <w:rPr>
                <w:lang w:val="fr-FR"/>
              </w:rPr>
              <w:t>Cour d’appel de l’Ontario</w:t>
            </w:r>
            <w:r w:rsidRPr="009C2345">
              <w:rPr>
                <w:lang w:val="fr-CA"/>
              </w:rPr>
              <w:t xml:space="preserve">, numéro </w:t>
            </w:r>
            <w:r w:rsidRPr="009C2345">
              <w:rPr>
                <w:lang w:val="fr-FR"/>
              </w:rPr>
              <w:t>C59271, 2015 ONCA 585</w:t>
            </w:r>
            <w:r w:rsidRPr="009C2345">
              <w:rPr>
                <w:lang w:val="fr-CA"/>
              </w:rPr>
              <w:t xml:space="preserve">, daté du </w:t>
            </w:r>
            <w:r w:rsidRPr="009C2345">
              <w:rPr>
                <w:lang w:val="fr-FR"/>
              </w:rPr>
              <w:t>31 août 2015</w:t>
            </w:r>
            <w:r w:rsidRPr="009C2345">
              <w:rPr>
                <w:lang w:val="fr-CA"/>
              </w:rPr>
              <w:t>, est rejetée.</w:t>
            </w:r>
          </w:p>
        </w:tc>
      </w:tr>
    </w:tbl>
    <w:p w:rsidR="00305DBA" w:rsidRPr="009C2345" w:rsidRDefault="00305DBA" w:rsidP="00305DBA">
      <w:pPr>
        <w:rPr>
          <w:sz w:val="20"/>
          <w:szCs w:val="20"/>
          <w:lang w:val="fr-CA"/>
        </w:rPr>
      </w:pPr>
    </w:p>
    <w:p w:rsidR="00305DBA" w:rsidRPr="009C2345" w:rsidRDefault="00305DBA" w:rsidP="00305DBA">
      <w:pPr>
        <w:rPr>
          <w:sz w:val="20"/>
          <w:szCs w:val="20"/>
          <w:u w:val="single"/>
        </w:rPr>
      </w:pPr>
      <w:r w:rsidRPr="009C2345">
        <w:rPr>
          <w:sz w:val="20"/>
          <w:szCs w:val="20"/>
          <w:u w:val="single"/>
        </w:rPr>
        <w:t>CASE SUMMARY</w:t>
      </w:r>
    </w:p>
    <w:p w:rsidR="00305DBA" w:rsidRPr="009C2345" w:rsidRDefault="00305DBA" w:rsidP="00305DBA">
      <w:pPr>
        <w:rPr>
          <w:sz w:val="20"/>
          <w:szCs w:val="20"/>
        </w:rPr>
      </w:pPr>
    </w:p>
    <w:tbl>
      <w:tblPr>
        <w:tblW w:w="4959" w:type="pct"/>
        <w:tblLayout w:type="fixed"/>
        <w:tblCellMar>
          <w:left w:w="0" w:type="dxa"/>
          <w:bottom w:w="99" w:type="dxa"/>
          <w:right w:w="0" w:type="dxa"/>
        </w:tblCellMar>
        <w:tblLook w:val="04A0" w:firstRow="1" w:lastRow="0" w:firstColumn="1" w:lastColumn="0" w:noHBand="0" w:noVBand="1"/>
      </w:tblPr>
      <w:tblGrid>
        <w:gridCol w:w="4623"/>
        <w:gridCol w:w="464"/>
        <w:gridCol w:w="4453"/>
      </w:tblGrid>
      <w:tr w:rsidR="004C7229" w:rsidRPr="009C2345" w:rsidTr="00A67A3D">
        <w:tc>
          <w:tcPr>
            <w:tcW w:w="5000" w:type="pct"/>
            <w:gridSpan w:val="3"/>
          </w:tcPr>
          <w:p w:rsidR="004C7229" w:rsidRPr="009C2345" w:rsidRDefault="004C7229" w:rsidP="004C7229">
            <w:pPr>
              <w:jc w:val="both"/>
              <w:rPr>
                <w:sz w:val="20"/>
                <w:szCs w:val="20"/>
              </w:rPr>
            </w:pPr>
            <w:r w:rsidRPr="009C2345">
              <w:rPr>
                <w:i/>
                <w:sz w:val="20"/>
                <w:szCs w:val="20"/>
              </w:rPr>
              <w:t>Charter of Rights and Freedoms</w:t>
            </w:r>
            <w:r w:rsidRPr="009C2345">
              <w:rPr>
                <w:sz w:val="20"/>
                <w:szCs w:val="20"/>
              </w:rPr>
              <w:t xml:space="preserve"> – Right to life, liberty and security of the person – Fundamental justice – Do s. 68.1(1) of the </w:t>
            </w:r>
            <w:r w:rsidRPr="009C2345">
              <w:rPr>
                <w:i/>
                <w:sz w:val="20"/>
                <w:szCs w:val="20"/>
              </w:rPr>
              <w:t>Highway Traffic Act</w:t>
            </w:r>
            <w:r w:rsidRPr="009C2345">
              <w:rPr>
                <w:sz w:val="20"/>
                <w:szCs w:val="20"/>
              </w:rPr>
              <w:t xml:space="preserve">, R.S.O. 1990. C.H8 and s. 14.1(1) of R.R.O. 1990, Reg. 587 violate the right to security of the person as guaranteed by s. 7 of the </w:t>
            </w:r>
            <w:r w:rsidRPr="009C2345">
              <w:rPr>
                <w:i/>
                <w:sz w:val="20"/>
                <w:szCs w:val="20"/>
              </w:rPr>
              <w:t>Charter</w:t>
            </w:r>
            <w:r w:rsidRPr="009C2345">
              <w:rPr>
                <w:sz w:val="20"/>
                <w:szCs w:val="20"/>
              </w:rPr>
              <w:t xml:space="preserve"> in a manner that is inconsistent with the principles of fundamental justice – If so, is the violation a reasonable limit that has been demonstrably justified in a free and democratic society – </w:t>
            </w:r>
            <w:r w:rsidRPr="009C2345">
              <w:rPr>
                <w:i/>
                <w:sz w:val="20"/>
                <w:szCs w:val="20"/>
              </w:rPr>
              <w:t>Charter</w:t>
            </w:r>
            <w:r w:rsidRPr="009C2345">
              <w:rPr>
                <w:sz w:val="20"/>
                <w:szCs w:val="20"/>
              </w:rPr>
              <w:t xml:space="preserve"> ss. 1, 7.</w:t>
            </w:r>
          </w:p>
        </w:tc>
      </w:tr>
      <w:tr w:rsidR="004C7229" w:rsidRPr="009C2345" w:rsidTr="00A67A3D">
        <w:tc>
          <w:tcPr>
            <w:tcW w:w="5000" w:type="pct"/>
            <w:gridSpan w:val="3"/>
          </w:tcPr>
          <w:p w:rsidR="004C7229" w:rsidRPr="009C2345" w:rsidRDefault="004C7229" w:rsidP="004C7229">
            <w:pPr>
              <w:jc w:val="both"/>
              <w:rPr>
                <w:sz w:val="20"/>
                <w:szCs w:val="20"/>
              </w:rPr>
            </w:pPr>
          </w:p>
        </w:tc>
      </w:tr>
      <w:tr w:rsidR="004C7229" w:rsidRPr="009C2345" w:rsidTr="00A67A3D">
        <w:tc>
          <w:tcPr>
            <w:tcW w:w="5000" w:type="pct"/>
            <w:gridSpan w:val="3"/>
          </w:tcPr>
          <w:p w:rsidR="004C7229" w:rsidRPr="009C2345" w:rsidRDefault="004C7229" w:rsidP="004C7229">
            <w:pPr>
              <w:jc w:val="both"/>
              <w:rPr>
                <w:sz w:val="20"/>
                <w:szCs w:val="20"/>
              </w:rPr>
            </w:pPr>
            <w:r w:rsidRPr="009C2345">
              <w:rPr>
                <w:rFonts w:cs="Times New Roman"/>
                <w:sz w:val="20"/>
                <w:szCs w:val="20"/>
              </w:rPr>
              <w:t xml:space="preserve">The applicant was a commercial truck driver. His truck needed to have a functional speed limiter set to a maximum speed of 105 km/hour. The speed limiter on the applicant’s truck was set to 109.4 km/hour, 4.4 km more than the maximum limit. He was charged with contravening the </w:t>
            </w:r>
            <w:r w:rsidRPr="009C2345">
              <w:rPr>
                <w:rFonts w:cs="Times New Roman"/>
                <w:i/>
                <w:sz w:val="20"/>
                <w:szCs w:val="20"/>
              </w:rPr>
              <w:t>Highway Traffic Act</w:t>
            </w:r>
            <w:r w:rsidRPr="009C2345">
              <w:rPr>
                <w:rFonts w:cs="Times New Roman"/>
                <w:sz w:val="20"/>
                <w:szCs w:val="20"/>
              </w:rPr>
              <w:t xml:space="preserve">, R.S.O. 1990 c.H8 and the equipment regulation that together imposed the speed limiter requirement. The justice of the peace at first instance acquitted the applicant on the basis that the legislation infringed his right to security of the person and thereby violated s. 7 of the </w:t>
            </w:r>
            <w:r w:rsidRPr="009C2345">
              <w:rPr>
                <w:rFonts w:cs="Times New Roman"/>
                <w:i/>
                <w:sz w:val="20"/>
                <w:szCs w:val="20"/>
              </w:rPr>
              <w:t>Charter</w:t>
            </w:r>
            <w:r w:rsidRPr="009C2345">
              <w:rPr>
                <w:rFonts w:cs="Times New Roman"/>
                <w:sz w:val="20"/>
                <w:szCs w:val="20"/>
              </w:rPr>
              <w:t xml:space="preserve">. On appeal, the Ontario Court of Justice admitted fresh evidence, found no </w:t>
            </w:r>
            <w:r w:rsidRPr="009C2345">
              <w:rPr>
                <w:rFonts w:cs="Times New Roman"/>
                <w:i/>
                <w:sz w:val="20"/>
                <w:szCs w:val="20"/>
              </w:rPr>
              <w:t xml:space="preserve">Charter </w:t>
            </w:r>
            <w:r w:rsidRPr="009C2345">
              <w:rPr>
                <w:rFonts w:cs="Times New Roman"/>
                <w:sz w:val="20"/>
                <w:szCs w:val="20"/>
              </w:rPr>
              <w:t>violation, and set aside the trial decision.</w:t>
            </w:r>
            <w:r w:rsidRPr="009C2345">
              <w:rPr>
                <w:sz w:val="20"/>
                <w:szCs w:val="20"/>
              </w:rPr>
              <w:t xml:space="preserve"> The Court of Appeal held that the Court of Justice did not exceed the scope of appellate review. The Court of Appeal also held that while the legislation resulted in a violation of s. 7 </w:t>
            </w:r>
            <w:r w:rsidRPr="009C2345">
              <w:rPr>
                <w:i/>
                <w:sz w:val="20"/>
                <w:szCs w:val="20"/>
              </w:rPr>
              <w:t>Charter</w:t>
            </w:r>
            <w:r w:rsidRPr="009C2345">
              <w:rPr>
                <w:sz w:val="20"/>
                <w:szCs w:val="20"/>
              </w:rPr>
              <w:t xml:space="preserve"> rights, it could be upheld under s. 1 of the </w:t>
            </w:r>
            <w:r w:rsidRPr="009C2345">
              <w:rPr>
                <w:i/>
                <w:sz w:val="20"/>
                <w:szCs w:val="20"/>
              </w:rPr>
              <w:t>Charter</w:t>
            </w:r>
            <w:r w:rsidRPr="009C2345">
              <w:rPr>
                <w:sz w:val="20"/>
                <w:szCs w:val="20"/>
              </w:rPr>
              <w:t>.</w:t>
            </w:r>
          </w:p>
          <w:p w:rsidR="004C7229" w:rsidRPr="009C2345" w:rsidRDefault="004C7229" w:rsidP="004C7229">
            <w:pPr>
              <w:jc w:val="both"/>
              <w:rPr>
                <w:sz w:val="20"/>
                <w:szCs w:val="20"/>
              </w:rPr>
            </w:pPr>
          </w:p>
        </w:tc>
      </w:tr>
      <w:tr w:rsidR="004C7229" w:rsidRPr="009C2345" w:rsidTr="00A67A3D">
        <w:tc>
          <w:tcPr>
            <w:tcW w:w="2423" w:type="pct"/>
          </w:tcPr>
          <w:p w:rsidR="004C7229" w:rsidRPr="009C2345" w:rsidRDefault="004C7229" w:rsidP="004C7229">
            <w:pPr>
              <w:jc w:val="both"/>
              <w:rPr>
                <w:sz w:val="20"/>
                <w:szCs w:val="20"/>
              </w:rPr>
            </w:pPr>
            <w:r w:rsidRPr="009C2345">
              <w:rPr>
                <w:sz w:val="20"/>
                <w:szCs w:val="20"/>
              </w:rPr>
              <w:t>June 6, 2012</w:t>
            </w:r>
          </w:p>
          <w:p w:rsidR="004C7229" w:rsidRPr="009C2345" w:rsidRDefault="004C7229" w:rsidP="004C7229">
            <w:pPr>
              <w:jc w:val="both"/>
              <w:rPr>
                <w:sz w:val="20"/>
                <w:szCs w:val="20"/>
              </w:rPr>
            </w:pPr>
            <w:r w:rsidRPr="009C2345">
              <w:rPr>
                <w:sz w:val="20"/>
                <w:szCs w:val="20"/>
              </w:rPr>
              <w:t>Ontario Court of Justice</w:t>
            </w:r>
          </w:p>
          <w:p w:rsidR="004C7229" w:rsidRPr="009C2345" w:rsidRDefault="004C7229" w:rsidP="004C7229">
            <w:pPr>
              <w:jc w:val="both"/>
              <w:rPr>
                <w:sz w:val="20"/>
                <w:szCs w:val="20"/>
              </w:rPr>
            </w:pPr>
            <w:r w:rsidRPr="009C2345">
              <w:rPr>
                <w:sz w:val="20"/>
                <w:szCs w:val="20"/>
              </w:rPr>
              <w:t>(Kelly J.P.)</w:t>
            </w:r>
          </w:p>
          <w:p w:rsidR="004C7229" w:rsidRPr="009C2345" w:rsidRDefault="004C7229" w:rsidP="004C7229">
            <w:pPr>
              <w:jc w:val="both"/>
              <w:rPr>
                <w:sz w:val="20"/>
                <w:szCs w:val="20"/>
              </w:rPr>
            </w:pPr>
          </w:p>
        </w:tc>
        <w:tc>
          <w:tcPr>
            <w:tcW w:w="243" w:type="pct"/>
          </w:tcPr>
          <w:p w:rsidR="004C7229" w:rsidRPr="009C2345" w:rsidRDefault="004C7229" w:rsidP="004C7229">
            <w:pPr>
              <w:jc w:val="both"/>
              <w:rPr>
                <w:sz w:val="20"/>
                <w:szCs w:val="20"/>
              </w:rPr>
            </w:pPr>
          </w:p>
        </w:tc>
        <w:tc>
          <w:tcPr>
            <w:tcW w:w="2334" w:type="pct"/>
          </w:tcPr>
          <w:p w:rsidR="004C7229" w:rsidRPr="009C2345" w:rsidRDefault="004C7229" w:rsidP="004C7229">
            <w:pPr>
              <w:jc w:val="both"/>
              <w:rPr>
                <w:sz w:val="20"/>
                <w:szCs w:val="20"/>
              </w:rPr>
            </w:pPr>
            <w:r w:rsidRPr="009C2345">
              <w:rPr>
                <w:sz w:val="20"/>
                <w:szCs w:val="20"/>
              </w:rPr>
              <w:t>Acquittal entered</w:t>
            </w:r>
          </w:p>
          <w:p w:rsidR="004C7229" w:rsidRPr="009C2345" w:rsidRDefault="004C7229" w:rsidP="004C7229">
            <w:pPr>
              <w:jc w:val="both"/>
              <w:rPr>
                <w:sz w:val="20"/>
                <w:szCs w:val="20"/>
              </w:rPr>
            </w:pPr>
          </w:p>
          <w:p w:rsidR="004C7229" w:rsidRPr="009C2345" w:rsidRDefault="004C7229" w:rsidP="004C7229">
            <w:pPr>
              <w:jc w:val="both"/>
              <w:rPr>
                <w:sz w:val="20"/>
                <w:szCs w:val="20"/>
              </w:rPr>
            </w:pPr>
          </w:p>
        </w:tc>
      </w:tr>
      <w:tr w:rsidR="004C7229" w:rsidRPr="009C2345" w:rsidTr="00A67A3D">
        <w:tc>
          <w:tcPr>
            <w:tcW w:w="2423" w:type="pct"/>
          </w:tcPr>
          <w:p w:rsidR="004C7229" w:rsidRPr="009C2345" w:rsidRDefault="004C7229" w:rsidP="004C7229">
            <w:pPr>
              <w:jc w:val="both"/>
              <w:rPr>
                <w:sz w:val="20"/>
                <w:szCs w:val="20"/>
              </w:rPr>
            </w:pPr>
            <w:r w:rsidRPr="009C2345">
              <w:rPr>
                <w:sz w:val="20"/>
                <w:szCs w:val="20"/>
              </w:rPr>
              <w:t>May 15, 2014</w:t>
            </w:r>
          </w:p>
          <w:p w:rsidR="004C7229" w:rsidRPr="009C2345" w:rsidRDefault="004C7229" w:rsidP="004C7229">
            <w:pPr>
              <w:jc w:val="both"/>
              <w:rPr>
                <w:sz w:val="20"/>
                <w:szCs w:val="20"/>
              </w:rPr>
            </w:pPr>
            <w:r w:rsidRPr="009C2345">
              <w:rPr>
                <w:sz w:val="20"/>
                <w:szCs w:val="20"/>
              </w:rPr>
              <w:t>Ontario Court of Justice</w:t>
            </w:r>
          </w:p>
          <w:p w:rsidR="004C7229" w:rsidRPr="009C2345" w:rsidRDefault="004C7229" w:rsidP="004C7229">
            <w:pPr>
              <w:jc w:val="both"/>
              <w:rPr>
                <w:sz w:val="20"/>
                <w:szCs w:val="20"/>
              </w:rPr>
            </w:pPr>
            <w:r w:rsidRPr="009C2345">
              <w:rPr>
                <w:sz w:val="20"/>
                <w:szCs w:val="20"/>
              </w:rPr>
              <w:t>(Harris J.)</w:t>
            </w:r>
          </w:p>
          <w:p w:rsidR="004C7229" w:rsidRPr="009C2345" w:rsidRDefault="004C7229" w:rsidP="004C7229">
            <w:pPr>
              <w:jc w:val="both"/>
              <w:rPr>
                <w:sz w:val="20"/>
                <w:szCs w:val="20"/>
              </w:rPr>
            </w:pPr>
          </w:p>
        </w:tc>
        <w:tc>
          <w:tcPr>
            <w:tcW w:w="243" w:type="pct"/>
          </w:tcPr>
          <w:p w:rsidR="004C7229" w:rsidRPr="009C2345" w:rsidRDefault="004C7229" w:rsidP="004C7229">
            <w:pPr>
              <w:jc w:val="both"/>
              <w:rPr>
                <w:sz w:val="20"/>
                <w:szCs w:val="20"/>
              </w:rPr>
            </w:pPr>
          </w:p>
        </w:tc>
        <w:tc>
          <w:tcPr>
            <w:tcW w:w="2334" w:type="pct"/>
          </w:tcPr>
          <w:p w:rsidR="004C7229" w:rsidRPr="009C2345" w:rsidRDefault="004C7229" w:rsidP="004C7229">
            <w:pPr>
              <w:jc w:val="both"/>
              <w:rPr>
                <w:sz w:val="20"/>
                <w:szCs w:val="20"/>
              </w:rPr>
            </w:pPr>
            <w:r w:rsidRPr="009C2345">
              <w:rPr>
                <w:sz w:val="20"/>
                <w:szCs w:val="20"/>
              </w:rPr>
              <w:t>Appeal allowed</w:t>
            </w:r>
          </w:p>
          <w:p w:rsidR="004C7229" w:rsidRPr="009C2345" w:rsidRDefault="004C7229" w:rsidP="004C7229">
            <w:pPr>
              <w:jc w:val="both"/>
              <w:rPr>
                <w:sz w:val="20"/>
                <w:szCs w:val="20"/>
              </w:rPr>
            </w:pPr>
          </w:p>
        </w:tc>
      </w:tr>
      <w:tr w:rsidR="004C7229" w:rsidRPr="009C2345" w:rsidTr="00A67A3D">
        <w:tc>
          <w:tcPr>
            <w:tcW w:w="2423" w:type="pct"/>
          </w:tcPr>
          <w:p w:rsidR="004C7229" w:rsidRPr="009C2345" w:rsidRDefault="004C7229" w:rsidP="004C7229">
            <w:pPr>
              <w:jc w:val="both"/>
              <w:rPr>
                <w:sz w:val="20"/>
                <w:szCs w:val="20"/>
              </w:rPr>
            </w:pPr>
            <w:r w:rsidRPr="009C2345">
              <w:rPr>
                <w:sz w:val="20"/>
                <w:szCs w:val="20"/>
              </w:rPr>
              <w:t>August 31, 2015</w:t>
            </w:r>
          </w:p>
          <w:p w:rsidR="004C7229" w:rsidRPr="009C2345" w:rsidRDefault="004C7229" w:rsidP="004C7229">
            <w:pPr>
              <w:jc w:val="both"/>
              <w:rPr>
                <w:sz w:val="20"/>
                <w:szCs w:val="20"/>
              </w:rPr>
            </w:pPr>
            <w:r w:rsidRPr="009C2345">
              <w:rPr>
                <w:sz w:val="20"/>
                <w:szCs w:val="20"/>
              </w:rPr>
              <w:t>Court of Appeal for Ontario</w:t>
            </w:r>
          </w:p>
          <w:p w:rsidR="004C7229" w:rsidRPr="009C2345" w:rsidRDefault="004C7229" w:rsidP="004C7229">
            <w:pPr>
              <w:jc w:val="both"/>
              <w:rPr>
                <w:sz w:val="20"/>
                <w:szCs w:val="20"/>
              </w:rPr>
            </w:pPr>
            <w:r w:rsidRPr="009C2345">
              <w:rPr>
                <w:sz w:val="20"/>
                <w:szCs w:val="20"/>
              </w:rPr>
              <w:t>(Watt, Lauwers, Hourigan J.A.)</w:t>
            </w:r>
          </w:p>
          <w:p w:rsidR="004C7229" w:rsidRPr="009C2345" w:rsidRDefault="004C7229" w:rsidP="004C7229">
            <w:pPr>
              <w:jc w:val="both"/>
              <w:rPr>
                <w:sz w:val="20"/>
                <w:szCs w:val="20"/>
              </w:rPr>
            </w:pPr>
            <w:r w:rsidRPr="009C2345">
              <w:rPr>
                <w:sz w:val="20"/>
                <w:szCs w:val="20"/>
              </w:rPr>
              <w:t>2015 ONCA 585; C59271</w:t>
            </w:r>
          </w:p>
          <w:p w:rsidR="004C7229" w:rsidRPr="009C2345" w:rsidRDefault="0082006E" w:rsidP="004C7229">
            <w:pPr>
              <w:jc w:val="both"/>
              <w:rPr>
                <w:sz w:val="20"/>
                <w:szCs w:val="20"/>
              </w:rPr>
            </w:pPr>
            <w:hyperlink r:id="rId41" w:history="1">
              <w:r w:rsidR="004C7229" w:rsidRPr="009C2345">
                <w:rPr>
                  <w:rFonts w:eastAsiaTheme="majorEastAsia"/>
                  <w:color w:val="0000FF"/>
                  <w:sz w:val="20"/>
                  <w:szCs w:val="20"/>
                  <w:u w:val="single"/>
                </w:rPr>
                <w:t>http://canlii.ca/t/gkwxp</w:t>
              </w:r>
            </w:hyperlink>
          </w:p>
          <w:p w:rsidR="004C7229" w:rsidRPr="009C2345" w:rsidRDefault="004C7229" w:rsidP="004C7229">
            <w:pPr>
              <w:jc w:val="both"/>
              <w:rPr>
                <w:sz w:val="20"/>
                <w:szCs w:val="20"/>
              </w:rPr>
            </w:pPr>
          </w:p>
        </w:tc>
        <w:tc>
          <w:tcPr>
            <w:tcW w:w="243" w:type="pct"/>
          </w:tcPr>
          <w:p w:rsidR="004C7229" w:rsidRPr="009C2345" w:rsidRDefault="004C7229" w:rsidP="004C7229">
            <w:pPr>
              <w:jc w:val="both"/>
              <w:rPr>
                <w:sz w:val="20"/>
                <w:szCs w:val="20"/>
              </w:rPr>
            </w:pPr>
          </w:p>
        </w:tc>
        <w:tc>
          <w:tcPr>
            <w:tcW w:w="2334" w:type="pct"/>
          </w:tcPr>
          <w:p w:rsidR="004C7229" w:rsidRPr="009C2345" w:rsidRDefault="004C7229" w:rsidP="004C7229">
            <w:pPr>
              <w:jc w:val="both"/>
              <w:rPr>
                <w:sz w:val="20"/>
                <w:szCs w:val="20"/>
              </w:rPr>
            </w:pPr>
            <w:r w:rsidRPr="009C2345">
              <w:rPr>
                <w:sz w:val="20"/>
                <w:szCs w:val="20"/>
              </w:rPr>
              <w:t>Appeal dismissed</w:t>
            </w:r>
          </w:p>
          <w:p w:rsidR="004C7229" w:rsidRPr="009C2345" w:rsidRDefault="004C7229" w:rsidP="004C7229">
            <w:pPr>
              <w:jc w:val="both"/>
              <w:rPr>
                <w:sz w:val="20"/>
                <w:szCs w:val="20"/>
              </w:rPr>
            </w:pPr>
          </w:p>
        </w:tc>
      </w:tr>
      <w:tr w:rsidR="004C7229" w:rsidRPr="009C2345" w:rsidTr="00A67A3D">
        <w:tc>
          <w:tcPr>
            <w:tcW w:w="2423" w:type="pct"/>
          </w:tcPr>
          <w:p w:rsidR="004C7229" w:rsidRPr="009C2345" w:rsidRDefault="004C7229" w:rsidP="004C7229">
            <w:pPr>
              <w:jc w:val="both"/>
              <w:rPr>
                <w:sz w:val="20"/>
                <w:szCs w:val="20"/>
              </w:rPr>
            </w:pPr>
            <w:r w:rsidRPr="009C2345">
              <w:rPr>
                <w:sz w:val="20"/>
                <w:szCs w:val="20"/>
              </w:rPr>
              <w:t>October 28, 2015</w:t>
            </w:r>
          </w:p>
          <w:p w:rsidR="004C7229" w:rsidRPr="009C2345" w:rsidRDefault="004C7229" w:rsidP="004C7229">
            <w:pPr>
              <w:jc w:val="both"/>
              <w:rPr>
                <w:sz w:val="20"/>
                <w:szCs w:val="20"/>
              </w:rPr>
            </w:pPr>
            <w:r w:rsidRPr="009C2345">
              <w:rPr>
                <w:sz w:val="20"/>
                <w:szCs w:val="20"/>
              </w:rPr>
              <w:t>Supreme Court of Canada</w:t>
            </w:r>
          </w:p>
        </w:tc>
        <w:tc>
          <w:tcPr>
            <w:tcW w:w="243" w:type="pct"/>
          </w:tcPr>
          <w:p w:rsidR="004C7229" w:rsidRPr="009C2345" w:rsidRDefault="004C7229" w:rsidP="004C7229">
            <w:pPr>
              <w:jc w:val="both"/>
              <w:rPr>
                <w:sz w:val="20"/>
                <w:szCs w:val="20"/>
              </w:rPr>
            </w:pPr>
          </w:p>
        </w:tc>
        <w:tc>
          <w:tcPr>
            <w:tcW w:w="2334" w:type="pct"/>
          </w:tcPr>
          <w:p w:rsidR="004C7229" w:rsidRPr="009C2345" w:rsidRDefault="004C7229" w:rsidP="004C7229">
            <w:pPr>
              <w:jc w:val="both"/>
              <w:rPr>
                <w:sz w:val="20"/>
                <w:szCs w:val="20"/>
              </w:rPr>
            </w:pPr>
            <w:r w:rsidRPr="009C2345">
              <w:rPr>
                <w:sz w:val="20"/>
                <w:szCs w:val="20"/>
              </w:rPr>
              <w:t>Application for leave to appeal filed</w:t>
            </w:r>
          </w:p>
          <w:p w:rsidR="004C7229" w:rsidRPr="009C2345" w:rsidRDefault="004C7229" w:rsidP="004C7229">
            <w:pPr>
              <w:jc w:val="both"/>
              <w:rPr>
                <w:sz w:val="20"/>
                <w:szCs w:val="20"/>
              </w:rPr>
            </w:pPr>
          </w:p>
        </w:tc>
      </w:tr>
    </w:tbl>
    <w:p w:rsidR="00305DBA" w:rsidRPr="009C2345" w:rsidRDefault="00305DBA" w:rsidP="008D292F">
      <w:pPr>
        <w:rPr>
          <w:sz w:val="20"/>
          <w:szCs w:val="20"/>
        </w:rPr>
      </w:pPr>
    </w:p>
    <w:p w:rsidR="000B39F0" w:rsidRPr="009C2345" w:rsidRDefault="0082006E" w:rsidP="008D292F">
      <w:pPr>
        <w:rPr>
          <w:sz w:val="20"/>
          <w:szCs w:val="20"/>
          <w:lang w:val="fr-CA"/>
        </w:rPr>
      </w:pPr>
      <w:r>
        <w:rPr>
          <w:sz w:val="20"/>
          <w:szCs w:val="20"/>
          <w:lang w:val="fr-CA"/>
        </w:rPr>
        <w:pict>
          <v:rect id="_x0000_i1048" style="width:2in;height:1pt" o:hrpct="0" o:hralign="center" o:hrstd="t" o:hrnoshade="t" o:hr="t" fillcolor="black [3213]" stroked="f"/>
        </w:pict>
      </w:r>
    </w:p>
    <w:p w:rsidR="000B39F0" w:rsidRPr="009C2345" w:rsidRDefault="000B39F0" w:rsidP="008D292F">
      <w:pPr>
        <w:rPr>
          <w:sz w:val="20"/>
          <w:szCs w:val="20"/>
          <w:lang w:val="fr-CA"/>
        </w:rPr>
      </w:pPr>
    </w:p>
    <w:p w:rsidR="00305DBA" w:rsidRPr="009C2345" w:rsidRDefault="00305DBA" w:rsidP="00305DBA">
      <w:pPr>
        <w:rPr>
          <w:sz w:val="20"/>
          <w:szCs w:val="20"/>
          <w:u w:val="single"/>
          <w:lang w:val="fr-CA"/>
        </w:rPr>
      </w:pPr>
      <w:r w:rsidRPr="009C2345">
        <w:rPr>
          <w:sz w:val="20"/>
          <w:szCs w:val="20"/>
          <w:u w:val="single"/>
          <w:lang w:val="fr-CA"/>
        </w:rPr>
        <w:t>RÉSUMÉ DE L’AFFAIRE</w:t>
      </w:r>
    </w:p>
    <w:p w:rsidR="00305DBA" w:rsidRPr="009C2345" w:rsidRDefault="00305DBA" w:rsidP="00305DBA">
      <w:pPr>
        <w:rPr>
          <w:sz w:val="20"/>
          <w:szCs w:val="20"/>
        </w:rPr>
      </w:pPr>
    </w:p>
    <w:tbl>
      <w:tblPr>
        <w:tblW w:w="4959" w:type="pct"/>
        <w:tblLayout w:type="fixed"/>
        <w:tblCellMar>
          <w:left w:w="0" w:type="dxa"/>
          <w:bottom w:w="99" w:type="dxa"/>
          <w:right w:w="0" w:type="dxa"/>
        </w:tblCellMar>
        <w:tblLook w:val="04A0" w:firstRow="1" w:lastRow="0" w:firstColumn="1" w:lastColumn="0" w:noHBand="0" w:noVBand="1"/>
      </w:tblPr>
      <w:tblGrid>
        <w:gridCol w:w="4623"/>
        <w:gridCol w:w="464"/>
        <w:gridCol w:w="4453"/>
      </w:tblGrid>
      <w:tr w:rsidR="00202302" w:rsidRPr="0082006E" w:rsidTr="00A67A3D">
        <w:tc>
          <w:tcPr>
            <w:tcW w:w="5000" w:type="pct"/>
            <w:gridSpan w:val="3"/>
          </w:tcPr>
          <w:p w:rsidR="00202302" w:rsidRPr="009C2345" w:rsidRDefault="00202302" w:rsidP="00202302">
            <w:pPr>
              <w:jc w:val="both"/>
              <w:rPr>
                <w:sz w:val="20"/>
                <w:szCs w:val="20"/>
                <w:lang w:val="fr-CA"/>
              </w:rPr>
            </w:pPr>
            <w:r w:rsidRPr="009C2345">
              <w:rPr>
                <w:i/>
                <w:sz w:val="20"/>
                <w:szCs w:val="20"/>
                <w:lang w:val="fr-CA"/>
              </w:rPr>
              <w:t xml:space="preserve">Charte des droits et libertés </w:t>
            </w:r>
            <w:r w:rsidRPr="009C2345">
              <w:rPr>
                <w:sz w:val="20"/>
                <w:szCs w:val="20"/>
                <w:lang w:val="fr-CA"/>
              </w:rPr>
              <w:t xml:space="preserve">– Droit à la vie, à la liberté et à la sécurité de la personne – Justice fondamentale – Le par. 68.1(1) du </w:t>
            </w:r>
            <w:r w:rsidRPr="009C2345">
              <w:rPr>
                <w:i/>
                <w:sz w:val="20"/>
                <w:szCs w:val="20"/>
                <w:lang w:val="fr-CA"/>
              </w:rPr>
              <w:t>Code de la route</w:t>
            </w:r>
            <w:r w:rsidRPr="009C2345">
              <w:rPr>
                <w:sz w:val="20"/>
                <w:szCs w:val="20"/>
                <w:lang w:val="fr-CA"/>
              </w:rPr>
              <w:t xml:space="preserve">, L.R.O. 1990. C.H8 et le par. 14.1(1) des R.R.O. 1990, règl. 587 violent-ils le droit à la sécurité et la personne garanti par l’art. 7 de la </w:t>
            </w:r>
            <w:r w:rsidRPr="009C2345">
              <w:rPr>
                <w:i/>
                <w:sz w:val="20"/>
                <w:szCs w:val="20"/>
                <w:lang w:val="fr-CA"/>
              </w:rPr>
              <w:t>Charte</w:t>
            </w:r>
            <w:r w:rsidRPr="009C2345">
              <w:rPr>
                <w:sz w:val="20"/>
                <w:szCs w:val="20"/>
                <w:lang w:val="fr-CA"/>
              </w:rPr>
              <w:t xml:space="preserve"> d’une manière qui est incompatible avec les principes de la justice fondamentale? – Dans l’affirmative, la violation est-elle une limite raisonnable dont la justification est démontrée dans le cadre d’une société libre et démocratique? – </w:t>
            </w:r>
            <w:r w:rsidRPr="009C2345">
              <w:rPr>
                <w:i/>
                <w:sz w:val="20"/>
                <w:szCs w:val="20"/>
                <w:lang w:val="fr-CA"/>
              </w:rPr>
              <w:t>Charte</w:t>
            </w:r>
            <w:r w:rsidRPr="009C2345">
              <w:rPr>
                <w:sz w:val="20"/>
                <w:szCs w:val="20"/>
                <w:lang w:val="fr-CA"/>
              </w:rPr>
              <w:t>, art. 1, 7.</w:t>
            </w:r>
          </w:p>
        </w:tc>
      </w:tr>
      <w:tr w:rsidR="00202302" w:rsidRPr="0082006E" w:rsidTr="00A67A3D">
        <w:tc>
          <w:tcPr>
            <w:tcW w:w="5000" w:type="pct"/>
            <w:gridSpan w:val="3"/>
          </w:tcPr>
          <w:p w:rsidR="00202302" w:rsidRPr="009C2345" w:rsidRDefault="00202302" w:rsidP="00202302">
            <w:pPr>
              <w:jc w:val="both"/>
              <w:rPr>
                <w:sz w:val="20"/>
                <w:szCs w:val="20"/>
                <w:lang w:val="fr-CA"/>
              </w:rPr>
            </w:pPr>
          </w:p>
        </w:tc>
      </w:tr>
      <w:tr w:rsidR="00202302" w:rsidRPr="0082006E" w:rsidTr="00A67A3D">
        <w:tc>
          <w:tcPr>
            <w:tcW w:w="5000" w:type="pct"/>
            <w:gridSpan w:val="3"/>
          </w:tcPr>
          <w:p w:rsidR="00202302" w:rsidRPr="009C2345" w:rsidRDefault="00202302" w:rsidP="00202302">
            <w:pPr>
              <w:jc w:val="both"/>
              <w:rPr>
                <w:sz w:val="20"/>
                <w:szCs w:val="20"/>
                <w:lang w:val="fr-CA"/>
              </w:rPr>
            </w:pPr>
            <w:r w:rsidRPr="009C2345">
              <w:rPr>
                <w:rFonts w:cs="Times New Roman"/>
                <w:sz w:val="20"/>
                <w:szCs w:val="20"/>
                <w:lang w:val="fr-CA"/>
              </w:rPr>
              <w:t xml:space="preserve">Le demandeur était chauffeur de camion commercial. Son camion devait être muni d’un limiteur de vitesse en état de fonctionner, réglé à une vitesse maximale de 105 km/h. Le limiteur de vitesse sur le camion du demandeur a été réglé à 109,4 km/h, soit 4,4 km/h de plus que la limite permise. Le demandeur a été accusé d’avoir contrevenu au </w:t>
            </w:r>
            <w:r w:rsidRPr="009C2345">
              <w:rPr>
                <w:rFonts w:cs="Times New Roman"/>
                <w:i/>
                <w:sz w:val="20"/>
                <w:szCs w:val="20"/>
                <w:lang w:val="fr-CA"/>
              </w:rPr>
              <w:t>Code de la route</w:t>
            </w:r>
            <w:r w:rsidRPr="009C2345">
              <w:rPr>
                <w:rFonts w:cs="Times New Roman"/>
                <w:sz w:val="20"/>
                <w:szCs w:val="20"/>
                <w:lang w:val="fr-CA"/>
              </w:rPr>
              <w:t xml:space="preserve">, L.R.O. 1990 ch. H8 et au règlement sur l’équipement qui, ensemble, imposaient l’exigence du limiteur de vitesse. En première instance, le juge de paix a acquitté le demandeur, statuant que la législation portait atteinte à son droit à la sécurité de la personne et violait ainsi l’art. 7 de la </w:t>
            </w:r>
            <w:r w:rsidRPr="009C2345">
              <w:rPr>
                <w:rFonts w:cs="Times New Roman"/>
                <w:i/>
                <w:sz w:val="20"/>
                <w:szCs w:val="20"/>
                <w:lang w:val="fr-CA"/>
              </w:rPr>
              <w:t>Charte</w:t>
            </w:r>
            <w:r w:rsidRPr="009C2345">
              <w:rPr>
                <w:rFonts w:cs="Times New Roman"/>
                <w:sz w:val="20"/>
                <w:szCs w:val="20"/>
                <w:lang w:val="fr-CA"/>
              </w:rPr>
              <w:t xml:space="preserve">. En appel, la Cour de justice de l’Ontario a admis un nouvel élément de preuve, a conclu qu’il n’y avait eu aucune violation de la </w:t>
            </w:r>
            <w:r w:rsidRPr="009C2345">
              <w:rPr>
                <w:rFonts w:cs="Times New Roman"/>
                <w:i/>
                <w:sz w:val="20"/>
                <w:szCs w:val="20"/>
                <w:lang w:val="fr-CA"/>
              </w:rPr>
              <w:t xml:space="preserve">Charte </w:t>
            </w:r>
            <w:r w:rsidRPr="009C2345">
              <w:rPr>
                <w:rFonts w:cs="Times New Roman"/>
                <w:sz w:val="20"/>
                <w:szCs w:val="20"/>
                <w:lang w:val="fr-CA"/>
              </w:rPr>
              <w:t>et a annulé la décision de première instance. La Cour d’appel a statué que la Cour de justice n’avait pas outrepassé sa compétence d’examen en appel. La Cour d’appel a également statué que même si la loi avait pour effet de violer des droits garantis à l’art. </w:t>
            </w:r>
            <w:r w:rsidRPr="009C2345">
              <w:rPr>
                <w:sz w:val="20"/>
                <w:szCs w:val="20"/>
                <w:lang w:val="fr-CA"/>
              </w:rPr>
              <w:t xml:space="preserve">7 de la </w:t>
            </w:r>
            <w:r w:rsidRPr="009C2345">
              <w:rPr>
                <w:i/>
                <w:sz w:val="20"/>
                <w:szCs w:val="20"/>
                <w:lang w:val="fr-CA"/>
              </w:rPr>
              <w:t>Charte</w:t>
            </w:r>
            <w:r w:rsidRPr="009C2345">
              <w:rPr>
                <w:sz w:val="20"/>
                <w:szCs w:val="20"/>
                <w:lang w:val="fr-CA"/>
              </w:rPr>
              <w:t xml:space="preserve">, elle pouvait être maintenue en application de l’article premier de la </w:t>
            </w:r>
            <w:r w:rsidRPr="009C2345">
              <w:rPr>
                <w:i/>
                <w:sz w:val="20"/>
                <w:szCs w:val="20"/>
                <w:lang w:val="fr-CA"/>
              </w:rPr>
              <w:t>Charte</w:t>
            </w:r>
            <w:r w:rsidRPr="009C2345">
              <w:rPr>
                <w:sz w:val="20"/>
                <w:szCs w:val="20"/>
                <w:lang w:val="fr-CA"/>
              </w:rPr>
              <w:t>.</w:t>
            </w:r>
          </w:p>
          <w:p w:rsidR="00202302" w:rsidRPr="009C2345" w:rsidRDefault="00202302" w:rsidP="00202302">
            <w:pPr>
              <w:jc w:val="both"/>
              <w:rPr>
                <w:sz w:val="20"/>
                <w:szCs w:val="20"/>
                <w:lang w:val="fr-CA"/>
              </w:rPr>
            </w:pPr>
          </w:p>
        </w:tc>
      </w:tr>
      <w:tr w:rsidR="00202302" w:rsidRPr="009C2345" w:rsidTr="00A67A3D">
        <w:tc>
          <w:tcPr>
            <w:tcW w:w="2423" w:type="pct"/>
          </w:tcPr>
          <w:p w:rsidR="00202302" w:rsidRPr="009C2345" w:rsidRDefault="00202302" w:rsidP="00202302">
            <w:pPr>
              <w:jc w:val="both"/>
              <w:rPr>
                <w:sz w:val="20"/>
                <w:szCs w:val="20"/>
                <w:lang w:val="fr-CA"/>
              </w:rPr>
            </w:pPr>
            <w:r w:rsidRPr="009C2345">
              <w:rPr>
                <w:sz w:val="20"/>
                <w:szCs w:val="20"/>
                <w:lang w:val="fr-CA"/>
              </w:rPr>
              <w:t>6 juin 2012</w:t>
            </w:r>
          </w:p>
          <w:p w:rsidR="00202302" w:rsidRPr="009C2345" w:rsidRDefault="00202302" w:rsidP="00202302">
            <w:pPr>
              <w:jc w:val="both"/>
              <w:rPr>
                <w:sz w:val="20"/>
                <w:szCs w:val="20"/>
                <w:lang w:val="fr-CA"/>
              </w:rPr>
            </w:pPr>
            <w:r w:rsidRPr="009C2345">
              <w:rPr>
                <w:sz w:val="20"/>
                <w:szCs w:val="20"/>
                <w:lang w:val="fr-CA"/>
              </w:rPr>
              <w:t xml:space="preserve">Cour de justice de l’Ontario </w:t>
            </w:r>
          </w:p>
          <w:p w:rsidR="00202302" w:rsidRPr="009C2345" w:rsidRDefault="00202302" w:rsidP="00202302">
            <w:pPr>
              <w:jc w:val="both"/>
              <w:rPr>
                <w:sz w:val="20"/>
                <w:szCs w:val="20"/>
                <w:lang w:val="fr-CA"/>
              </w:rPr>
            </w:pPr>
            <w:r w:rsidRPr="009C2345">
              <w:rPr>
                <w:sz w:val="20"/>
                <w:szCs w:val="20"/>
                <w:lang w:val="fr-CA"/>
              </w:rPr>
              <w:t>(Juge de paix Kelly)</w:t>
            </w:r>
          </w:p>
          <w:p w:rsidR="00202302" w:rsidRPr="009C2345" w:rsidRDefault="00202302" w:rsidP="00202302">
            <w:pPr>
              <w:jc w:val="both"/>
              <w:rPr>
                <w:sz w:val="20"/>
                <w:szCs w:val="20"/>
                <w:lang w:val="fr-CA"/>
              </w:rPr>
            </w:pPr>
          </w:p>
        </w:tc>
        <w:tc>
          <w:tcPr>
            <w:tcW w:w="243" w:type="pct"/>
          </w:tcPr>
          <w:p w:rsidR="00202302" w:rsidRPr="009C2345" w:rsidRDefault="00202302" w:rsidP="00202302">
            <w:pPr>
              <w:jc w:val="both"/>
              <w:rPr>
                <w:sz w:val="20"/>
                <w:szCs w:val="20"/>
                <w:lang w:val="fr-CA"/>
              </w:rPr>
            </w:pPr>
          </w:p>
        </w:tc>
        <w:tc>
          <w:tcPr>
            <w:tcW w:w="2334" w:type="pct"/>
          </w:tcPr>
          <w:p w:rsidR="00202302" w:rsidRPr="009C2345" w:rsidRDefault="00202302" w:rsidP="00202302">
            <w:pPr>
              <w:jc w:val="both"/>
              <w:rPr>
                <w:sz w:val="20"/>
                <w:szCs w:val="20"/>
                <w:lang w:val="fr-CA"/>
              </w:rPr>
            </w:pPr>
            <w:r w:rsidRPr="009C2345">
              <w:rPr>
                <w:sz w:val="20"/>
                <w:szCs w:val="20"/>
                <w:lang w:val="fr-CA"/>
              </w:rPr>
              <w:t>Jugement d’acquittement</w:t>
            </w:r>
          </w:p>
          <w:p w:rsidR="00202302" w:rsidRPr="009C2345" w:rsidRDefault="00202302" w:rsidP="00202302">
            <w:pPr>
              <w:jc w:val="both"/>
              <w:rPr>
                <w:sz w:val="20"/>
                <w:szCs w:val="20"/>
                <w:lang w:val="fr-CA"/>
              </w:rPr>
            </w:pPr>
          </w:p>
        </w:tc>
      </w:tr>
      <w:tr w:rsidR="00202302" w:rsidRPr="009C2345" w:rsidTr="00A67A3D">
        <w:tc>
          <w:tcPr>
            <w:tcW w:w="2423" w:type="pct"/>
          </w:tcPr>
          <w:p w:rsidR="00202302" w:rsidRPr="009C2345" w:rsidRDefault="00202302" w:rsidP="00202302">
            <w:pPr>
              <w:jc w:val="both"/>
              <w:rPr>
                <w:sz w:val="20"/>
                <w:szCs w:val="20"/>
                <w:lang w:val="fr-CA"/>
              </w:rPr>
            </w:pPr>
            <w:r w:rsidRPr="009C2345">
              <w:rPr>
                <w:sz w:val="20"/>
                <w:szCs w:val="20"/>
                <w:lang w:val="fr-CA"/>
              </w:rPr>
              <w:t>15 mai 2014</w:t>
            </w:r>
          </w:p>
          <w:p w:rsidR="00202302" w:rsidRPr="009C2345" w:rsidRDefault="00202302" w:rsidP="00202302">
            <w:pPr>
              <w:jc w:val="both"/>
              <w:rPr>
                <w:sz w:val="20"/>
                <w:szCs w:val="20"/>
                <w:lang w:val="fr-CA"/>
              </w:rPr>
            </w:pPr>
            <w:r w:rsidRPr="009C2345">
              <w:rPr>
                <w:sz w:val="20"/>
                <w:szCs w:val="20"/>
                <w:lang w:val="fr-CA"/>
              </w:rPr>
              <w:t xml:space="preserve">Cour de justice de l’Ontario </w:t>
            </w:r>
          </w:p>
          <w:p w:rsidR="00202302" w:rsidRPr="009C2345" w:rsidRDefault="00202302" w:rsidP="00202302">
            <w:pPr>
              <w:jc w:val="both"/>
              <w:rPr>
                <w:sz w:val="20"/>
                <w:szCs w:val="20"/>
                <w:lang w:val="fr-CA"/>
              </w:rPr>
            </w:pPr>
            <w:r w:rsidRPr="009C2345">
              <w:rPr>
                <w:sz w:val="20"/>
                <w:szCs w:val="20"/>
                <w:lang w:val="fr-CA"/>
              </w:rPr>
              <w:t>(Juge Harris)</w:t>
            </w:r>
          </w:p>
          <w:p w:rsidR="00202302" w:rsidRPr="009C2345" w:rsidRDefault="00202302" w:rsidP="00202302">
            <w:pPr>
              <w:jc w:val="both"/>
              <w:rPr>
                <w:sz w:val="20"/>
                <w:szCs w:val="20"/>
                <w:lang w:val="fr-CA"/>
              </w:rPr>
            </w:pPr>
          </w:p>
        </w:tc>
        <w:tc>
          <w:tcPr>
            <w:tcW w:w="243" w:type="pct"/>
          </w:tcPr>
          <w:p w:rsidR="00202302" w:rsidRPr="009C2345" w:rsidRDefault="00202302" w:rsidP="00202302">
            <w:pPr>
              <w:jc w:val="both"/>
              <w:rPr>
                <w:sz w:val="20"/>
                <w:szCs w:val="20"/>
                <w:lang w:val="fr-CA"/>
              </w:rPr>
            </w:pPr>
          </w:p>
        </w:tc>
        <w:tc>
          <w:tcPr>
            <w:tcW w:w="2334" w:type="pct"/>
          </w:tcPr>
          <w:p w:rsidR="00202302" w:rsidRPr="009C2345" w:rsidRDefault="00202302" w:rsidP="00202302">
            <w:pPr>
              <w:jc w:val="both"/>
              <w:rPr>
                <w:sz w:val="20"/>
                <w:szCs w:val="20"/>
                <w:lang w:val="fr-CA"/>
              </w:rPr>
            </w:pPr>
            <w:r w:rsidRPr="009C2345">
              <w:rPr>
                <w:sz w:val="20"/>
                <w:szCs w:val="20"/>
                <w:lang w:val="fr-CA"/>
              </w:rPr>
              <w:t>Jugement accueillant l’appel</w:t>
            </w:r>
          </w:p>
          <w:p w:rsidR="00202302" w:rsidRPr="009C2345" w:rsidRDefault="00202302" w:rsidP="00202302">
            <w:pPr>
              <w:jc w:val="both"/>
              <w:rPr>
                <w:sz w:val="20"/>
                <w:szCs w:val="20"/>
                <w:lang w:val="fr-CA"/>
              </w:rPr>
            </w:pPr>
          </w:p>
        </w:tc>
      </w:tr>
      <w:tr w:rsidR="00202302" w:rsidRPr="009C2345" w:rsidTr="00A67A3D">
        <w:tc>
          <w:tcPr>
            <w:tcW w:w="2423" w:type="pct"/>
          </w:tcPr>
          <w:p w:rsidR="00202302" w:rsidRPr="009C2345" w:rsidRDefault="00202302" w:rsidP="00202302">
            <w:pPr>
              <w:jc w:val="both"/>
              <w:rPr>
                <w:sz w:val="20"/>
                <w:szCs w:val="20"/>
                <w:lang w:val="fr-CA"/>
              </w:rPr>
            </w:pPr>
            <w:r w:rsidRPr="009C2345">
              <w:rPr>
                <w:sz w:val="20"/>
                <w:szCs w:val="20"/>
                <w:lang w:val="fr-CA"/>
              </w:rPr>
              <w:t>31 août 2015</w:t>
            </w:r>
          </w:p>
          <w:p w:rsidR="00202302" w:rsidRPr="009C2345" w:rsidRDefault="00202302" w:rsidP="00202302">
            <w:pPr>
              <w:jc w:val="both"/>
              <w:rPr>
                <w:sz w:val="20"/>
                <w:szCs w:val="20"/>
                <w:lang w:val="fr-CA"/>
              </w:rPr>
            </w:pPr>
            <w:r w:rsidRPr="009C2345">
              <w:rPr>
                <w:sz w:val="20"/>
                <w:szCs w:val="20"/>
                <w:lang w:val="fr-CA"/>
              </w:rPr>
              <w:t xml:space="preserve">Cour d’appel de l’Ontario </w:t>
            </w:r>
          </w:p>
          <w:p w:rsidR="00202302" w:rsidRPr="009C2345" w:rsidRDefault="00202302" w:rsidP="00202302">
            <w:pPr>
              <w:jc w:val="both"/>
              <w:rPr>
                <w:sz w:val="20"/>
                <w:szCs w:val="20"/>
                <w:lang w:val="fr-CA"/>
              </w:rPr>
            </w:pPr>
            <w:r w:rsidRPr="009C2345">
              <w:rPr>
                <w:sz w:val="20"/>
                <w:szCs w:val="20"/>
                <w:lang w:val="fr-CA"/>
              </w:rPr>
              <w:t>(Juges Watt, Lauwers et Hourigan)</w:t>
            </w:r>
          </w:p>
          <w:p w:rsidR="00202302" w:rsidRPr="009C2345" w:rsidRDefault="00202302" w:rsidP="00202302">
            <w:pPr>
              <w:jc w:val="both"/>
              <w:rPr>
                <w:sz w:val="20"/>
                <w:szCs w:val="20"/>
                <w:lang w:val="en-US"/>
              </w:rPr>
            </w:pPr>
            <w:r w:rsidRPr="009C2345">
              <w:rPr>
                <w:sz w:val="20"/>
                <w:szCs w:val="20"/>
                <w:lang w:val="en-US"/>
              </w:rPr>
              <w:t>2015 ONCA 585; C59271</w:t>
            </w:r>
          </w:p>
          <w:p w:rsidR="00202302" w:rsidRPr="009C2345" w:rsidRDefault="0082006E" w:rsidP="00202302">
            <w:pPr>
              <w:jc w:val="both"/>
              <w:rPr>
                <w:sz w:val="20"/>
                <w:szCs w:val="20"/>
                <w:u w:val="single"/>
                <w:lang w:val="en-US"/>
              </w:rPr>
            </w:pPr>
            <w:hyperlink r:id="rId42" w:history="1">
              <w:r w:rsidR="00202302" w:rsidRPr="009C2345">
                <w:rPr>
                  <w:rFonts w:eastAsiaTheme="majorEastAsia"/>
                  <w:color w:val="0000FF"/>
                  <w:sz w:val="20"/>
                  <w:szCs w:val="20"/>
                  <w:u w:val="single"/>
                  <w:lang w:val="en-US"/>
                </w:rPr>
                <w:t>http://canlii.ca/t/gkwxp</w:t>
              </w:r>
            </w:hyperlink>
          </w:p>
          <w:p w:rsidR="00202302" w:rsidRPr="009C2345" w:rsidRDefault="00202302" w:rsidP="00202302">
            <w:pPr>
              <w:jc w:val="both"/>
              <w:rPr>
                <w:sz w:val="20"/>
                <w:szCs w:val="20"/>
                <w:lang w:val="en-US"/>
              </w:rPr>
            </w:pPr>
          </w:p>
        </w:tc>
        <w:tc>
          <w:tcPr>
            <w:tcW w:w="243" w:type="pct"/>
          </w:tcPr>
          <w:p w:rsidR="00202302" w:rsidRPr="009C2345" w:rsidRDefault="00202302" w:rsidP="00202302">
            <w:pPr>
              <w:jc w:val="both"/>
              <w:rPr>
                <w:sz w:val="20"/>
                <w:szCs w:val="20"/>
                <w:lang w:val="en-US"/>
              </w:rPr>
            </w:pPr>
          </w:p>
        </w:tc>
        <w:tc>
          <w:tcPr>
            <w:tcW w:w="2334" w:type="pct"/>
          </w:tcPr>
          <w:p w:rsidR="00202302" w:rsidRPr="009C2345" w:rsidRDefault="00202302" w:rsidP="00202302">
            <w:pPr>
              <w:jc w:val="both"/>
              <w:rPr>
                <w:sz w:val="20"/>
                <w:szCs w:val="20"/>
                <w:lang w:val="fr-CA"/>
              </w:rPr>
            </w:pPr>
            <w:r w:rsidRPr="009C2345">
              <w:rPr>
                <w:sz w:val="20"/>
                <w:szCs w:val="20"/>
                <w:lang w:val="fr-CA"/>
              </w:rPr>
              <w:t>Rejet de l’appel</w:t>
            </w:r>
          </w:p>
          <w:p w:rsidR="00202302" w:rsidRPr="009C2345" w:rsidRDefault="00202302" w:rsidP="00202302">
            <w:pPr>
              <w:jc w:val="both"/>
              <w:rPr>
                <w:sz w:val="20"/>
                <w:szCs w:val="20"/>
                <w:lang w:val="fr-CA"/>
              </w:rPr>
            </w:pPr>
          </w:p>
        </w:tc>
      </w:tr>
      <w:tr w:rsidR="00202302" w:rsidRPr="0082006E" w:rsidTr="00A67A3D">
        <w:tc>
          <w:tcPr>
            <w:tcW w:w="2423" w:type="pct"/>
          </w:tcPr>
          <w:p w:rsidR="00202302" w:rsidRPr="009C2345" w:rsidRDefault="00202302" w:rsidP="00202302">
            <w:pPr>
              <w:jc w:val="both"/>
              <w:rPr>
                <w:sz w:val="20"/>
                <w:szCs w:val="20"/>
                <w:lang w:val="fr-CA"/>
              </w:rPr>
            </w:pPr>
            <w:r w:rsidRPr="009C2345">
              <w:rPr>
                <w:sz w:val="20"/>
                <w:szCs w:val="20"/>
                <w:lang w:val="fr-CA"/>
              </w:rPr>
              <w:t>28 octobre 2015</w:t>
            </w:r>
          </w:p>
          <w:p w:rsidR="00202302" w:rsidRPr="009C2345" w:rsidRDefault="00202302" w:rsidP="00202302">
            <w:pPr>
              <w:jc w:val="both"/>
              <w:rPr>
                <w:sz w:val="20"/>
                <w:szCs w:val="20"/>
                <w:lang w:val="fr-CA"/>
              </w:rPr>
            </w:pPr>
            <w:r w:rsidRPr="009C2345">
              <w:rPr>
                <w:sz w:val="20"/>
                <w:szCs w:val="20"/>
                <w:lang w:val="fr-CA"/>
              </w:rPr>
              <w:t>Cour suprême du Canada</w:t>
            </w:r>
          </w:p>
        </w:tc>
        <w:tc>
          <w:tcPr>
            <w:tcW w:w="243" w:type="pct"/>
          </w:tcPr>
          <w:p w:rsidR="00202302" w:rsidRPr="009C2345" w:rsidRDefault="00202302" w:rsidP="00202302">
            <w:pPr>
              <w:jc w:val="both"/>
              <w:rPr>
                <w:sz w:val="20"/>
                <w:szCs w:val="20"/>
                <w:lang w:val="fr-CA"/>
              </w:rPr>
            </w:pPr>
          </w:p>
        </w:tc>
        <w:tc>
          <w:tcPr>
            <w:tcW w:w="2334" w:type="pct"/>
          </w:tcPr>
          <w:p w:rsidR="00202302" w:rsidRPr="009C2345" w:rsidRDefault="00202302" w:rsidP="00202302">
            <w:pPr>
              <w:jc w:val="both"/>
              <w:rPr>
                <w:sz w:val="20"/>
                <w:szCs w:val="20"/>
                <w:lang w:val="fr-CA"/>
              </w:rPr>
            </w:pPr>
            <w:r w:rsidRPr="009C2345">
              <w:rPr>
                <w:sz w:val="20"/>
                <w:szCs w:val="20"/>
                <w:lang w:val="fr-CA"/>
              </w:rPr>
              <w:t>Dépôt de la demande d’autorisation d’appel</w:t>
            </w:r>
          </w:p>
          <w:p w:rsidR="00202302" w:rsidRPr="009C2345" w:rsidRDefault="00202302" w:rsidP="00202302">
            <w:pPr>
              <w:jc w:val="both"/>
              <w:rPr>
                <w:sz w:val="20"/>
                <w:szCs w:val="20"/>
                <w:lang w:val="fr-CA"/>
              </w:rPr>
            </w:pPr>
          </w:p>
        </w:tc>
      </w:tr>
    </w:tbl>
    <w:p w:rsidR="000B39F0" w:rsidRPr="009C2345" w:rsidRDefault="000B39F0" w:rsidP="008D292F">
      <w:pPr>
        <w:rPr>
          <w:sz w:val="20"/>
          <w:szCs w:val="20"/>
          <w:lang w:val="fr-CA"/>
        </w:rPr>
      </w:pPr>
    </w:p>
    <w:p w:rsidR="000B39F0" w:rsidRPr="009C2345" w:rsidRDefault="0082006E" w:rsidP="008D292F">
      <w:pPr>
        <w:rPr>
          <w:sz w:val="20"/>
          <w:szCs w:val="20"/>
          <w:lang w:val="fr-CA"/>
        </w:rPr>
      </w:pPr>
      <w:r>
        <w:rPr>
          <w:sz w:val="20"/>
          <w:szCs w:val="20"/>
          <w:lang w:val="fr-CA"/>
        </w:rPr>
        <w:pict>
          <v:rect id="_x0000_i1049" style="width:2in;height:1pt" o:hrpct="0" o:hralign="center" o:hrstd="t" o:hrnoshade="t" o:hr="t" fillcolor="black [3213]" stroked="f"/>
        </w:pict>
      </w:r>
    </w:p>
    <w:p w:rsidR="000B39F0" w:rsidRPr="009C2345" w:rsidRDefault="000B39F0" w:rsidP="008D292F">
      <w:pPr>
        <w:rPr>
          <w:sz w:val="20"/>
          <w:szCs w:val="20"/>
          <w:lang w:val="fr-CA"/>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58"/>
        <w:gridCol w:w="8082"/>
      </w:tblGrid>
      <w:tr w:rsidR="00573B47" w:rsidRPr="0082006E" w:rsidTr="00A67A3D">
        <w:trPr>
          <w:cantSplit/>
          <w:trHeight w:val="599"/>
        </w:trPr>
        <w:tc>
          <w:tcPr>
            <w:tcW w:w="1458" w:type="dxa"/>
          </w:tcPr>
          <w:p w:rsidR="00573B47" w:rsidRPr="00A67A3D" w:rsidRDefault="00573B47" w:rsidP="00017A3C">
            <w:pPr>
              <w:rPr>
                <w:sz w:val="20"/>
                <w:szCs w:val="20"/>
              </w:rPr>
            </w:pPr>
            <w:r w:rsidRPr="00A67A3D">
              <w:rPr>
                <w:rStyle w:val="SCCFileNumberChar"/>
                <w:sz w:val="20"/>
                <w:szCs w:val="20"/>
              </w:rPr>
              <w:t>36718</w:t>
            </w:r>
          </w:p>
          <w:p w:rsidR="00573B47" w:rsidRPr="00A67A3D" w:rsidRDefault="00573B47" w:rsidP="00017A3C">
            <w:pPr>
              <w:rPr>
                <w:b/>
                <w:sz w:val="20"/>
                <w:szCs w:val="20"/>
                <w:lang w:val="fr-CA"/>
              </w:rPr>
            </w:pPr>
          </w:p>
        </w:tc>
        <w:tc>
          <w:tcPr>
            <w:tcW w:w="8082" w:type="dxa"/>
          </w:tcPr>
          <w:p w:rsidR="00573B47" w:rsidRPr="00A67A3D" w:rsidRDefault="00793629" w:rsidP="004D61A4">
            <w:pPr>
              <w:jc w:val="both"/>
              <w:rPr>
                <w:sz w:val="20"/>
                <w:szCs w:val="20"/>
                <w:lang w:val="fr-CA"/>
              </w:rPr>
            </w:pPr>
            <w:r w:rsidRPr="00A67A3D">
              <w:rPr>
                <w:b/>
                <w:sz w:val="20"/>
                <w:szCs w:val="20"/>
                <w:u w:val="single"/>
                <w:lang w:val="fr-CA"/>
              </w:rPr>
              <w:t xml:space="preserve">Uniprix </w:t>
            </w:r>
            <w:r w:rsidR="004D61A4" w:rsidRPr="00A67A3D">
              <w:rPr>
                <w:b/>
                <w:sz w:val="20"/>
                <w:szCs w:val="20"/>
                <w:u w:val="single"/>
                <w:lang w:val="fr-CA"/>
              </w:rPr>
              <w:t>i</w:t>
            </w:r>
            <w:r w:rsidRPr="00A67A3D">
              <w:rPr>
                <w:b/>
                <w:sz w:val="20"/>
                <w:szCs w:val="20"/>
                <w:u w:val="single"/>
                <w:lang w:val="fr-CA"/>
              </w:rPr>
              <w:t xml:space="preserve">nc. </w:t>
            </w:r>
            <w:r w:rsidR="004D61A4" w:rsidRPr="00A67A3D">
              <w:rPr>
                <w:b/>
                <w:sz w:val="20"/>
                <w:szCs w:val="20"/>
                <w:u w:val="single"/>
                <w:lang w:val="fr-CA"/>
              </w:rPr>
              <w:t>c</w:t>
            </w:r>
            <w:r w:rsidRPr="00A67A3D">
              <w:rPr>
                <w:b/>
                <w:sz w:val="20"/>
                <w:szCs w:val="20"/>
                <w:u w:val="single"/>
                <w:lang w:val="fr-CA"/>
              </w:rPr>
              <w:t xml:space="preserve">. Gestion Gosselin et Bérubé </w:t>
            </w:r>
            <w:r w:rsidR="008008E0" w:rsidRPr="00A67A3D">
              <w:rPr>
                <w:b/>
                <w:sz w:val="20"/>
                <w:szCs w:val="20"/>
                <w:u w:val="single"/>
                <w:lang w:val="fr-CA"/>
              </w:rPr>
              <w:t>i</w:t>
            </w:r>
            <w:r w:rsidRPr="00A67A3D">
              <w:rPr>
                <w:b/>
                <w:sz w:val="20"/>
                <w:szCs w:val="20"/>
                <w:u w:val="single"/>
                <w:lang w:val="fr-CA"/>
              </w:rPr>
              <w:t>nc.</w:t>
            </w:r>
            <w:r w:rsidR="004D61A4" w:rsidRPr="00A67A3D">
              <w:rPr>
                <w:b/>
                <w:sz w:val="20"/>
                <w:szCs w:val="20"/>
                <w:u w:val="single"/>
                <w:lang w:val="fr-CA"/>
              </w:rPr>
              <w:t xml:space="preserve"> et </w:t>
            </w:r>
            <w:r w:rsidRPr="00A67A3D">
              <w:rPr>
                <w:b/>
                <w:sz w:val="20"/>
                <w:szCs w:val="20"/>
                <w:u w:val="single"/>
                <w:lang w:val="fr-CA"/>
              </w:rPr>
              <w:t xml:space="preserve">Manon Gosselin </w:t>
            </w:r>
            <w:r w:rsidR="004D61A4" w:rsidRPr="00A67A3D">
              <w:rPr>
                <w:b/>
                <w:sz w:val="20"/>
                <w:szCs w:val="20"/>
                <w:u w:val="single"/>
                <w:lang w:val="fr-CA"/>
              </w:rPr>
              <w:t xml:space="preserve">et Bernard Bérubé, </w:t>
            </w:r>
            <w:r w:rsidR="008008E0" w:rsidRPr="00A67A3D">
              <w:rPr>
                <w:b/>
                <w:sz w:val="20"/>
                <w:szCs w:val="20"/>
                <w:u w:val="single"/>
                <w:lang w:val="fr-CA"/>
              </w:rPr>
              <w:t>p</w:t>
            </w:r>
            <w:r w:rsidRPr="00A67A3D">
              <w:rPr>
                <w:b/>
                <w:sz w:val="20"/>
                <w:szCs w:val="20"/>
                <w:u w:val="single"/>
                <w:lang w:val="fr-CA"/>
              </w:rPr>
              <w:t xml:space="preserve">harmaciens, </w:t>
            </w:r>
            <w:r w:rsidR="004D61A4" w:rsidRPr="00A67A3D">
              <w:rPr>
                <w:b/>
                <w:sz w:val="20"/>
                <w:szCs w:val="20"/>
                <w:u w:val="single"/>
                <w:lang w:val="fr-CA"/>
              </w:rPr>
              <w:t>S.E.N.C.</w:t>
            </w:r>
            <w:r w:rsidRPr="00A67A3D">
              <w:rPr>
                <w:sz w:val="20"/>
                <w:szCs w:val="20"/>
                <w:lang w:val="fr-CA"/>
              </w:rPr>
              <w:t xml:space="preserve"> (</w:t>
            </w:r>
            <w:r w:rsidR="004D61A4" w:rsidRPr="00A67A3D">
              <w:rPr>
                <w:sz w:val="20"/>
                <w:szCs w:val="20"/>
                <w:lang w:val="fr-CA"/>
              </w:rPr>
              <w:t>Qc</w:t>
            </w:r>
            <w:r w:rsidRPr="00A67A3D">
              <w:rPr>
                <w:sz w:val="20"/>
                <w:szCs w:val="20"/>
                <w:lang w:val="fr-CA"/>
              </w:rPr>
              <w:t>) (Civil</w:t>
            </w:r>
            <w:r w:rsidR="004D61A4" w:rsidRPr="00A67A3D">
              <w:rPr>
                <w:sz w:val="20"/>
                <w:szCs w:val="20"/>
                <w:lang w:val="fr-CA"/>
              </w:rPr>
              <w:t>e</w:t>
            </w:r>
            <w:r w:rsidRPr="00A67A3D">
              <w:rPr>
                <w:sz w:val="20"/>
                <w:szCs w:val="20"/>
                <w:lang w:val="fr-CA"/>
              </w:rPr>
              <w:t>) (</w:t>
            </w:r>
            <w:r w:rsidR="004D61A4" w:rsidRPr="00A67A3D">
              <w:rPr>
                <w:sz w:val="20"/>
                <w:szCs w:val="20"/>
                <w:lang w:val="fr-CA"/>
              </w:rPr>
              <w:t>Autorisation</w:t>
            </w:r>
            <w:r w:rsidRPr="00A67A3D">
              <w:rPr>
                <w:sz w:val="20"/>
                <w:szCs w:val="20"/>
                <w:lang w:val="fr-CA"/>
              </w:rPr>
              <w:t>)</w:t>
            </w:r>
          </w:p>
          <w:p w:rsidR="00573B47" w:rsidRPr="00A67A3D" w:rsidRDefault="00573B47" w:rsidP="00017A3C">
            <w:pPr>
              <w:rPr>
                <w:sz w:val="20"/>
                <w:szCs w:val="20"/>
                <w:lang w:val="fr-CA"/>
              </w:rPr>
            </w:pPr>
          </w:p>
        </w:tc>
      </w:tr>
      <w:tr w:rsidR="00573B47" w:rsidRPr="0082006E" w:rsidTr="00A67A3D">
        <w:trPr>
          <w:cantSplit/>
        </w:trPr>
        <w:tc>
          <w:tcPr>
            <w:tcW w:w="1458" w:type="dxa"/>
          </w:tcPr>
          <w:p w:rsidR="00573B47" w:rsidRPr="00A67A3D" w:rsidRDefault="00573B47" w:rsidP="00017A3C">
            <w:pPr>
              <w:rPr>
                <w:sz w:val="20"/>
                <w:szCs w:val="20"/>
              </w:rPr>
            </w:pPr>
            <w:r w:rsidRPr="00A67A3D">
              <w:rPr>
                <w:sz w:val="20"/>
                <w:szCs w:val="20"/>
              </w:rPr>
              <w:t>Coram :</w:t>
            </w:r>
          </w:p>
        </w:tc>
        <w:tc>
          <w:tcPr>
            <w:tcW w:w="8082" w:type="dxa"/>
          </w:tcPr>
          <w:p w:rsidR="00573B47" w:rsidRPr="00A67A3D" w:rsidRDefault="004D61A4" w:rsidP="00017A3C">
            <w:pPr>
              <w:rPr>
                <w:rStyle w:val="SCCCoramChar"/>
                <w:sz w:val="20"/>
                <w:szCs w:val="20"/>
              </w:rPr>
            </w:pPr>
            <w:r w:rsidRPr="00A67A3D">
              <w:rPr>
                <w:rStyle w:val="SCCCoramChar"/>
                <w:sz w:val="20"/>
                <w:szCs w:val="20"/>
              </w:rPr>
              <w:t xml:space="preserve">Les juges Abella, Karakatsanis et Brown </w:t>
            </w:r>
          </w:p>
          <w:p w:rsidR="004D61A4" w:rsidRPr="00A67A3D" w:rsidRDefault="004D61A4" w:rsidP="00017A3C">
            <w:pPr>
              <w:rPr>
                <w:sz w:val="20"/>
                <w:szCs w:val="20"/>
                <w:lang w:val="fr-CA"/>
              </w:rPr>
            </w:pPr>
          </w:p>
        </w:tc>
      </w:tr>
      <w:tr w:rsidR="00573B47" w:rsidRPr="00A67A3D" w:rsidTr="00A67A3D">
        <w:trPr>
          <w:cantSplit/>
        </w:trPr>
        <w:tc>
          <w:tcPr>
            <w:tcW w:w="9540" w:type="dxa"/>
            <w:gridSpan w:val="2"/>
          </w:tcPr>
          <w:p w:rsidR="00573B47" w:rsidRPr="00A67A3D" w:rsidRDefault="004D61A4" w:rsidP="00017A3C">
            <w:pPr>
              <w:pStyle w:val="SCCShortJudgment"/>
              <w:ind w:firstLine="0"/>
              <w:rPr>
                <w:lang w:val="fr-CA"/>
              </w:rPr>
            </w:pPr>
            <w:r w:rsidRPr="00A67A3D">
              <w:rPr>
                <w:lang w:val="fr-CA"/>
              </w:rPr>
              <w:tab/>
              <w:t>La demande d’autorisation d’appel de l’arrêt de la Cour d’appel du Québec (Montréal), numéro 500-09-024138-133, 2015 QCCA 1427, daté du 11 septembre 2015, est accueillie avec dépens suivant l’issue de la cause.</w:t>
            </w:r>
          </w:p>
          <w:p w:rsidR="004D61A4" w:rsidRPr="00A67A3D" w:rsidRDefault="004D61A4" w:rsidP="00017A3C">
            <w:pPr>
              <w:pStyle w:val="SCCShortJudgment"/>
              <w:ind w:firstLine="0"/>
              <w:rPr>
                <w:szCs w:val="20"/>
                <w:lang w:val="fr-CA"/>
              </w:rPr>
            </w:pPr>
          </w:p>
          <w:p w:rsidR="00573B47" w:rsidRPr="00A67A3D" w:rsidRDefault="004D61A4" w:rsidP="00017A3C">
            <w:pPr>
              <w:pStyle w:val="SCCShortJudgment"/>
              <w:rPr>
                <w:szCs w:val="20"/>
              </w:rPr>
            </w:pPr>
            <w:r w:rsidRPr="00A67A3D">
              <w:t>The application for leave to appeal from the judgment of the Court of Appeal of Quebec (Montréal), Number 500-09-024138-133, 2015 QCCA 1427, dated September 11, 2015, is granted with costs in the cause.</w:t>
            </w:r>
          </w:p>
        </w:tc>
      </w:tr>
    </w:tbl>
    <w:p w:rsidR="00573B47" w:rsidRPr="009C2345" w:rsidRDefault="00573B47" w:rsidP="00573B47">
      <w:pPr>
        <w:rPr>
          <w:sz w:val="20"/>
          <w:szCs w:val="20"/>
        </w:rPr>
      </w:pPr>
    </w:p>
    <w:p w:rsidR="00573B47" w:rsidRPr="009C2345" w:rsidRDefault="00573B47" w:rsidP="00573B47">
      <w:pPr>
        <w:rPr>
          <w:sz w:val="20"/>
          <w:szCs w:val="20"/>
          <w:u w:val="single"/>
        </w:rPr>
      </w:pPr>
      <w:r w:rsidRPr="009C2345">
        <w:rPr>
          <w:sz w:val="20"/>
          <w:szCs w:val="20"/>
          <w:u w:val="single"/>
        </w:rPr>
        <w:t>CASE SUMMARY</w:t>
      </w:r>
    </w:p>
    <w:p w:rsidR="00573B47" w:rsidRPr="009C2345" w:rsidRDefault="00573B47" w:rsidP="00573B47">
      <w:pPr>
        <w:rPr>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4553"/>
        <w:gridCol w:w="514"/>
        <w:gridCol w:w="4473"/>
        <w:gridCol w:w="79"/>
      </w:tblGrid>
      <w:tr w:rsidR="00A0034B" w:rsidRPr="009C2345" w:rsidTr="00A67A3D">
        <w:trPr>
          <w:gridAfter w:val="1"/>
          <w:wAfter w:w="41" w:type="pct"/>
        </w:trPr>
        <w:tc>
          <w:tcPr>
            <w:tcW w:w="4959" w:type="pct"/>
            <w:gridSpan w:val="3"/>
          </w:tcPr>
          <w:p w:rsidR="00A0034B" w:rsidRPr="009C2345" w:rsidRDefault="00A0034B" w:rsidP="00A0034B">
            <w:pPr>
              <w:jc w:val="both"/>
              <w:rPr>
                <w:sz w:val="20"/>
                <w:szCs w:val="20"/>
              </w:rPr>
            </w:pPr>
            <w:r w:rsidRPr="009C2345">
              <w:rPr>
                <w:sz w:val="20"/>
                <w:szCs w:val="20"/>
              </w:rPr>
              <w:t xml:space="preserve">Contract – Contract of affiliation – Renewal clause providing that only one party could terminate contract and that otherwise contract would be renewed automatically – Tests for determining whether contract validly made in perpetuity – Whether Court of Appeal erred in creating perpetual obligation with fixed term – Whether Court of Appeal erred in determining nature and term of contract of affiliation – Whether Court of Appeal erred in refusing to exercise powers granted to it by art. 1512 </w:t>
            </w:r>
            <w:r w:rsidRPr="009C2345">
              <w:rPr>
                <w:i/>
                <w:sz w:val="20"/>
                <w:szCs w:val="20"/>
              </w:rPr>
              <w:t xml:space="preserve">C.C.Q. </w:t>
            </w:r>
            <w:r w:rsidRPr="009C2345">
              <w:rPr>
                <w:sz w:val="20"/>
                <w:szCs w:val="20"/>
              </w:rPr>
              <w:t>– Whether Court of Appeal made reviewable error in interpreting evidence and facts.</w:t>
            </w:r>
          </w:p>
        </w:tc>
      </w:tr>
      <w:tr w:rsidR="00A0034B" w:rsidRPr="009C2345" w:rsidTr="00A67A3D">
        <w:trPr>
          <w:gridAfter w:val="1"/>
          <w:wAfter w:w="41" w:type="pct"/>
        </w:trPr>
        <w:tc>
          <w:tcPr>
            <w:tcW w:w="4959" w:type="pct"/>
            <w:gridSpan w:val="3"/>
          </w:tcPr>
          <w:p w:rsidR="00A0034B" w:rsidRPr="009C2345" w:rsidRDefault="00A0034B" w:rsidP="00A0034B">
            <w:pPr>
              <w:jc w:val="both"/>
              <w:rPr>
                <w:smallCaps/>
                <w:sz w:val="20"/>
                <w:szCs w:val="20"/>
              </w:rPr>
            </w:pPr>
          </w:p>
        </w:tc>
      </w:tr>
      <w:tr w:rsidR="00A0034B" w:rsidRPr="009C2345" w:rsidTr="00A67A3D">
        <w:trPr>
          <w:gridAfter w:val="1"/>
          <w:wAfter w:w="41" w:type="pct"/>
          <w:trHeight w:val="450"/>
        </w:trPr>
        <w:tc>
          <w:tcPr>
            <w:tcW w:w="4959" w:type="pct"/>
            <w:gridSpan w:val="3"/>
          </w:tcPr>
          <w:p w:rsidR="00A0034B" w:rsidRPr="009C2345" w:rsidRDefault="00A0034B" w:rsidP="00A0034B">
            <w:pPr>
              <w:jc w:val="both"/>
              <w:rPr>
                <w:sz w:val="20"/>
                <w:szCs w:val="20"/>
              </w:rPr>
            </w:pPr>
            <w:r w:rsidRPr="009C2345">
              <w:rPr>
                <w:sz w:val="20"/>
                <w:szCs w:val="20"/>
              </w:rPr>
              <w:t>The parties had been bound by a contract of affiliation since 1998. A clause in the contract provided that the contract would be renewed automatically every five years unless the respondents gave notice to the contrary. Six months before the contract term expired, the applicant sent a notice of non-renewal. The respondents, the beneficiaries of the renewal clause in the contract, refused to allow the applicant to terminate the contract in that way and brought a motion before the courts for a declaratory judgment and permanent injunction.</w:t>
            </w:r>
          </w:p>
          <w:p w:rsidR="00A0034B" w:rsidRPr="009C2345" w:rsidRDefault="00A0034B" w:rsidP="00A0034B">
            <w:pPr>
              <w:jc w:val="both"/>
              <w:rPr>
                <w:sz w:val="20"/>
                <w:szCs w:val="20"/>
              </w:rPr>
            </w:pPr>
          </w:p>
        </w:tc>
      </w:tr>
      <w:tr w:rsidR="00A0034B" w:rsidRPr="009C2345" w:rsidTr="00A0034B">
        <w:tblPrEx>
          <w:tblCellMar>
            <w:bottom w:w="0" w:type="dxa"/>
          </w:tblCellMar>
        </w:tblPrEx>
        <w:trPr>
          <w:trHeight w:val="1197"/>
        </w:trPr>
        <w:tc>
          <w:tcPr>
            <w:tcW w:w="2367" w:type="pct"/>
          </w:tcPr>
          <w:p w:rsidR="00A0034B" w:rsidRPr="009C2345" w:rsidRDefault="00A0034B" w:rsidP="00A0034B">
            <w:pPr>
              <w:jc w:val="both"/>
              <w:rPr>
                <w:sz w:val="20"/>
                <w:szCs w:val="20"/>
              </w:rPr>
            </w:pPr>
            <w:r w:rsidRPr="009C2345">
              <w:rPr>
                <w:sz w:val="20"/>
                <w:szCs w:val="20"/>
              </w:rPr>
              <w:t>December 13, 2013</w:t>
            </w:r>
          </w:p>
          <w:p w:rsidR="00A0034B" w:rsidRPr="009C2345" w:rsidRDefault="00A0034B" w:rsidP="00A0034B">
            <w:pPr>
              <w:jc w:val="both"/>
              <w:rPr>
                <w:sz w:val="20"/>
                <w:szCs w:val="20"/>
              </w:rPr>
            </w:pPr>
            <w:r w:rsidRPr="009C2345">
              <w:rPr>
                <w:sz w:val="20"/>
                <w:szCs w:val="20"/>
              </w:rPr>
              <w:t>Quebec Superior Court</w:t>
            </w:r>
          </w:p>
          <w:p w:rsidR="00A0034B" w:rsidRPr="009C2345" w:rsidRDefault="00A0034B" w:rsidP="00A0034B">
            <w:pPr>
              <w:jc w:val="both"/>
              <w:rPr>
                <w:sz w:val="20"/>
                <w:szCs w:val="20"/>
              </w:rPr>
            </w:pPr>
            <w:r w:rsidRPr="009C2345">
              <w:rPr>
                <w:sz w:val="20"/>
                <w:szCs w:val="20"/>
              </w:rPr>
              <w:t>(Dugré J.)</w:t>
            </w:r>
          </w:p>
          <w:p w:rsidR="00A0034B" w:rsidRPr="009C2345" w:rsidRDefault="0082006E" w:rsidP="00A0034B">
            <w:pPr>
              <w:jc w:val="both"/>
              <w:rPr>
                <w:sz w:val="20"/>
                <w:szCs w:val="20"/>
              </w:rPr>
            </w:pPr>
            <w:hyperlink r:id="rId43" w:history="1">
              <w:r w:rsidR="00A0034B" w:rsidRPr="009C2345">
                <w:rPr>
                  <w:color w:val="0000FF" w:themeColor="hyperlink"/>
                  <w:sz w:val="20"/>
                  <w:szCs w:val="20"/>
                  <w:u w:val="single"/>
                </w:rPr>
                <w:t>2013 QCCS 6251</w:t>
              </w:r>
            </w:hyperlink>
          </w:p>
          <w:p w:rsidR="00A0034B" w:rsidRPr="009C2345" w:rsidRDefault="00A0034B" w:rsidP="00A0034B">
            <w:pPr>
              <w:jc w:val="both"/>
              <w:rPr>
                <w:sz w:val="20"/>
                <w:szCs w:val="20"/>
              </w:rPr>
            </w:pPr>
          </w:p>
        </w:tc>
        <w:tc>
          <w:tcPr>
            <w:tcW w:w="267" w:type="pct"/>
          </w:tcPr>
          <w:p w:rsidR="00A0034B" w:rsidRPr="009C2345" w:rsidRDefault="00A0034B" w:rsidP="00A0034B">
            <w:pPr>
              <w:jc w:val="both"/>
              <w:rPr>
                <w:sz w:val="20"/>
                <w:szCs w:val="20"/>
              </w:rPr>
            </w:pPr>
          </w:p>
        </w:tc>
        <w:tc>
          <w:tcPr>
            <w:tcW w:w="2366" w:type="pct"/>
            <w:gridSpan w:val="2"/>
          </w:tcPr>
          <w:p w:rsidR="00A0034B" w:rsidRPr="009C2345" w:rsidRDefault="00A0034B" w:rsidP="00A0034B">
            <w:pPr>
              <w:jc w:val="both"/>
              <w:rPr>
                <w:sz w:val="20"/>
                <w:szCs w:val="20"/>
              </w:rPr>
            </w:pPr>
            <w:r w:rsidRPr="009C2345">
              <w:rPr>
                <w:sz w:val="20"/>
                <w:szCs w:val="20"/>
              </w:rPr>
              <w:t>Motion for declaratory judgment and permanent injunction allowed in part</w:t>
            </w:r>
          </w:p>
        </w:tc>
      </w:tr>
      <w:tr w:rsidR="00A0034B" w:rsidRPr="009C2345" w:rsidTr="00017A3C">
        <w:tblPrEx>
          <w:tblCellMar>
            <w:bottom w:w="0" w:type="dxa"/>
          </w:tblCellMar>
        </w:tblPrEx>
        <w:tc>
          <w:tcPr>
            <w:tcW w:w="2367" w:type="pct"/>
          </w:tcPr>
          <w:p w:rsidR="00A0034B" w:rsidRPr="009C2345" w:rsidRDefault="00A0034B" w:rsidP="00A0034B">
            <w:pPr>
              <w:jc w:val="both"/>
              <w:rPr>
                <w:sz w:val="20"/>
                <w:szCs w:val="20"/>
              </w:rPr>
            </w:pPr>
            <w:r w:rsidRPr="009C2345">
              <w:rPr>
                <w:sz w:val="20"/>
                <w:szCs w:val="20"/>
              </w:rPr>
              <w:t>September 11, 2015</w:t>
            </w:r>
          </w:p>
          <w:p w:rsidR="00A0034B" w:rsidRPr="009C2345" w:rsidRDefault="00A0034B" w:rsidP="00A0034B">
            <w:pPr>
              <w:jc w:val="both"/>
              <w:rPr>
                <w:sz w:val="20"/>
                <w:szCs w:val="20"/>
              </w:rPr>
            </w:pPr>
            <w:r w:rsidRPr="009C2345">
              <w:rPr>
                <w:sz w:val="20"/>
                <w:szCs w:val="20"/>
              </w:rPr>
              <w:t>Quebec Court of Appeal (Montréal)</w:t>
            </w:r>
          </w:p>
          <w:p w:rsidR="00A0034B" w:rsidRPr="009C2345" w:rsidRDefault="00A0034B" w:rsidP="00A0034B">
            <w:pPr>
              <w:jc w:val="both"/>
              <w:rPr>
                <w:sz w:val="20"/>
                <w:szCs w:val="20"/>
              </w:rPr>
            </w:pPr>
            <w:r w:rsidRPr="009C2345">
              <w:rPr>
                <w:sz w:val="20"/>
                <w:szCs w:val="20"/>
              </w:rPr>
              <w:t>(Lévesque and Emond JJ.A. and Duval Hesler C.J., dissenting)</w:t>
            </w:r>
          </w:p>
          <w:p w:rsidR="00A0034B" w:rsidRPr="009C2345" w:rsidRDefault="0082006E" w:rsidP="00A0034B">
            <w:pPr>
              <w:jc w:val="both"/>
              <w:rPr>
                <w:sz w:val="20"/>
                <w:szCs w:val="20"/>
              </w:rPr>
            </w:pPr>
            <w:hyperlink r:id="rId44" w:history="1">
              <w:r w:rsidR="00A0034B" w:rsidRPr="009C2345">
                <w:rPr>
                  <w:color w:val="0000FF" w:themeColor="hyperlink"/>
                  <w:sz w:val="20"/>
                  <w:szCs w:val="20"/>
                  <w:u w:val="single"/>
                </w:rPr>
                <w:t>2015 QCCA 1427</w:t>
              </w:r>
            </w:hyperlink>
            <w:r w:rsidR="00A0034B" w:rsidRPr="009C2345">
              <w:rPr>
                <w:sz w:val="20"/>
                <w:szCs w:val="20"/>
              </w:rPr>
              <w:t xml:space="preserve"> </w:t>
            </w:r>
          </w:p>
          <w:p w:rsidR="00A0034B" w:rsidRPr="009C2345" w:rsidRDefault="00A0034B" w:rsidP="00A0034B">
            <w:pPr>
              <w:jc w:val="both"/>
              <w:rPr>
                <w:sz w:val="20"/>
                <w:szCs w:val="20"/>
              </w:rPr>
            </w:pPr>
          </w:p>
        </w:tc>
        <w:tc>
          <w:tcPr>
            <w:tcW w:w="267" w:type="pct"/>
          </w:tcPr>
          <w:p w:rsidR="00A0034B" w:rsidRPr="009C2345" w:rsidRDefault="00A0034B" w:rsidP="00A0034B">
            <w:pPr>
              <w:jc w:val="both"/>
              <w:rPr>
                <w:sz w:val="20"/>
                <w:szCs w:val="20"/>
              </w:rPr>
            </w:pPr>
          </w:p>
        </w:tc>
        <w:tc>
          <w:tcPr>
            <w:tcW w:w="2366" w:type="pct"/>
            <w:gridSpan w:val="2"/>
          </w:tcPr>
          <w:p w:rsidR="00A0034B" w:rsidRPr="009C2345" w:rsidRDefault="00A0034B" w:rsidP="00A0034B">
            <w:pPr>
              <w:jc w:val="both"/>
              <w:rPr>
                <w:sz w:val="20"/>
                <w:szCs w:val="20"/>
              </w:rPr>
            </w:pPr>
            <w:r w:rsidRPr="009C2345">
              <w:rPr>
                <w:sz w:val="20"/>
                <w:szCs w:val="20"/>
              </w:rPr>
              <w:t>Appeal dismissed</w:t>
            </w:r>
          </w:p>
        </w:tc>
      </w:tr>
      <w:tr w:rsidR="00A0034B" w:rsidRPr="009C2345" w:rsidTr="00017A3C">
        <w:tblPrEx>
          <w:tblCellMar>
            <w:bottom w:w="0" w:type="dxa"/>
          </w:tblCellMar>
        </w:tblPrEx>
        <w:tc>
          <w:tcPr>
            <w:tcW w:w="2367" w:type="pct"/>
          </w:tcPr>
          <w:p w:rsidR="00A0034B" w:rsidRPr="009C2345" w:rsidRDefault="00A0034B" w:rsidP="00A0034B">
            <w:pPr>
              <w:jc w:val="both"/>
              <w:rPr>
                <w:sz w:val="20"/>
                <w:szCs w:val="20"/>
              </w:rPr>
            </w:pPr>
            <w:r w:rsidRPr="009C2345">
              <w:rPr>
                <w:sz w:val="20"/>
                <w:szCs w:val="20"/>
              </w:rPr>
              <w:t>November 9, 2015</w:t>
            </w:r>
          </w:p>
          <w:p w:rsidR="00A0034B" w:rsidRPr="009C2345" w:rsidRDefault="00A0034B" w:rsidP="00A0034B">
            <w:pPr>
              <w:jc w:val="both"/>
              <w:rPr>
                <w:sz w:val="20"/>
                <w:szCs w:val="20"/>
              </w:rPr>
            </w:pPr>
            <w:r w:rsidRPr="009C2345">
              <w:rPr>
                <w:sz w:val="20"/>
                <w:szCs w:val="20"/>
              </w:rPr>
              <w:t>Supreme Court of Canada</w:t>
            </w:r>
          </w:p>
        </w:tc>
        <w:tc>
          <w:tcPr>
            <w:tcW w:w="267" w:type="pct"/>
          </w:tcPr>
          <w:p w:rsidR="00A0034B" w:rsidRPr="009C2345" w:rsidRDefault="00A0034B" w:rsidP="00A0034B">
            <w:pPr>
              <w:jc w:val="both"/>
              <w:rPr>
                <w:sz w:val="20"/>
                <w:szCs w:val="20"/>
              </w:rPr>
            </w:pPr>
          </w:p>
        </w:tc>
        <w:tc>
          <w:tcPr>
            <w:tcW w:w="2366" w:type="pct"/>
            <w:gridSpan w:val="2"/>
          </w:tcPr>
          <w:p w:rsidR="00A0034B" w:rsidRPr="009C2345" w:rsidRDefault="00A0034B" w:rsidP="00A0034B">
            <w:pPr>
              <w:jc w:val="both"/>
              <w:rPr>
                <w:sz w:val="20"/>
                <w:szCs w:val="20"/>
              </w:rPr>
            </w:pPr>
            <w:r w:rsidRPr="009C2345">
              <w:rPr>
                <w:sz w:val="20"/>
                <w:szCs w:val="20"/>
              </w:rPr>
              <w:t>Application for leave to appeal filed</w:t>
            </w:r>
          </w:p>
          <w:p w:rsidR="00A0034B" w:rsidRPr="009C2345" w:rsidRDefault="00A0034B" w:rsidP="00A0034B">
            <w:pPr>
              <w:jc w:val="both"/>
              <w:rPr>
                <w:sz w:val="20"/>
                <w:szCs w:val="20"/>
              </w:rPr>
            </w:pPr>
          </w:p>
        </w:tc>
      </w:tr>
    </w:tbl>
    <w:p w:rsidR="000B39F0" w:rsidRPr="009C2345" w:rsidRDefault="000B39F0" w:rsidP="008D292F">
      <w:pPr>
        <w:rPr>
          <w:sz w:val="20"/>
          <w:szCs w:val="20"/>
        </w:rPr>
      </w:pPr>
    </w:p>
    <w:p w:rsidR="000B39F0" w:rsidRPr="009C2345" w:rsidRDefault="0082006E" w:rsidP="008D292F">
      <w:pPr>
        <w:rPr>
          <w:sz w:val="20"/>
          <w:szCs w:val="20"/>
          <w:lang w:val="fr-CA"/>
        </w:rPr>
      </w:pPr>
      <w:r>
        <w:rPr>
          <w:sz w:val="20"/>
          <w:szCs w:val="20"/>
          <w:lang w:val="fr-CA"/>
        </w:rPr>
        <w:pict>
          <v:rect id="_x0000_i1050" style="width:2in;height:1pt" o:hrpct="0" o:hralign="center" o:hrstd="t" o:hrnoshade="t" o:hr="t" fillcolor="black [3213]" stroked="f"/>
        </w:pict>
      </w:r>
    </w:p>
    <w:p w:rsidR="00573B47" w:rsidRPr="009C2345" w:rsidRDefault="00573B47" w:rsidP="00573B47">
      <w:pPr>
        <w:rPr>
          <w:sz w:val="20"/>
          <w:szCs w:val="20"/>
          <w:lang w:val="fr-CA"/>
        </w:rPr>
      </w:pPr>
    </w:p>
    <w:p w:rsidR="00573B47" w:rsidRPr="009C2345" w:rsidRDefault="00573B47" w:rsidP="00573B47">
      <w:pPr>
        <w:rPr>
          <w:sz w:val="20"/>
          <w:szCs w:val="20"/>
          <w:u w:val="single"/>
          <w:lang w:val="fr-CA"/>
        </w:rPr>
      </w:pPr>
      <w:r w:rsidRPr="009C2345">
        <w:rPr>
          <w:sz w:val="20"/>
          <w:szCs w:val="20"/>
          <w:u w:val="single"/>
          <w:lang w:val="fr-CA"/>
        </w:rPr>
        <w:t>RÉSUMÉ DE L’AFFAIRE</w:t>
      </w:r>
    </w:p>
    <w:p w:rsidR="00573B47" w:rsidRPr="009C2345" w:rsidRDefault="00573B47" w:rsidP="00573B47">
      <w:pPr>
        <w:rPr>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4387"/>
        <w:gridCol w:w="494"/>
        <w:gridCol w:w="4738"/>
      </w:tblGrid>
      <w:tr w:rsidR="00A0034B" w:rsidRPr="0082006E" w:rsidTr="004D61A4">
        <w:tc>
          <w:tcPr>
            <w:tcW w:w="5000" w:type="pct"/>
            <w:gridSpan w:val="3"/>
          </w:tcPr>
          <w:p w:rsidR="00A0034B" w:rsidRPr="009C2345" w:rsidRDefault="00A0034B" w:rsidP="00A0034B">
            <w:pPr>
              <w:jc w:val="both"/>
              <w:rPr>
                <w:sz w:val="20"/>
                <w:szCs w:val="20"/>
                <w:lang w:val="fr-CA"/>
              </w:rPr>
            </w:pPr>
            <w:r w:rsidRPr="009C2345">
              <w:rPr>
                <w:sz w:val="20"/>
                <w:szCs w:val="20"/>
                <w:lang w:val="fr-CA"/>
              </w:rPr>
              <w:t xml:space="preserve">Contrat – Contrat d’affiliation – Clause de renouvellement prévoyant que seule une des parties peut résilier le contrat à défaut de quoi il y aura renouvellement automatique – Quels sont les critères pour déterminer si un contrat a été validement consenti à perpétuité ? – La Cour d’appel a-t-elle erré en créant l’obligation perpétuelle à durée déterminée? – La Cour d’appel a-t-elle erré dans la détermination de la nature et de la durée du Contrat d’affiliation? – La Cour d’appel a-t-elle erré en refusant d’exercer les pouvoirs qui lui sont consentis par l’article 1512 </w:t>
            </w:r>
            <w:r w:rsidRPr="009C2345">
              <w:rPr>
                <w:i/>
                <w:sz w:val="20"/>
                <w:szCs w:val="20"/>
                <w:lang w:val="fr-CA"/>
              </w:rPr>
              <w:t>C.c.Q.</w:t>
            </w:r>
            <w:r w:rsidRPr="009C2345">
              <w:rPr>
                <w:sz w:val="20"/>
                <w:szCs w:val="20"/>
                <w:lang w:val="fr-CA"/>
              </w:rPr>
              <w:t>? – La Cour d’appel a-t-elle commis une erreur révisable dans son interprétation de la preuve et des faits?</w:t>
            </w:r>
          </w:p>
        </w:tc>
      </w:tr>
      <w:tr w:rsidR="00A0034B" w:rsidRPr="0082006E" w:rsidTr="004D61A4">
        <w:tc>
          <w:tcPr>
            <w:tcW w:w="5000" w:type="pct"/>
            <w:gridSpan w:val="3"/>
          </w:tcPr>
          <w:p w:rsidR="00A0034B" w:rsidRPr="009C2345" w:rsidRDefault="00A0034B" w:rsidP="00A0034B">
            <w:pPr>
              <w:jc w:val="both"/>
              <w:rPr>
                <w:smallCaps/>
                <w:sz w:val="20"/>
                <w:szCs w:val="20"/>
                <w:lang w:val="fr-CA"/>
              </w:rPr>
            </w:pPr>
          </w:p>
        </w:tc>
      </w:tr>
      <w:tr w:rsidR="00A0034B" w:rsidRPr="0082006E" w:rsidTr="004D61A4">
        <w:trPr>
          <w:trHeight w:val="450"/>
        </w:trPr>
        <w:tc>
          <w:tcPr>
            <w:tcW w:w="5000" w:type="pct"/>
            <w:gridSpan w:val="3"/>
          </w:tcPr>
          <w:p w:rsidR="00A0034B" w:rsidRPr="009C2345" w:rsidRDefault="00A0034B" w:rsidP="00A0034B">
            <w:pPr>
              <w:jc w:val="both"/>
              <w:rPr>
                <w:sz w:val="20"/>
                <w:szCs w:val="20"/>
                <w:lang w:val="fr-CA"/>
              </w:rPr>
            </w:pPr>
            <w:r w:rsidRPr="009C2345">
              <w:rPr>
                <w:sz w:val="20"/>
                <w:szCs w:val="20"/>
                <w:lang w:val="fr-CA"/>
              </w:rPr>
              <w:t xml:space="preserve">Les parties sont liées par un contrat d’affiliation depuis 1998. Une clause au contrat prévoit la reconduction automatique de celui-ci à chaque cinq ans, à moins d’avis contraire des intimés. Or, la demanderesse envoie, six mois avant l’échéance du terme du contrat, un avis de non-renouvellement. Les intimés, bénéficiaires de la clause de renouvellement prévu au contrat, refusent que la demanderesse y mette ainsi fin et saisissent les tribunaux d’une requête en jugement déclaratoire et en injonction permanente. </w:t>
            </w:r>
          </w:p>
          <w:p w:rsidR="00A0034B" w:rsidRPr="009C2345" w:rsidRDefault="00A0034B" w:rsidP="00A0034B">
            <w:pPr>
              <w:jc w:val="both"/>
              <w:rPr>
                <w:sz w:val="20"/>
                <w:szCs w:val="20"/>
                <w:lang w:val="fr-CA"/>
              </w:rPr>
            </w:pPr>
          </w:p>
        </w:tc>
      </w:tr>
      <w:tr w:rsidR="00A0034B" w:rsidRPr="0082006E" w:rsidTr="004D61A4">
        <w:tblPrEx>
          <w:tblCellMar>
            <w:bottom w:w="0" w:type="dxa"/>
          </w:tblCellMar>
        </w:tblPrEx>
        <w:trPr>
          <w:trHeight w:val="1368"/>
        </w:trPr>
        <w:tc>
          <w:tcPr>
            <w:tcW w:w="2280" w:type="pct"/>
          </w:tcPr>
          <w:p w:rsidR="00A0034B" w:rsidRPr="009C2345" w:rsidRDefault="00A0034B" w:rsidP="00A0034B">
            <w:pPr>
              <w:jc w:val="both"/>
              <w:rPr>
                <w:sz w:val="20"/>
                <w:szCs w:val="20"/>
                <w:lang w:val="fr-CA"/>
              </w:rPr>
            </w:pPr>
            <w:r w:rsidRPr="009C2345">
              <w:rPr>
                <w:sz w:val="20"/>
                <w:szCs w:val="20"/>
                <w:lang w:val="fr-CA"/>
              </w:rPr>
              <w:t>Le 13 décembre 2013</w:t>
            </w:r>
          </w:p>
          <w:p w:rsidR="00A0034B" w:rsidRPr="009C2345" w:rsidRDefault="00A0034B" w:rsidP="00A0034B">
            <w:pPr>
              <w:jc w:val="both"/>
              <w:rPr>
                <w:sz w:val="20"/>
                <w:szCs w:val="20"/>
                <w:lang w:val="fr-CA"/>
              </w:rPr>
            </w:pPr>
            <w:r w:rsidRPr="009C2345">
              <w:rPr>
                <w:sz w:val="20"/>
                <w:szCs w:val="20"/>
                <w:lang w:val="fr-CA"/>
              </w:rPr>
              <w:t>Cour supérieure du Québec</w:t>
            </w:r>
          </w:p>
          <w:p w:rsidR="00A0034B" w:rsidRPr="009C2345" w:rsidRDefault="00A0034B" w:rsidP="00A0034B">
            <w:pPr>
              <w:jc w:val="both"/>
              <w:rPr>
                <w:sz w:val="20"/>
                <w:szCs w:val="20"/>
                <w:lang w:val="fr-CA"/>
              </w:rPr>
            </w:pPr>
            <w:r w:rsidRPr="009C2345">
              <w:rPr>
                <w:sz w:val="20"/>
                <w:szCs w:val="20"/>
                <w:lang w:val="fr-CA"/>
              </w:rPr>
              <w:t>(Le juge Dugré)</w:t>
            </w:r>
          </w:p>
          <w:p w:rsidR="00A0034B" w:rsidRPr="009C2345" w:rsidRDefault="0082006E" w:rsidP="00A0034B">
            <w:pPr>
              <w:jc w:val="both"/>
              <w:rPr>
                <w:sz w:val="20"/>
                <w:szCs w:val="20"/>
                <w:u w:val="single"/>
                <w:lang w:val="fr-CA"/>
              </w:rPr>
            </w:pPr>
            <w:hyperlink r:id="rId45" w:history="1">
              <w:r w:rsidR="00A0034B" w:rsidRPr="009C2345">
                <w:rPr>
                  <w:color w:val="0000FF" w:themeColor="hyperlink"/>
                  <w:sz w:val="20"/>
                  <w:szCs w:val="20"/>
                  <w:u w:val="single"/>
                  <w:lang w:val="fr-CA"/>
                </w:rPr>
                <w:t>2013 QCCS 6251</w:t>
              </w:r>
            </w:hyperlink>
          </w:p>
          <w:p w:rsidR="00A0034B" w:rsidRPr="009C2345" w:rsidRDefault="00A0034B" w:rsidP="00A0034B">
            <w:pPr>
              <w:jc w:val="both"/>
              <w:rPr>
                <w:sz w:val="20"/>
                <w:szCs w:val="20"/>
                <w:lang w:val="fr-CA"/>
              </w:rPr>
            </w:pPr>
          </w:p>
        </w:tc>
        <w:tc>
          <w:tcPr>
            <w:tcW w:w="257" w:type="pct"/>
          </w:tcPr>
          <w:p w:rsidR="00A0034B" w:rsidRPr="009C2345" w:rsidRDefault="00A0034B" w:rsidP="00A0034B">
            <w:pPr>
              <w:jc w:val="both"/>
              <w:rPr>
                <w:sz w:val="20"/>
                <w:szCs w:val="20"/>
                <w:lang w:val="fr-CA"/>
              </w:rPr>
            </w:pPr>
          </w:p>
        </w:tc>
        <w:tc>
          <w:tcPr>
            <w:tcW w:w="2463" w:type="pct"/>
          </w:tcPr>
          <w:p w:rsidR="00A0034B" w:rsidRPr="009C2345" w:rsidRDefault="00A0034B" w:rsidP="00A0034B">
            <w:pPr>
              <w:jc w:val="both"/>
              <w:rPr>
                <w:sz w:val="20"/>
                <w:szCs w:val="20"/>
                <w:lang w:val="fr-CA"/>
              </w:rPr>
            </w:pPr>
            <w:r w:rsidRPr="009C2345">
              <w:rPr>
                <w:sz w:val="20"/>
                <w:szCs w:val="20"/>
                <w:lang w:val="fr-CA"/>
              </w:rPr>
              <w:t>Requête en jugement déclaratoire et en injonction permanente accueillie en partie</w:t>
            </w:r>
          </w:p>
        </w:tc>
      </w:tr>
      <w:tr w:rsidR="00A0034B" w:rsidRPr="009C2345" w:rsidTr="004D61A4">
        <w:tblPrEx>
          <w:tblCellMar>
            <w:bottom w:w="0" w:type="dxa"/>
          </w:tblCellMar>
        </w:tblPrEx>
        <w:tc>
          <w:tcPr>
            <w:tcW w:w="2280" w:type="pct"/>
          </w:tcPr>
          <w:p w:rsidR="00A0034B" w:rsidRPr="009C2345" w:rsidRDefault="00A0034B" w:rsidP="00A0034B">
            <w:pPr>
              <w:jc w:val="both"/>
              <w:rPr>
                <w:sz w:val="20"/>
                <w:szCs w:val="20"/>
                <w:lang w:val="fr-CA"/>
              </w:rPr>
            </w:pPr>
            <w:r w:rsidRPr="009C2345">
              <w:rPr>
                <w:sz w:val="20"/>
                <w:szCs w:val="20"/>
                <w:lang w:val="fr-CA"/>
              </w:rPr>
              <w:t>Le 11 septembre 2015</w:t>
            </w:r>
          </w:p>
          <w:p w:rsidR="00A0034B" w:rsidRPr="009C2345" w:rsidRDefault="00A0034B" w:rsidP="00A0034B">
            <w:pPr>
              <w:jc w:val="both"/>
              <w:rPr>
                <w:sz w:val="20"/>
                <w:szCs w:val="20"/>
                <w:lang w:val="fr-CA"/>
              </w:rPr>
            </w:pPr>
            <w:r w:rsidRPr="009C2345">
              <w:rPr>
                <w:sz w:val="20"/>
                <w:szCs w:val="20"/>
                <w:lang w:val="fr-CA"/>
              </w:rPr>
              <w:t>Cour d’appel du Québec (Montréal)</w:t>
            </w:r>
          </w:p>
          <w:p w:rsidR="00A0034B" w:rsidRPr="009C2345" w:rsidRDefault="00A0034B" w:rsidP="00A0034B">
            <w:pPr>
              <w:jc w:val="both"/>
              <w:rPr>
                <w:sz w:val="20"/>
                <w:szCs w:val="20"/>
                <w:lang w:val="fr-CA"/>
              </w:rPr>
            </w:pPr>
            <w:r w:rsidRPr="009C2345">
              <w:rPr>
                <w:sz w:val="20"/>
                <w:szCs w:val="20"/>
                <w:lang w:val="fr-CA"/>
              </w:rPr>
              <w:t>(Les juges Lévesque et Emond, et la juge en chef Duval Hesler, dissidente)</w:t>
            </w:r>
          </w:p>
          <w:p w:rsidR="00A0034B" w:rsidRPr="009C2345" w:rsidRDefault="0082006E" w:rsidP="00A0034B">
            <w:pPr>
              <w:jc w:val="both"/>
              <w:rPr>
                <w:sz w:val="20"/>
                <w:szCs w:val="20"/>
                <w:u w:val="single"/>
                <w:lang w:val="fr-CA"/>
              </w:rPr>
            </w:pPr>
            <w:hyperlink r:id="rId46" w:history="1">
              <w:r w:rsidR="00A0034B" w:rsidRPr="009C2345">
                <w:rPr>
                  <w:color w:val="0000FF" w:themeColor="hyperlink"/>
                  <w:sz w:val="20"/>
                  <w:szCs w:val="20"/>
                  <w:u w:val="single"/>
                  <w:lang w:val="fr-CA"/>
                </w:rPr>
                <w:t>2015 QCCA 1427</w:t>
              </w:r>
            </w:hyperlink>
            <w:r w:rsidR="00A0034B" w:rsidRPr="009C2345">
              <w:rPr>
                <w:sz w:val="20"/>
                <w:szCs w:val="20"/>
                <w:u w:val="single"/>
                <w:lang w:val="fr-CA"/>
              </w:rPr>
              <w:t xml:space="preserve"> </w:t>
            </w:r>
          </w:p>
          <w:p w:rsidR="00A0034B" w:rsidRPr="009C2345" w:rsidRDefault="00A0034B" w:rsidP="00A0034B">
            <w:pPr>
              <w:jc w:val="both"/>
              <w:rPr>
                <w:sz w:val="20"/>
                <w:szCs w:val="20"/>
                <w:lang w:val="fr-CA"/>
              </w:rPr>
            </w:pPr>
          </w:p>
        </w:tc>
        <w:tc>
          <w:tcPr>
            <w:tcW w:w="257" w:type="pct"/>
          </w:tcPr>
          <w:p w:rsidR="00A0034B" w:rsidRPr="009C2345" w:rsidRDefault="00A0034B" w:rsidP="00A0034B">
            <w:pPr>
              <w:jc w:val="both"/>
              <w:rPr>
                <w:sz w:val="20"/>
                <w:szCs w:val="20"/>
                <w:lang w:val="fr-CA"/>
              </w:rPr>
            </w:pPr>
          </w:p>
        </w:tc>
        <w:tc>
          <w:tcPr>
            <w:tcW w:w="2463" w:type="pct"/>
          </w:tcPr>
          <w:p w:rsidR="00A0034B" w:rsidRPr="009C2345" w:rsidRDefault="00A0034B" w:rsidP="00A0034B">
            <w:pPr>
              <w:jc w:val="both"/>
              <w:rPr>
                <w:sz w:val="20"/>
                <w:szCs w:val="20"/>
                <w:lang w:val="fr-CA"/>
              </w:rPr>
            </w:pPr>
            <w:r w:rsidRPr="009C2345">
              <w:rPr>
                <w:sz w:val="20"/>
                <w:szCs w:val="20"/>
                <w:lang w:val="fr-CA"/>
              </w:rPr>
              <w:t>Appel rejeté</w:t>
            </w:r>
          </w:p>
        </w:tc>
      </w:tr>
      <w:tr w:rsidR="00A0034B" w:rsidRPr="009C2345" w:rsidTr="004D61A4">
        <w:tblPrEx>
          <w:tblCellMar>
            <w:bottom w:w="0" w:type="dxa"/>
          </w:tblCellMar>
        </w:tblPrEx>
        <w:tc>
          <w:tcPr>
            <w:tcW w:w="2280" w:type="pct"/>
          </w:tcPr>
          <w:p w:rsidR="00A0034B" w:rsidRPr="009C2345" w:rsidRDefault="00A0034B" w:rsidP="00A0034B">
            <w:pPr>
              <w:jc w:val="both"/>
              <w:rPr>
                <w:sz w:val="20"/>
                <w:szCs w:val="20"/>
                <w:lang w:val="fr-CA"/>
              </w:rPr>
            </w:pPr>
            <w:r w:rsidRPr="009C2345">
              <w:rPr>
                <w:sz w:val="20"/>
                <w:szCs w:val="20"/>
                <w:lang w:val="fr-CA"/>
              </w:rPr>
              <w:t>Le 9 novembre 2015</w:t>
            </w:r>
          </w:p>
          <w:p w:rsidR="00A0034B" w:rsidRPr="009C2345" w:rsidRDefault="00A0034B" w:rsidP="00A0034B">
            <w:pPr>
              <w:jc w:val="both"/>
              <w:rPr>
                <w:sz w:val="20"/>
                <w:szCs w:val="20"/>
                <w:lang w:val="fr-CA"/>
              </w:rPr>
            </w:pPr>
            <w:r w:rsidRPr="009C2345">
              <w:rPr>
                <w:sz w:val="20"/>
                <w:szCs w:val="20"/>
                <w:lang w:val="fr-CA"/>
              </w:rPr>
              <w:t>Cour suprême du Canada</w:t>
            </w:r>
          </w:p>
        </w:tc>
        <w:tc>
          <w:tcPr>
            <w:tcW w:w="257" w:type="pct"/>
          </w:tcPr>
          <w:p w:rsidR="00A0034B" w:rsidRPr="009C2345" w:rsidRDefault="00A0034B" w:rsidP="00A0034B">
            <w:pPr>
              <w:jc w:val="both"/>
              <w:rPr>
                <w:sz w:val="20"/>
                <w:szCs w:val="20"/>
                <w:lang w:val="fr-CA"/>
              </w:rPr>
            </w:pPr>
          </w:p>
        </w:tc>
        <w:tc>
          <w:tcPr>
            <w:tcW w:w="2463" w:type="pct"/>
          </w:tcPr>
          <w:p w:rsidR="00A0034B" w:rsidRPr="009C2345" w:rsidRDefault="00A0034B" w:rsidP="00A0034B">
            <w:pPr>
              <w:jc w:val="both"/>
              <w:rPr>
                <w:sz w:val="20"/>
                <w:szCs w:val="20"/>
                <w:lang w:val="fr-CA"/>
              </w:rPr>
            </w:pPr>
            <w:r w:rsidRPr="009C2345">
              <w:rPr>
                <w:sz w:val="20"/>
                <w:szCs w:val="20"/>
                <w:lang w:val="fr-CA"/>
              </w:rPr>
              <w:t>Demande d’autorisation d’appel déposée</w:t>
            </w:r>
          </w:p>
          <w:p w:rsidR="00A0034B" w:rsidRPr="009C2345" w:rsidRDefault="00A0034B" w:rsidP="00A0034B">
            <w:pPr>
              <w:jc w:val="both"/>
              <w:rPr>
                <w:sz w:val="20"/>
                <w:szCs w:val="20"/>
                <w:lang w:val="fr-CA"/>
              </w:rPr>
            </w:pPr>
          </w:p>
        </w:tc>
      </w:tr>
    </w:tbl>
    <w:p w:rsidR="000B39F0" w:rsidRPr="009C2345" w:rsidRDefault="000B39F0" w:rsidP="008D292F">
      <w:pPr>
        <w:rPr>
          <w:sz w:val="20"/>
          <w:szCs w:val="20"/>
          <w:lang w:val="fr-CA"/>
        </w:rPr>
      </w:pPr>
    </w:p>
    <w:p w:rsidR="000B39F0" w:rsidRPr="009C2345" w:rsidRDefault="0082006E" w:rsidP="008D292F">
      <w:pPr>
        <w:rPr>
          <w:sz w:val="20"/>
          <w:szCs w:val="20"/>
          <w:lang w:val="fr-CA"/>
        </w:rPr>
      </w:pPr>
      <w:r>
        <w:rPr>
          <w:sz w:val="20"/>
          <w:szCs w:val="20"/>
          <w:lang w:val="fr-CA"/>
        </w:rPr>
        <w:pict>
          <v:rect id="_x0000_i1051" style="width:2in;height:1pt" o:hrpct="0" o:hralign="center" o:hrstd="t" o:hrnoshade="t" o:hr="t" fillcolor="black [3213]" stroked="f"/>
        </w:pict>
      </w:r>
    </w:p>
    <w:p w:rsidR="00733B0A" w:rsidRPr="009C2345" w:rsidRDefault="00733B0A">
      <w:r w:rsidRPr="009C2345">
        <w:br w:type="page"/>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082"/>
      </w:tblGrid>
      <w:tr w:rsidR="00616675" w:rsidRPr="00A67A3D" w:rsidTr="00A63EBB">
        <w:trPr>
          <w:cantSplit/>
          <w:trHeight w:val="599"/>
        </w:trPr>
        <w:tc>
          <w:tcPr>
            <w:tcW w:w="1458" w:type="dxa"/>
          </w:tcPr>
          <w:p w:rsidR="00616675" w:rsidRPr="00A67A3D" w:rsidRDefault="00616675" w:rsidP="00017A3C">
            <w:pPr>
              <w:rPr>
                <w:sz w:val="20"/>
                <w:szCs w:val="20"/>
              </w:rPr>
            </w:pPr>
            <w:r w:rsidRPr="00A67A3D">
              <w:rPr>
                <w:rStyle w:val="SCCFileNumberChar"/>
                <w:sz w:val="20"/>
                <w:szCs w:val="20"/>
              </w:rPr>
              <w:t>36727</w:t>
            </w:r>
          </w:p>
          <w:p w:rsidR="00616675" w:rsidRPr="00A67A3D" w:rsidRDefault="00616675" w:rsidP="00017A3C">
            <w:pPr>
              <w:rPr>
                <w:b/>
                <w:sz w:val="20"/>
                <w:szCs w:val="20"/>
                <w:lang w:val="fr-CA"/>
              </w:rPr>
            </w:pPr>
          </w:p>
        </w:tc>
        <w:tc>
          <w:tcPr>
            <w:tcW w:w="8082" w:type="dxa"/>
          </w:tcPr>
          <w:p w:rsidR="00616675" w:rsidRPr="00A67A3D" w:rsidRDefault="00616675" w:rsidP="004E6EF3">
            <w:pPr>
              <w:jc w:val="both"/>
              <w:rPr>
                <w:sz w:val="20"/>
                <w:szCs w:val="20"/>
              </w:rPr>
            </w:pPr>
            <w:r w:rsidRPr="00A67A3D">
              <w:rPr>
                <w:b/>
                <w:sz w:val="20"/>
                <w:szCs w:val="20"/>
                <w:u w:val="single"/>
              </w:rPr>
              <w:t>Francis Ngau Musyoki v. Robert William Geertsema, Barbara Joyce Geertsema and Greenhill Produce (Thamesville) Ltd.</w:t>
            </w:r>
            <w:r w:rsidRPr="00A67A3D">
              <w:rPr>
                <w:sz w:val="20"/>
                <w:szCs w:val="20"/>
              </w:rPr>
              <w:t xml:space="preserve"> (Ont.) (Civil) (By Leave)</w:t>
            </w:r>
          </w:p>
          <w:p w:rsidR="00616675" w:rsidRPr="00A67A3D" w:rsidRDefault="00616675" w:rsidP="00017A3C">
            <w:pPr>
              <w:rPr>
                <w:sz w:val="20"/>
                <w:szCs w:val="20"/>
              </w:rPr>
            </w:pPr>
          </w:p>
        </w:tc>
      </w:tr>
      <w:tr w:rsidR="00616675" w:rsidRPr="00A67A3D" w:rsidTr="00A63EBB">
        <w:trPr>
          <w:cantSplit/>
        </w:trPr>
        <w:tc>
          <w:tcPr>
            <w:tcW w:w="1458" w:type="dxa"/>
          </w:tcPr>
          <w:p w:rsidR="00616675" w:rsidRPr="00A67A3D" w:rsidRDefault="00616675" w:rsidP="00017A3C">
            <w:pPr>
              <w:rPr>
                <w:sz w:val="20"/>
                <w:szCs w:val="20"/>
              </w:rPr>
            </w:pPr>
            <w:r w:rsidRPr="00A67A3D">
              <w:rPr>
                <w:sz w:val="20"/>
                <w:szCs w:val="20"/>
              </w:rPr>
              <w:t>Coram :</w:t>
            </w:r>
          </w:p>
        </w:tc>
        <w:tc>
          <w:tcPr>
            <w:tcW w:w="8082" w:type="dxa"/>
          </w:tcPr>
          <w:p w:rsidR="00616675" w:rsidRPr="00A67A3D" w:rsidRDefault="0003780C" w:rsidP="00017A3C">
            <w:pPr>
              <w:rPr>
                <w:rStyle w:val="SCCCoramChar"/>
                <w:sz w:val="20"/>
                <w:szCs w:val="20"/>
                <w:lang w:val="en-CA"/>
              </w:rPr>
            </w:pPr>
            <w:r w:rsidRPr="00A67A3D">
              <w:rPr>
                <w:rStyle w:val="SCCCoramChar"/>
                <w:sz w:val="20"/>
                <w:szCs w:val="20"/>
                <w:lang w:val="en-CA"/>
              </w:rPr>
              <w:t>Cromwell, Wagner and Côté JJ.</w:t>
            </w:r>
          </w:p>
          <w:p w:rsidR="0003780C" w:rsidRPr="00A67A3D" w:rsidRDefault="0003780C" w:rsidP="00017A3C">
            <w:pPr>
              <w:rPr>
                <w:sz w:val="20"/>
                <w:szCs w:val="20"/>
              </w:rPr>
            </w:pPr>
          </w:p>
        </w:tc>
      </w:tr>
      <w:tr w:rsidR="00616675" w:rsidRPr="0082006E" w:rsidTr="00A63EBB">
        <w:trPr>
          <w:cantSplit/>
        </w:trPr>
        <w:tc>
          <w:tcPr>
            <w:tcW w:w="9540" w:type="dxa"/>
            <w:gridSpan w:val="2"/>
          </w:tcPr>
          <w:p w:rsidR="00616675" w:rsidRPr="00A67A3D" w:rsidRDefault="0003780C" w:rsidP="00017A3C">
            <w:pPr>
              <w:pStyle w:val="SCCShortJudgment"/>
              <w:ind w:firstLine="0"/>
            </w:pPr>
            <w:r w:rsidRPr="00A67A3D">
              <w:tab/>
              <w:t>The application for leave to appeal from the judgment of the Court of Appeal for Ontario, Number C60003, 2015 ONCA 643, dated September 18, 2015, is dismissed with costs.</w:t>
            </w:r>
          </w:p>
          <w:p w:rsidR="0003780C" w:rsidRPr="00A67A3D" w:rsidRDefault="0003780C" w:rsidP="00017A3C">
            <w:pPr>
              <w:pStyle w:val="SCCShortJudgment"/>
              <w:ind w:firstLine="0"/>
              <w:rPr>
                <w:szCs w:val="20"/>
              </w:rPr>
            </w:pPr>
          </w:p>
          <w:p w:rsidR="00616675" w:rsidRPr="00A67A3D" w:rsidRDefault="0003780C" w:rsidP="00017A3C">
            <w:pPr>
              <w:pStyle w:val="SCCShortJudgment"/>
              <w:rPr>
                <w:szCs w:val="20"/>
                <w:lang w:val="fr-CA"/>
              </w:rPr>
            </w:pPr>
            <w:r w:rsidRPr="00A67A3D">
              <w:rPr>
                <w:lang w:val="fr-CA"/>
              </w:rPr>
              <w:t>La demande d’autorisation d’appel de l’arrêt de la Cour d’appel de l’Ontario, numéro C60003, 2015 ONCA 643, daté du 18 septembre 2015, est rejetée avec dépens.</w:t>
            </w:r>
          </w:p>
        </w:tc>
      </w:tr>
    </w:tbl>
    <w:p w:rsidR="00616675" w:rsidRPr="009C2345" w:rsidRDefault="00616675" w:rsidP="00616675">
      <w:pPr>
        <w:rPr>
          <w:sz w:val="20"/>
          <w:szCs w:val="20"/>
          <w:lang w:val="fr-CA"/>
        </w:rPr>
      </w:pPr>
    </w:p>
    <w:p w:rsidR="00616675" w:rsidRPr="009C2345" w:rsidRDefault="00616675" w:rsidP="00616675">
      <w:pPr>
        <w:rPr>
          <w:sz w:val="20"/>
          <w:szCs w:val="20"/>
          <w:u w:val="single"/>
        </w:rPr>
      </w:pPr>
      <w:r w:rsidRPr="009C2345">
        <w:rPr>
          <w:sz w:val="20"/>
          <w:szCs w:val="20"/>
          <w:u w:val="single"/>
        </w:rPr>
        <w:t>CASE SUMMARY</w:t>
      </w:r>
    </w:p>
    <w:p w:rsidR="00616675" w:rsidRPr="009C2345" w:rsidRDefault="00616675" w:rsidP="00616675">
      <w:pPr>
        <w:rPr>
          <w:sz w:val="20"/>
          <w:szCs w:val="20"/>
        </w:rPr>
      </w:pPr>
    </w:p>
    <w:tbl>
      <w:tblPr>
        <w:tblW w:w="4959" w:type="pct"/>
        <w:tblLayout w:type="fixed"/>
        <w:tblCellMar>
          <w:left w:w="0" w:type="dxa"/>
          <w:bottom w:w="99" w:type="dxa"/>
          <w:right w:w="0" w:type="dxa"/>
        </w:tblCellMar>
        <w:tblLook w:val="04A0" w:firstRow="1" w:lastRow="0" w:firstColumn="1" w:lastColumn="0" w:noHBand="0" w:noVBand="1"/>
      </w:tblPr>
      <w:tblGrid>
        <w:gridCol w:w="4623"/>
        <w:gridCol w:w="464"/>
        <w:gridCol w:w="4453"/>
      </w:tblGrid>
      <w:tr w:rsidR="004B6D8D" w:rsidRPr="009C2345" w:rsidTr="00A63EBB">
        <w:tc>
          <w:tcPr>
            <w:tcW w:w="5000" w:type="pct"/>
            <w:gridSpan w:val="3"/>
          </w:tcPr>
          <w:p w:rsidR="004B6D8D" w:rsidRPr="009C2345" w:rsidRDefault="004B6D8D" w:rsidP="004B6D8D">
            <w:pPr>
              <w:jc w:val="both"/>
              <w:rPr>
                <w:sz w:val="20"/>
                <w:szCs w:val="20"/>
              </w:rPr>
            </w:pPr>
            <w:r w:rsidRPr="009C2345">
              <w:rPr>
                <w:sz w:val="20"/>
                <w:szCs w:val="20"/>
              </w:rPr>
              <w:t xml:space="preserve">Judgments and orders — Summary judgment — Whether summary judgment is appropriate prior to examination for discovery in an action involving central questions of credibility — What is the obligation to put one’s “best foot forward” in a context where the evidence needed to do so is not readily available due to the timing of the procedure and/or the nature of the claim — Whether it is appropriate to summarily dismiss one part of an action where ongoing parallel actions remain unresolved — What consideration must a court give to the potential for conflicting findings of fact in parallel proceedings — Whether the court is required to address all questions before it before granting summary judgment — When it is acceptable to overlook some of the claims pleaded in an action when summarily dismissing that action — </w:t>
            </w:r>
            <w:r w:rsidRPr="009C2345">
              <w:rPr>
                <w:i/>
                <w:sz w:val="20"/>
                <w:szCs w:val="20"/>
              </w:rPr>
              <w:t>Rules of Civil Procedure</w:t>
            </w:r>
            <w:r w:rsidRPr="009C2345">
              <w:rPr>
                <w:sz w:val="20"/>
                <w:szCs w:val="20"/>
              </w:rPr>
              <w:t>, R.R.O. 1990, Reg. 194, Rule 20.04.</w:t>
            </w:r>
          </w:p>
        </w:tc>
      </w:tr>
      <w:tr w:rsidR="004B6D8D" w:rsidRPr="009C2345" w:rsidTr="00A63EBB">
        <w:tc>
          <w:tcPr>
            <w:tcW w:w="5000" w:type="pct"/>
            <w:gridSpan w:val="3"/>
          </w:tcPr>
          <w:p w:rsidR="004B6D8D" w:rsidRPr="009C2345" w:rsidRDefault="004B6D8D" w:rsidP="004B6D8D">
            <w:pPr>
              <w:jc w:val="both"/>
              <w:rPr>
                <w:sz w:val="20"/>
                <w:szCs w:val="20"/>
              </w:rPr>
            </w:pPr>
          </w:p>
        </w:tc>
      </w:tr>
      <w:tr w:rsidR="004B6D8D" w:rsidRPr="009C2345" w:rsidTr="00A63EBB">
        <w:tc>
          <w:tcPr>
            <w:tcW w:w="5000" w:type="pct"/>
            <w:gridSpan w:val="3"/>
          </w:tcPr>
          <w:p w:rsidR="004B6D8D" w:rsidRPr="009C2345" w:rsidRDefault="004B6D8D" w:rsidP="004B6D8D">
            <w:pPr>
              <w:jc w:val="both"/>
              <w:rPr>
                <w:sz w:val="20"/>
                <w:szCs w:val="20"/>
              </w:rPr>
            </w:pPr>
            <w:r w:rsidRPr="009C2345">
              <w:rPr>
                <w:sz w:val="20"/>
                <w:szCs w:val="20"/>
              </w:rPr>
              <w:t>Mr. Musyoki purchased a vacant lake property from the respondents. The agreement of purchase and sale indicated that there was a 20 foot easement “FOR GOLF COURSE WATER PUMP”, the quoted words having been inserted by the selling agent. The buyer was allowed time to examine the title to the property, and to terminate the agreement if his valid objections to the state of the title were not satisfied. If no objection was made, the agreement deemed the buyer to have accepted the title. No objection to the title was made by October 28, 2011, the requisition date. The “description” box of the deed indicated that the easement was a right-of-way in the original deed, but not in the November 2006 registration.</w:t>
            </w:r>
          </w:p>
          <w:p w:rsidR="004B6D8D" w:rsidRPr="009C2345" w:rsidRDefault="004B6D8D" w:rsidP="004B6D8D">
            <w:pPr>
              <w:jc w:val="both"/>
              <w:rPr>
                <w:sz w:val="20"/>
                <w:szCs w:val="20"/>
              </w:rPr>
            </w:pPr>
          </w:p>
          <w:p w:rsidR="004B6D8D" w:rsidRPr="009C2345" w:rsidRDefault="004B6D8D" w:rsidP="004B6D8D">
            <w:pPr>
              <w:jc w:val="both"/>
              <w:rPr>
                <w:sz w:val="20"/>
                <w:szCs w:val="20"/>
              </w:rPr>
            </w:pPr>
            <w:r w:rsidRPr="009C2345">
              <w:rPr>
                <w:sz w:val="20"/>
                <w:szCs w:val="20"/>
              </w:rPr>
              <w:t>In June 2013, Mr. Musyoki brought an action against Mr. Legros and the numbered company that owned the golf course. In November 2011, he brought a second action alleging material misrepresentation by both the beneficiary of the easement and its nature against the respondents and another defendant. Mr. Musyoki argued that he did not know that the easement was a right-of-way, nor that it was for the benefit of Mr. Legros, a director and officer of a nearby golf course, rather than for the golf course itself. The motions judge granted summary judgment, and Mr. Musyoki’s appeal was dismissed.</w:t>
            </w:r>
          </w:p>
          <w:p w:rsidR="004B6D8D" w:rsidRPr="009C2345" w:rsidRDefault="004B6D8D" w:rsidP="004B6D8D">
            <w:pPr>
              <w:jc w:val="both"/>
              <w:rPr>
                <w:sz w:val="20"/>
                <w:szCs w:val="20"/>
              </w:rPr>
            </w:pPr>
          </w:p>
        </w:tc>
      </w:tr>
      <w:tr w:rsidR="004B6D8D" w:rsidRPr="009C2345" w:rsidTr="00A63EBB">
        <w:tc>
          <w:tcPr>
            <w:tcW w:w="2423" w:type="pct"/>
          </w:tcPr>
          <w:p w:rsidR="004B6D8D" w:rsidRPr="009C2345" w:rsidRDefault="004B6D8D" w:rsidP="004B6D8D">
            <w:pPr>
              <w:jc w:val="both"/>
              <w:rPr>
                <w:sz w:val="20"/>
                <w:szCs w:val="20"/>
              </w:rPr>
            </w:pPr>
            <w:r w:rsidRPr="009C2345">
              <w:rPr>
                <w:sz w:val="20"/>
                <w:szCs w:val="20"/>
              </w:rPr>
              <w:t>January 6, 2015</w:t>
            </w:r>
          </w:p>
          <w:p w:rsidR="004B6D8D" w:rsidRPr="009C2345" w:rsidRDefault="004B6D8D" w:rsidP="004B6D8D">
            <w:pPr>
              <w:jc w:val="both"/>
              <w:rPr>
                <w:sz w:val="20"/>
                <w:szCs w:val="20"/>
              </w:rPr>
            </w:pPr>
            <w:r w:rsidRPr="009C2345">
              <w:rPr>
                <w:sz w:val="20"/>
                <w:szCs w:val="20"/>
              </w:rPr>
              <w:t>Ontario Superior Court of Justice</w:t>
            </w:r>
          </w:p>
          <w:p w:rsidR="004B6D8D" w:rsidRPr="009C2345" w:rsidRDefault="004B6D8D" w:rsidP="004B6D8D">
            <w:pPr>
              <w:jc w:val="both"/>
              <w:rPr>
                <w:sz w:val="20"/>
                <w:szCs w:val="20"/>
              </w:rPr>
            </w:pPr>
            <w:r w:rsidRPr="009C2345">
              <w:rPr>
                <w:sz w:val="20"/>
                <w:szCs w:val="20"/>
              </w:rPr>
              <w:t>(Garson J.)</w:t>
            </w:r>
          </w:p>
          <w:p w:rsidR="004B6D8D" w:rsidRPr="009C2345" w:rsidRDefault="004B6D8D" w:rsidP="004B6D8D">
            <w:pPr>
              <w:jc w:val="both"/>
              <w:rPr>
                <w:sz w:val="20"/>
                <w:szCs w:val="20"/>
              </w:rPr>
            </w:pPr>
            <w:r w:rsidRPr="009C2345">
              <w:rPr>
                <w:sz w:val="20"/>
                <w:szCs w:val="20"/>
              </w:rPr>
              <w:t>2015 ONSC 50</w:t>
            </w:r>
          </w:p>
          <w:p w:rsidR="004B6D8D" w:rsidRPr="009C2345" w:rsidRDefault="004B6D8D" w:rsidP="004B6D8D">
            <w:pPr>
              <w:jc w:val="both"/>
              <w:rPr>
                <w:sz w:val="20"/>
                <w:szCs w:val="20"/>
              </w:rPr>
            </w:pPr>
          </w:p>
        </w:tc>
        <w:tc>
          <w:tcPr>
            <w:tcW w:w="243" w:type="pct"/>
          </w:tcPr>
          <w:p w:rsidR="004B6D8D" w:rsidRPr="009C2345" w:rsidRDefault="004B6D8D" w:rsidP="004B6D8D">
            <w:pPr>
              <w:jc w:val="both"/>
              <w:rPr>
                <w:sz w:val="20"/>
                <w:szCs w:val="20"/>
              </w:rPr>
            </w:pPr>
          </w:p>
        </w:tc>
        <w:tc>
          <w:tcPr>
            <w:tcW w:w="2334" w:type="pct"/>
          </w:tcPr>
          <w:p w:rsidR="004B6D8D" w:rsidRPr="009C2345" w:rsidRDefault="004B6D8D" w:rsidP="004B6D8D">
            <w:pPr>
              <w:jc w:val="both"/>
              <w:rPr>
                <w:sz w:val="20"/>
                <w:szCs w:val="20"/>
              </w:rPr>
            </w:pPr>
            <w:r w:rsidRPr="009C2345">
              <w:rPr>
                <w:sz w:val="20"/>
                <w:szCs w:val="20"/>
              </w:rPr>
              <w:t>Respondent’s motion for summary judgment granted</w:t>
            </w:r>
          </w:p>
          <w:p w:rsidR="004B6D8D" w:rsidRPr="009C2345" w:rsidRDefault="004B6D8D" w:rsidP="004B6D8D">
            <w:pPr>
              <w:jc w:val="both"/>
              <w:rPr>
                <w:sz w:val="20"/>
                <w:szCs w:val="20"/>
              </w:rPr>
            </w:pPr>
          </w:p>
        </w:tc>
      </w:tr>
      <w:tr w:rsidR="004B6D8D" w:rsidRPr="009C2345" w:rsidTr="00A63EBB">
        <w:tc>
          <w:tcPr>
            <w:tcW w:w="2423" w:type="pct"/>
          </w:tcPr>
          <w:p w:rsidR="004B6D8D" w:rsidRPr="009C2345" w:rsidRDefault="004B6D8D" w:rsidP="004B6D8D">
            <w:pPr>
              <w:jc w:val="both"/>
              <w:rPr>
                <w:sz w:val="20"/>
                <w:szCs w:val="20"/>
              </w:rPr>
            </w:pPr>
            <w:r w:rsidRPr="009C2345">
              <w:rPr>
                <w:sz w:val="20"/>
                <w:szCs w:val="20"/>
              </w:rPr>
              <w:t>September 18, 2015</w:t>
            </w:r>
          </w:p>
          <w:p w:rsidR="004B6D8D" w:rsidRPr="009C2345" w:rsidRDefault="004B6D8D" w:rsidP="004B6D8D">
            <w:pPr>
              <w:jc w:val="both"/>
              <w:rPr>
                <w:sz w:val="20"/>
                <w:szCs w:val="20"/>
              </w:rPr>
            </w:pPr>
            <w:r w:rsidRPr="009C2345">
              <w:rPr>
                <w:sz w:val="20"/>
                <w:szCs w:val="20"/>
              </w:rPr>
              <w:t>Court of Appeal for Ontario</w:t>
            </w:r>
          </w:p>
          <w:p w:rsidR="004B6D8D" w:rsidRPr="009C2345" w:rsidRDefault="004B6D8D" w:rsidP="004B6D8D">
            <w:pPr>
              <w:jc w:val="both"/>
              <w:rPr>
                <w:sz w:val="20"/>
                <w:szCs w:val="20"/>
              </w:rPr>
            </w:pPr>
            <w:r w:rsidRPr="009C2345">
              <w:rPr>
                <w:sz w:val="20"/>
                <w:szCs w:val="20"/>
              </w:rPr>
              <w:t>(Laskin, MacPherson, MacFarland JJ.A.)</w:t>
            </w:r>
          </w:p>
          <w:p w:rsidR="004B6D8D" w:rsidRPr="009C2345" w:rsidRDefault="0082006E" w:rsidP="004B6D8D">
            <w:pPr>
              <w:jc w:val="both"/>
              <w:rPr>
                <w:sz w:val="20"/>
                <w:szCs w:val="20"/>
              </w:rPr>
            </w:pPr>
            <w:hyperlink r:id="rId47" w:history="1">
              <w:r w:rsidR="004B6D8D" w:rsidRPr="009C2345">
                <w:rPr>
                  <w:color w:val="0000FF" w:themeColor="hyperlink"/>
                  <w:sz w:val="20"/>
                  <w:szCs w:val="20"/>
                  <w:u w:val="single"/>
                </w:rPr>
                <w:t>2015 ONCA 643</w:t>
              </w:r>
            </w:hyperlink>
          </w:p>
          <w:p w:rsidR="004B6D8D" w:rsidRPr="009C2345" w:rsidRDefault="004B6D8D" w:rsidP="004B6D8D">
            <w:pPr>
              <w:jc w:val="both"/>
              <w:rPr>
                <w:sz w:val="20"/>
                <w:szCs w:val="20"/>
              </w:rPr>
            </w:pPr>
          </w:p>
        </w:tc>
        <w:tc>
          <w:tcPr>
            <w:tcW w:w="243" w:type="pct"/>
          </w:tcPr>
          <w:p w:rsidR="004B6D8D" w:rsidRPr="009C2345" w:rsidRDefault="004B6D8D" w:rsidP="004B6D8D">
            <w:pPr>
              <w:jc w:val="both"/>
              <w:rPr>
                <w:sz w:val="20"/>
                <w:szCs w:val="20"/>
              </w:rPr>
            </w:pPr>
          </w:p>
        </w:tc>
        <w:tc>
          <w:tcPr>
            <w:tcW w:w="2334" w:type="pct"/>
          </w:tcPr>
          <w:p w:rsidR="004B6D8D" w:rsidRPr="009C2345" w:rsidRDefault="004B6D8D" w:rsidP="004B6D8D">
            <w:pPr>
              <w:jc w:val="both"/>
              <w:rPr>
                <w:sz w:val="20"/>
                <w:szCs w:val="20"/>
              </w:rPr>
            </w:pPr>
            <w:r w:rsidRPr="009C2345">
              <w:rPr>
                <w:sz w:val="20"/>
                <w:szCs w:val="20"/>
              </w:rPr>
              <w:t>Appeal dismissed</w:t>
            </w:r>
          </w:p>
          <w:p w:rsidR="004B6D8D" w:rsidRPr="009C2345" w:rsidRDefault="004B6D8D" w:rsidP="004B6D8D">
            <w:pPr>
              <w:jc w:val="both"/>
              <w:rPr>
                <w:sz w:val="20"/>
                <w:szCs w:val="20"/>
              </w:rPr>
            </w:pPr>
          </w:p>
        </w:tc>
      </w:tr>
    </w:tbl>
    <w:p w:rsidR="00733B0A" w:rsidRPr="009C2345" w:rsidRDefault="00733B0A">
      <w:r w:rsidRPr="009C234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B6D8D" w:rsidRPr="009C2345" w:rsidTr="00017A3C">
        <w:tc>
          <w:tcPr>
            <w:tcW w:w="2427" w:type="pct"/>
          </w:tcPr>
          <w:p w:rsidR="004B6D8D" w:rsidRPr="009C2345" w:rsidRDefault="004B6D8D" w:rsidP="004B6D8D">
            <w:pPr>
              <w:jc w:val="both"/>
              <w:rPr>
                <w:sz w:val="20"/>
                <w:szCs w:val="20"/>
              </w:rPr>
            </w:pPr>
            <w:r w:rsidRPr="009C2345">
              <w:rPr>
                <w:sz w:val="20"/>
                <w:szCs w:val="20"/>
              </w:rPr>
              <w:t>November 17, 2015</w:t>
            </w:r>
          </w:p>
          <w:p w:rsidR="004B6D8D" w:rsidRPr="009C2345" w:rsidRDefault="004B6D8D" w:rsidP="004B6D8D">
            <w:pPr>
              <w:jc w:val="both"/>
              <w:rPr>
                <w:sz w:val="20"/>
                <w:szCs w:val="20"/>
              </w:rPr>
            </w:pPr>
            <w:r w:rsidRPr="009C2345">
              <w:rPr>
                <w:sz w:val="20"/>
                <w:szCs w:val="20"/>
              </w:rPr>
              <w:t>Supreme Court of Canada</w:t>
            </w:r>
          </w:p>
        </w:tc>
        <w:tc>
          <w:tcPr>
            <w:tcW w:w="243" w:type="pct"/>
          </w:tcPr>
          <w:p w:rsidR="004B6D8D" w:rsidRPr="009C2345" w:rsidRDefault="004B6D8D" w:rsidP="004B6D8D">
            <w:pPr>
              <w:jc w:val="both"/>
              <w:rPr>
                <w:sz w:val="20"/>
                <w:szCs w:val="20"/>
              </w:rPr>
            </w:pPr>
          </w:p>
        </w:tc>
        <w:tc>
          <w:tcPr>
            <w:tcW w:w="2330" w:type="pct"/>
          </w:tcPr>
          <w:p w:rsidR="004B6D8D" w:rsidRPr="009C2345" w:rsidRDefault="004B6D8D" w:rsidP="004B6D8D">
            <w:pPr>
              <w:jc w:val="both"/>
              <w:rPr>
                <w:sz w:val="20"/>
                <w:szCs w:val="20"/>
              </w:rPr>
            </w:pPr>
            <w:r w:rsidRPr="009C2345">
              <w:rPr>
                <w:sz w:val="20"/>
                <w:szCs w:val="20"/>
              </w:rPr>
              <w:t>Application for leave to appeal filed</w:t>
            </w:r>
          </w:p>
          <w:p w:rsidR="004B6D8D" w:rsidRPr="009C2345" w:rsidRDefault="004B6D8D" w:rsidP="004B6D8D">
            <w:pPr>
              <w:jc w:val="both"/>
              <w:rPr>
                <w:sz w:val="20"/>
                <w:szCs w:val="20"/>
              </w:rPr>
            </w:pPr>
          </w:p>
        </w:tc>
      </w:tr>
    </w:tbl>
    <w:p w:rsidR="000B39F0" w:rsidRPr="009C2345" w:rsidRDefault="000B39F0" w:rsidP="008D292F">
      <w:pPr>
        <w:rPr>
          <w:sz w:val="20"/>
          <w:szCs w:val="20"/>
        </w:rPr>
      </w:pPr>
    </w:p>
    <w:p w:rsidR="000B39F0" w:rsidRPr="009C2345" w:rsidRDefault="0082006E" w:rsidP="008D292F">
      <w:pPr>
        <w:rPr>
          <w:sz w:val="20"/>
          <w:szCs w:val="20"/>
          <w:lang w:val="fr-CA"/>
        </w:rPr>
      </w:pPr>
      <w:r>
        <w:rPr>
          <w:sz w:val="20"/>
          <w:szCs w:val="20"/>
          <w:lang w:val="fr-CA"/>
        </w:rPr>
        <w:pict>
          <v:rect id="_x0000_i1052" style="width:2in;height:1pt" o:hrpct="0" o:hralign="center" o:hrstd="t" o:hrnoshade="t" o:hr="t" fillcolor="black [3213]" stroked="f"/>
        </w:pict>
      </w:r>
    </w:p>
    <w:p w:rsidR="000B39F0" w:rsidRPr="009C2345" w:rsidRDefault="000B39F0" w:rsidP="008D292F">
      <w:pPr>
        <w:rPr>
          <w:sz w:val="20"/>
          <w:szCs w:val="20"/>
          <w:lang w:val="fr-CA"/>
        </w:rPr>
      </w:pPr>
    </w:p>
    <w:p w:rsidR="00616675" w:rsidRPr="009C2345" w:rsidRDefault="00616675" w:rsidP="00616675">
      <w:pPr>
        <w:rPr>
          <w:sz w:val="20"/>
          <w:szCs w:val="20"/>
          <w:u w:val="single"/>
          <w:lang w:val="fr-CA"/>
        </w:rPr>
      </w:pPr>
      <w:r w:rsidRPr="009C2345">
        <w:rPr>
          <w:sz w:val="20"/>
          <w:szCs w:val="20"/>
          <w:u w:val="single"/>
          <w:lang w:val="fr-CA"/>
        </w:rPr>
        <w:t>RÉSUMÉ DE L’AFFAIRE</w:t>
      </w:r>
    </w:p>
    <w:p w:rsidR="00616675" w:rsidRPr="009C2345" w:rsidRDefault="00616675" w:rsidP="00616675">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B6D8D" w:rsidRPr="0082006E" w:rsidTr="00017A3C">
        <w:tc>
          <w:tcPr>
            <w:tcW w:w="5000" w:type="pct"/>
            <w:gridSpan w:val="3"/>
          </w:tcPr>
          <w:p w:rsidR="004B6D8D" w:rsidRPr="009C2345" w:rsidRDefault="004B6D8D" w:rsidP="004B6D8D">
            <w:pPr>
              <w:jc w:val="both"/>
              <w:rPr>
                <w:sz w:val="20"/>
                <w:szCs w:val="20"/>
                <w:lang w:val="fr-CA"/>
              </w:rPr>
            </w:pPr>
            <w:r w:rsidRPr="009C2345">
              <w:rPr>
                <w:sz w:val="20"/>
                <w:szCs w:val="20"/>
                <w:lang w:val="fr-CA"/>
              </w:rPr>
              <w:t xml:space="preserve">Jugements et ordonnances — Jugement sommaire — Est-il approprié de rendre un jugement sommaire avant un interrogatoire préalable dans une action qui soulève des questions fondamentales de crédibilité? — Quelle est l’obligation de « présenter ses meilleurs arguments » dans un contexte où la preuve nécessaire pour le faire n’est pas aisément disponible en raison de la chronologie de l’instance ou de la nature de la demande? — Est-il approprié de rejeter sommairement une partie de l’action lorsque des actions parallèles demeurent en instance? — Comment un tribunal doit-il prendre en compte l’éventualité de conclusions de fait contradictoires dans des instances parallèles? — Le tribunal est-il tenu d’aborder toutes les questions avant de rendre un jugement sommaire? — Dans quelles situations est-il acceptable de faire abstraction de certaines allégations plaidées dans une action en rejetant sommairement cette action? — </w:t>
            </w:r>
            <w:r w:rsidRPr="009C2345">
              <w:rPr>
                <w:i/>
                <w:sz w:val="20"/>
                <w:szCs w:val="20"/>
                <w:lang w:val="fr-CA"/>
              </w:rPr>
              <w:t>Règles de procédure civile</w:t>
            </w:r>
            <w:r w:rsidRPr="009C2345">
              <w:rPr>
                <w:sz w:val="20"/>
                <w:szCs w:val="20"/>
                <w:lang w:val="fr-CA"/>
              </w:rPr>
              <w:t>, R.R.O. 1990, Règl. 194, Règle 20.04.</w:t>
            </w:r>
          </w:p>
        </w:tc>
      </w:tr>
      <w:tr w:rsidR="004B6D8D" w:rsidRPr="0082006E" w:rsidTr="00017A3C">
        <w:tc>
          <w:tcPr>
            <w:tcW w:w="5000" w:type="pct"/>
            <w:gridSpan w:val="3"/>
          </w:tcPr>
          <w:p w:rsidR="004B6D8D" w:rsidRPr="009C2345" w:rsidRDefault="004B6D8D" w:rsidP="004B6D8D">
            <w:pPr>
              <w:jc w:val="both"/>
              <w:rPr>
                <w:sz w:val="20"/>
                <w:szCs w:val="20"/>
                <w:lang w:val="fr-CA"/>
              </w:rPr>
            </w:pPr>
          </w:p>
        </w:tc>
      </w:tr>
      <w:tr w:rsidR="004B6D8D" w:rsidRPr="0082006E" w:rsidTr="00017A3C">
        <w:tc>
          <w:tcPr>
            <w:tcW w:w="5000" w:type="pct"/>
            <w:gridSpan w:val="3"/>
          </w:tcPr>
          <w:p w:rsidR="004B6D8D" w:rsidRPr="009C2345" w:rsidRDefault="004B6D8D" w:rsidP="004B6D8D">
            <w:pPr>
              <w:jc w:val="both"/>
              <w:rPr>
                <w:sz w:val="20"/>
                <w:szCs w:val="20"/>
                <w:lang w:val="fr-CA"/>
              </w:rPr>
            </w:pPr>
            <w:r w:rsidRPr="009C2345">
              <w:rPr>
                <w:sz w:val="20"/>
                <w:szCs w:val="20"/>
                <w:lang w:val="fr-CA"/>
              </w:rPr>
              <w:t>Monsieur Musyoki a acheté des intimés un terrain vacant sur le bord d’un lac. Le contrat d’achat et de vente stipulait qu’il y avait une servitude de 20 pieds [</w:t>
            </w:r>
            <w:r w:rsidRPr="009C2345">
              <w:rPr>
                <w:smallCaps/>
                <w:sz w:val="20"/>
                <w:szCs w:val="20"/>
                <w:lang w:val="fr-CA"/>
              </w:rPr>
              <w:t>traduction</w:t>
            </w:r>
            <w:r w:rsidRPr="009C2345">
              <w:rPr>
                <w:sz w:val="20"/>
                <w:szCs w:val="20"/>
                <w:lang w:val="fr-CA"/>
              </w:rPr>
              <w:t>] « </w:t>
            </w:r>
            <w:r w:rsidRPr="009C2345">
              <w:rPr>
                <w:caps/>
                <w:sz w:val="20"/>
                <w:szCs w:val="20"/>
                <w:lang w:val="fr-CA"/>
              </w:rPr>
              <w:t>pour une pompe à eau destinée au terrain de golf</w:t>
            </w:r>
            <w:r w:rsidRPr="009C2345">
              <w:rPr>
                <w:sz w:val="20"/>
                <w:szCs w:val="20"/>
                <w:lang w:val="fr-CA"/>
              </w:rPr>
              <w:t> », cette mention ayant été insérée par l’agent du vendeur. L’acheteur s’est vu accorder du temps pour examiner le titre de propriété et résilier le contrat si ses objections légitimes quant à l’état du titre n’étaient pas résolues. En l’absence d’objection, le contrat prévoyait que l’acheteur était réputé avoir accepté le titre. Au 28 octobre 2011, la date de réquisition, aucune objection au titre n’avait été faite. La case « description » de l’acte de vente indiquait que la servitude était un droit de passage dans l’acte original, mais non dans l’inscription de novembre 2006.</w:t>
            </w:r>
          </w:p>
          <w:p w:rsidR="004B6D8D" w:rsidRPr="009C2345" w:rsidRDefault="004B6D8D" w:rsidP="004B6D8D">
            <w:pPr>
              <w:jc w:val="both"/>
              <w:rPr>
                <w:sz w:val="20"/>
                <w:szCs w:val="20"/>
                <w:lang w:val="fr-CA"/>
              </w:rPr>
            </w:pPr>
          </w:p>
          <w:p w:rsidR="004B6D8D" w:rsidRPr="009C2345" w:rsidRDefault="004B6D8D" w:rsidP="004B6D8D">
            <w:pPr>
              <w:jc w:val="both"/>
              <w:rPr>
                <w:sz w:val="20"/>
                <w:szCs w:val="20"/>
                <w:lang w:val="fr-CA"/>
              </w:rPr>
            </w:pPr>
            <w:r w:rsidRPr="009C2345">
              <w:rPr>
                <w:sz w:val="20"/>
                <w:szCs w:val="20"/>
                <w:lang w:val="fr-CA"/>
              </w:rPr>
              <w:t>En juin 2013, M. Musyoki a intenté une action contre M. Legros et la société à numéro propriétaire du terrain de golf. En novembre 2011, il a intenté contre les intimés et un autre défendeur une deuxième action à l’égard des déclarations inexactes portant sur des points importants qu’avait faites le bénéficiaire de la servitude et sa nature. Monsieur Musyoki a plaidé qu’il ignorait que la servitude était un droit de passage et qu’elle avait été établie à l’avantage de M. Legros, un administrateur et dirigeant d’un terrain de golf situé non loin de là, plutôt qu’à l’avantage du terrain de golf lui-même. Le juge de première instance a prononcé un jugement sommaire et l’appel de M. Musyoki a été rejeté.</w:t>
            </w:r>
          </w:p>
          <w:p w:rsidR="004B6D8D" w:rsidRPr="009C2345" w:rsidRDefault="004B6D8D" w:rsidP="004B6D8D">
            <w:pPr>
              <w:jc w:val="both"/>
              <w:rPr>
                <w:sz w:val="20"/>
                <w:szCs w:val="20"/>
                <w:lang w:val="fr-CA"/>
              </w:rPr>
            </w:pPr>
          </w:p>
        </w:tc>
      </w:tr>
      <w:tr w:rsidR="004B6D8D" w:rsidRPr="0082006E" w:rsidTr="00017A3C">
        <w:tc>
          <w:tcPr>
            <w:tcW w:w="2427" w:type="pct"/>
          </w:tcPr>
          <w:p w:rsidR="004B6D8D" w:rsidRPr="009C2345" w:rsidRDefault="004B6D8D" w:rsidP="004B6D8D">
            <w:pPr>
              <w:jc w:val="both"/>
              <w:rPr>
                <w:sz w:val="20"/>
                <w:szCs w:val="20"/>
                <w:lang w:val="fr-CA"/>
              </w:rPr>
            </w:pPr>
            <w:r w:rsidRPr="009C2345">
              <w:rPr>
                <w:sz w:val="20"/>
                <w:szCs w:val="20"/>
                <w:lang w:val="fr-CA"/>
              </w:rPr>
              <w:t>6 janvier 2015</w:t>
            </w:r>
          </w:p>
          <w:p w:rsidR="004B6D8D" w:rsidRPr="009C2345" w:rsidRDefault="004B6D8D" w:rsidP="004B6D8D">
            <w:pPr>
              <w:jc w:val="both"/>
              <w:rPr>
                <w:sz w:val="20"/>
                <w:szCs w:val="20"/>
                <w:lang w:val="fr-CA"/>
              </w:rPr>
            </w:pPr>
            <w:r w:rsidRPr="009C2345">
              <w:rPr>
                <w:sz w:val="20"/>
                <w:szCs w:val="20"/>
                <w:lang w:val="fr-CA"/>
              </w:rPr>
              <w:t xml:space="preserve">Cour supérieure de justice de l’Ontario </w:t>
            </w:r>
          </w:p>
          <w:p w:rsidR="004B6D8D" w:rsidRPr="009C2345" w:rsidRDefault="004B6D8D" w:rsidP="004B6D8D">
            <w:pPr>
              <w:jc w:val="both"/>
              <w:rPr>
                <w:sz w:val="20"/>
                <w:szCs w:val="20"/>
                <w:lang w:val="fr-CA"/>
              </w:rPr>
            </w:pPr>
            <w:r w:rsidRPr="009C2345">
              <w:rPr>
                <w:sz w:val="20"/>
                <w:szCs w:val="20"/>
                <w:lang w:val="fr-CA"/>
              </w:rPr>
              <w:t>(Juge Garson)</w:t>
            </w:r>
          </w:p>
          <w:p w:rsidR="004B6D8D" w:rsidRPr="009C2345" w:rsidRDefault="004B6D8D" w:rsidP="004B6D8D">
            <w:pPr>
              <w:jc w:val="both"/>
              <w:rPr>
                <w:sz w:val="20"/>
                <w:szCs w:val="20"/>
                <w:lang w:val="fr-CA"/>
              </w:rPr>
            </w:pPr>
            <w:r w:rsidRPr="009C2345">
              <w:rPr>
                <w:sz w:val="20"/>
                <w:szCs w:val="20"/>
                <w:lang w:val="fr-CA"/>
              </w:rPr>
              <w:t>2015 ONSC 50</w:t>
            </w:r>
          </w:p>
          <w:p w:rsidR="004B6D8D" w:rsidRPr="009C2345" w:rsidRDefault="004B6D8D" w:rsidP="004B6D8D">
            <w:pPr>
              <w:jc w:val="both"/>
              <w:rPr>
                <w:sz w:val="20"/>
                <w:szCs w:val="20"/>
                <w:lang w:val="fr-CA"/>
              </w:rPr>
            </w:pPr>
          </w:p>
        </w:tc>
        <w:tc>
          <w:tcPr>
            <w:tcW w:w="243" w:type="pct"/>
          </w:tcPr>
          <w:p w:rsidR="004B6D8D" w:rsidRPr="009C2345" w:rsidRDefault="004B6D8D" w:rsidP="004B6D8D">
            <w:pPr>
              <w:jc w:val="both"/>
              <w:rPr>
                <w:sz w:val="20"/>
                <w:szCs w:val="20"/>
                <w:lang w:val="fr-CA"/>
              </w:rPr>
            </w:pPr>
          </w:p>
        </w:tc>
        <w:tc>
          <w:tcPr>
            <w:tcW w:w="2330" w:type="pct"/>
          </w:tcPr>
          <w:p w:rsidR="004B6D8D" w:rsidRPr="009C2345" w:rsidRDefault="004B6D8D" w:rsidP="004B6D8D">
            <w:pPr>
              <w:jc w:val="both"/>
              <w:rPr>
                <w:sz w:val="20"/>
                <w:szCs w:val="20"/>
                <w:lang w:val="fr-CA"/>
              </w:rPr>
            </w:pPr>
            <w:r w:rsidRPr="009C2345">
              <w:rPr>
                <w:sz w:val="20"/>
                <w:szCs w:val="20"/>
                <w:lang w:val="fr-CA"/>
              </w:rPr>
              <w:t>Jugement accueillant la motion des intimés en jugement sommaire</w:t>
            </w:r>
          </w:p>
          <w:p w:rsidR="004B6D8D" w:rsidRPr="009C2345" w:rsidRDefault="004B6D8D" w:rsidP="004B6D8D">
            <w:pPr>
              <w:jc w:val="both"/>
              <w:rPr>
                <w:sz w:val="20"/>
                <w:szCs w:val="20"/>
                <w:lang w:val="fr-CA"/>
              </w:rPr>
            </w:pPr>
          </w:p>
        </w:tc>
      </w:tr>
      <w:tr w:rsidR="004B6D8D" w:rsidRPr="009C2345" w:rsidTr="00017A3C">
        <w:tc>
          <w:tcPr>
            <w:tcW w:w="2427" w:type="pct"/>
          </w:tcPr>
          <w:p w:rsidR="004B6D8D" w:rsidRPr="009C2345" w:rsidRDefault="004B6D8D" w:rsidP="004B6D8D">
            <w:pPr>
              <w:jc w:val="both"/>
              <w:rPr>
                <w:sz w:val="20"/>
                <w:szCs w:val="20"/>
                <w:lang w:val="fr-CA"/>
              </w:rPr>
            </w:pPr>
            <w:r w:rsidRPr="009C2345">
              <w:rPr>
                <w:sz w:val="20"/>
                <w:szCs w:val="20"/>
                <w:lang w:val="fr-CA"/>
              </w:rPr>
              <w:t>18 septembre 2015</w:t>
            </w:r>
          </w:p>
          <w:p w:rsidR="004B6D8D" w:rsidRPr="009C2345" w:rsidRDefault="004B6D8D" w:rsidP="004B6D8D">
            <w:pPr>
              <w:jc w:val="both"/>
              <w:rPr>
                <w:sz w:val="20"/>
                <w:szCs w:val="20"/>
                <w:lang w:val="fr-CA"/>
              </w:rPr>
            </w:pPr>
            <w:r w:rsidRPr="009C2345">
              <w:rPr>
                <w:sz w:val="20"/>
                <w:szCs w:val="20"/>
                <w:lang w:val="fr-CA"/>
              </w:rPr>
              <w:t xml:space="preserve">Cour d’appel de l’Ontario </w:t>
            </w:r>
          </w:p>
          <w:p w:rsidR="004B6D8D" w:rsidRPr="009C2345" w:rsidRDefault="004B6D8D" w:rsidP="004B6D8D">
            <w:pPr>
              <w:jc w:val="both"/>
              <w:rPr>
                <w:sz w:val="20"/>
                <w:szCs w:val="20"/>
                <w:lang w:val="fr-CA"/>
              </w:rPr>
            </w:pPr>
            <w:r w:rsidRPr="009C2345">
              <w:rPr>
                <w:sz w:val="20"/>
                <w:szCs w:val="20"/>
                <w:lang w:val="fr-CA"/>
              </w:rPr>
              <w:t>(Juges Laskin, MacPherson et MacFarland)</w:t>
            </w:r>
          </w:p>
          <w:p w:rsidR="004B6D8D" w:rsidRPr="009C2345" w:rsidRDefault="0082006E" w:rsidP="004B6D8D">
            <w:pPr>
              <w:jc w:val="both"/>
              <w:rPr>
                <w:sz w:val="20"/>
                <w:szCs w:val="20"/>
                <w:u w:val="single"/>
                <w:lang w:val="fr-CA"/>
              </w:rPr>
            </w:pPr>
            <w:hyperlink r:id="rId48" w:history="1">
              <w:r w:rsidR="004B6D8D" w:rsidRPr="009C2345">
                <w:rPr>
                  <w:color w:val="0000FF" w:themeColor="hyperlink"/>
                  <w:sz w:val="20"/>
                  <w:szCs w:val="20"/>
                  <w:u w:val="single"/>
                  <w:lang w:val="fr-CA"/>
                </w:rPr>
                <w:t>2015 ONCA 643</w:t>
              </w:r>
            </w:hyperlink>
          </w:p>
          <w:p w:rsidR="004B6D8D" w:rsidRPr="009C2345" w:rsidRDefault="004B6D8D" w:rsidP="004B6D8D">
            <w:pPr>
              <w:jc w:val="both"/>
              <w:rPr>
                <w:sz w:val="20"/>
                <w:szCs w:val="20"/>
                <w:lang w:val="fr-CA"/>
              </w:rPr>
            </w:pPr>
          </w:p>
        </w:tc>
        <w:tc>
          <w:tcPr>
            <w:tcW w:w="243" w:type="pct"/>
          </w:tcPr>
          <w:p w:rsidR="004B6D8D" w:rsidRPr="009C2345" w:rsidRDefault="004B6D8D" w:rsidP="004B6D8D">
            <w:pPr>
              <w:jc w:val="both"/>
              <w:rPr>
                <w:sz w:val="20"/>
                <w:szCs w:val="20"/>
                <w:lang w:val="fr-CA"/>
              </w:rPr>
            </w:pPr>
          </w:p>
        </w:tc>
        <w:tc>
          <w:tcPr>
            <w:tcW w:w="2330" w:type="pct"/>
          </w:tcPr>
          <w:p w:rsidR="004B6D8D" w:rsidRPr="009C2345" w:rsidRDefault="004B6D8D" w:rsidP="004B6D8D">
            <w:pPr>
              <w:jc w:val="both"/>
              <w:rPr>
                <w:sz w:val="20"/>
                <w:szCs w:val="20"/>
                <w:lang w:val="fr-CA"/>
              </w:rPr>
            </w:pPr>
            <w:r w:rsidRPr="009C2345">
              <w:rPr>
                <w:sz w:val="20"/>
                <w:szCs w:val="20"/>
                <w:lang w:val="fr-CA"/>
              </w:rPr>
              <w:t>Rejet de l’appel</w:t>
            </w:r>
          </w:p>
          <w:p w:rsidR="004B6D8D" w:rsidRPr="009C2345" w:rsidRDefault="004B6D8D" w:rsidP="004B6D8D">
            <w:pPr>
              <w:jc w:val="both"/>
              <w:rPr>
                <w:sz w:val="20"/>
                <w:szCs w:val="20"/>
                <w:lang w:val="fr-CA"/>
              </w:rPr>
            </w:pPr>
          </w:p>
        </w:tc>
      </w:tr>
      <w:tr w:rsidR="004B6D8D" w:rsidRPr="0082006E" w:rsidTr="00017A3C">
        <w:tc>
          <w:tcPr>
            <w:tcW w:w="2427" w:type="pct"/>
          </w:tcPr>
          <w:p w:rsidR="004B6D8D" w:rsidRPr="009C2345" w:rsidRDefault="004B6D8D" w:rsidP="004B6D8D">
            <w:pPr>
              <w:jc w:val="both"/>
              <w:rPr>
                <w:sz w:val="20"/>
                <w:szCs w:val="20"/>
                <w:lang w:val="fr-CA"/>
              </w:rPr>
            </w:pPr>
            <w:r w:rsidRPr="009C2345">
              <w:rPr>
                <w:sz w:val="20"/>
                <w:szCs w:val="20"/>
                <w:lang w:val="fr-CA"/>
              </w:rPr>
              <w:t>17 novembre 2015</w:t>
            </w:r>
          </w:p>
          <w:p w:rsidR="004B6D8D" w:rsidRPr="009C2345" w:rsidRDefault="004B6D8D" w:rsidP="004B6D8D">
            <w:pPr>
              <w:jc w:val="both"/>
              <w:rPr>
                <w:sz w:val="20"/>
                <w:szCs w:val="20"/>
                <w:lang w:val="fr-CA"/>
              </w:rPr>
            </w:pPr>
            <w:r w:rsidRPr="009C2345">
              <w:rPr>
                <w:sz w:val="20"/>
                <w:szCs w:val="20"/>
                <w:lang w:val="fr-CA"/>
              </w:rPr>
              <w:t>Cour suprême du Canada</w:t>
            </w:r>
          </w:p>
        </w:tc>
        <w:tc>
          <w:tcPr>
            <w:tcW w:w="243" w:type="pct"/>
          </w:tcPr>
          <w:p w:rsidR="004B6D8D" w:rsidRPr="009C2345" w:rsidRDefault="004B6D8D" w:rsidP="004B6D8D">
            <w:pPr>
              <w:jc w:val="both"/>
              <w:rPr>
                <w:sz w:val="20"/>
                <w:szCs w:val="20"/>
                <w:lang w:val="fr-CA"/>
              </w:rPr>
            </w:pPr>
          </w:p>
        </w:tc>
        <w:tc>
          <w:tcPr>
            <w:tcW w:w="2330" w:type="pct"/>
          </w:tcPr>
          <w:p w:rsidR="004B6D8D" w:rsidRPr="009C2345" w:rsidRDefault="004B6D8D" w:rsidP="004B6D8D">
            <w:pPr>
              <w:jc w:val="both"/>
              <w:rPr>
                <w:sz w:val="20"/>
                <w:szCs w:val="20"/>
                <w:lang w:val="fr-CA"/>
              </w:rPr>
            </w:pPr>
            <w:r w:rsidRPr="009C2345">
              <w:rPr>
                <w:sz w:val="20"/>
                <w:szCs w:val="20"/>
                <w:lang w:val="fr-CA"/>
              </w:rPr>
              <w:t>Dépôt de la demande d’autorisation d’appel</w:t>
            </w:r>
          </w:p>
          <w:p w:rsidR="004B6D8D" w:rsidRPr="009C2345" w:rsidRDefault="004B6D8D" w:rsidP="004B6D8D">
            <w:pPr>
              <w:jc w:val="both"/>
              <w:rPr>
                <w:sz w:val="20"/>
                <w:szCs w:val="20"/>
                <w:lang w:val="fr-CA"/>
              </w:rPr>
            </w:pPr>
          </w:p>
        </w:tc>
      </w:tr>
    </w:tbl>
    <w:p w:rsidR="000B39F0" w:rsidRPr="009C2345" w:rsidRDefault="000B39F0" w:rsidP="008D292F">
      <w:pPr>
        <w:rPr>
          <w:sz w:val="20"/>
          <w:szCs w:val="20"/>
          <w:lang w:val="fr-CA"/>
        </w:rPr>
      </w:pPr>
    </w:p>
    <w:p w:rsidR="000B39F0" w:rsidRPr="009C2345" w:rsidRDefault="0082006E" w:rsidP="008D292F">
      <w:pPr>
        <w:rPr>
          <w:sz w:val="20"/>
          <w:szCs w:val="20"/>
          <w:lang w:val="fr-CA"/>
        </w:rPr>
      </w:pPr>
      <w:r>
        <w:rPr>
          <w:sz w:val="20"/>
          <w:szCs w:val="20"/>
          <w:lang w:val="fr-CA"/>
        </w:rPr>
        <w:pict>
          <v:rect id="_x0000_i1053" style="width:2in;height:1pt" o:hrpct="0" o:hralign="center" o:hrstd="t" o:hrnoshade="t" o:hr="t" fillcolor="black [3213]" stroked="f"/>
        </w:pict>
      </w:r>
    </w:p>
    <w:p w:rsidR="000B39F0" w:rsidRPr="009C2345" w:rsidRDefault="000B39F0" w:rsidP="008D292F">
      <w:pPr>
        <w:rPr>
          <w:sz w:val="20"/>
          <w:szCs w:val="20"/>
          <w:lang w:val="fr-CA"/>
        </w:rPr>
      </w:pPr>
    </w:p>
    <w:p w:rsidR="00733B0A" w:rsidRPr="009C2345" w:rsidRDefault="00733B0A">
      <w:r w:rsidRPr="009C2345">
        <w:br w:type="page"/>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082"/>
      </w:tblGrid>
      <w:tr w:rsidR="00733D71" w:rsidRPr="00A63EBB" w:rsidTr="00DC42C5">
        <w:trPr>
          <w:cantSplit/>
          <w:trHeight w:val="410"/>
        </w:trPr>
        <w:tc>
          <w:tcPr>
            <w:tcW w:w="1458" w:type="dxa"/>
          </w:tcPr>
          <w:p w:rsidR="00733D71" w:rsidRPr="00A63EBB" w:rsidRDefault="00733D71" w:rsidP="00017A3C">
            <w:pPr>
              <w:rPr>
                <w:sz w:val="20"/>
                <w:szCs w:val="20"/>
              </w:rPr>
            </w:pPr>
            <w:r w:rsidRPr="00A63EBB">
              <w:rPr>
                <w:rStyle w:val="SCCFileNumberChar"/>
                <w:sz w:val="20"/>
                <w:szCs w:val="20"/>
              </w:rPr>
              <w:t>367</w:t>
            </w:r>
            <w:r w:rsidR="005C74A5" w:rsidRPr="00A63EBB">
              <w:rPr>
                <w:rStyle w:val="SCCFileNumberChar"/>
                <w:sz w:val="20"/>
                <w:szCs w:val="20"/>
              </w:rPr>
              <w:t>41</w:t>
            </w:r>
          </w:p>
          <w:p w:rsidR="00733D71" w:rsidRPr="00A63EBB" w:rsidRDefault="00733D71" w:rsidP="00017A3C">
            <w:pPr>
              <w:rPr>
                <w:b/>
                <w:sz w:val="20"/>
                <w:szCs w:val="20"/>
                <w:lang w:val="fr-CA"/>
              </w:rPr>
            </w:pPr>
          </w:p>
        </w:tc>
        <w:tc>
          <w:tcPr>
            <w:tcW w:w="8082" w:type="dxa"/>
          </w:tcPr>
          <w:p w:rsidR="00733D71" w:rsidRPr="00A63EBB" w:rsidRDefault="001E1F30" w:rsidP="001E1F30">
            <w:pPr>
              <w:rPr>
                <w:sz w:val="20"/>
                <w:szCs w:val="20"/>
              </w:rPr>
            </w:pPr>
            <w:r w:rsidRPr="00A63EBB">
              <w:rPr>
                <w:b/>
                <w:sz w:val="20"/>
                <w:szCs w:val="20"/>
                <w:u w:val="single"/>
              </w:rPr>
              <w:t>JTI-MacDonald Corp v. Attorney General of Quebec</w:t>
            </w:r>
            <w:r w:rsidRPr="00A63EBB">
              <w:rPr>
                <w:sz w:val="20"/>
                <w:szCs w:val="20"/>
              </w:rPr>
              <w:t xml:space="preserve"> (Que.) (Civil) (By Leave)</w:t>
            </w:r>
          </w:p>
          <w:p w:rsidR="00733D71" w:rsidRPr="00A63EBB" w:rsidRDefault="00733D71" w:rsidP="00017A3C">
            <w:pPr>
              <w:rPr>
                <w:sz w:val="20"/>
                <w:szCs w:val="20"/>
              </w:rPr>
            </w:pPr>
          </w:p>
        </w:tc>
      </w:tr>
      <w:tr w:rsidR="00733D71" w:rsidRPr="00A63EBB" w:rsidTr="00DC42C5">
        <w:trPr>
          <w:cantSplit/>
        </w:trPr>
        <w:tc>
          <w:tcPr>
            <w:tcW w:w="1458" w:type="dxa"/>
          </w:tcPr>
          <w:p w:rsidR="00733D71" w:rsidRPr="00A63EBB" w:rsidRDefault="00733D71" w:rsidP="00017A3C">
            <w:pPr>
              <w:rPr>
                <w:sz w:val="20"/>
                <w:szCs w:val="20"/>
              </w:rPr>
            </w:pPr>
            <w:r w:rsidRPr="00A63EBB">
              <w:rPr>
                <w:sz w:val="20"/>
                <w:szCs w:val="20"/>
              </w:rPr>
              <w:t>Coram :</w:t>
            </w:r>
          </w:p>
        </w:tc>
        <w:tc>
          <w:tcPr>
            <w:tcW w:w="8082" w:type="dxa"/>
          </w:tcPr>
          <w:p w:rsidR="00733D71" w:rsidRPr="00A63EBB" w:rsidRDefault="005C74A5" w:rsidP="00017A3C">
            <w:pPr>
              <w:rPr>
                <w:rStyle w:val="SCCCoramChar"/>
                <w:sz w:val="20"/>
                <w:szCs w:val="20"/>
                <w:lang w:val="en-CA"/>
              </w:rPr>
            </w:pPr>
            <w:r w:rsidRPr="00A63EBB">
              <w:rPr>
                <w:rStyle w:val="SCCCoramChar"/>
                <w:sz w:val="20"/>
                <w:szCs w:val="20"/>
                <w:lang w:val="en-CA"/>
              </w:rPr>
              <w:t>Cromwell, Wagner and Brown JJ.</w:t>
            </w:r>
          </w:p>
          <w:p w:rsidR="00733B0A" w:rsidRPr="00A63EBB" w:rsidRDefault="00733B0A" w:rsidP="00017A3C">
            <w:pPr>
              <w:rPr>
                <w:sz w:val="20"/>
                <w:szCs w:val="20"/>
              </w:rPr>
            </w:pPr>
          </w:p>
        </w:tc>
      </w:tr>
      <w:tr w:rsidR="00733D71" w:rsidRPr="0082006E" w:rsidTr="00DC42C5">
        <w:tc>
          <w:tcPr>
            <w:tcW w:w="9540" w:type="dxa"/>
            <w:gridSpan w:val="2"/>
          </w:tcPr>
          <w:p w:rsidR="00733D71" w:rsidRPr="00A63EBB" w:rsidRDefault="005C74A5" w:rsidP="00017A3C">
            <w:pPr>
              <w:pStyle w:val="SCCShortJudgment"/>
              <w:ind w:firstLine="0"/>
              <w:rPr>
                <w:lang w:val="en-US"/>
              </w:rPr>
            </w:pPr>
            <w:r w:rsidRPr="00A63EBB">
              <w:rPr>
                <w:lang w:val="en-US"/>
              </w:rPr>
              <w:tab/>
              <w:t>The application for leave to appeal from the judgment of the Court of Appeal of Quebec (Montréal), Number, 500-09-024341-141,</w:t>
            </w:r>
            <w:r w:rsidR="00733B0A" w:rsidRPr="00A63EBB">
              <w:rPr>
                <w:lang w:val="en-US"/>
              </w:rPr>
              <w:t xml:space="preserve"> </w:t>
            </w:r>
            <w:r w:rsidRPr="00A63EBB">
              <w:rPr>
                <w:lang w:val="en-US"/>
              </w:rPr>
              <w:t>2015 QCCA 1554, dated September 28, 2015, is dismissed with costs.</w:t>
            </w:r>
          </w:p>
          <w:p w:rsidR="005C74A5" w:rsidRPr="00A63EBB" w:rsidRDefault="005C74A5" w:rsidP="00017A3C">
            <w:pPr>
              <w:pStyle w:val="SCCShortJudgment"/>
              <w:ind w:firstLine="0"/>
              <w:rPr>
                <w:szCs w:val="20"/>
              </w:rPr>
            </w:pPr>
          </w:p>
          <w:p w:rsidR="00733D71" w:rsidRPr="00A63EBB" w:rsidRDefault="005C74A5" w:rsidP="00017A3C">
            <w:pPr>
              <w:pStyle w:val="SCCShortJudgment"/>
              <w:rPr>
                <w:szCs w:val="20"/>
                <w:lang w:val="fr-CA"/>
              </w:rPr>
            </w:pPr>
            <w:r w:rsidRPr="00A63EBB">
              <w:rPr>
                <w:lang w:val="fr-CA"/>
              </w:rPr>
              <w:t>La demande d’autorisation d’appel de l’arrêt de la Cour d’appel du Québec (Montréal), numéro, 500-09-024341-141, 2015 QCCA 1554, daté du 28 septembre 2015, est rejetée avec dépens.</w:t>
            </w:r>
          </w:p>
        </w:tc>
      </w:tr>
    </w:tbl>
    <w:p w:rsidR="00733D71" w:rsidRPr="009C2345" w:rsidRDefault="00733D71" w:rsidP="00733D71">
      <w:pPr>
        <w:rPr>
          <w:sz w:val="20"/>
          <w:szCs w:val="20"/>
          <w:lang w:val="fr-CA"/>
        </w:rPr>
      </w:pPr>
    </w:p>
    <w:p w:rsidR="00733D71" w:rsidRPr="009C2345" w:rsidRDefault="00733D71" w:rsidP="00733D71">
      <w:pPr>
        <w:rPr>
          <w:sz w:val="20"/>
          <w:szCs w:val="20"/>
          <w:u w:val="single"/>
        </w:rPr>
      </w:pPr>
      <w:r w:rsidRPr="009C2345">
        <w:rPr>
          <w:sz w:val="20"/>
          <w:szCs w:val="20"/>
          <w:u w:val="single"/>
        </w:rPr>
        <w:t>CASE SUMMARY</w:t>
      </w:r>
    </w:p>
    <w:p w:rsidR="00733D71" w:rsidRPr="009C2345" w:rsidRDefault="00733D71" w:rsidP="00733D7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A2925" w:rsidRPr="009C2345" w:rsidTr="00017A3C">
        <w:tc>
          <w:tcPr>
            <w:tcW w:w="5000" w:type="pct"/>
            <w:gridSpan w:val="3"/>
          </w:tcPr>
          <w:p w:rsidR="003A2925" w:rsidRPr="009C2345" w:rsidRDefault="003A2925" w:rsidP="003A2925">
            <w:pPr>
              <w:jc w:val="both"/>
              <w:rPr>
                <w:sz w:val="20"/>
                <w:szCs w:val="20"/>
              </w:rPr>
            </w:pPr>
            <w:r w:rsidRPr="009C2345">
              <w:rPr>
                <w:sz w:val="20"/>
                <w:szCs w:val="20"/>
              </w:rPr>
              <w:t xml:space="preserve">Civil procedure </w:t>
            </w:r>
            <w:r w:rsidRPr="009C2345">
              <w:rPr>
                <w:rFonts w:cs="Times New Roman"/>
                <w:sz w:val="20"/>
                <w:szCs w:val="20"/>
              </w:rPr>
              <w:t>—</w:t>
            </w:r>
            <w:r w:rsidRPr="009C2345">
              <w:rPr>
                <w:i/>
                <w:sz w:val="20"/>
                <w:szCs w:val="20"/>
              </w:rPr>
              <w:t xml:space="preserve"> Quebec Charter </w:t>
            </w:r>
            <w:r w:rsidRPr="009C2345">
              <w:rPr>
                <w:rFonts w:cs="Times New Roman"/>
                <w:sz w:val="20"/>
                <w:szCs w:val="20"/>
              </w:rPr>
              <w:t>—</w:t>
            </w:r>
            <w:r w:rsidRPr="009C2345">
              <w:rPr>
                <w:sz w:val="20"/>
                <w:szCs w:val="20"/>
              </w:rPr>
              <w:t xml:space="preserve"> Evidence </w:t>
            </w:r>
            <w:r w:rsidRPr="009C2345">
              <w:rPr>
                <w:rFonts w:cs="Times New Roman"/>
                <w:sz w:val="20"/>
                <w:szCs w:val="20"/>
              </w:rPr>
              <w:t>—</w:t>
            </w:r>
            <w:r w:rsidRPr="009C2345">
              <w:rPr>
                <w:sz w:val="20"/>
                <w:szCs w:val="20"/>
              </w:rPr>
              <w:t xml:space="preserve"> Are the protections afforded by the terms “full and equal, public and fair hearing” in s. 23 of the </w:t>
            </w:r>
            <w:r w:rsidRPr="009C2345">
              <w:rPr>
                <w:i/>
                <w:sz w:val="20"/>
                <w:szCs w:val="20"/>
              </w:rPr>
              <w:t>Quebec Charter</w:t>
            </w:r>
            <w:r w:rsidRPr="009C2345">
              <w:rPr>
                <w:sz w:val="20"/>
                <w:szCs w:val="20"/>
              </w:rPr>
              <w:t xml:space="preserve"> violated by the provisions of the </w:t>
            </w:r>
            <w:r w:rsidRPr="009C2345">
              <w:rPr>
                <w:i/>
                <w:sz w:val="20"/>
                <w:szCs w:val="20"/>
              </w:rPr>
              <w:t xml:space="preserve">Tobacco-related Damages and Health Care Costs Recovery Act, </w:t>
            </w:r>
            <w:r w:rsidRPr="009C2345">
              <w:rPr>
                <w:sz w:val="20"/>
                <w:szCs w:val="20"/>
              </w:rPr>
              <w:t xml:space="preserve">which have the effect of placing the tobacco manufacturers at a substantial disadvantage against the Government and private litigants? </w:t>
            </w:r>
            <w:r w:rsidRPr="009C2345">
              <w:rPr>
                <w:rFonts w:cs="Times New Roman"/>
                <w:sz w:val="20"/>
                <w:szCs w:val="20"/>
              </w:rPr>
              <w:t>—</w:t>
            </w:r>
            <w:r w:rsidRPr="009C2345">
              <w:rPr>
                <w:i/>
                <w:sz w:val="20"/>
                <w:szCs w:val="20"/>
              </w:rPr>
              <w:t xml:space="preserve"> Tobacco-related Damages and Health Care Costs Recovery Act</w:t>
            </w:r>
            <w:r w:rsidRPr="009C2345">
              <w:rPr>
                <w:sz w:val="20"/>
                <w:szCs w:val="20"/>
              </w:rPr>
              <w:t>, c. RLRQ, c. R-2.2.0.0.1.</w:t>
            </w:r>
          </w:p>
          <w:p w:rsidR="003A2925" w:rsidRPr="009C2345" w:rsidRDefault="003A2925" w:rsidP="003A2925">
            <w:pPr>
              <w:jc w:val="both"/>
              <w:rPr>
                <w:sz w:val="20"/>
                <w:szCs w:val="20"/>
              </w:rPr>
            </w:pPr>
          </w:p>
        </w:tc>
      </w:tr>
      <w:tr w:rsidR="003A2925" w:rsidRPr="009C2345" w:rsidTr="00017A3C">
        <w:tc>
          <w:tcPr>
            <w:tcW w:w="5000" w:type="pct"/>
            <w:gridSpan w:val="3"/>
          </w:tcPr>
          <w:p w:rsidR="003A2925" w:rsidRPr="009C2345" w:rsidRDefault="003A2925" w:rsidP="003A2925">
            <w:pPr>
              <w:jc w:val="both"/>
              <w:rPr>
                <w:sz w:val="20"/>
                <w:szCs w:val="20"/>
              </w:rPr>
            </w:pPr>
            <w:r w:rsidRPr="009C2345">
              <w:rPr>
                <w:sz w:val="20"/>
                <w:szCs w:val="20"/>
              </w:rPr>
              <w:t>Tobacco manufacturers argue that the Quebec</w:t>
            </w:r>
            <w:r w:rsidRPr="009C2345">
              <w:rPr>
                <w:i/>
                <w:sz w:val="20"/>
                <w:szCs w:val="20"/>
              </w:rPr>
              <w:t xml:space="preserve"> Tobacco-related Damages and Health Care Costs Recovery Act</w:t>
            </w:r>
            <w:r w:rsidRPr="009C2345">
              <w:rPr>
                <w:sz w:val="20"/>
                <w:szCs w:val="20"/>
              </w:rPr>
              <w:t xml:space="preserve"> is unconstitutional, particularly with respect to the right to a fair and full and equal hearing provided for under s. 23 of the </w:t>
            </w:r>
            <w:r w:rsidRPr="009C2345">
              <w:rPr>
                <w:i/>
                <w:sz w:val="20"/>
                <w:szCs w:val="20"/>
              </w:rPr>
              <w:t>Quebec Charter</w:t>
            </w:r>
            <w:r w:rsidRPr="009C2345">
              <w:rPr>
                <w:sz w:val="20"/>
                <w:szCs w:val="20"/>
              </w:rPr>
              <w:t xml:space="preserve">. On June 19, 2009, the Government assented to the Act, establishing special rules applicable to lawsuits seeking the recovery of tobacco-related health care costs and damages against tobacco manufacturers. The Act was first challenged in a motion for declaratory judgment. The Respondent’s subsequent motion for summary dismissal was dismissed and leave to appeal that decision was denied. In June 2012, the Respondent filed a lawsuit against the Applicant and other defendants seeking $60 billion in damages. The trial judge concluded that the Act did not infringe the </w:t>
            </w:r>
            <w:r w:rsidRPr="009C2345">
              <w:rPr>
                <w:i/>
                <w:sz w:val="20"/>
                <w:szCs w:val="20"/>
              </w:rPr>
              <w:t>Quebec Charter</w:t>
            </w:r>
            <w:r w:rsidRPr="009C2345">
              <w:rPr>
                <w:sz w:val="20"/>
                <w:szCs w:val="20"/>
              </w:rPr>
              <w:t>. The Applicant’s subsequent appeal to the Court of Appeal was also dismissed.</w:t>
            </w:r>
          </w:p>
        </w:tc>
      </w:tr>
      <w:tr w:rsidR="003A2925" w:rsidRPr="009C2345" w:rsidTr="00017A3C">
        <w:tc>
          <w:tcPr>
            <w:tcW w:w="5000" w:type="pct"/>
            <w:gridSpan w:val="3"/>
          </w:tcPr>
          <w:p w:rsidR="003A2925" w:rsidRPr="009C2345" w:rsidRDefault="003A2925" w:rsidP="003A2925">
            <w:pPr>
              <w:jc w:val="both"/>
              <w:rPr>
                <w:sz w:val="20"/>
                <w:szCs w:val="20"/>
              </w:rPr>
            </w:pPr>
          </w:p>
        </w:tc>
      </w:tr>
      <w:tr w:rsidR="003A2925" w:rsidRPr="009C2345" w:rsidTr="00017A3C">
        <w:tc>
          <w:tcPr>
            <w:tcW w:w="2427" w:type="pct"/>
          </w:tcPr>
          <w:p w:rsidR="003A2925" w:rsidRPr="009C2345" w:rsidRDefault="003A2925" w:rsidP="003A2925">
            <w:pPr>
              <w:jc w:val="both"/>
              <w:rPr>
                <w:sz w:val="20"/>
                <w:szCs w:val="20"/>
              </w:rPr>
            </w:pPr>
            <w:r w:rsidRPr="009C2345">
              <w:rPr>
                <w:sz w:val="20"/>
                <w:szCs w:val="20"/>
              </w:rPr>
              <w:t>January 28, 2011</w:t>
            </w:r>
          </w:p>
          <w:p w:rsidR="003A2925" w:rsidRPr="009C2345" w:rsidRDefault="003A2925" w:rsidP="003A2925">
            <w:pPr>
              <w:jc w:val="both"/>
              <w:rPr>
                <w:sz w:val="20"/>
                <w:szCs w:val="20"/>
              </w:rPr>
            </w:pPr>
            <w:r w:rsidRPr="009C2345">
              <w:rPr>
                <w:sz w:val="20"/>
                <w:szCs w:val="20"/>
              </w:rPr>
              <w:t>Court of Appeal of Quebec (Montréal)</w:t>
            </w:r>
          </w:p>
          <w:p w:rsidR="003A2925" w:rsidRPr="009C2345" w:rsidRDefault="003A2925" w:rsidP="003A2925">
            <w:pPr>
              <w:jc w:val="both"/>
              <w:rPr>
                <w:sz w:val="20"/>
                <w:szCs w:val="20"/>
              </w:rPr>
            </w:pPr>
            <w:r w:rsidRPr="009C2345">
              <w:rPr>
                <w:sz w:val="20"/>
                <w:szCs w:val="20"/>
              </w:rPr>
              <w:t>(Cournoyer J.A.)</w:t>
            </w:r>
          </w:p>
          <w:p w:rsidR="003A2925" w:rsidRPr="009C2345" w:rsidRDefault="0082006E" w:rsidP="003A2925">
            <w:pPr>
              <w:jc w:val="both"/>
              <w:rPr>
                <w:color w:val="0000FF" w:themeColor="hyperlink"/>
                <w:sz w:val="20"/>
                <w:szCs w:val="20"/>
                <w:u w:val="single"/>
              </w:rPr>
            </w:pPr>
            <w:hyperlink r:id="rId49" w:history="1">
              <w:r w:rsidR="003A2925" w:rsidRPr="009C2345">
                <w:rPr>
                  <w:color w:val="0000FF" w:themeColor="hyperlink"/>
                  <w:sz w:val="20"/>
                  <w:szCs w:val="20"/>
                  <w:u w:val="single"/>
                </w:rPr>
                <w:t>2011 QCCA 132</w:t>
              </w:r>
            </w:hyperlink>
          </w:p>
          <w:p w:rsidR="003A2925" w:rsidRPr="009C2345" w:rsidRDefault="003A2925" w:rsidP="003A2925">
            <w:pPr>
              <w:jc w:val="both"/>
              <w:rPr>
                <w:sz w:val="20"/>
                <w:szCs w:val="20"/>
              </w:rPr>
            </w:pPr>
          </w:p>
        </w:tc>
        <w:tc>
          <w:tcPr>
            <w:tcW w:w="243" w:type="pct"/>
          </w:tcPr>
          <w:p w:rsidR="003A2925" w:rsidRPr="009C2345" w:rsidRDefault="003A2925" w:rsidP="003A2925">
            <w:pPr>
              <w:jc w:val="both"/>
              <w:rPr>
                <w:sz w:val="20"/>
                <w:szCs w:val="20"/>
              </w:rPr>
            </w:pPr>
          </w:p>
        </w:tc>
        <w:tc>
          <w:tcPr>
            <w:tcW w:w="2330" w:type="pct"/>
          </w:tcPr>
          <w:p w:rsidR="003A2925" w:rsidRPr="009C2345" w:rsidRDefault="003A2925" w:rsidP="003A2925">
            <w:pPr>
              <w:jc w:val="both"/>
              <w:rPr>
                <w:sz w:val="20"/>
                <w:szCs w:val="20"/>
              </w:rPr>
            </w:pPr>
            <w:r w:rsidRPr="009C2345">
              <w:rPr>
                <w:sz w:val="20"/>
                <w:szCs w:val="20"/>
              </w:rPr>
              <w:t>Motion for leave to appeal dismissal of Respondent’s motion for summary dismissal, dismissed</w:t>
            </w:r>
            <w:r w:rsidR="00733B0A" w:rsidRPr="009C2345">
              <w:rPr>
                <w:sz w:val="20"/>
                <w:szCs w:val="20"/>
              </w:rPr>
              <w:t>.</w:t>
            </w:r>
          </w:p>
          <w:p w:rsidR="003A2925" w:rsidRPr="009C2345" w:rsidRDefault="003A2925" w:rsidP="003A2925">
            <w:pPr>
              <w:jc w:val="both"/>
              <w:rPr>
                <w:sz w:val="20"/>
                <w:szCs w:val="20"/>
              </w:rPr>
            </w:pPr>
          </w:p>
        </w:tc>
      </w:tr>
      <w:tr w:rsidR="003A2925" w:rsidRPr="009C2345" w:rsidTr="00017A3C">
        <w:tc>
          <w:tcPr>
            <w:tcW w:w="2427" w:type="pct"/>
          </w:tcPr>
          <w:p w:rsidR="003A2925" w:rsidRPr="009C2345" w:rsidRDefault="003A2925" w:rsidP="003A2925">
            <w:pPr>
              <w:jc w:val="both"/>
              <w:rPr>
                <w:sz w:val="20"/>
                <w:szCs w:val="20"/>
              </w:rPr>
            </w:pPr>
            <w:r w:rsidRPr="009C2345">
              <w:rPr>
                <w:sz w:val="20"/>
                <w:szCs w:val="20"/>
              </w:rPr>
              <w:t>February 23, 2012</w:t>
            </w:r>
          </w:p>
          <w:p w:rsidR="003A2925" w:rsidRPr="009C2345" w:rsidRDefault="003A2925" w:rsidP="003A2925">
            <w:pPr>
              <w:jc w:val="both"/>
              <w:rPr>
                <w:sz w:val="20"/>
                <w:szCs w:val="20"/>
              </w:rPr>
            </w:pPr>
            <w:r w:rsidRPr="009C2345">
              <w:rPr>
                <w:sz w:val="20"/>
                <w:szCs w:val="20"/>
              </w:rPr>
              <w:t>Superior Court of Quebec</w:t>
            </w:r>
          </w:p>
          <w:p w:rsidR="003A2925" w:rsidRPr="009C2345" w:rsidRDefault="003A2925" w:rsidP="003A2925">
            <w:pPr>
              <w:jc w:val="both"/>
              <w:rPr>
                <w:sz w:val="20"/>
                <w:szCs w:val="20"/>
              </w:rPr>
            </w:pPr>
            <w:r w:rsidRPr="009C2345">
              <w:rPr>
                <w:sz w:val="20"/>
                <w:szCs w:val="20"/>
              </w:rPr>
              <w:t>(Gascon J.C.S.)</w:t>
            </w:r>
          </w:p>
          <w:p w:rsidR="003A2925" w:rsidRPr="009C2345" w:rsidRDefault="0082006E" w:rsidP="003A2925">
            <w:pPr>
              <w:jc w:val="both"/>
              <w:rPr>
                <w:color w:val="0000FF" w:themeColor="hyperlink"/>
                <w:sz w:val="20"/>
                <w:szCs w:val="20"/>
                <w:u w:val="single"/>
              </w:rPr>
            </w:pPr>
            <w:hyperlink r:id="rId50" w:history="1">
              <w:r w:rsidR="003A2925" w:rsidRPr="009C2345">
                <w:rPr>
                  <w:color w:val="0000FF" w:themeColor="hyperlink"/>
                  <w:sz w:val="20"/>
                  <w:szCs w:val="20"/>
                  <w:u w:val="single"/>
                </w:rPr>
                <w:t>2012 QCCS 726</w:t>
              </w:r>
            </w:hyperlink>
          </w:p>
          <w:p w:rsidR="003A2925" w:rsidRPr="009C2345" w:rsidRDefault="003A2925" w:rsidP="003A2925">
            <w:pPr>
              <w:jc w:val="both"/>
              <w:rPr>
                <w:sz w:val="20"/>
                <w:szCs w:val="20"/>
              </w:rPr>
            </w:pPr>
          </w:p>
        </w:tc>
        <w:tc>
          <w:tcPr>
            <w:tcW w:w="243" w:type="pct"/>
          </w:tcPr>
          <w:p w:rsidR="003A2925" w:rsidRPr="009C2345" w:rsidRDefault="003A2925" w:rsidP="003A2925">
            <w:pPr>
              <w:jc w:val="both"/>
              <w:rPr>
                <w:sz w:val="20"/>
                <w:szCs w:val="20"/>
              </w:rPr>
            </w:pPr>
          </w:p>
        </w:tc>
        <w:tc>
          <w:tcPr>
            <w:tcW w:w="2330" w:type="pct"/>
          </w:tcPr>
          <w:p w:rsidR="003A2925" w:rsidRPr="009C2345" w:rsidRDefault="003A2925" w:rsidP="003A2925">
            <w:pPr>
              <w:jc w:val="both"/>
              <w:rPr>
                <w:sz w:val="20"/>
                <w:szCs w:val="20"/>
                <w:lang w:val="en-US"/>
              </w:rPr>
            </w:pPr>
            <w:r w:rsidRPr="009C2345">
              <w:rPr>
                <w:sz w:val="20"/>
                <w:szCs w:val="20"/>
                <w:lang w:val="en-US"/>
              </w:rPr>
              <w:t xml:space="preserve">Respondent’s motion to quash subpoena granted: objection to communication of extrinsic evidence pertaining to the </w:t>
            </w:r>
            <w:r w:rsidRPr="009C2345">
              <w:rPr>
                <w:i/>
                <w:sz w:val="20"/>
                <w:szCs w:val="20"/>
                <w:lang w:val="en-US"/>
              </w:rPr>
              <w:t>Act</w:t>
            </w:r>
            <w:r w:rsidRPr="009C2345">
              <w:rPr>
                <w:sz w:val="20"/>
                <w:szCs w:val="20"/>
                <w:lang w:val="en-US"/>
              </w:rPr>
              <w:t xml:space="preserve"> upheld</w:t>
            </w:r>
            <w:r w:rsidR="00733B0A" w:rsidRPr="009C2345">
              <w:rPr>
                <w:sz w:val="20"/>
                <w:szCs w:val="20"/>
                <w:lang w:val="en-US"/>
              </w:rPr>
              <w:t>.</w:t>
            </w:r>
          </w:p>
        </w:tc>
      </w:tr>
      <w:tr w:rsidR="003A2925" w:rsidRPr="009C2345" w:rsidTr="00017A3C">
        <w:tc>
          <w:tcPr>
            <w:tcW w:w="2427" w:type="pct"/>
          </w:tcPr>
          <w:p w:rsidR="003A2925" w:rsidRPr="009C2345" w:rsidRDefault="003A2925" w:rsidP="003A2925">
            <w:pPr>
              <w:jc w:val="both"/>
              <w:rPr>
                <w:sz w:val="20"/>
                <w:szCs w:val="20"/>
              </w:rPr>
            </w:pPr>
            <w:r w:rsidRPr="009C2345">
              <w:rPr>
                <w:sz w:val="20"/>
                <w:szCs w:val="20"/>
              </w:rPr>
              <w:t>December 5, 2012</w:t>
            </w:r>
          </w:p>
          <w:p w:rsidR="003A2925" w:rsidRPr="009C2345" w:rsidRDefault="003A2925" w:rsidP="003A2925">
            <w:pPr>
              <w:jc w:val="both"/>
              <w:rPr>
                <w:sz w:val="20"/>
                <w:szCs w:val="20"/>
              </w:rPr>
            </w:pPr>
            <w:r w:rsidRPr="009C2345">
              <w:rPr>
                <w:sz w:val="20"/>
                <w:szCs w:val="20"/>
              </w:rPr>
              <w:t>Court of Appeal of Quebec (Montréal)</w:t>
            </w:r>
          </w:p>
          <w:p w:rsidR="003A2925" w:rsidRPr="009C2345" w:rsidRDefault="003A2925" w:rsidP="003A2925">
            <w:pPr>
              <w:jc w:val="both"/>
              <w:rPr>
                <w:sz w:val="20"/>
                <w:szCs w:val="20"/>
              </w:rPr>
            </w:pPr>
            <w:r w:rsidRPr="009C2345">
              <w:rPr>
                <w:sz w:val="20"/>
                <w:szCs w:val="20"/>
              </w:rPr>
              <w:t>(Morissette, Dufresne and Kasirer JJ.A.)</w:t>
            </w:r>
          </w:p>
          <w:p w:rsidR="003A2925" w:rsidRPr="009C2345" w:rsidRDefault="0082006E" w:rsidP="003A2925">
            <w:pPr>
              <w:jc w:val="both"/>
              <w:rPr>
                <w:color w:val="0000FF" w:themeColor="hyperlink"/>
                <w:sz w:val="20"/>
                <w:szCs w:val="20"/>
                <w:u w:val="single"/>
                <w:lang w:val="fr-CA"/>
              </w:rPr>
            </w:pPr>
            <w:hyperlink r:id="rId51" w:history="1">
              <w:r w:rsidR="003A2925" w:rsidRPr="009C2345">
                <w:rPr>
                  <w:color w:val="0000FF" w:themeColor="hyperlink"/>
                  <w:sz w:val="20"/>
                  <w:szCs w:val="20"/>
                  <w:u w:val="single"/>
                  <w:lang w:val="fr-CA"/>
                </w:rPr>
                <w:t>2012 QCCA 2196</w:t>
              </w:r>
            </w:hyperlink>
          </w:p>
          <w:p w:rsidR="003A2925" w:rsidRPr="009C2345" w:rsidRDefault="003A2925" w:rsidP="003A2925">
            <w:pPr>
              <w:jc w:val="both"/>
              <w:rPr>
                <w:sz w:val="20"/>
                <w:szCs w:val="20"/>
                <w:lang w:val="fr-CA"/>
              </w:rPr>
            </w:pPr>
          </w:p>
        </w:tc>
        <w:tc>
          <w:tcPr>
            <w:tcW w:w="243" w:type="pct"/>
          </w:tcPr>
          <w:p w:rsidR="003A2925" w:rsidRPr="009C2345" w:rsidRDefault="003A2925" w:rsidP="003A2925">
            <w:pPr>
              <w:jc w:val="both"/>
              <w:rPr>
                <w:sz w:val="20"/>
                <w:szCs w:val="20"/>
                <w:lang w:val="fr-CA"/>
              </w:rPr>
            </w:pPr>
          </w:p>
        </w:tc>
        <w:tc>
          <w:tcPr>
            <w:tcW w:w="2330" w:type="pct"/>
          </w:tcPr>
          <w:p w:rsidR="003A2925" w:rsidRPr="009C2345" w:rsidRDefault="003A2925" w:rsidP="003A2925">
            <w:pPr>
              <w:jc w:val="both"/>
              <w:rPr>
                <w:sz w:val="20"/>
                <w:szCs w:val="20"/>
              </w:rPr>
            </w:pPr>
            <w:r w:rsidRPr="009C2345">
              <w:rPr>
                <w:sz w:val="20"/>
                <w:szCs w:val="20"/>
              </w:rPr>
              <w:t>Decision to quash subpoena confirmed</w:t>
            </w:r>
            <w:r w:rsidR="00733B0A" w:rsidRPr="009C2345">
              <w:rPr>
                <w:sz w:val="20"/>
                <w:szCs w:val="20"/>
              </w:rPr>
              <w:t>.</w:t>
            </w:r>
          </w:p>
          <w:p w:rsidR="003A2925" w:rsidRPr="009C2345" w:rsidRDefault="003A2925" w:rsidP="003A2925">
            <w:pPr>
              <w:jc w:val="both"/>
              <w:rPr>
                <w:sz w:val="20"/>
                <w:szCs w:val="20"/>
              </w:rPr>
            </w:pPr>
          </w:p>
        </w:tc>
      </w:tr>
      <w:tr w:rsidR="003A2925" w:rsidRPr="009C2345" w:rsidTr="00017A3C">
        <w:tc>
          <w:tcPr>
            <w:tcW w:w="2427" w:type="pct"/>
          </w:tcPr>
          <w:p w:rsidR="003A2925" w:rsidRPr="009C2345" w:rsidRDefault="003A2925" w:rsidP="003A2925">
            <w:pPr>
              <w:jc w:val="both"/>
              <w:rPr>
                <w:sz w:val="20"/>
                <w:szCs w:val="20"/>
              </w:rPr>
            </w:pPr>
            <w:r w:rsidRPr="009C2345">
              <w:rPr>
                <w:sz w:val="20"/>
                <w:szCs w:val="20"/>
              </w:rPr>
              <w:t>March 5, 2014</w:t>
            </w:r>
          </w:p>
          <w:p w:rsidR="003A2925" w:rsidRPr="009C2345" w:rsidRDefault="003A2925" w:rsidP="003A2925">
            <w:pPr>
              <w:jc w:val="both"/>
              <w:rPr>
                <w:sz w:val="20"/>
                <w:szCs w:val="20"/>
              </w:rPr>
            </w:pPr>
            <w:r w:rsidRPr="009C2345">
              <w:rPr>
                <w:sz w:val="20"/>
                <w:szCs w:val="20"/>
              </w:rPr>
              <w:t>Superior Court of Quebec</w:t>
            </w:r>
          </w:p>
          <w:p w:rsidR="003A2925" w:rsidRPr="009C2345" w:rsidRDefault="003A2925" w:rsidP="003A2925">
            <w:pPr>
              <w:jc w:val="both"/>
              <w:rPr>
                <w:sz w:val="20"/>
                <w:szCs w:val="20"/>
                <w:lang w:val="en-US"/>
              </w:rPr>
            </w:pPr>
            <w:r w:rsidRPr="009C2345">
              <w:rPr>
                <w:sz w:val="20"/>
                <w:szCs w:val="20"/>
                <w:lang w:val="en-US"/>
              </w:rPr>
              <w:t>(Mongeau J.C.S.)</w:t>
            </w:r>
          </w:p>
          <w:p w:rsidR="003A2925" w:rsidRPr="009C2345" w:rsidRDefault="0082006E" w:rsidP="003A2925">
            <w:pPr>
              <w:jc w:val="both"/>
              <w:rPr>
                <w:color w:val="0000FF" w:themeColor="hyperlink"/>
                <w:sz w:val="20"/>
                <w:szCs w:val="20"/>
                <w:u w:val="single"/>
                <w:lang w:val="en-US"/>
              </w:rPr>
            </w:pPr>
            <w:hyperlink r:id="rId52" w:history="1">
              <w:r w:rsidR="003A2925" w:rsidRPr="009C2345">
                <w:rPr>
                  <w:color w:val="0000FF" w:themeColor="hyperlink"/>
                  <w:sz w:val="20"/>
                  <w:szCs w:val="20"/>
                  <w:u w:val="single"/>
                  <w:lang w:val="en-US"/>
                </w:rPr>
                <w:t>2014 QCCS 842</w:t>
              </w:r>
            </w:hyperlink>
          </w:p>
          <w:p w:rsidR="003A2925" w:rsidRPr="009C2345" w:rsidRDefault="003A2925" w:rsidP="003A2925">
            <w:pPr>
              <w:jc w:val="both"/>
              <w:rPr>
                <w:sz w:val="20"/>
                <w:szCs w:val="20"/>
                <w:lang w:val="en-US"/>
              </w:rPr>
            </w:pPr>
          </w:p>
        </w:tc>
        <w:tc>
          <w:tcPr>
            <w:tcW w:w="243" w:type="pct"/>
          </w:tcPr>
          <w:p w:rsidR="003A2925" w:rsidRPr="009C2345" w:rsidRDefault="003A2925" w:rsidP="003A2925">
            <w:pPr>
              <w:jc w:val="both"/>
              <w:rPr>
                <w:sz w:val="20"/>
                <w:szCs w:val="20"/>
                <w:lang w:val="en-US"/>
              </w:rPr>
            </w:pPr>
          </w:p>
        </w:tc>
        <w:tc>
          <w:tcPr>
            <w:tcW w:w="2330" w:type="pct"/>
          </w:tcPr>
          <w:p w:rsidR="003A2925" w:rsidRPr="009C2345" w:rsidRDefault="003A2925" w:rsidP="003A2925">
            <w:pPr>
              <w:jc w:val="both"/>
              <w:rPr>
                <w:sz w:val="20"/>
                <w:szCs w:val="20"/>
                <w:lang w:val="en-US"/>
              </w:rPr>
            </w:pPr>
            <w:r w:rsidRPr="009C2345">
              <w:rPr>
                <w:sz w:val="20"/>
                <w:szCs w:val="20"/>
                <w:lang w:val="en-US"/>
              </w:rPr>
              <w:t xml:space="preserve">Motion for declaratory judgment challenging validity of the </w:t>
            </w:r>
            <w:r w:rsidRPr="009C2345">
              <w:rPr>
                <w:i/>
                <w:sz w:val="20"/>
                <w:szCs w:val="20"/>
                <w:lang w:val="en-US"/>
              </w:rPr>
              <w:t>Act</w:t>
            </w:r>
            <w:r w:rsidRPr="009C2345">
              <w:rPr>
                <w:sz w:val="20"/>
                <w:szCs w:val="20"/>
                <w:lang w:val="en-US"/>
              </w:rPr>
              <w:t xml:space="preserve"> dismissed</w:t>
            </w:r>
            <w:r w:rsidR="00733B0A" w:rsidRPr="009C2345">
              <w:rPr>
                <w:sz w:val="20"/>
                <w:szCs w:val="20"/>
                <w:lang w:val="en-US"/>
              </w:rPr>
              <w:t>.</w:t>
            </w:r>
          </w:p>
          <w:p w:rsidR="003A2925" w:rsidRPr="009C2345" w:rsidRDefault="003A2925" w:rsidP="003A2925">
            <w:pPr>
              <w:jc w:val="both"/>
              <w:rPr>
                <w:sz w:val="20"/>
                <w:szCs w:val="20"/>
                <w:lang w:val="en-US"/>
              </w:rPr>
            </w:pPr>
          </w:p>
        </w:tc>
      </w:tr>
    </w:tbl>
    <w:p w:rsidR="00733B0A" w:rsidRPr="009C2345" w:rsidRDefault="00733B0A">
      <w:r w:rsidRPr="009C234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A2925" w:rsidRPr="009C2345" w:rsidTr="00017A3C">
        <w:tc>
          <w:tcPr>
            <w:tcW w:w="2427" w:type="pct"/>
          </w:tcPr>
          <w:p w:rsidR="003A2925" w:rsidRPr="009C2345" w:rsidRDefault="003A2925" w:rsidP="003A2925">
            <w:pPr>
              <w:jc w:val="both"/>
              <w:rPr>
                <w:sz w:val="20"/>
                <w:szCs w:val="20"/>
              </w:rPr>
            </w:pPr>
            <w:r w:rsidRPr="009C2345">
              <w:rPr>
                <w:sz w:val="20"/>
                <w:szCs w:val="20"/>
              </w:rPr>
              <w:t>September 28, 2015</w:t>
            </w:r>
          </w:p>
          <w:p w:rsidR="003A2925" w:rsidRPr="009C2345" w:rsidRDefault="003A2925" w:rsidP="003A2925">
            <w:pPr>
              <w:jc w:val="both"/>
              <w:rPr>
                <w:sz w:val="20"/>
                <w:szCs w:val="20"/>
              </w:rPr>
            </w:pPr>
            <w:r w:rsidRPr="009C2345">
              <w:rPr>
                <w:sz w:val="20"/>
                <w:szCs w:val="20"/>
              </w:rPr>
              <w:t>Court of Appeal of Quebec (Montréal)</w:t>
            </w:r>
          </w:p>
          <w:p w:rsidR="003A2925" w:rsidRPr="009C2345" w:rsidRDefault="003A2925" w:rsidP="003A2925">
            <w:pPr>
              <w:jc w:val="both"/>
              <w:rPr>
                <w:sz w:val="20"/>
                <w:szCs w:val="20"/>
              </w:rPr>
            </w:pPr>
            <w:r w:rsidRPr="009C2345">
              <w:rPr>
                <w:sz w:val="20"/>
                <w:szCs w:val="20"/>
              </w:rPr>
              <w:t>(Vézina, Savard and Marcotte JJ.A.)</w:t>
            </w:r>
          </w:p>
          <w:p w:rsidR="003A2925" w:rsidRPr="009C2345" w:rsidRDefault="0082006E" w:rsidP="003A2925">
            <w:pPr>
              <w:jc w:val="both"/>
              <w:rPr>
                <w:color w:val="0000FF" w:themeColor="hyperlink"/>
                <w:sz w:val="20"/>
                <w:szCs w:val="20"/>
                <w:u w:val="single"/>
              </w:rPr>
            </w:pPr>
            <w:hyperlink r:id="rId53" w:history="1">
              <w:r w:rsidR="003A2925" w:rsidRPr="009C2345">
                <w:rPr>
                  <w:color w:val="0000FF" w:themeColor="hyperlink"/>
                  <w:sz w:val="20"/>
                  <w:szCs w:val="20"/>
                  <w:u w:val="single"/>
                </w:rPr>
                <w:t>2015 QCCA 1554</w:t>
              </w:r>
            </w:hyperlink>
          </w:p>
          <w:p w:rsidR="003A2925" w:rsidRPr="009C2345" w:rsidRDefault="003A2925" w:rsidP="003A2925">
            <w:pPr>
              <w:jc w:val="both"/>
              <w:rPr>
                <w:sz w:val="20"/>
                <w:szCs w:val="20"/>
              </w:rPr>
            </w:pPr>
          </w:p>
        </w:tc>
        <w:tc>
          <w:tcPr>
            <w:tcW w:w="243" w:type="pct"/>
          </w:tcPr>
          <w:p w:rsidR="003A2925" w:rsidRPr="009C2345" w:rsidRDefault="003A2925" w:rsidP="003A2925">
            <w:pPr>
              <w:jc w:val="both"/>
              <w:rPr>
                <w:sz w:val="20"/>
                <w:szCs w:val="20"/>
              </w:rPr>
            </w:pPr>
          </w:p>
        </w:tc>
        <w:tc>
          <w:tcPr>
            <w:tcW w:w="2330" w:type="pct"/>
          </w:tcPr>
          <w:p w:rsidR="003A2925" w:rsidRPr="009C2345" w:rsidRDefault="003A2925" w:rsidP="003A2925">
            <w:pPr>
              <w:jc w:val="both"/>
              <w:rPr>
                <w:sz w:val="20"/>
                <w:szCs w:val="20"/>
              </w:rPr>
            </w:pPr>
            <w:r w:rsidRPr="009C2345">
              <w:rPr>
                <w:sz w:val="20"/>
                <w:szCs w:val="20"/>
              </w:rPr>
              <w:t>Appeal from trial judgment dismissed</w:t>
            </w:r>
            <w:r w:rsidR="00733B0A" w:rsidRPr="009C2345">
              <w:rPr>
                <w:sz w:val="20"/>
                <w:szCs w:val="20"/>
              </w:rPr>
              <w:t>.</w:t>
            </w:r>
          </w:p>
          <w:p w:rsidR="003A2925" w:rsidRPr="009C2345" w:rsidRDefault="003A2925" w:rsidP="003A2925">
            <w:pPr>
              <w:jc w:val="both"/>
              <w:rPr>
                <w:sz w:val="20"/>
                <w:szCs w:val="20"/>
              </w:rPr>
            </w:pPr>
          </w:p>
        </w:tc>
      </w:tr>
      <w:tr w:rsidR="003A2925" w:rsidRPr="009C2345" w:rsidTr="00017A3C">
        <w:tc>
          <w:tcPr>
            <w:tcW w:w="2427" w:type="pct"/>
          </w:tcPr>
          <w:p w:rsidR="003A2925" w:rsidRPr="009C2345" w:rsidRDefault="003A2925" w:rsidP="003A2925">
            <w:pPr>
              <w:jc w:val="both"/>
              <w:rPr>
                <w:sz w:val="20"/>
                <w:szCs w:val="20"/>
              </w:rPr>
            </w:pPr>
            <w:r w:rsidRPr="009C2345">
              <w:rPr>
                <w:sz w:val="20"/>
                <w:szCs w:val="20"/>
              </w:rPr>
              <w:t>November 27, 2015</w:t>
            </w:r>
          </w:p>
          <w:p w:rsidR="003A2925" w:rsidRPr="009C2345" w:rsidRDefault="003A2925" w:rsidP="003A2925">
            <w:pPr>
              <w:jc w:val="both"/>
              <w:rPr>
                <w:sz w:val="20"/>
                <w:szCs w:val="20"/>
              </w:rPr>
            </w:pPr>
            <w:r w:rsidRPr="009C2345">
              <w:rPr>
                <w:sz w:val="20"/>
                <w:szCs w:val="20"/>
              </w:rPr>
              <w:t>Supreme Court of Canada</w:t>
            </w:r>
          </w:p>
        </w:tc>
        <w:tc>
          <w:tcPr>
            <w:tcW w:w="243" w:type="pct"/>
          </w:tcPr>
          <w:p w:rsidR="003A2925" w:rsidRPr="009C2345" w:rsidRDefault="003A2925" w:rsidP="003A2925">
            <w:pPr>
              <w:jc w:val="both"/>
              <w:rPr>
                <w:sz w:val="20"/>
                <w:szCs w:val="20"/>
              </w:rPr>
            </w:pPr>
          </w:p>
        </w:tc>
        <w:tc>
          <w:tcPr>
            <w:tcW w:w="2330" w:type="pct"/>
          </w:tcPr>
          <w:p w:rsidR="003A2925" w:rsidRPr="009C2345" w:rsidRDefault="003A2925" w:rsidP="003A2925">
            <w:pPr>
              <w:jc w:val="both"/>
              <w:rPr>
                <w:sz w:val="20"/>
                <w:szCs w:val="20"/>
              </w:rPr>
            </w:pPr>
            <w:r w:rsidRPr="009C2345">
              <w:rPr>
                <w:sz w:val="20"/>
                <w:szCs w:val="20"/>
              </w:rPr>
              <w:t>Application for leave to appeal filed</w:t>
            </w:r>
            <w:r w:rsidR="00733B0A" w:rsidRPr="009C2345">
              <w:rPr>
                <w:sz w:val="20"/>
                <w:szCs w:val="20"/>
              </w:rPr>
              <w:t>.</w:t>
            </w:r>
          </w:p>
          <w:p w:rsidR="003A2925" w:rsidRPr="009C2345" w:rsidRDefault="003A2925" w:rsidP="003A2925">
            <w:pPr>
              <w:jc w:val="both"/>
              <w:rPr>
                <w:sz w:val="20"/>
                <w:szCs w:val="20"/>
              </w:rPr>
            </w:pPr>
          </w:p>
        </w:tc>
      </w:tr>
    </w:tbl>
    <w:p w:rsidR="00616675" w:rsidRPr="009C2345" w:rsidRDefault="00616675" w:rsidP="008D292F">
      <w:pPr>
        <w:rPr>
          <w:sz w:val="20"/>
          <w:szCs w:val="20"/>
        </w:rPr>
      </w:pPr>
    </w:p>
    <w:p w:rsidR="00616675" w:rsidRPr="009C2345" w:rsidRDefault="0082006E" w:rsidP="008D292F">
      <w:pPr>
        <w:rPr>
          <w:sz w:val="20"/>
          <w:szCs w:val="20"/>
          <w:lang w:val="fr-CA"/>
        </w:rPr>
      </w:pPr>
      <w:r>
        <w:rPr>
          <w:sz w:val="20"/>
          <w:szCs w:val="20"/>
          <w:lang w:val="fr-CA"/>
        </w:rPr>
        <w:pict>
          <v:rect id="_x0000_i1054" style="width:2in;height:1pt" o:hrpct="0" o:hralign="center" o:hrstd="t" o:hrnoshade="t" o:hr="t" fillcolor="black [3213]" stroked="f"/>
        </w:pict>
      </w:r>
    </w:p>
    <w:p w:rsidR="00616675" w:rsidRPr="009C2345" w:rsidRDefault="00616675" w:rsidP="008D292F">
      <w:pPr>
        <w:rPr>
          <w:sz w:val="20"/>
          <w:szCs w:val="20"/>
          <w:lang w:val="fr-CA"/>
        </w:rPr>
      </w:pPr>
    </w:p>
    <w:p w:rsidR="00733D71" w:rsidRPr="009C2345" w:rsidRDefault="00733D71" w:rsidP="00733D71">
      <w:pPr>
        <w:rPr>
          <w:sz w:val="20"/>
          <w:szCs w:val="20"/>
          <w:u w:val="single"/>
          <w:lang w:val="fr-CA"/>
        </w:rPr>
      </w:pPr>
      <w:r w:rsidRPr="009C2345">
        <w:rPr>
          <w:sz w:val="20"/>
          <w:szCs w:val="20"/>
          <w:u w:val="single"/>
          <w:lang w:val="fr-CA"/>
        </w:rPr>
        <w:t>RÉSUMÉ DE L’AFFAIRE</w:t>
      </w:r>
    </w:p>
    <w:p w:rsidR="00733D71" w:rsidRPr="009C2345" w:rsidRDefault="00733D71" w:rsidP="00733D7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47930" w:rsidRPr="009C2345" w:rsidTr="00017A3C">
        <w:tc>
          <w:tcPr>
            <w:tcW w:w="5000" w:type="pct"/>
            <w:gridSpan w:val="3"/>
          </w:tcPr>
          <w:p w:rsidR="00547930" w:rsidRPr="009C2345" w:rsidRDefault="00547930" w:rsidP="00547930">
            <w:pPr>
              <w:jc w:val="both"/>
              <w:rPr>
                <w:sz w:val="20"/>
                <w:szCs w:val="20"/>
                <w:lang w:val="fr-CA"/>
              </w:rPr>
            </w:pPr>
            <w:r w:rsidRPr="009C2345">
              <w:rPr>
                <w:sz w:val="20"/>
                <w:szCs w:val="20"/>
                <w:lang w:val="fr-CA"/>
              </w:rPr>
              <w:t xml:space="preserve">Procédure civile </w:t>
            </w:r>
            <w:r w:rsidRPr="009C2345">
              <w:rPr>
                <w:rFonts w:cs="Times New Roman"/>
                <w:sz w:val="20"/>
                <w:szCs w:val="20"/>
                <w:lang w:val="fr-CA"/>
              </w:rPr>
              <w:t>—</w:t>
            </w:r>
            <w:r w:rsidRPr="009C2345">
              <w:rPr>
                <w:i/>
                <w:sz w:val="20"/>
                <w:szCs w:val="20"/>
                <w:lang w:val="fr-CA"/>
              </w:rPr>
              <w:t xml:space="preserve"> Charte québécoise </w:t>
            </w:r>
            <w:r w:rsidRPr="009C2345">
              <w:rPr>
                <w:rFonts w:cs="Times New Roman"/>
                <w:sz w:val="20"/>
                <w:szCs w:val="20"/>
                <w:lang w:val="fr-CA"/>
              </w:rPr>
              <w:t>—</w:t>
            </w:r>
            <w:r w:rsidRPr="009C2345">
              <w:rPr>
                <w:sz w:val="20"/>
                <w:szCs w:val="20"/>
                <w:lang w:val="fr-CA"/>
              </w:rPr>
              <w:t xml:space="preserve"> Preuve </w:t>
            </w:r>
            <w:r w:rsidRPr="009C2345">
              <w:rPr>
                <w:rFonts w:cs="Times New Roman"/>
                <w:sz w:val="20"/>
                <w:szCs w:val="20"/>
                <w:lang w:val="fr-CA"/>
              </w:rPr>
              <w:t>—</w:t>
            </w:r>
            <w:r w:rsidRPr="009C2345">
              <w:rPr>
                <w:sz w:val="20"/>
                <w:szCs w:val="20"/>
                <w:lang w:val="fr-CA"/>
              </w:rPr>
              <w:t xml:space="preserve"> Les dispositions de la </w:t>
            </w:r>
            <w:r w:rsidRPr="009C2345">
              <w:rPr>
                <w:i/>
                <w:sz w:val="20"/>
                <w:szCs w:val="20"/>
                <w:lang w:val="fr-CA"/>
              </w:rPr>
              <w:t>Loi sur le recouvrement du coût des soins de santé et des dommages-intérêts liés au tabac</w:t>
            </w:r>
            <w:r w:rsidRPr="009C2345">
              <w:rPr>
                <w:sz w:val="20"/>
                <w:szCs w:val="20"/>
                <w:lang w:val="fr-CA"/>
              </w:rPr>
              <w:t xml:space="preserve"> portent-elles atteinte à la protection conférée par l’article 23 de la </w:t>
            </w:r>
            <w:r w:rsidRPr="009C2345">
              <w:rPr>
                <w:i/>
                <w:sz w:val="20"/>
                <w:szCs w:val="20"/>
                <w:lang w:val="fr-CA"/>
              </w:rPr>
              <w:t>Charte québécoise</w:t>
            </w:r>
            <w:r w:rsidRPr="009C2345">
              <w:rPr>
                <w:sz w:val="20"/>
                <w:szCs w:val="20"/>
                <w:lang w:val="fr-CA"/>
              </w:rPr>
              <w:t xml:space="preserve">, c’est-à-dire au droit, « en toute égalité, à une audition publique et impartiale », avec pour effet de placer les fabricants de produits du tabac dans une situation de net désavantage par rapport au gouvernement et aux plaideurs privés? </w:t>
            </w:r>
            <w:r w:rsidRPr="009C2345">
              <w:rPr>
                <w:rFonts w:cs="Times New Roman"/>
                <w:sz w:val="20"/>
                <w:szCs w:val="20"/>
                <w:lang w:val="fr-CA"/>
              </w:rPr>
              <w:t>—</w:t>
            </w:r>
            <w:r w:rsidRPr="009C2345">
              <w:rPr>
                <w:i/>
                <w:sz w:val="20"/>
                <w:szCs w:val="20"/>
                <w:lang w:val="fr-CA"/>
              </w:rPr>
              <w:t xml:space="preserve"> Loi sur le recouvrement du coût des soins de santé et des dommages-intérêts liés au tabac</w:t>
            </w:r>
            <w:r w:rsidRPr="009C2345">
              <w:rPr>
                <w:sz w:val="20"/>
                <w:szCs w:val="20"/>
                <w:lang w:val="fr-CA"/>
              </w:rPr>
              <w:t>, RLRQ, ch. R-2.2.0.0.1.</w:t>
            </w:r>
          </w:p>
          <w:p w:rsidR="00547930" w:rsidRPr="009C2345" w:rsidRDefault="00547930" w:rsidP="00547930">
            <w:pPr>
              <w:jc w:val="both"/>
              <w:rPr>
                <w:sz w:val="20"/>
                <w:szCs w:val="20"/>
                <w:lang w:val="fr-CA"/>
              </w:rPr>
            </w:pPr>
          </w:p>
        </w:tc>
      </w:tr>
      <w:tr w:rsidR="00547930" w:rsidRPr="0082006E" w:rsidTr="00017A3C">
        <w:tc>
          <w:tcPr>
            <w:tcW w:w="5000" w:type="pct"/>
            <w:gridSpan w:val="3"/>
          </w:tcPr>
          <w:p w:rsidR="00547930" w:rsidRPr="009C2345" w:rsidRDefault="00547930" w:rsidP="00547930">
            <w:pPr>
              <w:jc w:val="both"/>
              <w:rPr>
                <w:sz w:val="20"/>
                <w:szCs w:val="20"/>
                <w:lang w:val="fr-CA"/>
              </w:rPr>
            </w:pPr>
            <w:r w:rsidRPr="009C2345">
              <w:rPr>
                <w:sz w:val="20"/>
                <w:szCs w:val="20"/>
                <w:lang w:val="fr-CA"/>
              </w:rPr>
              <w:t xml:space="preserve">Les fabricants de produits du tabac plaident que la </w:t>
            </w:r>
            <w:r w:rsidRPr="009C2345">
              <w:rPr>
                <w:i/>
                <w:sz w:val="20"/>
                <w:szCs w:val="20"/>
                <w:lang w:val="fr-CA"/>
              </w:rPr>
              <w:t xml:space="preserve">Loi </w:t>
            </w:r>
            <w:r w:rsidRPr="009C2345">
              <w:rPr>
                <w:sz w:val="20"/>
                <w:szCs w:val="20"/>
                <w:lang w:val="fr-CA"/>
              </w:rPr>
              <w:t>[québécoise]</w:t>
            </w:r>
            <w:r w:rsidRPr="009C2345">
              <w:rPr>
                <w:i/>
                <w:sz w:val="20"/>
                <w:szCs w:val="20"/>
                <w:lang w:val="fr-CA"/>
              </w:rPr>
              <w:t xml:space="preserve"> sur le recouvrement du coût des soins de santé et des dommages-intérêts liés au tabac</w:t>
            </w:r>
            <w:r w:rsidRPr="009C2345">
              <w:rPr>
                <w:sz w:val="20"/>
                <w:szCs w:val="20"/>
                <w:lang w:val="fr-CA"/>
              </w:rPr>
              <w:t xml:space="preserve"> est inconstitutionnelle, particulièrement à l’égard du droit, en toute égalité, à une audition publique et impartiale prévu à l’art. 23 de la </w:t>
            </w:r>
            <w:r w:rsidRPr="009C2345">
              <w:rPr>
                <w:i/>
                <w:sz w:val="20"/>
                <w:szCs w:val="20"/>
                <w:lang w:val="fr-CA"/>
              </w:rPr>
              <w:t>Charte québécoise</w:t>
            </w:r>
            <w:r w:rsidRPr="009C2345">
              <w:rPr>
                <w:sz w:val="20"/>
                <w:szCs w:val="20"/>
                <w:lang w:val="fr-CA"/>
              </w:rPr>
              <w:t xml:space="preserve">. Le 19 juin 2009, le gouvernement a sanctionné la loi, dont l’objet est d'établir des règles particulières applicables aux poursuites en recouvrement du coût des soins de santé et des dommages-intérêts contre les fabricants de produits du tabac. La loi a d’abord été contestée dans une requête en jugement déclaratoire. La requête subséquente de l’intimée en rejet sommaire a été rejetée et l’autorisation d’appel de cette décision a été refusée. En juin 2012, l’intimée a déposé une poursuite en dommages-intérêts de 60 milliards de dollars contre la demanderesse et d’autres défendeurs. Le juge de première instance a conclu que la loi ne violait pas la </w:t>
            </w:r>
            <w:r w:rsidRPr="009C2345">
              <w:rPr>
                <w:i/>
                <w:sz w:val="20"/>
                <w:szCs w:val="20"/>
                <w:lang w:val="fr-CA"/>
              </w:rPr>
              <w:t>Charte québécoise</w:t>
            </w:r>
            <w:r w:rsidRPr="009C2345">
              <w:rPr>
                <w:sz w:val="20"/>
                <w:szCs w:val="20"/>
                <w:lang w:val="fr-CA"/>
              </w:rPr>
              <w:t>. L’appel subséquent de la demanderesse à la Cour d’appel a également été rejeté.</w:t>
            </w:r>
          </w:p>
        </w:tc>
      </w:tr>
      <w:tr w:rsidR="00547930" w:rsidRPr="0082006E" w:rsidTr="00017A3C">
        <w:tc>
          <w:tcPr>
            <w:tcW w:w="5000" w:type="pct"/>
            <w:gridSpan w:val="3"/>
          </w:tcPr>
          <w:p w:rsidR="00547930" w:rsidRPr="009C2345" w:rsidRDefault="00547930" w:rsidP="00547930">
            <w:pPr>
              <w:jc w:val="both"/>
              <w:rPr>
                <w:sz w:val="20"/>
                <w:szCs w:val="20"/>
                <w:lang w:val="fr-CA"/>
              </w:rPr>
            </w:pPr>
          </w:p>
        </w:tc>
      </w:tr>
      <w:tr w:rsidR="00547930" w:rsidRPr="0082006E" w:rsidTr="00017A3C">
        <w:tc>
          <w:tcPr>
            <w:tcW w:w="2427" w:type="pct"/>
          </w:tcPr>
          <w:p w:rsidR="00547930" w:rsidRPr="009C2345" w:rsidRDefault="00547930" w:rsidP="00547930">
            <w:pPr>
              <w:jc w:val="both"/>
              <w:rPr>
                <w:sz w:val="20"/>
                <w:szCs w:val="20"/>
                <w:lang w:val="fr-CA"/>
              </w:rPr>
            </w:pPr>
            <w:r w:rsidRPr="009C2345">
              <w:rPr>
                <w:sz w:val="20"/>
                <w:szCs w:val="20"/>
                <w:lang w:val="fr-CA"/>
              </w:rPr>
              <w:t>28 janvier 2011</w:t>
            </w:r>
          </w:p>
          <w:p w:rsidR="00547930" w:rsidRPr="009C2345" w:rsidRDefault="00547930" w:rsidP="00547930">
            <w:pPr>
              <w:jc w:val="both"/>
              <w:rPr>
                <w:sz w:val="20"/>
                <w:szCs w:val="20"/>
                <w:lang w:val="fr-CA"/>
              </w:rPr>
            </w:pPr>
            <w:r w:rsidRPr="009C2345">
              <w:rPr>
                <w:sz w:val="20"/>
                <w:szCs w:val="20"/>
                <w:lang w:val="fr-CA"/>
              </w:rPr>
              <w:t>Cour d’appel du Québec (Montréal)</w:t>
            </w:r>
          </w:p>
          <w:p w:rsidR="00547930" w:rsidRPr="009C2345" w:rsidRDefault="00547930" w:rsidP="00547930">
            <w:pPr>
              <w:jc w:val="both"/>
              <w:rPr>
                <w:sz w:val="20"/>
                <w:szCs w:val="20"/>
                <w:lang w:val="fr-CA"/>
              </w:rPr>
            </w:pPr>
            <w:r w:rsidRPr="009C2345">
              <w:rPr>
                <w:sz w:val="20"/>
                <w:szCs w:val="20"/>
                <w:lang w:val="fr-CA"/>
              </w:rPr>
              <w:t>(Juge Cournoyer)</w:t>
            </w:r>
          </w:p>
          <w:p w:rsidR="00547930" w:rsidRPr="009C2345" w:rsidRDefault="0082006E" w:rsidP="00547930">
            <w:pPr>
              <w:jc w:val="both"/>
              <w:rPr>
                <w:color w:val="0000FF" w:themeColor="hyperlink"/>
                <w:sz w:val="20"/>
                <w:szCs w:val="20"/>
                <w:u w:val="single"/>
                <w:lang w:val="fr-CA"/>
              </w:rPr>
            </w:pPr>
            <w:hyperlink r:id="rId54" w:history="1">
              <w:r w:rsidR="00547930" w:rsidRPr="009C2345">
                <w:rPr>
                  <w:color w:val="0000FF" w:themeColor="hyperlink"/>
                  <w:sz w:val="20"/>
                  <w:szCs w:val="20"/>
                  <w:u w:val="single"/>
                  <w:lang w:val="fr-CA"/>
                </w:rPr>
                <w:t>2011 QCCA 132</w:t>
              </w:r>
            </w:hyperlink>
          </w:p>
          <w:p w:rsidR="00547930" w:rsidRPr="009C2345" w:rsidRDefault="00547930" w:rsidP="00547930">
            <w:pPr>
              <w:jc w:val="both"/>
              <w:rPr>
                <w:sz w:val="20"/>
                <w:szCs w:val="20"/>
                <w:lang w:val="fr-CA"/>
              </w:rPr>
            </w:pPr>
          </w:p>
        </w:tc>
        <w:tc>
          <w:tcPr>
            <w:tcW w:w="243" w:type="pct"/>
          </w:tcPr>
          <w:p w:rsidR="00547930" w:rsidRPr="009C2345" w:rsidRDefault="00547930" w:rsidP="00547930">
            <w:pPr>
              <w:jc w:val="both"/>
              <w:rPr>
                <w:sz w:val="20"/>
                <w:szCs w:val="20"/>
                <w:lang w:val="fr-CA"/>
              </w:rPr>
            </w:pPr>
          </w:p>
        </w:tc>
        <w:tc>
          <w:tcPr>
            <w:tcW w:w="2330" w:type="pct"/>
          </w:tcPr>
          <w:p w:rsidR="00547930" w:rsidRPr="009C2345" w:rsidRDefault="00547930" w:rsidP="00547930">
            <w:pPr>
              <w:jc w:val="both"/>
              <w:rPr>
                <w:sz w:val="20"/>
                <w:szCs w:val="20"/>
                <w:lang w:val="fr-CA"/>
              </w:rPr>
            </w:pPr>
            <w:r w:rsidRPr="009C2345">
              <w:rPr>
                <w:sz w:val="20"/>
                <w:szCs w:val="20"/>
                <w:lang w:val="fr-CA"/>
              </w:rPr>
              <w:t>Rejet de la requête pour permission d’appeler du rejet de la requête de l’intimée en rejet sommaire</w:t>
            </w:r>
            <w:r w:rsidR="00733B0A" w:rsidRPr="009C2345">
              <w:rPr>
                <w:sz w:val="20"/>
                <w:szCs w:val="20"/>
                <w:lang w:val="fr-CA"/>
              </w:rPr>
              <w:t>.</w:t>
            </w:r>
          </w:p>
          <w:p w:rsidR="00547930" w:rsidRPr="009C2345" w:rsidRDefault="00547930" w:rsidP="00547930">
            <w:pPr>
              <w:jc w:val="both"/>
              <w:rPr>
                <w:sz w:val="20"/>
                <w:szCs w:val="20"/>
                <w:lang w:val="fr-CA"/>
              </w:rPr>
            </w:pPr>
          </w:p>
        </w:tc>
      </w:tr>
      <w:tr w:rsidR="00547930" w:rsidRPr="0082006E" w:rsidTr="00017A3C">
        <w:tc>
          <w:tcPr>
            <w:tcW w:w="2427" w:type="pct"/>
          </w:tcPr>
          <w:p w:rsidR="00547930" w:rsidRPr="009C2345" w:rsidRDefault="00547930" w:rsidP="00547930">
            <w:pPr>
              <w:jc w:val="both"/>
              <w:rPr>
                <w:sz w:val="20"/>
                <w:szCs w:val="20"/>
                <w:lang w:val="fr-CA"/>
              </w:rPr>
            </w:pPr>
            <w:r w:rsidRPr="009C2345">
              <w:rPr>
                <w:sz w:val="20"/>
                <w:szCs w:val="20"/>
                <w:lang w:val="fr-CA"/>
              </w:rPr>
              <w:t>23 février 2012</w:t>
            </w:r>
          </w:p>
          <w:p w:rsidR="00547930" w:rsidRPr="009C2345" w:rsidRDefault="00547930" w:rsidP="00547930">
            <w:pPr>
              <w:jc w:val="both"/>
              <w:rPr>
                <w:sz w:val="20"/>
                <w:szCs w:val="20"/>
                <w:lang w:val="fr-CA"/>
              </w:rPr>
            </w:pPr>
            <w:r w:rsidRPr="009C2345">
              <w:rPr>
                <w:sz w:val="20"/>
                <w:szCs w:val="20"/>
                <w:lang w:val="fr-CA"/>
              </w:rPr>
              <w:t xml:space="preserve">Cour supérieure du Québec </w:t>
            </w:r>
          </w:p>
          <w:p w:rsidR="00547930" w:rsidRPr="009C2345" w:rsidRDefault="00547930" w:rsidP="00547930">
            <w:pPr>
              <w:jc w:val="both"/>
              <w:rPr>
                <w:sz w:val="20"/>
                <w:szCs w:val="20"/>
                <w:lang w:val="fr-CA"/>
              </w:rPr>
            </w:pPr>
            <w:r w:rsidRPr="009C2345">
              <w:rPr>
                <w:sz w:val="20"/>
                <w:szCs w:val="20"/>
                <w:lang w:val="fr-CA"/>
              </w:rPr>
              <w:t>(Juge Gascon)</w:t>
            </w:r>
          </w:p>
          <w:p w:rsidR="00547930" w:rsidRPr="009C2345" w:rsidRDefault="0082006E" w:rsidP="00547930">
            <w:pPr>
              <w:jc w:val="both"/>
              <w:rPr>
                <w:color w:val="0000FF" w:themeColor="hyperlink"/>
                <w:sz w:val="20"/>
                <w:szCs w:val="20"/>
                <w:u w:val="single"/>
                <w:lang w:val="fr-CA"/>
              </w:rPr>
            </w:pPr>
            <w:hyperlink r:id="rId55" w:history="1">
              <w:r w:rsidR="00547930" w:rsidRPr="009C2345">
                <w:rPr>
                  <w:color w:val="0000FF" w:themeColor="hyperlink"/>
                  <w:sz w:val="20"/>
                  <w:szCs w:val="20"/>
                  <w:u w:val="single"/>
                  <w:lang w:val="fr-CA"/>
                </w:rPr>
                <w:t>2012 QCCS 726</w:t>
              </w:r>
            </w:hyperlink>
          </w:p>
          <w:p w:rsidR="00547930" w:rsidRPr="009C2345" w:rsidRDefault="00547930" w:rsidP="00547930">
            <w:pPr>
              <w:jc w:val="both"/>
              <w:rPr>
                <w:sz w:val="20"/>
                <w:szCs w:val="20"/>
                <w:lang w:val="fr-CA"/>
              </w:rPr>
            </w:pPr>
          </w:p>
        </w:tc>
        <w:tc>
          <w:tcPr>
            <w:tcW w:w="243" w:type="pct"/>
          </w:tcPr>
          <w:p w:rsidR="00547930" w:rsidRPr="009C2345" w:rsidRDefault="00547930" w:rsidP="00547930">
            <w:pPr>
              <w:jc w:val="both"/>
              <w:rPr>
                <w:sz w:val="20"/>
                <w:szCs w:val="20"/>
                <w:lang w:val="fr-CA"/>
              </w:rPr>
            </w:pPr>
          </w:p>
        </w:tc>
        <w:tc>
          <w:tcPr>
            <w:tcW w:w="2330" w:type="pct"/>
          </w:tcPr>
          <w:p w:rsidR="00547930" w:rsidRPr="009C2345" w:rsidRDefault="00547930" w:rsidP="00733B0A">
            <w:pPr>
              <w:jc w:val="both"/>
              <w:rPr>
                <w:sz w:val="20"/>
                <w:szCs w:val="20"/>
                <w:lang w:val="fr-CA"/>
              </w:rPr>
            </w:pPr>
            <w:r w:rsidRPr="009C2345">
              <w:rPr>
                <w:sz w:val="20"/>
                <w:szCs w:val="20"/>
                <w:lang w:val="fr-CA"/>
              </w:rPr>
              <w:t>Jugement accueillant la requête de l’intimée en cassation de subpoena et accueillant l’objection à la communication de la preuve extrinsèque relative à la loi</w:t>
            </w:r>
          </w:p>
        </w:tc>
      </w:tr>
      <w:tr w:rsidR="00547930" w:rsidRPr="0082006E" w:rsidTr="00017A3C">
        <w:tc>
          <w:tcPr>
            <w:tcW w:w="2427" w:type="pct"/>
          </w:tcPr>
          <w:p w:rsidR="00547930" w:rsidRPr="009C2345" w:rsidRDefault="00547930" w:rsidP="00547930">
            <w:pPr>
              <w:jc w:val="both"/>
              <w:rPr>
                <w:sz w:val="20"/>
                <w:szCs w:val="20"/>
                <w:lang w:val="fr-CA"/>
              </w:rPr>
            </w:pPr>
            <w:r w:rsidRPr="009C2345">
              <w:rPr>
                <w:sz w:val="20"/>
                <w:szCs w:val="20"/>
                <w:lang w:val="fr-CA"/>
              </w:rPr>
              <w:t>5 décembre 2012</w:t>
            </w:r>
          </w:p>
          <w:p w:rsidR="00547930" w:rsidRPr="009C2345" w:rsidRDefault="00547930" w:rsidP="00547930">
            <w:pPr>
              <w:jc w:val="both"/>
              <w:rPr>
                <w:sz w:val="20"/>
                <w:szCs w:val="20"/>
                <w:lang w:val="fr-CA"/>
              </w:rPr>
            </w:pPr>
            <w:r w:rsidRPr="009C2345">
              <w:rPr>
                <w:sz w:val="20"/>
                <w:szCs w:val="20"/>
                <w:lang w:val="fr-CA"/>
              </w:rPr>
              <w:t>Cour d’appel du Québec (Montréal)</w:t>
            </w:r>
          </w:p>
          <w:p w:rsidR="00547930" w:rsidRPr="009C2345" w:rsidRDefault="00547930" w:rsidP="00547930">
            <w:pPr>
              <w:jc w:val="both"/>
              <w:rPr>
                <w:sz w:val="20"/>
                <w:szCs w:val="20"/>
                <w:lang w:val="fr-CA"/>
              </w:rPr>
            </w:pPr>
            <w:r w:rsidRPr="009C2345">
              <w:rPr>
                <w:sz w:val="20"/>
                <w:szCs w:val="20"/>
                <w:lang w:val="fr-CA"/>
              </w:rPr>
              <w:t>(Juges Morissette, Dufresne et Kasirer)</w:t>
            </w:r>
          </w:p>
          <w:p w:rsidR="00547930" w:rsidRPr="009C2345" w:rsidRDefault="0082006E" w:rsidP="00547930">
            <w:pPr>
              <w:jc w:val="both"/>
              <w:rPr>
                <w:color w:val="0000FF" w:themeColor="hyperlink"/>
                <w:sz w:val="20"/>
                <w:szCs w:val="20"/>
                <w:u w:val="single"/>
                <w:lang w:val="fr-CA"/>
              </w:rPr>
            </w:pPr>
            <w:hyperlink r:id="rId56" w:history="1">
              <w:r w:rsidR="00547930" w:rsidRPr="009C2345">
                <w:rPr>
                  <w:color w:val="0000FF" w:themeColor="hyperlink"/>
                  <w:sz w:val="20"/>
                  <w:szCs w:val="20"/>
                  <w:u w:val="single"/>
                  <w:lang w:val="fr-CA"/>
                </w:rPr>
                <w:t>2012 QCCA 2196</w:t>
              </w:r>
            </w:hyperlink>
          </w:p>
          <w:p w:rsidR="00547930" w:rsidRPr="009C2345" w:rsidRDefault="00547930" w:rsidP="00547930">
            <w:pPr>
              <w:jc w:val="both"/>
              <w:rPr>
                <w:sz w:val="20"/>
                <w:szCs w:val="20"/>
                <w:lang w:val="fr-CA"/>
              </w:rPr>
            </w:pPr>
          </w:p>
        </w:tc>
        <w:tc>
          <w:tcPr>
            <w:tcW w:w="243" w:type="pct"/>
          </w:tcPr>
          <w:p w:rsidR="00547930" w:rsidRPr="009C2345" w:rsidRDefault="00547930" w:rsidP="00547930">
            <w:pPr>
              <w:jc w:val="both"/>
              <w:rPr>
                <w:sz w:val="20"/>
                <w:szCs w:val="20"/>
                <w:lang w:val="fr-CA"/>
              </w:rPr>
            </w:pPr>
          </w:p>
        </w:tc>
        <w:tc>
          <w:tcPr>
            <w:tcW w:w="2330" w:type="pct"/>
          </w:tcPr>
          <w:p w:rsidR="00547930" w:rsidRPr="009C2345" w:rsidRDefault="00547930" w:rsidP="00547930">
            <w:pPr>
              <w:jc w:val="both"/>
              <w:rPr>
                <w:sz w:val="20"/>
                <w:szCs w:val="20"/>
                <w:lang w:val="fr-CA"/>
              </w:rPr>
            </w:pPr>
            <w:r w:rsidRPr="009C2345">
              <w:rPr>
                <w:sz w:val="20"/>
                <w:szCs w:val="20"/>
                <w:lang w:val="fr-CA"/>
              </w:rPr>
              <w:t>Arrêt confirmant la décision de casser le subpoena</w:t>
            </w:r>
          </w:p>
          <w:p w:rsidR="00547930" w:rsidRPr="009C2345" w:rsidRDefault="00547930" w:rsidP="00547930">
            <w:pPr>
              <w:jc w:val="both"/>
              <w:rPr>
                <w:sz w:val="20"/>
                <w:szCs w:val="20"/>
                <w:lang w:val="fr-CA"/>
              </w:rPr>
            </w:pPr>
          </w:p>
        </w:tc>
      </w:tr>
      <w:tr w:rsidR="00547930" w:rsidRPr="0082006E" w:rsidTr="00017A3C">
        <w:tc>
          <w:tcPr>
            <w:tcW w:w="2427" w:type="pct"/>
          </w:tcPr>
          <w:p w:rsidR="00547930" w:rsidRPr="009C2345" w:rsidRDefault="00547930" w:rsidP="00547930">
            <w:pPr>
              <w:jc w:val="both"/>
              <w:rPr>
                <w:sz w:val="20"/>
                <w:szCs w:val="20"/>
                <w:lang w:val="fr-CA"/>
              </w:rPr>
            </w:pPr>
            <w:r w:rsidRPr="009C2345">
              <w:rPr>
                <w:sz w:val="20"/>
                <w:szCs w:val="20"/>
                <w:lang w:val="fr-CA"/>
              </w:rPr>
              <w:t>5 mars 2014</w:t>
            </w:r>
          </w:p>
          <w:p w:rsidR="00547930" w:rsidRPr="009C2345" w:rsidRDefault="00547930" w:rsidP="00547930">
            <w:pPr>
              <w:jc w:val="both"/>
              <w:rPr>
                <w:sz w:val="20"/>
                <w:szCs w:val="20"/>
                <w:lang w:val="fr-CA"/>
              </w:rPr>
            </w:pPr>
            <w:r w:rsidRPr="009C2345">
              <w:rPr>
                <w:sz w:val="20"/>
                <w:szCs w:val="20"/>
                <w:lang w:val="fr-CA"/>
              </w:rPr>
              <w:t xml:space="preserve">Cour supérieure du Québec </w:t>
            </w:r>
          </w:p>
          <w:p w:rsidR="00547930" w:rsidRPr="009C2345" w:rsidRDefault="00547930" w:rsidP="00547930">
            <w:pPr>
              <w:jc w:val="both"/>
              <w:rPr>
                <w:sz w:val="20"/>
                <w:szCs w:val="20"/>
                <w:lang w:val="fr-CA"/>
              </w:rPr>
            </w:pPr>
            <w:r w:rsidRPr="009C2345">
              <w:rPr>
                <w:sz w:val="20"/>
                <w:szCs w:val="20"/>
                <w:lang w:val="fr-CA"/>
              </w:rPr>
              <w:t>(Juge Mongeau)</w:t>
            </w:r>
          </w:p>
          <w:p w:rsidR="00547930" w:rsidRPr="009C2345" w:rsidRDefault="0082006E" w:rsidP="00547930">
            <w:pPr>
              <w:jc w:val="both"/>
              <w:rPr>
                <w:color w:val="0000FF" w:themeColor="hyperlink"/>
                <w:sz w:val="20"/>
                <w:szCs w:val="20"/>
                <w:u w:val="single"/>
                <w:lang w:val="fr-CA"/>
              </w:rPr>
            </w:pPr>
            <w:hyperlink r:id="rId57" w:history="1">
              <w:r w:rsidR="00547930" w:rsidRPr="009C2345">
                <w:rPr>
                  <w:color w:val="0000FF" w:themeColor="hyperlink"/>
                  <w:sz w:val="20"/>
                  <w:szCs w:val="20"/>
                  <w:u w:val="single"/>
                  <w:lang w:val="fr-CA"/>
                </w:rPr>
                <w:t>2014 QCCS 842</w:t>
              </w:r>
            </w:hyperlink>
          </w:p>
          <w:p w:rsidR="00547930" w:rsidRPr="009C2345" w:rsidRDefault="00547930" w:rsidP="00547930">
            <w:pPr>
              <w:jc w:val="both"/>
              <w:rPr>
                <w:sz w:val="20"/>
                <w:szCs w:val="20"/>
                <w:lang w:val="fr-CA"/>
              </w:rPr>
            </w:pPr>
          </w:p>
        </w:tc>
        <w:tc>
          <w:tcPr>
            <w:tcW w:w="243" w:type="pct"/>
          </w:tcPr>
          <w:p w:rsidR="00547930" w:rsidRPr="009C2345" w:rsidRDefault="00547930" w:rsidP="00547930">
            <w:pPr>
              <w:jc w:val="both"/>
              <w:rPr>
                <w:sz w:val="20"/>
                <w:szCs w:val="20"/>
                <w:lang w:val="fr-CA"/>
              </w:rPr>
            </w:pPr>
          </w:p>
        </w:tc>
        <w:tc>
          <w:tcPr>
            <w:tcW w:w="2330" w:type="pct"/>
          </w:tcPr>
          <w:p w:rsidR="00547930" w:rsidRPr="009C2345" w:rsidRDefault="00547930" w:rsidP="00547930">
            <w:pPr>
              <w:jc w:val="both"/>
              <w:rPr>
                <w:sz w:val="20"/>
                <w:szCs w:val="20"/>
                <w:lang w:val="fr-CA"/>
              </w:rPr>
            </w:pPr>
            <w:r w:rsidRPr="009C2345">
              <w:rPr>
                <w:sz w:val="20"/>
                <w:szCs w:val="20"/>
                <w:lang w:val="fr-CA"/>
              </w:rPr>
              <w:t>Rejet de la requête en jugement déclaratoire contestant la validité de la loi</w:t>
            </w:r>
          </w:p>
          <w:p w:rsidR="00547930" w:rsidRPr="009C2345" w:rsidRDefault="00547930" w:rsidP="00547930">
            <w:pPr>
              <w:jc w:val="both"/>
              <w:rPr>
                <w:sz w:val="20"/>
                <w:szCs w:val="20"/>
                <w:lang w:val="fr-CA"/>
              </w:rPr>
            </w:pPr>
          </w:p>
        </w:tc>
      </w:tr>
    </w:tbl>
    <w:p w:rsidR="00733B0A" w:rsidRPr="009C2345" w:rsidRDefault="00733B0A">
      <w:pPr>
        <w:rPr>
          <w:lang w:val="fr-CA"/>
        </w:rPr>
      </w:pPr>
      <w:r w:rsidRPr="009C234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47930" w:rsidRPr="0082006E" w:rsidTr="00017A3C">
        <w:tc>
          <w:tcPr>
            <w:tcW w:w="2427" w:type="pct"/>
          </w:tcPr>
          <w:p w:rsidR="00547930" w:rsidRPr="009C2345" w:rsidRDefault="00547930" w:rsidP="00547930">
            <w:pPr>
              <w:jc w:val="both"/>
              <w:rPr>
                <w:sz w:val="20"/>
                <w:szCs w:val="20"/>
                <w:lang w:val="fr-CA"/>
              </w:rPr>
            </w:pPr>
            <w:r w:rsidRPr="009C2345">
              <w:rPr>
                <w:sz w:val="20"/>
                <w:szCs w:val="20"/>
                <w:lang w:val="fr-CA"/>
              </w:rPr>
              <w:t>28 septembre 2015</w:t>
            </w:r>
          </w:p>
          <w:p w:rsidR="00547930" w:rsidRPr="009C2345" w:rsidRDefault="00547930" w:rsidP="00547930">
            <w:pPr>
              <w:jc w:val="both"/>
              <w:rPr>
                <w:sz w:val="20"/>
                <w:szCs w:val="20"/>
                <w:lang w:val="fr-CA"/>
              </w:rPr>
            </w:pPr>
            <w:r w:rsidRPr="009C2345">
              <w:rPr>
                <w:sz w:val="20"/>
                <w:szCs w:val="20"/>
                <w:lang w:val="fr-CA"/>
              </w:rPr>
              <w:t>Cour d’appel du Québec (Montréal)</w:t>
            </w:r>
          </w:p>
          <w:p w:rsidR="00547930" w:rsidRPr="009C2345" w:rsidRDefault="00547930" w:rsidP="00547930">
            <w:pPr>
              <w:jc w:val="both"/>
              <w:rPr>
                <w:sz w:val="20"/>
                <w:szCs w:val="20"/>
                <w:lang w:val="fr-CA"/>
              </w:rPr>
            </w:pPr>
            <w:r w:rsidRPr="009C2345">
              <w:rPr>
                <w:sz w:val="20"/>
                <w:szCs w:val="20"/>
                <w:lang w:val="fr-CA"/>
              </w:rPr>
              <w:t>(Juges Vézina, Savard et Marcotte)</w:t>
            </w:r>
          </w:p>
          <w:p w:rsidR="00547930" w:rsidRPr="009C2345" w:rsidRDefault="0082006E" w:rsidP="00547930">
            <w:pPr>
              <w:jc w:val="both"/>
              <w:rPr>
                <w:color w:val="0000FF" w:themeColor="hyperlink"/>
                <w:sz w:val="20"/>
                <w:szCs w:val="20"/>
                <w:u w:val="single"/>
                <w:lang w:val="fr-CA"/>
              </w:rPr>
            </w:pPr>
            <w:hyperlink r:id="rId58" w:history="1">
              <w:r w:rsidR="00547930" w:rsidRPr="009C2345">
                <w:rPr>
                  <w:color w:val="0000FF" w:themeColor="hyperlink"/>
                  <w:sz w:val="20"/>
                  <w:szCs w:val="20"/>
                  <w:u w:val="single"/>
                  <w:lang w:val="fr-CA"/>
                </w:rPr>
                <w:t>2015 QCCA 1554</w:t>
              </w:r>
            </w:hyperlink>
          </w:p>
          <w:p w:rsidR="00547930" w:rsidRPr="009C2345" w:rsidRDefault="00547930" w:rsidP="00547930">
            <w:pPr>
              <w:jc w:val="both"/>
              <w:rPr>
                <w:sz w:val="20"/>
                <w:szCs w:val="20"/>
                <w:lang w:val="fr-CA"/>
              </w:rPr>
            </w:pPr>
          </w:p>
        </w:tc>
        <w:tc>
          <w:tcPr>
            <w:tcW w:w="243" w:type="pct"/>
          </w:tcPr>
          <w:p w:rsidR="00547930" w:rsidRPr="009C2345" w:rsidRDefault="00547930" w:rsidP="00547930">
            <w:pPr>
              <w:jc w:val="both"/>
              <w:rPr>
                <w:sz w:val="20"/>
                <w:szCs w:val="20"/>
                <w:lang w:val="fr-CA"/>
              </w:rPr>
            </w:pPr>
          </w:p>
        </w:tc>
        <w:tc>
          <w:tcPr>
            <w:tcW w:w="2330" w:type="pct"/>
          </w:tcPr>
          <w:p w:rsidR="00547930" w:rsidRPr="009C2345" w:rsidRDefault="00547930" w:rsidP="00547930">
            <w:pPr>
              <w:jc w:val="both"/>
              <w:rPr>
                <w:sz w:val="20"/>
                <w:szCs w:val="20"/>
                <w:lang w:val="fr-CA"/>
              </w:rPr>
            </w:pPr>
            <w:r w:rsidRPr="009C2345">
              <w:rPr>
                <w:sz w:val="20"/>
                <w:szCs w:val="20"/>
                <w:lang w:val="fr-CA"/>
              </w:rPr>
              <w:t>Rejet de l’appel du jugement de première instance</w:t>
            </w:r>
          </w:p>
          <w:p w:rsidR="00547930" w:rsidRPr="009C2345" w:rsidRDefault="00547930" w:rsidP="00547930">
            <w:pPr>
              <w:jc w:val="both"/>
              <w:rPr>
                <w:sz w:val="20"/>
                <w:szCs w:val="20"/>
                <w:lang w:val="fr-CA"/>
              </w:rPr>
            </w:pPr>
          </w:p>
        </w:tc>
      </w:tr>
      <w:tr w:rsidR="00547930" w:rsidRPr="0082006E" w:rsidTr="00017A3C">
        <w:tc>
          <w:tcPr>
            <w:tcW w:w="2427" w:type="pct"/>
          </w:tcPr>
          <w:p w:rsidR="00547930" w:rsidRPr="009C2345" w:rsidRDefault="00547930" w:rsidP="00547930">
            <w:pPr>
              <w:jc w:val="both"/>
              <w:rPr>
                <w:sz w:val="20"/>
                <w:szCs w:val="20"/>
                <w:lang w:val="fr-CA"/>
              </w:rPr>
            </w:pPr>
            <w:r w:rsidRPr="009C2345">
              <w:rPr>
                <w:sz w:val="20"/>
                <w:szCs w:val="20"/>
                <w:lang w:val="fr-CA"/>
              </w:rPr>
              <w:t>27 novembre 2015</w:t>
            </w:r>
          </w:p>
          <w:p w:rsidR="00547930" w:rsidRPr="009C2345" w:rsidRDefault="00547930" w:rsidP="00547930">
            <w:pPr>
              <w:jc w:val="both"/>
              <w:rPr>
                <w:sz w:val="20"/>
                <w:szCs w:val="20"/>
                <w:lang w:val="fr-CA"/>
              </w:rPr>
            </w:pPr>
            <w:r w:rsidRPr="009C2345">
              <w:rPr>
                <w:sz w:val="20"/>
                <w:szCs w:val="20"/>
                <w:lang w:val="fr-CA"/>
              </w:rPr>
              <w:t>Cour suprême du Canada</w:t>
            </w:r>
          </w:p>
        </w:tc>
        <w:tc>
          <w:tcPr>
            <w:tcW w:w="243" w:type="pct"/>
          </w:tcPr>
          <w:p w:rsidR="00547930" w:rsidRPr="009C2345" w:rsidRDefault="00547930" w:rsidP="00547930">
            <w:pPr>
              <w:jc w:val="both"/>
              <w:rPr>
                <w:sz w:val="20"/>
                <w:szCs w:val="20"/>
                <w:lang w:val="fr-CA"/>
              </w:rPr>
            </w:pPr>
          </w:p>
        </w:tc>
        <w:tc>
          <w:tcPr>
            <w:tcW w:w="2330" w:type="pct"/>
          </w:tcPr>
          <w:p w:rsidR="00547930" w:rsidRPr="009C2345" w:rsidRDefault="00547930" w:rsidP="00547930">
            <w:pPr>
              <w:jc w:val="both"/>
              <w:rPr>
                <w:sz w:val="20"/>
                <w:szCs w:val="20"/>
                <w:lang w:val="fr-CA"/>
              </w:rPr>
            </w:pPr>
            <w:r w:rsidRPr="009C2345">
              <w:rPr>
                <w:sz w:val="20"/>
                <w:szCs w:val="20"/>
                <w:lang w:val="fr-CA"/>
              </w:rPr>
              <w:t>Dépôt de la demande d’autorisation d’appel</w:t>
            </w:r>
          </w:p>
          <w:p w:rsidR="00547930" w:rsidRPr="009C2345" w:rsidRDefault="00547930" w:rsidP="00547930">
            <w:pPr>
              <w:jc w:val="both"/>
              <w:rPr>
                <w:sz w:val="20"/>
                <w:szCs w:val="20"/>
                <w:lang w:val="fr-CA"/>
              </w:rPr>
            </w:pPr>
          </w:p>
        </w:tc>
      </w:tr>
    </w:tbl>
    <w:p w:rsidR="00616675" w:rsidRPr="009C2345" w:rsidRDefault="00616675" w:rsidP="008D292F">
      <w:pPr>
        <w:rPr>
          <w:sz w:val="20"/>
          <w:szCs w:val="20"/>
          <w:lang w:val="fr-CA"/>
        </w:rPr>
      </w:pPr>
    </w:p>
    <w:p w:rsidR="00616675" w:rsidRPr="009C2345" w:rsidRDefault="0082006E" w:rsidP="008D292F">
      <w:pPr>
        <w:rPr>
          <w:sz w:val="20"/>
          <w:szCs w:val="20"/>
          <w:lang w:val="fr-CA"/>
        </w:rPr>
      </w:pPr>
      <w:r>
        <w:rPr>
          <w:sz w:val="20"/>
          <w:szCs w:val="20"/>
          <w:lang w:val="fr-CA"/>
        </w:rPr>
        <w:pict>
          <v:rect id="_x0000_i1055" style="width:2in;height:1pt" o:hrpct="0" o:hralign="center" o:hrstd="t" o:hrnoshade="t" o:hr="t" fillcolor="black [3213]" stroked="f"/>
        </w:pict>
      </w:r>
    </w:p>
    <w:p w:rsidR="00616675" w:rsidRPr="009C2345" w:rsidRDefault="00616675" w:rsidP="008D292F">
      <w:pPr>
        <w:rPr>
          <w:sz w:val="20"/>
          <w:szCs w:val="20"/>
          <w:lang w:val="fr-CA"/>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72"/>
      </w:tblGrid>
      <w:tr w:rsidR="00031F07" w:rsidRPr="0082006E" w:rsidTr="00525901">
        <w:trPr>
          <w:cantSplit/>
          <w:trHeight w:val="887"/>
        </w:trPr>
        <w:tc>
          <w:tcPr>
            <w:tcW w:w="1458" w:type="dxa"/>
          </w:tcPr>
          <w:p w:rsidR="00031F07" w:rsidRPr="00C063FA" w:rsidRDefault="00031F07" w:rsidP="00017A3C">
            <w:pPr>
              <w:rPr>
                <w:sz w:val="20"/>
                <w:szCs w:val="20"/>
              </w:rPr>
            </w:pPr>
            <w:r w:rsidRPr="00C063FA">
              <w:rPr>
                <w:rStyle w:val="SCCFileNumberChar"/>
                <w:sz w:val="20"/>
                <w:szCs w:val="20"/>
              </w:rPr>
              <w:t>36775</w:t>
            </w:r>
          </w:p>
          <w:p w:rsidR="00031F07" w:rsidRPr="00C063FA" w:rsidRDefault="00031F07" w:rsidP="00017A3C">
            <w:pPr>
              <w:rPr>
                <w:b/>
                <w:sz w:val="20"/>
                <w:szCs w:val="20"/>
                <w:lang w:val="fr-CA"/>
              </w:rPr>
            </w:pPr>
          </w:p>
        </w:tc>
        <w:tc>
          <w:tcPr>
            <w:tcW w:w="8172" w:type="dxa"/>
          </w:tcPr>
          <w:p w:rsidR="00031F07" w:rsidRPr="00C063FA" w:rsidRDefault="001F1668" w:rsidP="004E6EF3">
            <w:pPr>
              <w:jc w:val="both"/>
              <w:rPr>
                <w:sz w:val="20"/>
                <w:szCs w:val="20"/>
                <w:lang w:val="fr-CA"/>
              </w:rPr>
            </w:pPr>
            <w:r w:rsidRPr="00C063FA">
              <w:rPr>
                <w:b/>
                <w:sz w:val="20"/>
                <w:szCs w:val="20"/>
                <w:u w:val="single"/>
                <w:lang w:val="fr-CA"/>
              </w:rPr>
              <w:t xml:space="preserve">Procureure générale du Québec c. Ronald Guérin - et - Conseil d’arbitrage, Fédération des médecins spécialistes du Québec et Régie de l’assurance maladie du Québec </w:t>
            </w:r>
            <w:r w:rsidR="00031F07" w:rsidRPr="00C063FA">
              <w:rPr>
                <w:sz w:val="20"/>
                <w:szCs w:val="20"/>
                <w:lang w:val="fr-CA"/>
              </w:rPr>
              <w:t>(Q</w:t>
            </w:r>
            <w:r w:rsidRPr="00C063FA">
              <w:rPr>
                <w:sz w:val="20"/>
                <w:szCs w:val="20"/>
                <w:lang w:val="fr-CA"/>
              </w:rPr>
              <w:t>c</w:t>
            </w:r>
            <w:r w:rsidR="00031F07" w:rsidRPr="00C063FA">
              <w:rPr>
                <w:sz w:val="20"/>
                <w:szCs w:val="20"/>
                <w:lang w:val="fr-CA"/>
              </w:rPr>
              <w:t>) (Civil</w:t>
            </w:r>
            <w:r w:rsidRPr="00C063FA">
              <w:rPr>
                <w:sz w:val="20"/>
                <w:szCs w:val="20"/>
                <w:lang w:val="fr-CA"/>
              </w:rPr>
              <w:t>e</w:t>
            </w:r>
            <w:r w:rsidR="00031F07" w:rsidRPr="00C063FA">
              <w:rPr>
                <w:sz w:val="20"/>
                <w:szCs w:val="20"/>
                <w:lang w:val="fr-CA"/>
              </w:rPr>
              <w:t>) (</w:t>
            </w:r>
            <w:r w:rsidRPr="00C063FA">
              <w:rPr>
                <w:sz w:val="20"/>
                <w:szCs w:val="20"/>
                <w:lang w:val="fr-CA"/>
              </w:rPr>
              <w:t>Autorisation</w:t>
            </w:r>
            <w:r w:rsidR="00031F07" w:rsidRPr="00C063FA">
              <w:rPr>
                <w:sz w:val="20"/>
                <w:szCs w:val="20"/>
                <w:lang w:val="fr-CA"/>
              </w:rPr>
              <w:t>)</w:t>
            </w:r>
          </w:p>
          <w:p w:rsidR="00031F07" w:rsidRPr="00C063FA" w:rsidRDefault="00031F07" w:rsidP="00017A3C">
            <w:pPr>
              <w:rPr>
                <w:sz w:val="20"/>
                <w:szCs w:val="20"/>
                <w:lang w:val="fr-CA"/>
              </w:rPr>
            </w:pPr>
          </w:p>
        </w:tc>
      </w:tr>
      <w:tr w:rsidR="00031F07" w:rsidRPr="0082006E" w:rsidTr="00525901">
        <w:trPr>
          <w:cantSplit/>
        </w:trPr>
        <w:tc>
          <w:tcPr>
            <w:tcW w:w="1458" w:type="dxa"/>
          </w:tcPr>
          <w:p w:rsidR="00031F07" w:rsidRPr="00C063FA" w:rsidRDefault="00031F07" w:rsidP="00017A3C">
            <w:pPr>
              <w:rPr>
                <w:sz w:val="20"/>
                <w:szCs w:val="20"/>
              </w:rPr>
            </w:pPr>
            <w:r w:rsidRPr="00C063FA">
              <w:rPr>
                <w:sz w:val="20"/>
                <w:szCs w:val="20"/>
              </w:rPr>
              <w:t>Coram :</w:t>
            </w:r>
          </w:p>
        </w:tc>
        <w:tc>
          <w:tcPr>
            <w:tcW w:w="8172" w:type="dxa"/>
          </w:tcPr>
          <w:p w:rsidR="00031F07" w:rsidRPr="00C063FA" w:rsidRDefault="001F1668" w:rsidP="00017A3C">
            <w:pPr>
              <w:rPr>
                <w:rStyle w:val="SCCCoramChar"/>
                <w:sz w:val="20"/>
                <w:szCs w:val="20"/>
              </w:rPr>
            </w:pPr>
            <w:r w:rsidRPr="00C063FA">
              <w:rPr>
                <w:rStyle w:val="SCCCoramChar"/>
                <w:sz w:val="20"/>
                <w:szCs w:val="20"/>
              </w:rPr>
              <w:t xml:space="preserve">Les juges Cromwell, Wagner et Côté </w:t>
            </w:r>
          </w:p>
          <w:p w:rsidR="001F1668" w:rsidRPr="00C063FA" w:rsidRDefault="001F1668" w:rsidP="00017A3C">
            <w:pPr>
              <w:rPr>
                <w:sz w:val="20"/>
                <w:szCs w:val="20"/>
                <w:lang w:val="fr-CA"/>
              </w:rPr>
            </w:pPr>
          </w:p>
        </w:tc>
      </w:tr>
      <w:tr w:rsidR="00031F07" w:rsidRPr="00C063FA" w:rsidTr="00525901">
        <w:trPr>
          <w:cantSplit/>
        </w:trPr>
        <w:tc>
          <w:tcPr>
            <w:tcW w:w="9630" w:type="dxa"/>
            <w:gridSpan w:val="2"/>
          </w:tcPr>
          <w:p w:rsidR="00031F07" w:rsidRPr="00C063FA" w:rsidRDefault="001F1668" w:rsidP="00017A3C">
            <w:pPr>
              <w:pStyle w:val="SCCShortJudgment"/>
              <w:ind w:firstLine="0"/>
              <w:rPr>
                <w:lang w:val="fr-CA"/>
              </w:rPr>
            </w:pPr>
            <w:r w:rsidRPr="00C063FA">
              <w:rPr>
                <w:lang w:val="fr-CA"/>
              </w:rPr>
              <w:tab/>
              <w:t>La demande d’autorisation d’appel de l’arrêt de la Cour d’appel du Québec (Montréal), numéro 500-09-024184-145, 2015 QCCA 1726, daté du 21 octobre 2015, est accueillie avec dépens suivant l’issue de la cause.</w:t>
            </w:r>
          </w:p>
          <w:p w:rsidR="001F1668" w:rsidRPr="00C063FA" w:rsidRDefault="001F1668" w:rsidP="00017A3C">
            <w:pPr>
              <w:pStyle w:val="SCCShortJudgment"/>
              <w:ind w:firstLine="0"/>
              <w:rPr>
                <w:szCs w:val="20"/>
                <w:lang w:val="fr-CA"/>
              </w:rPr>
            </w:pPr>
          </w:p>
          <w:p w:rsidR="00031F07" w:rsidRPr="00C063FA" w:rsidRDefault="001F1668" w:rsidP="00017A3C">
            <w:pPr>
              <w:pStyle w:val="SCCShortJudgment"/>
              <w:rPr>
                <w:szCs w:val="20"/>
              </w:rPr>
            </w:pPr>
            <w:r w:rsidRPr="00C063FA">
              <w:t>The application for leave to appeal from the judgment of the Court of Appeal of Quebec (Montréal), Number 500-09-024184-145, 2015 QCCA 1726, dated October 21, 2015, is granted with costs in the cause.</w:t>
            </w:r>
          </w:p>
        </w:tc>
      </w:tr>
    </w:tbl>
    <w:p w:rsidR="00031F07" w:rsidRPr="009C2345" w:rsidRDefault="00031F07" w:rsidP="00031F07">
      <w:pPr>
        <w:rPr>
          <w:sz w:val="20"/>
          <w:szCs w:val="20"/>
        </w:rPr>
      </w:pPr>
    </w:p>
    <w:p w:rsidR="00031F07" w:rsidRPr="009C2345" w:rsidRDefault="00031F07" w:rsidP="00031F07">
      <w:pPr>
        <w:rPr>
          <w:sz w:val="20"/>
          <w:szCs w:val="20"/>
          <w:u w:val="single"/>
        </w:rPr>
      </w:pPr>
      <w:r w:rsidRPr="009C2345">
        <w:rPr>
          <w:sz w:val="20"/>
          <w:szCs w:val="20"/>
          <w:u w:val="single"/>
        </w:rPr>
        <w:t>CASE SUMMARY</w:t>
      </w:r>
    </w:p>
    <w:p w:rsidR="00031F07" w:rsidRPr="009C2345" w:rsidRDefault="00031F07" w:rsidP="00031F07">
      <w:pPr>
        <w:rPr>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4619"/>
        <w:gridCol w:w="462"/>
        <w:gridCol w:w="4538"/>
      </w:tblGrid>
      <w:tr w:rsidR="003C5775" w:rsidRPr="009C2345" w:rsidTr="00525901">
        <w:tc>
          <w:tcPr>
            <w:tcW w:w="5000" w:type="pct"/>
            <w:gridSpan w:val="3"/>
          </w:tcPr>
          <w:p w:rsidR="003C5775" w:rsidRPr="009C2345" w:rsidRDefault="003C5775" w:rsidP="003C5775">
            <w:pPr>
              <w:autoSpaceDE w:val="0"/>
              <w:autoSpaceDN w:val="0"/>
              <w:adjustRightInd w:val="0"/>
              <w:jc w:val="both"/>
              <w:rPr>
                <w:sz w:val="20"/>
                <w:szCs w:val="20"/>
              </w:rPr>
            </w:pPr>
            <w:r w:rsidRPr="009C2345">
              <w:rPr>
                <w:sz w:val="20"/>
                <w:szCs w:val="20"/>
              </w:rPr>
              <w:t xml:space="preserve">Health law — Public health insurance plan — Administration — Whether medical specialist, as individual, may submit dispute to council of arbitration established by s. 54 of </w:t>
            </w:r>
            <w:r w:rsidRPr="009C2345">
              <w:rPr>
                <w:i/>
                <w:sz w:val="20"/>
                <w:szCs w:val="20"/>
              </w:rPr>
              <w:t>Health Insurance Act</w:t>
            </w:r>
            <w:r w:rsidRPr="009C2345">
              <w:rPr>
                <w:sz w:val="20"/>
                <w:szCs w:val="20"/>
              </w:rPr>
              <w:t>, CQLR c. A</w:t>
            </w:r>
            <w:r w:rsidRPr="009C2345">
              <w:rPr>
                <w:sz w:val="20"/>
                <w:szCs w:val="20"/>
              </w:rPr>
              <w:noBreakHyphen/>
              <w:t>29 (“</w:t>
            </w:r>
            <w:r w:rsidRPr="009C2345">
              <w:rPr>
                <w:i/>
                <w:sz w:val="20"/>
                <w:szCs w:val="20"/>
              </w:rPr>
              <w:t>HIA</w:t>
            </w:r>
            <w:r w:rsidRPr="009C2345">
              <w:rPr>
                <w:sz w:val="20"/>
                <w:szCs w:val="20"/>
              </w:rPr>
              <w:t xml:space="preserve">”), or whether only medical specialist’s representative association, Fédération des médecins spécialistes du Québec (“Fédération”), has interest required </w:t>
            </w:r>
            <w:r w:rsidRPr="009C2345">
              <w:rPr>
                <w:rFonts w:cs="Times New Roman"/>
                <w:sz w:val="20"/>
                <w:szCs w:val="20"/>
              </w:rPr>
              <w:t>— Whether s</w:t>
            </w:r>
            <w:r w:rsidRPr="009C2345">
              <w:rPr>
                <w:sz w:val="20"/>
                <w:szCs w:val="20"/>
              </w:rPr>
              <w:t xml:space="preserve">. 54 of </w:t>
            </w:r>
            <w:r w:rsidRPr="009C2345">
              <w:rPr>
                <w:i/>
                <w:sz w:val="20"/>
                <w:szCs w:val="20"/>
              </w:rPr>
              <w:t>HIA</w:t>
            </w:r>
            <w:r w:rsidRPr="009C2345">
              <w:rPr>
                <w:sz w:val="20"/>
                <w:szCs w:val="20"/>
              </w:rPr>
              <w:t xml:space="preserve"> prevents negotiating parties (Fédération and Minister of Health and Social Services of Quebec) from using bipartite process created by agreement rather than arbitration provided for in statute to resolve potential disputes surrounding designation of laboratories for purposes of digitization fee </w:t>
            </w:r>
            <w:r w:rsidRPr="009C2345">
              <w:rPr>
                <w:rFonts w:cs="Times New Roman"/>
                <w:sz w:val="20"/>
                <w:szCs w:val="20"/>
              </w:rPr>
              <w:t>—</w:t>
            </w:r>
            <w:r w:rsidRPr="009C2345">
              <w:rPr>
                <w:sz w:val="20"/>
                <w:szCs w:val="20"/>
              </w:rPr>
              <w:t xml:space="preserve"> Whether s. 54 of </w:t>
            </w:r>
            <w:r w:rsidRPr="009C2345">
              <w:rPr>
                <w:i/>
                <w:sz w:val="20"/>
                <w:szCs w:val="20"/>
              </w:rPr>
              <w:t>HIA</w:t>
            </w:r>
            <w:r w:rsidRPr="009C2345">
              <w:rPr>
                <w:sz w:val="20"/>
                <w:szCs w:val="20"/>
              </w:rPr>
              <w:t xml:space="preserve"> prevents negotiating parties from determining in agreement how and by whom dispute may be submitted to council of arbitration </w:t>
            </w:r>
            <w:r w:rsidRPr="009C2345">
              <w:rPr>
                <w:rFonts w:cs="Times New Roman"/>
                <w:sz w:val="20"/>
                <w:szCs w:val="20"/>
              </w:rPr>
              <w:t>— Whether unanimous refusal of negotiating parties to designate laboratory for purposes of digitization fee</w:t>
            </w:r>
            <w:r w:rsidRPr="009C2345">
              <w:rPr>
                <w:sz w:val="20"/>
                <w:szCs w:val="20"/>
              </w:rPr>
              <w:t xml:space="preserve">, even though they specified in agreement that they would determine designation, constitutes dispute resulting from interpretation or application of agreement. </w:t>
            </w:r>
          </w:p>
        </w:tc>
      </w:tr>
      <w:tr w:rsidR="003C5775" w:rsidRPr="009C2345" w:rsidTr="00525901">
        <w:tc>
          <w:tcPr>
            <w:tcW w:w="5000" w:type="pct"/>
            <w:gridSpan w:val="3"/>
          </w:tcPr>
          <w:p w:rsidR="003C5775" w:rsidRPr="009C2345" w:rsidRDefault="003C5775" w:rsidP="003C5775">
            <w:pPr>
              <w:jc w:val="both"/>
              <w:rPr>
                <w:sz w:val="20"/>
                <w:szCs w:val="20"/>
              </w:rPr>
            </w:pPr>
          </w:p>
        </w:tc>
      </w:tr>
      <w:tr w:rsidR="003C5775" w:rsidRPr="009C2345" w:rsidTr="00525901">
        <w:tc>
          <w:tcPr>
            <w:tcW w:w="5000" w:type="pct"/>
            <w:gridSpan w:val="3"/>
          </w:tcPr>
          <w:p w:rsidR="003C5775" w:rsidRPr="009C2345" w:rsidRDefault="003C5775" w:rsidP="003C5775">
            <w:pPr>
              <w:autoSpaceDE w:val="0"/>
              <w:autoSpaceDN w:val="0"/>
              <w:adjustRightInd w:val="0"/>
              <w:jc w:val="both"/>
              <w:rPr>
                <w:sz w:val="20"/>
                <w:szCs w:val="20"/>
              </w:rPr>
            </w:pPr>
            <w:r w:rsidRPr="009C2345">
              <w:rPr>
                <w:sz w:val="20"/>
                <w:szCs w:val="20"/>
              </w:rPr>
              <w:t xml:space="preserve">The Attorney General of Quebec is applying for leave to appeal the judgment rendered by the Court of Appeal on October 21, 2015 dismissing the appeal from the judgment rendered on December 18, 2013 by the Superior Court, which allowed the motion for judicial review brought by the respondent, Dr. Ronald Guérin. Specifically, the Superior Court reversed the decision made by the council of arbitration on January 29, 2013 and found that the council had jurisdiction to decide the dispute submitted by the respondent on January 30, 2012. The respondent had asked the council of arbitration to declare that the clinics he represented met the necessary conditions for obtaining a special fee. The issue is whether a medical specialist, as an individual, may submit that dispute to the council of arbitration established by s. 54 of the </w:t>
            </w:r>
            <w:r w:rsidRPr="009C2345">
              <w:rPr>
                <w:i/>
                <w:sz w:val="20"/>
                <w:szCs w:val="20"/>
              </w:rPr>
              <w:t>Health Insurance Act</w:t>
            </w:r>
            <w:r w:rsidRPr="009C2345">
              <w:rPr>
                <w:sz w:val="20"/>
                <w:szCs w:val="20"/>
              </w:rPr>
              <w:t xml:space="preserve"> or whether only the medical specialist’s representative association, the Fédération des médecins spécialistes du Québec, has the interest required.</w:t>
            </w:r>
          </w:p>
          <w:p w:rsidR="003C5775" w:rsidRPr="009C2345" w:rsidRDefault="003C5775" w:rsidP="003C5775">
            <w:pPr>
              <w:jc w:val="both"/>
              <w:rPr>
                <w:sz w:val="20"/>
                <w:szCs w:val="20"/>
              </w:rPr>
            </w:pPr>
          </w:p>
        </w:tc>
      </w:tr>
      <w:tr w:rsidR="003C5775" w:rsidRPr="009C2345" w:rsidTr="00525901">
        <w:tc>
          <w:tcPr>
            <w:tcW w:w="2401" w:type="pct"/>
          </w:tcPr>
          <w:p w:rsidR="003C5775" w:rsidRPr="009C2345" w:rsidRDefault="003C5775" w:rsidP="003C5775">
            <w:pPr>
              <w:jc w:val="both"/>
              <w:rPr>
                <w:sz w:val="20"/>
                <w:szCs w:val="20"/>
              </w:rPr>
            </w:pPr>
            <w:r w:rsidRPr="009C2345">
              <w:rPr>
                <w:sz w:val="20"/>
                <w:szCs w:val="20"/>
              </w:rPr>
              <w:t>December 18, 2013</w:t>
            </w:r>
          </w:p>
          <w:p w:rsidR="003C5775" w:rsidRPr="009C2345" w:rsidRDefault="003C5775" w:rsidP="003C5775">
            <w:pPr>
              <w:jc w:val="both"/>
              <w:rPr>
                <w:sz w:val="20"/>
                <w:szCs w:val="20"/>
              </w:rPr>
            </w:pPr>
            <w:r w:rsidRPr="009C2345">
              <w:rPr>
                <w:sz w:val="20"/>
                <w:szCs w:val="20"/>
              </w:rPr>
              <w:t>Quebec Superior Court</w:t>
            </w:r>
          </w:p>
          <w:p w:rsidR="003C5775" w:rsidRPr="009C2345" w:rsidRDefault="003C5775" w:rsidP="003C5775">
            <w:pPr>
              <w:jc w:val="both"/>
              <w:rPr>
                <w:sz w:val="20"/>
                <w:szCs w:val="20"/>
              </w:rPr>
            </w:pPr>
            <w:r w:rsidRPr="009C2345">
              <w:rPr>
                <w:sz w:val="20"/>
                <w:szCs w:val="20"/>
              </w:rPr>
              <w:t>(Grenier J.)</w:t>
            </w:r>
          </w:p>
          <w:p w:rsidR="003C5775" w:rsidRPr="009C2345" w:rsidRDefault="003C5775" w:rsidP="003C5775">
            <w:pPr>
              <w:autoSpaceDE w:val="0"/>
              <w:autoSpaceDN w:val="0"/>
              <w:adjustRightInd w:val="0"/>
              <w:jc w:val="both"/>
              <w:rPr>
                <w:sz w:val="20"/>
                <w:szCs w:val="20"/>
              </w:rPr>
            </w:pPr>
          </w:p>
        </w:tc>
        <w:tc>
          <w:tcPr>
            <w:tcW w:w="240" w:type="pct"/>
          </w:tcPr>
          <w:p w:rsidR="003C5775" w:rsidRPr="009C2345" w:rsidRDefault="003C5775" w:rsidP="003C5775">
            <w:pPr>
              <w:jc w:val="both"/>
              <w:rPr>
                <w:sz w:val="20"/>
                <w:szCs w:val="20"/>
              </w:rPr>
            </w:pPr>
          </w:p>
        </w:tc>
        <w:tc>
          <w:tcPr>
            <w:tcW w:w="2359" w:type="pct"/>
          </w:tcPr>
          <w:p w:rsidR="003C5775" w:rsidRPr="009C2345" w:rsidRDefault="003C5775" w:rsidP="003C5775">
            <w:pPr>
              <w:jc w:val="both"/>
              <w:rPr>
                <w:sz w:val="20"/>
                <w:szCs w:val="20"/>
              </w:rPr>
            </w:pPr>
            <w:r w:rsidRPr="009C2345">
              <w:rPr>
                <w:sz w:val="20"/>
                <w:szCs w:val="20"/>
              </w:rPr>
              <w:t>Respondent’s motion for judicial review allowed</w:t>
            </w:r>
          </w:p>
          <w:p w:rsidR="003C5775" w:rsidRPr="009C2345" w:rsidRDefault="003C5775" w:rsidP="003C5775">
            <w:pPr>
              <w:jc w:val="both"/>
              <w:rPr>
                <w:sz w:val="20"/>
                <w:szCs w:val="20"/>
              </w:rPr>
            </w:pPr>
          </w:p>
        </w:tc>
      </w:tr>
    </w:tbl>
    <w:p w:rsidR="0083301A" w:rsidRPr="009C2345" w:rsidRDefault="0083301A">
      <w:r w:rsidRPr="009C234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C5775" w:rsidRPr="009C2345" w:rsidTr="00017A3C">
        <w:tc>
          <w:tcPr>
            <w:tcW w:w="2427" w:type="pct"/>
          </w:tcPr>
          <w:p w:rsidR="003C5775" w:rsidRPr="009C2345" w:rsidRDefault="003C5775" w:rsidP="003C5775">
            <w:pPr>
              <w:jc w:val="both"/>
              <w:rPr>
                <w:sz w:val="20"/>
                <w:szCs w:val="20"/>
              </w:rPr>
            </w:pPr>
            <w:r w:rsidRPr="009C2345">
              <w:rPr>
                <w:sz w:val="20"/>
                <w:szCs w:val="20"/>
              </w:rPr>
              <w:t>October 21, 2015</w:t>
            </w:r>
          </w:p>
          <w:p w:rsidR="003C5775" w:rsidRPr="009C2345" w:rsidRDefault="003C5775" w:rsidP="003C5775">
            <w:pPr>
              <w:jc w:val="both"/>
              <w:rPr>
                <w:sz w:val="20"/>
                <w:szCs w:val="20"/>
              </w:rPr>
            </w:pPr>
            <w:r w:rsidRPr="009C2345">
              <w:rPr>
                <w:sz w:val="20"/>
                <w:szCs w:val="20"/>
              </w:rPr>
              <w:t>Quebec Court of Appeal (Montréal)</w:t>
            </w:r>
          </w:p>
          <w:p w:rsidR="003C5775" w:rsidRPr="009C2345" w:rsidRDefault="003C5775" w:rsidP="003C5775">
            <w:pPr>
              <w:jc w:val="both"/>
              <w:rPr>
                <w:sz w:val="20"/>
                <w:szCs w:val="20"/>
              </w:rPr>
            </w:pPr>
            <w:r w:rsidRPr="009C2345">
              <w:rPr>
                <w:sz w:val="20"/>
                <w:szCs w:val="20"/>
              </w:rPr>
              <w:t>(Duval Hesler C.J. and Savard [dissenting] and Schrager JJ.A.)</w:t>
            </w:r>
          </w:p>
          <w:p w:rsidR="003C5775" w:rsidRPr="009C2345" w:rsidRDefault="0082006E" w:rsidP="003C5775">
            <w:pPr>
              <w:jc w:val="both"/>
              <w:rPr>
                <w:sz w:val="20"/>
                <w:szCs w:val="20"/>
              </w:rPr>
            </w:pPr>
            <w:hyperlink r:id="rId59" w:history="1">
              <w:r w:rsidR="003C5775" w:rsidRPr="009C2345">
                <w:rPr>
                  <w:color w:val="0000FF" w:themeColor="hyperlink"/>
                  <w:sz w:val="20"/>
                  <w:szCs w:val="20"/>
                  <w:u w:val="single"/>
                </w:rPr>
                <w:t>2015 QCCA 1726</w:t>
              </w:r>
            </w:hyperlink>
          </w:p>
          <w:p w:rsidR="003C5775" w:rsidRPr="009C2345" w:rsidRDefault="003C5775" w:rsidP="003C5775">
            <w:pPr>
              <w:jc w:val="both"/>
              <w:rPr>
                <w:sz w:val="20"/>
                <w:szCs w:val="20"/>
              </w:rPr>
            </w:pPr>
          </w:p>
        </w:tc>
        <w:tc>
          <w:tcPr>
            <w:tcW w:w="243" w:type="pct"/>
          </w:tcPr>
          <w:p w:rsidR="003C5775" w:rsidRPr="009C2345" w:rsidRDefault="003C5775" w:rsidP="003C5775">
            <w:pPr>
              <w:jc w:val="both"/>
              <w:rPr>
                <w:sz w:val="20"/>
                <w:szCs w:val="20"/>
              </w:rPr>
            </w:pPr>
          </w:p>
        </w:tc>
        <w:tc>
          <w:tcPr>
            <w:tcW w:w="2330" w:type="pct"/>
          </w:tcPr>
          <w:p w:rsidR="003C5775" w:rsidRPr="009C2345" w:rsidRDefault="003C5775" w:rsidP="003C5775">
            <w:pPr>
              <w:jc w:val="both"/>
              <w:rPr>
                <w:sz w:val="20"/>
                <w:szCs w:val="20"/>
              </w:rPr>
            </w:pPr>
            <w:r w:rsidRPr="009C2345">
              <w:rPr>
                <w:sz w:val="20"/>
                <w:szCs w:val="20"/>
              </w:rPr>
              <w:t>Attorney General’s appeal allowed</w:t>
            </w:r>
          </w:p>
          <w:p w:rsidR="003C5775" w:rsidRPr="009C2345" w:rsidRDefault="003C5775" w:rsidP="003C5775">
            <w:pPr>
              <w:jc w:val="both"/>
              <w:rPr>
                <w:sz w:val="20"/>
                <w:szCs w:val="20"/>
              </w:rPr>
            </w:pPr>
          </w:p>
        </w:tc>
      </w:tr>
      <w:tr w:rsidR="003C5775" w:rsidRPr="009C2345" w:rsidTr="00017A3C">
        <w:tc>
          <w:tcPr>
            <w:tcW w:w="2427" w:type="pct"/>
          </w:tcPr>
          <w:p w:rsidR="003C5775" w:rsidRPr="009C2345" w:rsidRDefault="003C5775" w:rsidP="003C5775">
            <w:pPr>
              <w:jc w:val="both"/>
              <w:rPr>
                <w:sz w:val="20"/>
                <w:szCs w:val="20"/>
              </w:rPr>
            </w:pPr>
            <w:r w:rsidRPr="009C2345">
              <w:rPr>
                <w:sz w:val="20"/>
                <w:szCs w:val="20"/>
              </w:rPr>
              <w:t>December 21, 2015</w:t>
            </w:r>
          </w:p>
          <w:p w:rsidR="003C5775" w:rsidRPr="009C2345" w:rsidRDefault="003C5775" w:rsidP="003C5775">
            <w:pPr>
              <w:jc w:val="both"/>
              <w:rPr>
                <w:sz w:val="20"/>
                <w:szCs w:val="20"/>
              </w:rPr>
            </w:pPr>
            <w:r w:rsidRPr="009C2345">
              <w:rPr>
                <w:sz w:val="20"/>
                <w:szCs w:val="20"/>
              </w:rPr>
              <w:t>Supreme Court of Canada</w:t>
            </w:r>
          </w:p>
        </w:tc>
        <w:tc>
          <w:tcPr>
            <w:tcW w:w="243" w:type="pct"/>
          </w:tcPr>
          <w:p w:rsidR="003C5775" w:rsidRPr="009C2345" w:rsidRDefault="003C5775" w:rsidP="003C5775">
            <w:pPr>
              <w:jc w:val="both"/>
              <w:rPr>
                <w:sz w:val="20"/>
                <w:szCs w:val="20"/>
              </w:rPr>
            </w:pPr>
          </w:p>
        </w:tc>
        <w:tc>
          <w:tcPr>
            <w:tcW w:w="2330" w:type="pct"/>
          </w:tcPr>
          <w:p w:rsidR="003C5775" w:rsidRPr="009C2345" w:rsidRDefault="003C5775" w:rsidP="003C5775">
            <w:pPr>
              <w:jc w:val="both"/>
              <w:rPr>
                <w:sz w:val="20"/>
                <w:szCs w:val="20"/>
              </w:rPr>
            </w:pPr>
            <w:r w:rsidRPr="009C2345">
              <w:rPr>
                <w:sz w:val="20"/>
                <w:szCs w:val="20"/>
              </w:rPr>
              <w:t>Application for leave to appeal filed</w:t>
            </w:r>
          </w:p>
          <w:p w:rsidR="003C5775" w:rsidRPr="009C2345" w:rsidRDefault="003C5775" w:rsidP="003C5775">
            <w:pPr>
              <w:jc w:val="both"/>
              <w:rPr>
                <w:sz w:val="20"/>
                <w:szCs w:val="20"/>
              </w:rPr>
            </w:pPr>
          </w:p>
        </w:tc>
      </w:tr>
    </w:tbl>
    <w:p w:rsidR="00616675" w:rsidRPr="009C2345" w:rsidRDefault="00616675" w:rsidP="008D292F">
      <w:pPr>
        <w:rPr>
          <w:sz w:val="20"/>
          <w:szCs w:val="20"/>
        </w:rPr>
      </w:pPr>
    </w:p>
    <w:p w:rsidR="00616675" w:rsidRPr="009C2345" w:rsidRDefault="0082006E" w:rsidP="008D292F">
      <w:pPr>
        <w:rPr>
          <w:sz w:val="20"/>
          <w:szCs w:val="20"/>
          <w:lang w:val="fr-CA"/>
        </w:rPr>
      </w:pPr>
      <w:r>
        <w:rPr>
          <w:sz w:val="20"/>
          <w:szCs w:val="20"/>
          <w:lang w:val="fr-CA"/>
        </w:rPr>
        <w:pict>
          <v:rect id="_x0000_i1056" style="width:2in;height:1pt" o:hrpct="0" o:hralign="center" o:hrstd="t" o:hrnoshade="t" o:hr="t" fillcolor="black [3213]" stroked="f"/>
        </w:pict>
      </w:r>
    </w:p>
    <w:p w:rsidR="00616675" w:rsidRPr="009C2345" w:rsidRDefault="00616675" w:rsidP="008D292F">
      <w:pPr>
        <w:rPr>
          <w:sz w:val="20"/>
          <w:szCs w:val="20"/>
          <w:lang w:val="fr-CA"/>
        </w:rPr>
      </w:pPr>
    </w:p>
    <w:p w:rsidR="00031F07" w:rsidRPr="009C2345" w:rsidRDefault="00031F07" w:rsidP="00031F07">
      <w:pPr>
        <w:rPr>
          <w:sz w:val="20"/>
          <w:szCs w:val="20"/>
          <w:u w:val="single"/>
          <w:lang w:val="fr-CA"/>
        </w:rPr>
      </w:pPr>
      <w:r w:rsidRPr="009C2345">
        <w:rPr>
          <w:sz w:val="20"/>
          <w:szCs w:val="20"/>
          <w:u w:val="single"/>
          <w:lang w:val="fr-CA"/>
        </w:rPr>
        <w:t>RÉSUMÉ DE L’AFFAIRE</w:t>
      </w:r>
    </w:p>
    <w:p w:rsidR="00031F07" w:rsidRPr="009C2345" w:rsidRDefault="00031F07" w:rsidP="00031F0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D6238" w:rsidRPr="0082006E" w:rsidTr="00017A3C">
        <w:tc>
          <w:tcPr>
            <w:tcW w:w="5000" w:type="pct"/>
            <w:gridSpan w:val="3"/>
          </w:tcPr>
          <w:p w:rsidR="006D6238" w:rsidRPr="009C2345" w:rsidRDefault="006D6238" w:rsidP="006D6238">
            <w:pPr>
              <w:autoSpaceDE w:val="0"/>
              <w:autoSpaceDN w:val="0"/>
              <w:adjustRightInd w:val="0"/>
              <w:jc w:val="both"/>
              <w:rPr>
                <w:sz w:val="20"/>
                <w:szCs w:val="20"/>
                <w:lang w:val="fr-CA"/>
              </w:rPr>
            </w:pPr>
            <w:r w:rsidRPr="009C2345">
              <w:rPr>
                <w:sz w:val="20"/>
                <w:szCs w:val="20"/>
                <w:lang w:val="fr-CA"/>
              </w:rPr>
              <w:t xml:space="preserve">Droit de la santé — Régime public d’assurance maladie — Administration — Est-ce qu’un médecin spécialiste, à titre individuel, peut porter un différend devant le conseil d’arbitrage institué par l’art. 54 de la </w:t>
            </w:r>
            <w:r w:rsidRPr="009C2345">
              <w:rPr>
                <w:i/>
                <w:sz w:val="20"/>
                <w:szCs w:val="20"/>
                <w:lang w:val="fr-CA"/>
              </w:rPr>
              <w:t>Loi sur l’assurance maladie</w:t>
            </w:r>
            <w:r w:rsidRPr="009C2345">
              <w:rPr>
                <w:sz w:val="20"/>
                <w:szCs w:val="20"/>
                <w:lang w:val="fr-CA"/>
              </w:rPr>
              <w:t xml:space="preserve">, RLRQ, c. A-29 (la </w:t>
            </w:r>
            <w:r w:rsidRPr="009C2345">
              <w:rPr>
                <w:rFonts w:cs="Times New Roman"/>
                <w:sz w:val="20"/>
                <w:szCs w:val="20"/>
                <w:lang w:val="fr-CA"/>
              </w:rPr>
              <w:t>« </w:t>
            </w:r>
            <w:r w:rsidRPr="009C2345">
              <w:rPr>
                <w:i/>
                <w:sz w:val="20"/>
                <w:szCs w:val="20"/>
                <w:lang w:val="fr-CA"/>
              </w:rPr>
              <w:t>L.a.m. </w:t>
            </w:r>
            <w:r w:rsidRPr="009C2345">
              <w:rPr>
                <w:rFonts w:cs="Times New Roman"/>
                <w:sz w:val="20"/>
                <w:szCs w:val="20"/>
                <w:lang w:val="fr-CA"/>
              </w:rPr>
              <w:t>»</w:t>
            </w:r>
            <w:r w:rsidRPr="009C2345">
              <w:rPr>
                <w:sz w:val="20"/>
                <w:szCs w:val="20"/>
                <w:lang w:val="fr-CA"/>
              </w:rPr>
              <w:t xml:space="preserve">), ou si c’est uniquement son association représentative, la Fédération des médecins spécialistes du Québec (la « Fédération »), qui détient l’intérêt pour agir? </w:t>
            </w:r>
            <w:r w:rsidRPr="009C2345">
              <w:rPr>
                <w:rFonts w:cs="Times New Roman"/>
                <w:sz w:val="20"/>
                <w:szCs w:val="20"/>
                <w:lang w:val="fr-CA"/>
              </w:rPr>
              <w:t xml:space="preserve">— </w:t>
            </w:r>
            <w:r w:rsidRPr="009C2345">
              <w:rPr>
                <w:sz w:val="20"/>
                <w:szCs w:val="20"/>
                <w:lang w:val="fr-CA"/>
              </w:rPr>
              <w:t xml:space="preserve">L’article 54 de la </w:t>
            </w:r>
            <w:r w:rsidRPr="009C2345">
              <w:rPr>
                <w:i/>
                <w:sz w:val="20"/>
                <w:szCs w:val="20"/>
                <w:lang w:val="fr-CA"/>
              </w:rPr>
              <w:t>L.a.m.</w:t>
            </w:r>
            <w:r w:rsidRPr="009C2345">
              <w:rPr>
                <w:sz w:val="20"/>
                <w:szCs w:val="20"/>
                <w:lang w:val="fr-CA"/>
              </w:rPr>
              <w:t xml:space="preserve"> empêche-t-il les parties négociantes (soit la Fédération et le ministre de la Santé et des Services sociaux du Québec) de recourir à un processus conventionnel bipartite plutôt qu’à l’arbitrage prévu par la loi pour régler les litiges potentiels entourant la désignation des laboratoires aux fins de l’honoraire de numérisation? </w:t>
            </w:r>
            <w:r w:rsidRPr="009C2345">
              <w:rPr>
                <w:rFonts w:cs="Times New Roman"/>
                <w:sz w:val="20"/>
                <w:szCs w:val="20"/>
                <w:lang w:val="fr-CA"/>
              </w:rPr>
              <w:t>—</w:t>
            </w:r>
            <w:r w:rsidRPr="009C2345">
              <w:rPr>
                <w:sz w:val="20"/>
                <w:szCs w:val="20"/>
                <w:lang w:val="fr-CA"/>
              </w:rPr>
              <w:t xml:space="preserve"> L’article 54 de la </w:t>
            </w:r>
            <w:r w:rsidRPr="009C2345">
              <w:rPr>
                <w:i/>
                <w:sz w:val="20"/>
                <w:szCs w:val="20"/>
                <w:lang w:val="fr-CA"/>
              </w:rPr>
              <w:t>L.a.m.</w:t>
            </w:r>
            <w:r w:rsidRPr="009C2345">
              <w:rPr>
                <w:sz w:val="20"/>
                <w:szCs w:val="20"/>
                <w:lang w:val="fr-CA"/>
              </w:rPr>
              <w:t xml:space="preserve"> empêche-t-il les parties négociantes de déterminer, dans une entente, la manière et par qui un différend pourra être soumis au conseil d’arbitrage? </w:t>
            </w:r>
            <w:r w:rsidRPr="009C2345">
              <w:rPr>
                <w:rFonts w:cs="Times New Roman"/>
                <w:sz w:val="20"/>
                <w:szCs w:val="20"/>
                <w:lang w:val="fr-CA"/>
              </w:rPr>
              <w:t xml:space="preserve">— </w:t>
            </w:r>
            <w:r w:rsidRPr="009C2345">
              <w:rPr>
                <w:sz w:val="20"/>
                <w:szCs w:val="20"/>
                <w:lang w:val="fr-CA"/>
              </w:rPr>
              <w:t xml:space="preserve">Le refus unanime des parties négociantes de désigner un laboratoire aux fins de l’honoraire de numérisation, alors que celles-ci ont prévu dans l’entente que cette désignation serait déterminée par elles, est-il un différend qui résulte de l’interprétation ou de l’application de l’entente? </w:t>
            </w:r>
          </w:p>
        </w:tc>
      </w:tr>
      <w:tr w:rsidR="006D6238" w:rsidRPr="0082006E" w:rsidTr="00017A3C">
        <w:tc>
          <w:tcPr>
            <w:tcW w:w="5000" w:type="pct"/>
            <w:gridSpan w:val="3"/>
          </w:tcPr>
          <w:p w:rsidR="006D6238" w:rsidRPr="009C2345" w:rsidRDefault="006D6238" w:rsidP="006D6238">
            <w:pPr>
              <w:jc w:val="both"/>
              <w:rPr>
                <w:sz w:val="20"/>
                <w:szCs w:val="20"/>
                <w:lang w:val="fr-CA"/>
              </w:rPr>
            </w:pPr>
          </w:p>
        </w:tc>
      </w:tr>
      <w:tr w:rsidR="006D6238" w:rsidRPr="0082006E" w:rsidTr="00017A3C">
        <w:tc>
          <w:tcPr>
            <w:tcW w:w="5000" w:type="pct"/>
            <w:gridSpan w:val="3"/>
          </w:tcPr>
          <w:p w:rsidR="006D6238" w:rsidRPr="009C2345" w:rsidRDefault="006D6238" w:rsidP="006D6238">
            <w:pPr>
              <w:autoSpaceDE w:val="0"/>
              <w:autoSpaceDN w:val="0"/>
              <w:adjustRightInd w:val="0"/>
              <w:jc w:val="both"/>
              <w:rPr>
                <w:sz w:val="20"/>
                <w:szCs w:val="20"/>
                <w:lang w:val="fr-CA"/>
              </w:rPr>
            </w:pPr>
            <w:r w:rsidRPr="009C2345">
              <w:rPr>
                <w:sz w:val="20"/>
                <w:szCs w:val="20"/>
                <w:lang w:val="fr-CA"/>
              </w:rPr>
              <w:t xml:space="preserve">La procureure générale du Québec demande l’autorisation d’appeler du jugement rendu le 21 octobre 2015, par la Cour d’appel, qui a rejeté l’appel du jugement rendu 18 décembre 2013, par la Cour supérieure, qui a accueilli la requête en révision judiciaire de l’intimé, le docteur Ronald Guérin. Plus particulièrement, la Cour supérieure a cassé la décision du conseil d’arbitrage du 29 janvier 2013 et a déclaré que ce dernier avait la compétence pour trancher le différend soumis par l’intimé le 30 janvier 2012. Ce dernier réclamait du conseil d’arbitrage qu’il déclare que les cliniques qu’il représente remplissaient les conditions requises pour l’obtention d’un honoraire particulier. La question est de savoir si un médecin spécialiste, à titre individuel, peut porter ce différend devant le conseil d’arbitrage institué par l’art. 54 de la </w:t>
            </w:r>
            <w:r w:rsidRPr="009C2345">
              <w:rPr>
                <w:i/>
                <w:sz w:val="20"/>
                <w:szCs w:val="20"/>
                <w:lang w:val="fr-CA"/>
              </w:rPr>
              <w:t>Loi sur l’assurance maladie</w:t>
            </w:r>
            <w:r w:rsidRPr="009C2345">
              <w:rPr>
                <w:sz w:val="20"/>
                <w:szCs w:val="20"/>
                <w:lang w:val="fr-CA"/>
              </w:rPr>
              <w:t>, ou si c’est uniquement son association représentative, la Fédération des médecins spécialistes du Québec, qui détient l’intérêt pour agir.</w:t>
            </w:r>
          </w:p>
          <w:p w:rsidR="006D6238" w:rsidRPr="009C2345" w:rsidRDefault="006D6238" w:rsidP="006D6238">
            <w:pPr>
              <w:jc w:val="both"/>
              <w:rPr>
                <w:sz w:val="20"/>
                <w:szCs w:val="20"/>
                <w:lang w:val="fr-CA"/>
              </w:rPr>
            </w:pPr>
          </w:p>
        </w:tc>
      </w:tr>
      <w:tr w:rsidR="006D6238" w:rsidRPr="0082006E" w:rsidTr="00017A3C">
        <w:tc>
          <w:tcPr>
            <w:tcW w:w="2427" w:type="pct"/>
          </w:tcPr>
          <w:p w:rsidR="006D6238" w:rsidRPr="009C2345" w:rsidRDefault="006D6238" w:rsidP="006D6238">
            <w:pPr>
              <w:jc w:val="both"/>
              <w:rPr>
                <w:sz w:val="20"/>
                <w:szCs w:val="20"/>
                <w:lang w:val="fr-CA"/>
              </w:rPr>
            </w:pPr>
            <w:r w:rsidRPr="009C2345">
              <w:rPr>
                <w:sz w:val="20"/>
                <w:szCs w:val="20"/>
                <w:lang w:val="fr-CA"/>
              </w:rPr>
              <w:t>Le 18 décembre 2013</w:t>
            </w:r>
          </w:p>
          <w:p w:rsidR="006D6238" w:rsidRPr="009C2345" w:rsidRDefault="006D6238" w:rsidP="006D6238">
            <w:pPr>
              <w:jc w:val="both"/>
              <w:rPr>
                <w:sz w:val="20"/>
                <w:szCs w:val="20"/>
                <w:lang w:val="fr-CA"/>
              </w:rPr>
            </w:pPr>
            <w:r w:rsidRPr="009C2345">
              <w:rPr>
                <w:sz w:val="20"/>
                <w:szCs w:val="20"/>
                <w:lang w:val="fr-CA"/>
              </w:rPr>
              <w:t>Cour supérieure du Québec</w:t>
            </w:r>
          </w:p>
          <w:p w:rsidR="006D6238" w:rsidRPr="009C2345" w:rsidRDefault="006D6238" w:rsidP="006D6238">
            <w:pPr>
              <w:jc w:val="both"/>
              <w:rPr>
                <w:sz w:val="20"/>
                <w:szCs w:val="20"/>
                <w:lang w:val="fr-CA"/>
              </w:rPr>
            </w:pPr>
            <w:r w:rsidRPr="009C2345">
              <w:rPr>
                <w:sz w:val="20"/>
                <w:szCs w:val="20"/>
                <w:lang w:val="fr-CA"/>
              </w:rPr>
              <w:t>(La juge Grenier)</w:t>
            </w:r>
          </w:p>
          <w:p w:rsidR="006D6238" w:rsidRPr="009C2345" w:rsidRDefault="006D6238" w:rsidP="006D6238">
            <w:pPr>
              <w:autoSpaceDE w:val="0"/>
              <w:autoSpaceDN w:val="0"/>
              <w:adjustRightInd w:val="0"/>
              <w:jc w:val="both"/>
              <w:rPr>
                <w:sz w:val="20"/>
                <w:szCs w:val="20"/>
                <w:lang w:val="fr-CA"/>
              </w:rPr>
            </w:pPr>
          </w:p>
        </w:tc>
        <w:tc>
          <w:tcPr>
            <w:tcW w:w="243" w:type="pct"/>
          </w:tcPr>
          <w:p w:rsidR="006D6238" w:rsidRPr="009C2345" w:rsidRDefault="006D6238" w:rsidP="006D6238">
            <w:pPr>
              <w:jc w:val="both"/>
              <w:rPr>
                <w:sz w:val="20"/>
                <w:szCs w:val="20"/>
                <w:lang w:val="fr-CA"/>
              </w:rPr>
            </w:pPr>
          </w:p>
        </w:tc>
        <w:tc>
          <w:tcPr>
            <w:tcW w:w="2330" w:type="pct"/>
          </w:tcPr>
          <w:p w:rsidR="006D6238" w:rsidRPr="009C2345" w:rsidRDefault="006D6238" w:rsidP="006D6238">
            <w:pPr>
              <w:jc w:val="both"/>
              <w:rPr>
                <w:sz w:val="20"/>
                <w:szCs w:val="20"/>
                <w:lang w:val="fr-CA"/>
              </w:rPr>
            </w:pPr>
            <w:r w:rsidRPr="009C2345">
              <w:rPr>
                <w:sz w:val="20"/>
                <w:szCs w:val="20"/>
                <w:lang w:val="fr-CA"/>
              </w:rPr>
              <w:t>Requête en révision judiciaire de l’intimé accueille.</w:t>
            </w:r>
          </w:p>
          <w:p w:rsidR="006D6238" w:rsidRPr="009C2345" w:rsidRDefault="006D6238" w:rsidP="006D6238">
            <w:pPr>
              <w:jc w:val="both"/>
              <w:rPr>
                <w:sz w:val="20"/>
                <w:szCs w:val="20"/>
                <w:lang w:val="fr-CA"/>
              </w:rPr>
            </w:pPr>
          </w:p>
        </w:tc>
      </w:tr>
      <w:tr w:rsidR="006D6238" w:rsidRPr="0082006E" w:rsidTr="00017A3C">
        <w:tc>
          <w:tcPr>
            <w:tcW w:w="2427" w:type="pct"/>
          </w:tcPr>
          <w:p w:rsidR="006D6238" w:rsidRPr="009C2345" w:rsidRDefault="006D6238" w:rsidP="006D6238">
            <w:pPr>
              <w:jc w:val="both"/>
              <w:rPr>
                <w:sz w:val="20"/>
                <w:szCs w:val="20"/>
                <w:lang w:val="fr-CA"/>
              </w:rPr>
            </w:pPr>
            <w:r w:rsidRPr="009C2345">
              <w:rPr>
                <w:sz w:val="20"/>
                <w:szCs w:val="20"/>
                <w:lang w:val="fr-CA"/>
              </w:rPr>
              <w:t>Le 21 octobre 2015</w:t>
            </w:r>
          </w:p>
          <w:p w:rsidR="006D6238" w:rsidRPr="009C2345" w:rsidRDefault="006D6238" w:rsidP="006D6238">
            <w:pPr>
              <w:jc w:val="both"/>
              <w:rPr>
                <w:sz w:val="20"/>
                <w:szCs w:val="20"/>
                <w:lang w:val="fr-CA"/>
              </w:rPr>
            </w:pPr>
            <w:r w:rsidRPr="009C2345">
              <w:rPr>
                <w:sz w:val="20"/>
                <w:szCs w:val="20"/>
                <w:lang w:val="fr-CA"/>
              </w:rPr>
              <w:t>Cour d’appel du Québec (Montréal)</w:t>
            </w:r>
          </w:p>
          <w:p w:rsidR="006D6238" w:rsidRPr="009C2345" w:rsidRDefault="006D6238" w:rsidP="006D6238">
            <w:pPr>
              <w:jc w:val="both"/>
              <w:rPr>
                <w:sz w:val="20"/>
                <w:szCs w:val="20"/>
                <w:lang w:val="fr-CA"/>
              </w:rPr>
            </w:pPr>
            <w:r w:rsidRPr="009C2345">
              <w:rPr>
                <w:sz w:val="20"/>
                <w:szCs w:val="20"/>
                <w:lang w:val="fr-CA"/>
              </w:rPr>
              <w:t>(La juge en chef Duval Hesler et les juges Savard [dissidente] et Schrager)</w:t>
            </w:r>
          </w:p>
          <w:p w:rsidR="006D6238" w:rsidRPr="009C2345" w:rsidRDefault="0082006E" w:rsidP="006D6238">
            <w:pPr>
              <w:jc w:val="both"/>
              <w:rPr>
                <w:sz w:val="20"/>
                <w:szCs w:val="20"/>
                <w:u w:val="single"/>
                <w:lang w:val="fr-CA"/>
              </w:rPr>
            </w:pPr>
            <w:hyperlink r:id="rId60" w:history="1">
              <w:r w:rsidR="006D6238" w:rsidRPr="009C2345">
                <w:rPr>
                  <w:color w:val="0000FF" w:themeColor="hyperlink"/>
                  <w:sz w:val="20"/>
                  <w:szCs w:val="20"/>
                  <w:u w:val="single"/>
                  <w:lang w:val="fr-CA"/>
                </w:rPr>
                <w:t>2015 QCCA 1726</w:t>
              </w:r>
            </w:hyperlink>
          </w:p>
          <w:p w:rsidR="006D6238" w:rsidRPr="009C2345" w:rsidRDefault="006D6238" w:rsidP="006D6238">
            <w:pPr>
              <w:jc w:val="both"/>
              <w:rPr>
                <w:sz w:val="20"/>
                <w:szCs w:val="20"/>
                <w:lang w:val="en-US"/>
              </w:rPr>
            </w:pPr>
          </w:p>
        </w:tc>
        <w:tc>
          <w:tcPr>
            <w:tcW w:w="243" w:type="pct"/>
          </w:tcPr>
          <w:p w:rsidR="006D6238" w:rsidRPr="009C2345" w:rsidRDefault="006D6238" w:rsidP="006D6238">
            <w:pPr>
              <w:jc w:val="both"/>
              <w:rPr>
                <w:sz w:val="20"/>
                <w:szCs w:val="20"/>
                <w:lang w:val="en-US"/>
              </w:rPr>
            </w:pPr>
          </w:p>
        </w:tc>
        <w:tc>
          <w:tcPr>
            <w:tcW w:w="2330" w:type="pct"/>
          </w:tcPr>
          <w:p w:rsidR="006D6238" w:rsidRPr="009C2345" w:rsidRDefault="006D6238" w:rsidP="006D6238">
            <w:pPr>
              <w:jc w:val="both"/>
              <w:rPr>
                <w:sz w:val="20"/>
                <w:szCs w:val="20"/>
                <w:lang w:val="fr-CA"/>
              </w:rPr>
            </w:pPr>
            <w:r w:rsidRPr="009C2345">
              <w:rPr>
                <w:sz w:val="20"/>
                <w:szCs w:val="20"/>
                <w:lang w:val="fr-CA"/>
              </w:rPr>
              <w:t>Appel de la procureure générale rejeté.</w:t>
            </w:r>
          </w:p>
          <w:p w:rsidR="006D6238" w:rsidRPr="009C2345" w:rsidRDefault="006D6238" w:rsidP="006D6238">
            <w:pPr>
              <w:jc w:val="both"/>
              <w:rPr>
                <w:sz w:val="20"/>
                <w:szCs w:val="20"/>
                <w:lang w:val="fr-CA"/>
              </w:rPr>
            </w:pPr>
          </w:p>
        </w:tc>
      </w:tr>
      <w:tr w:rsidR="006D6238" w:rsidRPr="009C2345" w:rsidTr="00017A3C">
        <w:tc>
          <w:tcPr>
            <w:tcW w:w="2427" w:type="pct"/>
          </w:tcPr>
          <w:p w:rsidR="006D6238" w:rsidRPr="009C2345" w:rsidRDefault="006D6238" w:rsidP="006D6238">
            <w:pPr>
              <w:jc w:val="both"/>
              <w:rPr>
                <w:sz w:val="20"/>
                <w:szCs w:val="20"/>
                <w:lang w:val="fr-CA"/>
              </w:rPr>
            </w:pPr>
            <w:r w:rsidRPr="009C2345">
              <w:rPr>
                <w:sz w:val="20"/>
                <w:szCs w:val="20"/>
                <w:lang w:val="fr-CA"/>
              </w:rPr>
              <w:t>Le 21 décembre 2015</w:t>
            </w:r>
          </w:p>
          <w:p w:rsidR="006D6238" w:rsidRPr="009C2345" w:rsidRDefault="006D6238" w:rsidP="006D6238">
            <w:pPr>
              <w:jc w:val="both"/>
              <w:rPr>
                <w:sz w:val="20"/>
                <w:szCs w:val="20"/>
                <w:lang w:val="fr-CA"/>
              </w:rPr>
            </w:pPr>
            <w:r w:rsidRPr="009C2345">
              <w:rPr>
                <w:sz w:val="20"/>
                <w:szCs w:val="20"/>
                <w:lang w:val="fr-CA"/>
              </w:rPr>
              <w:t>Cour suprême du Canada</w:t>
            </w:r>
          </w:p>
        </w:tc>
        <w:tc>
          <w:tcPr>
            <w:tcW w:w="243" w:type="pct"/>
          </w:tcPr>
          <w:p w:rsidR="006D6238" w:rsidRPr="009C2345" w:rsidRDefault="006D6238" w:rsidP="006D6238">
            <w:pPr>
              <w:jc w:val="both"/>
              <w:rPr>
                <w:sz w:val="20"/>
                <w:szCs w:val="20"/>
                <w:lang w:val="fr-CA"/>
              </w:rPr>
            </w:pPr>
          </w:p>
        </w:tc>
        <w:tc>
          <w:tcPr>
            <w:tcW w:w="2330" w:type="pct"/>
          </w:tcPr>
          <w:p w:rsidR="006D6238" w:rsidRPr="009C2345" w:rsidRDefault="006D6238" w:rsidP="006D6238">
            <w:pPr>
              <w:jc w:val="both"/>
              <w:rPr>
                <w:sz w:val="20"/>
                <w:szCs w:val="20"/>
                <w:lang w:val="fr-CA"/>
              </w:rPr>
            </w:pPr>
            <w:r w:rsidRPr="009C2345">
              <w:rPr>
                <w:sz w:val="20"/>
                <w:szCs w:val="20"/>
                <w:lang w:val="fr-CA"/>
              </w:rPr>
              <w:t>Demande d’autorisation d’appel déposée</w:t>
            </w:r>
          </w:p>
          <w:p w:rsidR="006D6238" w:rsidRPr="009C2345" w:rsidRDefault="006D6238" w:rsidP="006D6238">
            <w:pPr>
              <w:jc w:val="both"/>
              <w:rPr>
                <w:sz w:val="20"/>
                <w:szCs w:val="20"/>
                <w:lang w:val="fr-CA"/>
              </w:rPr>
            </w:pPr>
          </w:p>
        </w:tc>
      </w:tr>
    </w:tbl>
    <w:p w:rsidR="00616675" w:rsidRPr="009C2345" w:rsidRDefault="00616675" w:rsidP="008D292F">
      <w:pPr>
        <w:rPr>
          <w:sz w:val="20"/>
          <w:szCs w:val="20"/>
          <w:lang w:val="fr-CA"/>
        </w:rPr>
      </w:pPr>
    </w:p>
    <w:p w:rsidR="00616675" w:rsidRPr="009C2345" w:rsidRDefault="0082006E" w:rsidP="008D292F">
      <w:pPr>
        <w:rPr>
          <w:sz w:val="20"/>
          <w:szCs w:val="20"/>
          <w:lang w:val="fr-CA"/>
        </w:rPr>
      </w:pPr>
      <w:r>
        <w:rPr>
          <w:sz w:val="20"/>
          <w:szCs w:val="20"/>
          <w:lang w:val="fr-CA"/>
        </w:rPr>
        <w:pict>
          <v:rect id="_x0000_i1057" style="width:2in;height:1pt" o:hrpct="0" o:hralign="center" o:hrstd="t" o:hrnoshade="t" o:hr="t" fillcolor="black [3213]" stroked="f"/>
        </w:pict>
      </w:r>
    </w:p>
    <w:p w:rsidR="00616675" w:rsidRPr="009C2345" w:rsidRDefault="00616675" w:rsidP="008D292F">
      <w:pPr>
        <w:rPr>
          <w:sz w:val="20"/>
          <w:szCs w:val="20"/>
          <w:lang w:val="fr-CA"/>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082"/>
      </w:tblGrid>
      <w:tr w:rsidR="008B5D38" w:rsidRPr="00800514" w:rsidTr="00525901">
        <w:trPr>
          <w:cantSplit/>
          <w:trHeight w:val="887"/>
        </w:trPr>
        <w:tc>
          <w:tcPr>
            <w:tcW w:w="1458" w:type="dxa"/>
          </w:tcPr>
          <w:p w:rsidR="008B5D38" w:rsidRPr="00800514" w:rsidRDefault="008B5D38" w:rsidP="00017A3C">
            <w:pPr>
              <w:rPr>
                <w:sz w:val="20"/>
                <w:szCs w:val="20"/>
              </w:rPr>
            </w:pPr>
            <w:r w:rsidRPr="00800514">
              <w:rPr>
                <w:rStyle w:val="SCCFileNumberChar"/>
                <w:sz w:val="20"/>
                <w:szCs w:val="20"/>
              </w:rPr>
              <w:t>36778</w:t>
            </w:r>
          </w:p>
          <w:p w:rsidR="008B5D38" w:rsidRPr="00800514" w:rsidRDefault="008B5D38" w:rsidP="00017A3C">
            <w:pPr>
              <w:rPr>
                <w:b/>
                <w:sz w:val="20"/>
                <w:szCs w:val="20"/>
                <w:lang w:val="fr-CA"/>
              </w:rPr>
            </w:pPr>
          </w:p>
        </w:tc>
        <w:tc>
          <w:tcPr>
            <w:tcW w:w="8082" w:type="dxa"/>
          </w:tcPr>
          <w:p w:rsidR="008B5D38" w:rsidRPr="00800514" w:rsidRDefault="00347BFC" w:rsidP="004E6EF3">
            <w:pPr>
              <w:jc w:val="both"/>
              <w:rPr>
                <w:sz w:val="20"/>
                <w:szCs w:val="20"/>
              </w:rPr>
            </w:pPr>
            <w:r w:rsidRPr="00800514">
              <w:rPr>
                <w:b/>
                <w:sz w:val="20"/>
                <w:szCs w:val="20"/>
                <w:u w:val="single"/>
              </w:rPr>
              <w:t>Ad Hoc Group of Bondholders v. Ernst &amp; Young Inc. in its capacity as Monitor, Nortel Networks Corporation, Nortel Networks Limited, Nortel Networks Global Corporation, Nortel Networks International Corporation, Nortel Networks Technology Corporation, Superintendent of Financial Services as Administrator of the Pension Guarantee Fund, Wilmington Trust, National Association, Law Debenture Trust Company of New York, Bank of New York Mellon, Nortel Networks Inc., Canadian Creditors Committee, Joint Administrators of Nortel Networks UK Limited</w:t>
            </w:r>
            <w:r w:rsidR="008008E0" w:rsidRPr="00800514">
              <w:rPr>
                <w:b/>
                <w:sz w:val="20"/>
                <w:szCs w:val="20"/>
                <w:u w:val="single"/>
              </w:rPr>
              <w:t>, Board of the Pension Protection Fund and Nortel Networks UK Pension Trust Limited</w:t>
            </w:r>
            <w:r w:rsidRPr="00800514">
              <w:rPr>
                <w:sz w:val="20"/>
                <w:szCs w:val="20"/>
              </w:rPr>
              <w:t xml:space="preserve"> (Ont.) (Civil) (By Leave)</w:t>
            </w:r>
          </w:p>
          <w:p w:rsidR="008B5D38" w:rsidRPr="00800514" w:rsidRDefault="008B5D38" w:rsidP="00017A3C">
            <w:pPr>
              <w:rPr>
                <w:sz w:val="20"/>
                <w:szCs w:val="20"/>
              </w:rPr>
            </w:pPr>
          </w:p>
        </w:tc>
      </w:tr>
      <w:tr w:rsidR="008B5D38" w:rsidRPr="00800514" w:rsidTr="00525901">
        <w:trPr>
          <w:cantSplit/>
        </w:trPr>
        <w:tc>
          <w:tcPr>
            <w:tcW w:w="1458" w:type="dxa"/>
          </w:tcPr>
          <w:p w:rsidR="008B5D38" w:rsidRPr="00800514" w:rsidRDefault="008B5D38" w:rsidP="00017A3C">
            <w:pPr>
              <w:rPr>
                <w:sz w:val="20"/>
                <w:szCs w:val="20"/>
              </w:rPr>
            </w:pPr>
            <w:r w:rsidRPr="00800514">
              <w:rPr>
                <w:sz w:val="20"/>
                <w:szCs w:val="20"/>
              </w:rPr>
              <w:t>Coram :</w:t>
            </w:r>
          </w:p>
        </w:tc>
        <w:tc>
          <w:tcPr>
            <w:tcW w:w="8082" w:type="dxa"/>
          </w:tcPr>
          <w:p w:rsidR="008B5D38" w:rsidRPr="00800514" w:rsidRDefault="009D67C3" w:rsidP="00017A3C">
            <w:pPr>
              <w:rPr>
                <w:rStyle w:val="SCCCoramChar"/>
                <w:sz w:val="20"/>
                <w:szCs w:val="20"/>
                <w:lang w:val="en-CA"/>
              </w:rPr>
            </w:pPr>
            <w:r w:rsidRPr="00800514">
              <w:rPr>
                <w:rStyle w:val="SCCCoramChar"/>
                <w:sz w:val="20"/>
                <w:szCs w:val="20"/>
                <w:lang w:val="en-CA"/>
              </w:rPr>
              <w:t>McLachlin C.J. and Moldaver and Gascon JJ.</w:t>
            </w:r>
          </w:p>
          <w:p w:rsidR="009D67C3" w:rsidRPr="00800514" w:rsidRDefault="009D67C3" w:rsidP="00017A3C">
            <w:pPr>
              <w:rPr>
                <w:sz w:val="20"/>
                <w:szCs w:val="20"/>
              </w:rPr>
            </w:pPr>
          </w:p>
        </w:tc>
      </w:tr>
      <w:tr w:rsidR="008B5D38" w:rsidRPr="0082006E" w:rsidTr="00525901">
        <w:trPr>
          <w:cantSplit/>
        </w:trPr>
        <w:tc>
          <w:tcPr>
            <w:tcW w:w="9540" w:type="dxa"/>
            <w:gridSpan w:val="2"/>
          </w:tcPr>
          <w:p w:rsidR="008B5D38" w:rsidRPr="00800514" w:rsidRDefault="009D67C3" w:rsidP="00017A3C">
            <w:pPr>
              <w:pStyle w:val="SCCShortJudgment"/>
              <w:ind w:firstLine="0"/>
            </w:pPr>
            <w:r w:rsidRPr="00800514">
              <w:tab/>
              <w:t>The motions of the Board of the Pension Protection Fund and Nortel Networks UK Pension Trust Limited to be added as respondents and for an extension of time to serve and file the response to the application for leave to appeal are granted.  The application for leave to appeal from the judgment of the Court of Appeal for Ontario, Number C59703, 2015 ONCA 681, dated October 13, 2015, is dismissed with costs.</w:t>
            </w:r>
          </w:p>
          <w:p w:rsidR="009D67C3" w:rsidRPr="00800514" w:rsidRDefault="009D67C3" w:rsidP="00017A3C">
            <w:pPr>
              <w:pStyle w:val="SCCShortJudgment"/>
              <w:ind w:firstLine="0"/>
              <w:rPr>
                <w:szCs w:val="20"/>
              </w:rPr>
            </w:pPr>
          </w:p>
          <w:p w:rsidR="008B5D38" w:rsidRPr="00800514" w:rsidRDefault="009D67C3" w:rsidP="00017A3C">
            <w:pPr>
              <w:pStyle w:val="SCCShortJudgment"/>
              <w:rPr>
                <w:szCs w:val="20"/>
                <w:lang w:val="fr-CA"/>
              </w:rPr>
            </w:pPr>
            <w:r w:rsidRPr="00800514">
              <w:rPr>
                <w:lang w:val="fr-CA"/>
              </w:rPr>
              <w:t>Les requ</w:t>
            </w:r>
            <w:r w:rsidRPr="00800514">
              <w:rPr>
                <w:rFonts w:cs="Times New Roman"/>
                <w:lang w:val="fr-CA"/>
              </w:rPr>
              <w:t>ê</w:t>
            </w:r>
            <w:r w:rsidRPr="00800514">
              <w:rPr>
                <w:lang w:val="fr-CA"/>
              </w:rPr>
              <w:t xml:space="preserve">tes du Board of the Pension Protection Fund et Nortel Networks UK Pension Trust Limited pour </w:t>
            </w:r>
            <w:r w:rsidRPr="00800514">
              <w:rPr>
                <w:rFonts w:cs="Times New Roman"/>
                <w:lang w:val="fr-CA"/>
              </w:rPr>
              <w:t>ê</w:t>
            </w:r>
            <w:r w:rsidRPr="00800514">
              <w:rPr>
                <w:lang w:val="fr-CA"/>
              </w:rPr>
              <w:t>tre ajouté comme intim</w:t>
            </w:r>
            <w:r w:rsidRPr="00800514">
              <w:rPr>
                <w:rFonts w:cs="Times New Roman"/>
                <w:lang w:val="fr-CA"/>
              </w:rPr>
              <w:t>é</w:t>
            </w:r>
            <w:r w:rsidRPr="00800514">
              <w:rPr>
                <w:lang w:val="fr-CA"/>
              </w:rPr>
              <w:t xml:space="preserve">s et en prorogation du délai pour signifier et déposer la réponse à la demande d’autorisation d’appel sont accueillies.  La demande d’autorisation d’appel de l’arrêt de la </w:t>
            </w:r>
            <w:r w:rsidRPr="00800514">
              <w:rPr>
                <w:lang w:val="fr-FR"/>
              </w:rPr>
              <w:t>Cour d’appel de l’Ontario</w:t>
            </w:r>
            <w:r w:rsidRPr="00800514">
              <w:rPr>
                <w:lang w:val="fr-CA"/>
              </w:rPr>
              <w:t xml:space="preserve">, numéro </w:t>
            </w:r>
            <w:r w:rsidRPr="00800514">
              <w:rPr>
                <w:lang w:val="fr-FR"/>
              </w:rPr>
              <w:t>C59703, 2015 ONCA 681</w:t>
            </w:r>
            <w:r w:rsidRPr="00800514">
              <w:rPr>
                <w:lang w:val="fr-CA"/>
              </w:rPr>
              <w:t xml:space="preserve">, daté du </w:t>
            </w:r>
            <w:r w:rsidRPr="00800514">
              <w:rPr>
                <w:lang w:val="fr-FR"/>
              </w:rPr>
              <w:t>13 octobre 2015</w:t>
            </w:r>
            <w:r w:rsidRPr="00800514">
              <w:rPr>
                <w:lang w:val="fr-CA"/>
              </w:rPr>
              <w:t>, est rejet</w:t>
            </w:r>
            <w:r w:rsidRPr="00800514">
              <w:rPr>
                <w:rFonts w:cs="Times New Roman"/>
                <w:lang w:val="fr-CA"/>
              </w:rPr>
              <w:t>é</w:t>
            </w:r>
            <w:r w:rsidRPr="00800514">
              <w:rPr>
                <w:lang w:val="fr-CA"/>
              </w:rPr>
              <w:t>e avec d</w:t>
            </w:r>
            <w:r w:rsidRPr="00800514">
              <w:rPr>
                <w:rFonts w:cs="Times New Roman"/>
                <w:lang w:val="fr-CA"/>
              </w:rPr>
              <w:t>é</w:t>
            </w:r>
            <w:r w:rsidRPr="00800514">
              <w:rPr>
                <w:lang w:val="fr-CA"/>
              </w:rPr>
              <w:t>pens.</w:t>
            </w:r>
          </w:p>
        </w:tc>
      </w:tr>
    </w:tbl>
    <w:p w:rsidR="008B5D38" w:rsidRPr="009C2345" w:rsidRDefault="008B5D38" w:rsidP="008B5D38">
      <w:pPr>
        <w:rPr>
          <w:sz w:val="20"/>
          <w:szCs w:val="20"/>
          <w:lang w:val="fr-CA"/>
        </w:rPr>
      </w:pPr>
    </w:p>
    <w:p w:rsidR="008B5D38" w:rsidRPr="009C2345" w:rsidRDefault="008B5D38" w:rsidP="008B5D38">
      <w:pPr>
        <w:rPr>
          <w:sz w:val="20"/>
          <w:szCs w:val="20"/>
          <w:u w:val="single"/>
        </w:rPr>
      </w:pPr>
      <w:r w:rsidRPr="009C2345">
        <w:rPr>
          <w:sz w:val="20"/>
          <w:szCs w:val="20"/>
          <w:u w:val="single"/>
        </w:rPr>
        <w:t>CASE SUMMARY</w:t>
      </w:r>
    </w:p>
    <w:p w:rsidR="008B5D38" w:rsidRPr="009C2345" w:rsidRDefault="008B5D38" w:rsidP="008B5D3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47BFC" w:rsidRPr="009C2345" w:rsidTr="00017A3C">
        <w:tc>
          <w:tcPr>
            <w:tcW w:w="5000" w:type="pct"/>
            <w:gridSpan w:val="3"/>
          </w:tcPr>
          <w:p w:rsidR="00347BFC" w:rsidRPr="009C2345" w:rsidRDefault="00347BFC" w:rsidP="00347BFC">
            <w:pPr>
              <w:jc w:val="both"/>
              <w:rPr>
                <w:rFonts w:eastAsia="Calibri" w:cs="Times New Roman"/>
                <w:sz w:val="20"/>
                <w:szCs w:val="20"/>
                <w:lang w:val="en-US"/>
              </w:rPr>
            </w:pPr>
            <w:r w:rsidRPr="009C2345">
              <w:rPr>
                <w:rFonts w:eastAsia="Calibri" w:cs="Times New Roman"/>
                <w:sz w:val="20"/>
                <w:szCs w:val="20"/>
              </w:rPr>
              <w:t xml:space="preserve">Commercial law – Bankruptcy and insolvency – Interest – </w:t>
            </w:r>
            <w:r w:rsidRPr="009C2345">
              <w:rPr>
                <w:rFonts w:eastAsia="Calibri" w:cs="Times New Roman"/>
                <w:sz w:val="20"/>
                <w:szCs w:val="20"/>
                <w:lang w:val="en-US"/>
              </w:rPr>
              <w:t xml:space="preserve">Whether creditors can claim interest, including specified contractual interest, from the debtor in respect of the period after a proceeding under the </w:t>
            </w:r>
            <w:r w:rsidRPr="009C2345">
              <w:rPr>
                <w:rFonts w:eastAsia="Calibri" w:cs="Times New Roman"/>
                <w:i/>
                <w:iCs/>
                <w:sz w:val="20"/>
                <w:szCs w:val="20"/>
                <w:lang w:val="en-US"/>
              </w:rPr>
              <w:t>Companies’ Creditors Arrangement Act</w:t>
            </w:r>
            <w:r w:rsidRPr="009C2345">
              <w:rPr>
                <w:rFonts w:eastAsia="Calibri" w:cs="Times New Roman"/>
                <w:iCs/>
                <w:sz w:val="20"/>
                <w:szCs w:val="20"/>
                <w:lang w:val="en-US"/>
              </w:rPr>
              <w:t>,</w:t>
            </w:r>
            <w:r w:rsidRPr="009C2345">
              <w:rPr>
                <w:rFonts w:eastAsia="Calibri" w:cs="Times New Roman"/>
                <w:i/>
                <w:iCs/>
                <w:sz w:val="20"/>
                <w:szCs w:val="20"/>
                <w:lang w:val="en-US"/>
              </w:rPr>
              <w:t xml:space="preserve"> </w:t>
            </w:r>
            <w:r w:rsidRPr="009C2345">
              <w:rPr>
                <w:rFonts w:eastAsia="Calibri" w:cs="Times New Roman"/>
                <w:sz w:val="20"/>
                <w:szCs w:val="20"/>
              </w:rPr>
              <w:t>R.S.C. 1985, c. C-36</w:t>
            </w:r>
            <w:r w:rsidRPr="009C2345">
              <w:rPr>
                <w:rFonts w:eastAsia="Calibri" w:cs="Times New Roman"/>
                <w:i/>
                <w:iCs/>
                <w:sz w:val="20"/>
                <w:szCs w:val="20"/>
                <w:lang w:val="en-US"/>
              </w:rPr>
              <w:t xml:space="preserve"> </w:t>
            </w:r>
            <w:r w:rsidRPr="009C2345">
              <w:rPr>
                <w:rFonts w:eastAsia="Calibri" w:cs="Times New Roman"/>
                <w:sz w:val="20"/>
                <w:szCs w:val="20"/>
                <w:lang w:val="en-US"/>
              </w:rPr>
              <w:t xml:space="preserve">(the </w:t>
            </w:r>
            <w:r w:rsidRPr="009C2345">
              <w:rPr>
                <w:rFonts w:eastAsia="Calibri" w:cs="Times New Roman"/>
                <w:bCs/>
                <w:sz w:val="20"/>
                <w:szCs w:val="20"/>
                <w:lang w:val="en-US"/>
              </w:rPr>
              <w:t>“</w:t>
            </w:r>
            <w:r w:rsidRPr="009C2345">
              <w:rPr>
                <w:rFonts w:eastAsia="Calibri" w:cs="Times New Roman"/>
                <w:bCs/>
                <w:i/>
                <w:sz w:val="20"/>
                <w:szCs w:val="20"/>
                <w:lang w:val="en-US"/>
              </w:rPr>
              <w:t>CCAA</w:t>
            </w:r>
            <w:r w:rsidRPr="009C2345">
              <w:rPr>
                <w:rFonts w:eastAsia="Calibri" w:cs="Times New Roman"/>
                <w:bCs/>
                <w:sz w:val="20"/>
                <w:szCs w:val="20"/>
                <w:lang w:val="en-US"/>
              </w:rPr>
              <w:t>”)</w:t>
            </w:r>
            <w:r w:rsidRPr="009C2345">
              <w:rPr>
                <w:rFonts w:eastAsia="Calibri" w:cs="Times New Roman"/>
                <w:b/>
                <w:bCs/>
                <w:sz w:val="20"/>
                <w:szCs w:val="20"/>
                <w:lang w:val="en-US"/>
              </w:rPr>
              <w:t xml:space="preserve"> </w:t>
            </w:r>
            <w:r w:rsidRPr="009C2345">
              <w:rPr>
                <w:rFonts w:eastAsia="Calibri" w:cs="Times New Roman"/>
                <w:sz w:val="20"/>
                <w:szCs w:val="20"/>
                <w:lang w:val="en-US"/>
              </w:rPr>
              <w:t xml:space="preserve">is initiated </w:t>
            </w:r>
            <w:r w:rsidRPr="009C2345">
              <w:rPr>
                <w:rFonts w:eastAsia="Calibri" w:cs="Times New Roman"/>
                <w:sz w:val="20"/>
                <w:szCs w:val="20"/>
              </w:rPr>
              <w:t>–</w:t>
            </w:r>
            <w:r w:rsidRPr="009C2345">
              <w:rPr>
                <w:rFonts w:eastAsia="Calibri" w:cs="Times New Roman"/>
                <w:sz w:val="20"/>
                <w:szCs w:val="20"/>
                <w:lang w:val="en-US"/>
              </w:rPr>
              <w:t xml:space="preserve"> </w:t>
            </w:r>
            <w:r w:rsidRPr="009C2345">
              <w:rPr>
                <w:rFonts w:eastAsia="Calibri" w:cs="Times New Roman"/>
                <w:sz w:val="20"/>
                <w:szCs w:val="20"/>
              </w:rPr>
              <w:t xml:space="preserve">Whether the Ontario Court of Appeal erred in holding that a common law “interest stops” rule applies to immediately stop the accrual of post-filing interest in </w:t>
            </w:r>
            <w:r w:rsidRPr="009C2345">
              <w:rPr>
                <w:rFonts w:eastAsia="Calibri" w:cs="Times New Roman"/>
                <w:i/>
                <w:sz w:val="20"/>
                <w:szCs w:val="20"/>
              </w:rPr>
              <w:t>CCAA</w:t>
            </w:r>
            <w:r w:rsidRPr="009C2345">
              <w:rPr>
                <w:rFonts w:eastAsia="Calibri" w:cs="Times New Roman"/>
                <w:sz w:val="20"/>
                <w:szCs w:val="20"/>
              </w:rPr>
              <w:t xml:space="preserve"> proceedings – Whether the Ontario Court of Appeal erred in failing to follow the decisions in </w:t>
            </w:r>
            <w:r w:rsidRPr="009C2345">
              <w:rPr>
                <w:rFonts w:eastAsia="Times New Roman" w:cs="Times New Roman"/>
                <w:i/>
                <w:sz w:val="20"/>
                <w:szCs w:val="20"/>
              </w:rPr>
              <w:t>Canada 3000 Inc., Re; Inter</w:t>
            </w:r>
            <w:r w:rsidRPr="009C2345">
              <w:rPr>
                <w:rFonts w:eastAsia="Times New Roman" w:cs="Times New Roman"/>
                <w:i/>
                <w:sz w:val="20"/>
                <w:szCs w:val="20"/>
              </w:rPr>
              <w:noBreakHyphen/>
              <w:t>Canadian (1991) Inc. (Trustee of)</w:t>
            </w:r>
            <w:r w:rsidRPr="009C2345">
              <w:rPr>
                <w:rFonts w:eastAsia="Times New Roman" w:cs="Times New Roman"/>
                <w:sz w:val="20"/>
                <w:szCs w:val="20"/>
              </w:rPr>
              <w:t xml:space="preserve">, </w:t>
            </w:r>
            <w:r w:rsidRPr="009C2345">
              <w:rPr>
                <w:rFonts w:eastAsia="Times New Roman" w:cs="Times New Roman"/>
                <w:sz w:val="20"/>
                <w:szCs w:val="20"/>
                <w:lang w:val="en-GB"/>
              </w:rPr>
              <w:t>[2006] 1 S.C.R. 865, 2006 SCC 24</w:t>
            </w:r>
            <w:r w:rsidRPr="009C2345">
              <w:rPr>
                <w:rFonts w:eastAsia="Calibri" w:cs="Times New Roman"/>
                <w:sz w:val="20"/>
                <w:szCs w:val="20"/>
                <w:lang w:val="en-GB"/>
              </w:rPr>
              <w:t xml:space="preserve"> </w:t>
            </w:r>
            <w:r w:rsidRPr="009C2345">
              <w:rPr>
                <w:rFonts w:eastAsia="Calibri" w:cs="Times New Roman"/>
                <w:sz w:val="20"/>
                <w:szCs w:val="20"/>
              </w:rPr>
              <w:t xml:space="preserve">and </w:t>
            </w:r>
            <w:r w:rsidRPr="009C2345">
              <w:rPr>
                <w:rFonts w:eastAsia="Calibri" w:cs="Times New Roman"/>
                <w:i/>
                <w:sz w:val="20"/>
                <w:szCs w:val="20"/>
              </w:rPr>
              <w:t>Stelco (Re)</w:t>
            </w:r>
            <w:r w:rsidRPr="009C2345">
              <w:rPr>
                <w:rFonts w:eastAsia="Calibri" w:cs="Times New Roman"/>
                <w:sz w:val="20"/>
                <w:szCs w:val="20"/>
              </w:rPr>
              <w:t>, 2007 ONCA 483, 35 C.B.R. (5</w:t>
            </w:r>
            <w:r w:rsidRPr="009C2345">
              <w:rPr>
                <w:rFonts w:eastAsia="Calibri" w:cs="Times New Roman"/>
                <w:sz w:val="20"/>
                <w:szCs w:val="20"/>
                <w:vertAlign w:val="superscript"/>
              </w:rPr>
              <w:t>th</w:t>
            </w:r>
            <w:r w:rsidRPr="009C2345">
              <w:rPr>
                <w:rFonts w:eastAsia="Calibri" w:cs="Times New Roman"/>
                <w:sz w:val="20"/>
                <w:szCs w:val="20"/>
              </w:rPr>
              <w:t>) 174</w:t>
            </w:r>
            <w:r w:rsidRPr="009C2345">
              <w:rPr>
                <w:rFonts w:eastAsia="Calibri" w:cs="Times New Roman"/>
                <w:sz w:val="20"/>
                <w:szCs w:val="20"/>
                <w:lang w:val="en-US"/>
              </w:rPr>
              <w:t>.</w:t>
            </w:r>
          </w:p>
          <w:p w:rsidR="00347BFC" w:rsidRPr="009C2345" w:rsidRDefault="00347BFC" w:rsidP="00347BFC">
            <w:pPr>
              <w:jc w:val="both"/>
              <w:rPr>
                <w:rFonts w:eastAsia="Calibri" w:cs="Times New Roman"/>
                <w:sz w:val="20"/>
                <w:szCs w:val="20"/>
              </w:rPr>
            </w:pPr>
          </w:p>
        </w:tc>
      </w:tr>
      <w:tr w:rsidR="00347BFC" w:rsidRPr="009C2345" w:rsidTr="00017A3C">
        <w:tc>
          <w:tcPr>
            <w:tcW w:w="5000" w:type="pct"/>
            <w:gridSpan w:val="3"/>
          </w:tcPr>
          <w:p w:rsidR="00347BFC" w:rsidRPr="009C2345" w:rsidRDefault="00347BFC" w:rsidP="00347BFC">
            <w:pPr>
              <w:jc w:val="both"/>
              <w:rPr>
                <w:rFonts w:eastAsia="Calibri" w:cs="Times New Roman"/>
                <w:sz w:val="20"/>
                <w:szCs w:val="20"/>
              </w:rPr>
            </w:pPr>
            <w:r w:rsidRPr="009C2345">
              <w:rPr>
                <w:rFonts w:eastAsia="Calibri" w:cs="Times New Roman"/>
                <w:sz w:val="20"/>
                <w:szCs w:val="20"/>
              </w:rPr>
              <w:t xml:space="preserve">In the context of ongoing Nortel </w:t>
            </w:r>
            <w:r w:rsidRPr="009C2345">
              <w:rPr>
                <w:rFonts w:eastAsia="Calibri" w:cs="Times New Roman"/>
                <w:i/>
                <w:sz w:val="20"/>
                <w:szCs w:val="20"/>
              </w:rPr>
              <w:t>CCAA</w:t>
            </w:r>
            <w:r w:rsidRPr="009C2345">
              <w:rPr>
                <w:rFonts w:eastAsia="Calibri" w:cs="Times New Roman"/>
                <w:sz w:val="20"/>
                <w:szCs w:val="20"/>
              </w:rPr>
              <w:t xml:space="preserve"> proceedings and parallel proceedings under Chapter 11 of the United States </w:t>
            </w:r>
            <w:r w:rsidRPr="009C2345">
              <w:rPr>
                <w:rFonts w:eastAsia="Calibri" w:cs="Times New Roman"/>
                <w:i/>
                <w:sz w:val="20"/>
                <w:szCs w:val="20"/>
              </w:rPr>
              <w:t>Bankruptcy Code,</w:t>
            </w:r>
            <w:r w:rsidRPr="009C2345">
              <w:rPr>
                <w:rFonts w:eastAsia="Calibri" w:cs="Times New Roman"/>
                <w:sz w:val="20"/>
                <w:szCs w:val="20"/>
              </w:rPr>
              <w:t xml:space="preserve"> the applicant represents substantial holders of unsecured crossover bonds either issued or guaranteed by certain Canadian Nortel entities. The related indentures provided for the continuing accrual of interest until payment, at contractually specified rates, and for other post-filing payment obligations in the form of make-whole provisions and trustee fees. Therefore, in addition to claiming principal and pre-filing interest in the amount of US$4.092 billion against each of the Canadian and U.S. Nortel estates (whose total proceeds of liquidation are approximately $7.3 billion), the applicant claimed post-filing interest under the crossover bonds equalling an amount of US$1.6 billion. The claims of other claimants, such as pensioners and former employees, do not provide for interest on amounts owed. The Ontario Superior Court of Justice held that the “interest stops rule” developed in the context of insolvency law applies to </w:t>
            </w:r>
            <w:r w:rsidRPr="009C2345">
              <w:rPr>
                <w:rFonts w:eastAsia="Calibri" w:cs="Times New Roman"/>
                <w:i/>
                <w:sz w:val="20"/>
                <w:szCs w:val="20"/>
              </w:rPr>
              <w:t>CCAA</w:t>
            </w:r>
            <w:r w:rsidRPr="009C2345">
              <w:rPr>
                <w:rFonts w:eastAsia="Calibri" w:cs="Times New Roman"/>
                <w:sz w:val="20"/>
                <w:szCs w:val="20"/>
              </w:rPr>
              <w:t xml:space="preserve"> proceedings and that the applicant was not legally entitled to amounts claimed above and beyond the outstanding principle debt and pre-petition interest. The Ontario Court of Appeal dismissed the appeal. </w:t>
            </w:r>
          </w:p>
        </w:tc>
      </w:tr>
      <w:tr w:rsidR="00347BFC" w:rsidRPr="009C2345" w:rsidTr="00017A3C">
        <w:tc>
          <w:tcPr>
            <w:tcW w:w="5000" w:type="pct"/>
            <w:gridSpan w:val="3"/>
          </w:tcPr>
          <w:p w:rsidR="00347BFC" w:rsidRPr="009C2345" w:rsidRDefault="00347BFC" w:rsidP="00347BFC">
            <w:pPr>
              <w:jc w:val="both"/>
              <w:rPr>
                <w:rFonts w:eastAsia="Calibri" w:cs="Times New Roman"/>
                <w:sz w:val="20"/>
                <w:szCs w:val="20"/>
              </w:rPr>
            </w:pPr>
          </w:p>
        </w:tc>
      </w:tr>
      <w:tr w:rsidR="00347BFC" w:rsidRPr="009C2345" w:rsidTr="00017A3C">
        <w:tc>
          <w:tcPr>
            <w:tcW w:w="2427" w:type="pct"/>
          </w:tcPr>
          <w:p w:rsidR="00347BFC" w:rsidRPr="009C2345" w:rsidRDefault="00347BFC" w:rsidP="00347BFC">
            <w:pPr>
              <w:jc w:val="both"/>
              <w:rPr>
                <w:rFonts w:eastAsia="Calibri" w:cs="Times New Roman"/>
                <w:sz w:val="20"/>
                <w:szCs w:val="20"/>
              </w:rPr>
            </w:pPr>
            <w:r w:rsidRPr="009C2345">
              <w:rPr>
                <w:rFonts w:eastAsia="Calibri" w:cs="Times New Roman"/>
                <w:sz w:val="20"/>
                <w:szCs w:val="20"/>
              </w:rPr>
              <w:t>September 11, 2014</w:t>
            </w:r>
          </w:p>
          <w:p w:rsidR="00347BFC" w:rsidRPr="009C2345" w:rsidRDefault="00347BFC" w:rsidP="00347BFC">
            <w:pPr>
              <w:jc w:val="both"/>
              <w:rPr>
                <w:rFonts w:eastAsia="Calibri" w:cs="Times New Roman"/>
                <w:sz w:val="20"/>
                <w:szCs w:val="20"/>
              </w:rPr>
            </w:pPr>
            <w:r w:rsidRPr="009C2345">
              <w:rPr>
                <w:rFonts w:eastAsia="Calibri" w:cs="Times New Roman"/>
                <w:sz w:val="20"/>
                <w:szCs w:val="20"/>
              </w:rPr>
              <w:t>Ontario Superior Court of Justice</w:t>
            </w:r>
          </w:p>
          <w:p w:rsidR="00347BFC" w:rsidRPr="009C2345" w:rsidRDefault="00347BFC" w:rsidP="00347BFC">
            <w:pPr>
              <w:jc w:val="both"/>
              <w:rPr>
                <w:rFonts w:eastAsia="Calibri" w:cs="Times New Roman"/>
                <w:sz w:val="20"/>
                <w:szCs w:val="20"/>
              </w:rPr>
            </w:pPr>
            <w:r w:rsidRPr="009C2345">
              <w:rPr>
                <w:rFonts w:eastAsia="Calibri" w:cs="Times New Roman"/>
                <w:sz w:val="20"/>
                <w:szCs w:val="20"/>
              </w:rPr>
              <w:t>(Newbould J.)</w:t>
            </w:r>
          </w:p>
          <w:p w:rsidR="00347BFC" w:rsidRPr="009C2345" w:rsidRDefault="0082006E" w:rsidP="00347BFC">
            <w:pPr>
              <w:jc w:val="both"/>
              <w:rPr>
                <w:rFonts w:eastAsia="Calibri" w:cs="Times New Roman"/>
                <w:color w:val="0563C1"/>
                <w:sz w:val="20"/>
                <w:szCs w:val="20"/>
                <w:u w:val="single"/>
              </w:rPr>
            </w:pPr>
            <w:hyperlink r:id="rId61" w:history="1">
              <w:r w:rsidR="00347BFC" w:rsidRPr="009C2345">
                <w:rPr>
                  <w:rFonts w:eastAsia="Calibri" w:cs="Times New Roman"/>
                  <w:color w:val="0563C1"/>
                  <w:sz w:val="20"/>
                  <w:szCs w:val="20"/>
                  <w:u w:val="single"/>
                </w:rPr>
                <w:t>2014 ONSC 4777</w:t>
              </w:r>
            </w:hyperlink>
            <w:r w:rsidR="00347BFC" w:rsidRPr="009C2345">
              <w:rPr>
                <w:rFonts w:eastAsia="Calibri" w:cs="Times New Roman"/>
                <w:sz w:val="20"/>
                <w:szCs w:val="20"/>
              </w:rPr>
              <w:t xml:space="preserve">; </w:t>
            </w:r>
            <w:hyperlink r:id="rId62" w:history="1">
              <w:r w:rsidR="00347BFC" w:rsidRPr="009C2345">
                <w:rPr>
                  <w:rFonts w:eastAsia="Calibri" w:cs="Times New Roman"/>
                  <w:color w:val="0563C1"/>
                  <w:sz w:val="20"/>
                  <w:szCs w:val="20"/>
                  <w:u w:val="single"/>
                </w:rPr>
                <w:t>2014 ONSC 5274</w:t>
              </w:r>
            </w:hyperlink>
          </w:p>
          <w:p w:rsidR="00347BFC" w:rsidRPr="009C2345" w:rsidRDefault="00347BFC" w:rsidP="00347BFC">
            <w:pPr>
              <w:jc w:val="both"/>
              <w:rPr>
                <w:rFonts w:eastAsia="Calibri" w:cs="Times New Roman"/>
                <w:sz w:val="20"/>
                <w:szCs w:val="20"/>
              </w:rPr>
            </w:pPr>
          </w:p>
        </w:tc>
        <w:tc>
          <w:tcPr>
            <w:tcW w:w="243" w:type="pct"/>
          </w:tcPr>
          <w:p w:rsidR="00347BFC" w:rsidRPr="009C2345" w:rsidRDefault="00347BFC" w:rsidP="00347BFC">
            <w:pPr>
              <w:jc w:val="both"/>
              <w:rPr>
                <w:rFonts w:eastAsia="Calibri" w:cs="Times New Roman"/>
                <w:sz w:val="20"/>
                <w:szCs w:val="20"/>
              </w:rPr>
            </w:pPr>
          </w:p>
        </w:tc>
        <w:tc>
          <w:tcPr>
            <w:tcW w:w="2330" w:type="pct"/>
          </w:tcPr>
          <w:p w:rsidR="00347BFC" w:rsidRPr="009C2345" w:rsidRDefault="00347BFC" w:rsidP="00347BFC">
            <w:pPr>
              <w:jc w:val="both"/>
              <w:rPr>
                <w:rFonts w:eastAsia="Calibri" w:cs="Times New Roman"/>
                <w:sz w:val="20"/>
                <w:szCs w:val="20"/>
              </w:rPr>
            </w:pPr>
            <w:r w:rsidRPr="009C2345">
              <w:rPr>
                <w:rFonts w:eastAsia="Calibri" w:cs="Times New Roman"/>
                <w:sz w:val="20"/>
                <w:szCs w:val="20"/>
              </w:rPr>
              <w:t>Applicants held not to be legally entitled to amounts under indentures beyond outstanding principle and pre-petition interest</w:t>
            </w:r>
          </w:p>
          <w:p w:rsidR="00347BFC" w:rsidRPr="009C2345" w:rsidRDefault="00347BFC" w:rsidP="00347BFC">
            <w:pPr>
              <w:jc w:val="both"/>
              <w:rPr>
                <w:rFonts w:eastAsia="Calibri" w:cs="Times New Roman"/>
                <w:sz w:val="20"/>
                <w:szCs w:val="20"/>
              </w:rPr>
            </w:pPr>
          </w:p>
        </w:tc>
      </w:tr>
    </w:tbl>
    <w:p w:rsidR="00525901" w:rsidRPr="009C2345" w:rsidRDefault="00525901">
      <w:r w:rsidRPr="009C234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47BFC" w:rsidRPr="009C2345" w:rsidTr="00017A3C">
        <w:tc>
          <w:tcPr>
            <w:tcW w:w="2427" w:type="pct"/>
          </w:tcPr>
          <w:p w:rsidR="00347BFC" w:rsidRPr="009C2345" w:rsidRDefault="00347BFC" w:rsidP="00347BFC">
            <w:pPr>
              <w:jc w:val="both"/>
              <w:rPr>
                <w:rFonts w:eastAsia="Calibri" w:cs="Times New Roman"/>
                <w:sz w:val="20"/>
                <w:szCs w:val="20"/>
              </w:rPr>
            </w:pPr>
            <w:r w:rsidRPr="009C2345">
              <w:rPr>
                <w:rFonts w:eastAsia="Calibri" w:cs="Times New Roman"/>
                <w:sz w:val="20"/>
                <w:szCs w:val="20"/>
              </w:rPr>
              <w:t>October 13, 2015</w:t>
            </w:r>
          </w:p>
          <w:p w:rsidR="00347BFC" w:rsidRPr="009C2345" w:rsidRDefault="00347BFC" w:rsidP="00347BFC">
            <w:pPr>
              <w:jc w:val="both"/>
              <w:rPr>
                <w:rFonts w:eastAsia="Calibri" w:cs="Times New Roman"/>
                <w:sz w:val="20"/>
                <w:szCs w:val="20"/>
              </w:rPr>
            </w:pPr>
            <w:r w:rsidRPr="009C2345">
              <w:rPr>
                <w:rFonts w:eastAsia="Calibri" w:cs="Times New Roman"/>
                <w:sz w:val="20"/>
                <w:szCs w:val="20"/>
              </w:rPr>
              <w:t>Court of Appeal for Ontario</w:t>
            </w:r>
          </w:p>
          <w:p w:rsidR="00347BFC" w:rsidRPr="009C2345" w:rsidRDefault="00347BFC" w:rsidP="00347BFC">
            <w:pPr>
              <w:jc w:val="both"/>
              <w:rPr>
                <w:rFonts w:eastAsia="Calibri" w:cs="Times New Roman"/>
                <w:sz w:val="20"/>
                <w:szCs w:val="20"/>
                <w:lang w:val="en-US"/>
              </w:rPr>
            </w:pPr>
            <w:r w:rsidRPr="009C2345">
              <w:rPr>
                <w:rFonts w:eastAsia="Calibri" w:cs="Times New Roman"/>
                <w:sz w:val="20"/>
                <w:szCs w:val="20"/>
                <w:lang w:val="en-US"/>
              </w:rPr>
              <w:t>(Simmons, Gillese and Rouleau JJ.A.)</w:t>
            </w:r>
          </w:p>
          <w:p w:rsidR="00347BFC" w:rsidRPr="009C2345" w:rsidRDefault="0082006E" w:rsidP="00347BFC">
            <w:pPr>
              <w:jc w:val="both"/>
              <w:rPr>
                <w:rFonts w:eastAsia="Calibri" w:cs="Times New Roman"/>
                <w:sz w:val="20"/>
                <w:szCs w:val="20"/>
                <w:u w:val="single"/>
              </w:rPr>
            </w:pPr>
            <w:hyperlink r:id="rId63" w:history="1">
              <w:r w:rsidR="00347BFC" w:rsidRPr="009C2345">
                <w:rPr>
                  <w:rFonts w:eastAsia="Calibri" w:cs="Times New Roman"/>
                  <w:color w:val="0563C1"/>
                  <w:sz w:val="20"/>
                  <w:szCs w:val="20"/>
                  <w:u w:val="single"/>
                </w:rPr>
                <w:t>2015 ONCA 681</w:t>
              </w:r>
            </w:hyperlink>
            <w:r w:rsidR="00347BFC" w:rsidRPr="009C2345">
              <w:rPr>
                <w:rFonts w:eastAsia="Calibri" w:cs="Times New Roman"/>
                <w:color w:val="0563C1"/>
                <w:sz w:val="20"/>
                <w:szCs w:val="20"/>
                <w:u w:val="single"/>
              </w:rPr>
              <w:t xml:space="preserve">; </w:t>
            </w:r>
            <w:r w:rsidR="00347BFC" w:rsidRPr="009C2345">
              <w:rPr>
                <w:rFonts w:eastAsia="Calibri" w:cs="Times New Roman"/>
                <w:sz w:val="20"/>
                <w:szCs w:val="20"/>
                <w:u w:val="single"/>
              </w:rPr>
              <w:t>C59703</w:t>
            </w:r>
          </w:p>
          <w:p w:rsidR="00347BFC" w:rsidRPr="009C2345" w:rsidRDefault="00347BFC" w:rsidP="00347BFC">
            <w:pPr>
              <w:jc w:val="both"/>
              <w:rPr>
                <w:rFonts w:eastAsia="Calibri" w:cs="Times New Roman"/>
                <w:sz w:val="20"/>
                <w:szCs w:val="20"/>
                <w:lang w:val="en-US"/>
              </w:rPr>
            </w:pPr>
          </w:p>
        </w:tc>
        <w:tc>
          <w:tcPr>
            <w:tcW w:w="243" w:type="pct"/>
          </w:tcPr>
          <w:p w:rsidR="00347BFC" w:rsidRPr="009C2345" w:rsidRDefault="00347BFC" w:rsidP="00347BFC">
            <w:pPr>
              <w:jc w:val="both"/>
              <w:rPr>
                <w:rFonts w:eastAsia="Calibri" w:cs="Times New Roman"/>
                <w:sz w:val="20"/>
                <w:szCs w:val="20"/>
                <w:lang w:val="en-US"/>
              </w:rPr>
            </w:pPr>
          </w:p>
        </w:tc>
        <w:tc>
          <w:tcPr>
            <w:tcW w:w="2330" w:type="pct"/>
          </w:tcPr>
          <w:p w:rsidR="00347BFC" w:rsidRPr="009C2345" w:rsidRDefault="00347BFC" w:rsidP="00347BFC">
            <w:pPr>
              <w:jc w:val="both"/>
              <w:rPr>
                <w:rFonts w:eastAsia="Calibri" w:cs="Times New Roman"/>
                <w:sz w:val="20"/>
                <w:szCs w:val="20"/>
              </w:rPr>
            </w:pPr>
            <w:r w:rsidRPr="009C2345">
              <w:rPr>
                <w:rFonts w:eastAsia="Calibri" w:cs="Times New Roman"/>
                <w:sz w:val="20"/>
                <w:szCs w:val="20"/>
              </w:rPr>
              <w:t>Appeal dismissed</w:t>
            </w:r>
          </w:p>
          <w:p w:rsidR="00347BFC" w:rsidRPr="009C2345" w:rsidRDefault="00347BFC" w:rsidP="00347BFC">
            <w:pPr>
              <w:jc w:val="both"/>
              <w:rPr>
                <w:rFonts w:eastAsia="Calibri" w:cs="Times New Roman"/>
                <w:sz w:val="20"/>
                <w:szCs w:val="20"/>
              </w:rPr>
            </w:pPr>
          </w:p>
        </w:tc>
      </w:tr>
      <w:tr w:rsidR="00347BFC" w:rsidRPr="009C2345" w:rsidTr="00017A3C">
        <w:tc>
          <w:tcPr>
            <w:tcW w:w="2427" w:type="pct"/>
          </w:tcPr>
          <w:p w:rsidR="00347BFC" w:rsidRPr="009C2345" w:rsidRDefault="00347BFC" w:rsidP="00347BFC">
            <w:pPr>
              <w:jc w:val="both"/>
              <w:rPr>
                <w:rFonts w:eastAsia="Calibri" w:cs="Times New Roman"/>
                <w:sz w:val="20"/>
                <w:szCs w:val="20"/>
              </w:rPr>
            </w:pPr>
            <w:r w:rsidRPr="009C2345">
              <w:rPr>
                <w:rFonts w:eastAsia="Calibri" w:cs="Times New Roman"/>
                <w:sz w:val="20"/>
                <w:szCs w:val="20"/>
              </w:rPr>
              <w:t>December 14, 2015</w:t>
            </w:r>
          </w:p>
          <w:p w:rsidR="00347BFC" w:rsidRPr="009C2345" w:rsidRDefault="00347BFC" w:rsidP="00347BFC">
            <w:pPr>
              <w:jc w:val="both"/>
              <w:rPr>
                <w:rFonts w:eastAsia="Calibri" w:cs="Times New Roman"/>
                <w:sz w:val="20"/>
                <w:szCs w:val="20"/>
              </w:rPr>
            </w:pPr>
            <w:r w:rsidRPr="009C2345">
              <w:rPr>
                <w:rFonts w:eastAsia="Calibri" w:cs="Times New Roman"/>
                <w:sz w:val="20"/>
                <w:szCs w:val="20"/>
              </w:rPr>
              <w:t>Supreme Court of Canada</w:t>
            </w:r>
          </w:p>
        </w:tc>
        <w:tc>
          <w:tcPr>
            <w:tcW w:w="243" w:type="pct"/>
          </w:tcPr>
          <w:p w:rsidR="00347BFC" w:rsidRPr="009C2345" w:rsidRDefault="00347BFC" w:rsidP="00347BFC">
            <w:pPr>
              <w:jc w:val="both"/>
              <w:rPr>
                <w:rFonts w:eastAsia="Calibri" w:cs="Times New Roman"/>
                <w:sz w:val="20"/>
                <w:szCs w:val="20"/>
              </w:rPr>
            </w:pPr>
          </w:p>
        </w:tc>
        <w:tc>
          <w:tcPr>
            <w:tcW w:w="2330" w:type="pct"/>
          </w:tcPr>
          <w:p w:rsidR="00347BFC" w:rsidRPr="009C2345" w:rsidRDefault="00347BFC" w:rsidP="00347BFC">
            <w:pPr>
              <w:jc w:val="both"/>
              <w:rPr>
                <w:rFonts w:eastAsia="Calibri" w:cs="Times New Roman"/>
                <w:sz w:val="20"/>
                <w:szCs w:val="20"/>
              </w:rPr>
            </w:pPr>
            <w:r w:rsidRPr="009C2345">
              <w:rPr>
                <w:rFonts w:eastAsia="Calibri" w:cs="Times New Roman"/>
                <w:sz w:val="20"/>
                <w:szCs w:val="20"/>
              </w:rPr>
              <w:t>Application for leave to appeal filed</w:t>
            </w:r>
          </w:p>
        </w:tc>
      </w:tr>
    </w:tbl>
    <w:p w:rsidR="00031F07" w:rsidRPr="009C2345" w:rsidRDefault="00031F07" w:rsidP="008D292F">
      <w:pPr>
        <w:rPr>
          <w:sz w:val="20"/>
          <w:szCs w:val="20"/>
        </w:rPr>
      </w:pPr>
    </w:p>
    <w:p w:rsidR="00031F07" w:rsidRPr="009C2345" w:rsidRDefault="0082006E" w:rsidP="008D292F">
      <w:pPr>
        <w:rPr>
          <w:sz w:val="20"/>
          <w:szCs w:val="20"/>
          <w:lang w:val="fr-CA"/>
        </w:rPr>
      </w:pPr>
      <w:r>
        <w:rPr>
          <w:sz w:val="20"/>
          <w:szCs w:val="20"/>
          <w:lang w:val="fr-CA"/>
        </w:rPr>
        <w:pict>
          <v:rect id="_x0000_i1058" style="width:2in;height:1pt" o:hrpct="0" o:hralign="center" o:hrstd="t" o:hrnoshade="t" o:hr="t" fillcolor="black [3213]" stroked="f"/>
        </w:pict>
      </w:r>
    </w:p>
    <w:p w:rsidR="00031F07" w:rsidRPr="009C2345" w:rsidRDefault="00031F07" w:rsidP="008D292F">
      <w:pPr>
        <w:rPr>
          <w:sz w:val="20"/>
          <w:szCs w:val="20"/>
          <w:lang w:val="fr-CA"/>
        </w:rPr>
      </w:pPr>
    </w:p>
    <w:p w:rsidR="008B5D38" w:rsidRPr="009C2345" w:rsidRDefault="008B5D38" w:rsidP="008B5D38">
      <w:pPr>
        <w:rPr>
          <w:sz w:val="20"/>
          <w:szCs w:val="20"/>
          <w:u w:val="single"/>
          <w:lang w:val="fr-CA"/>
        </w:rPr>
      </w:pPr>
      <w:r w:rsidRPr="009C2345">
        <w:rPr>
          <w:sz w:val="20"/>
          <w:szCs w:val="20"/>
          <w:u w:val="single"/>
          <w:lang w:val="fr-CA"/>
        </w:rPr>
        <w:t>RÉSUMÉ DE L’AFFAIRE</w:t>
      </w:r>
    </w:p>
    <w:p w:rsidR="008B5D38" w:rsidRPr="009C2345" w:rsidRDefault="008B5D38" w:rsidP="008B5D3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015CA" w:rsidRPr="0082006E" w:rsidTr="00017A3C">
        <w:tc>
          <w:tcPr>
            <w:tcW w:w="5000" w:type="pct"/>
            <w:gridSpan w:val="3"/>
          </w:tcPr>
          <w:p w:rsidR="00D015CA" w:rsidRPr="009C2345" w:rsidRDefault="00D015CA" w:rsidP="00D015CA">
            <w:pPr>
              <w:jc w:val="both"/>
              <w:rPr>
                <w:rFonts w:eastAsia="Calibri" w:cs="Times New Roman"/>
                <w:sz w:val="20"/>
                <w:szCs w:val="20"/>
                <w:lang w:val="fr-CA"/>
              </w:rPr>
            </w:pPr>
            <w:r w:rsidRPr="009C2345">
              <w:rPr>
                <w:rFonts w:eastAsia="Calibri" w:cs="Times New Roman"/>
                <w:sz w:val="20"/>
                <w:szCs w:val="20"/>
                <w:lang w:val="fr-CA"/>
              </w:rPr>
              <w:t xml:space="preserve">Droit commercial – Faillite et insolvabilité – Intérêts – Les créanciers peuvent-ils réclamer du débiteur des intérêts, y compris des intérêts contractuels déterminés, à l’égard de la période qui suit l’introduction d’une instance sous le régime de la </w:t>
            </w:r>
            <w:r w:rsidRPr="009C2345">
              <w:rPr>
                <w:rFonts w:eastAsia="Calibri" w:cs="Times New Roman"/>
                <w:i/>
                <w:iCs/>
                <w:sz w:val="20"/>
                <w:szCs w:val="20"/>
                <w:lang w:val="fr-CA"/>
              </w:rPr>
              <w:t>Loi sur des arrangements avec les créanciers des compagnies</w:t>
            </w:r>
            <w:r w:rsidRPr="009C2345">
              <w:rPr>
                <w:rFonts w:eastAsia="Calibri" w:cs="Times New Roman"/>
                <w:iCs/>
                <w:sz w:val="20"/>
                <w:szCs w:val="20"/>
                <w:lang w:val="fr-CA"/>
              </w:rPr>
              <w:t>,</w:t>
            </w:r>
            <w:r w:rsidRPr="009C2345">
              <w:rPr>
                <w:rFonts w:eastAsia="Calibri" w:cs="Times New Roman"/>
                <w:i/>
                <w:iCs/>
                <w:sz w:val="20"/>
                <w:szCs w:val="20"/>
                <w:lang w:val="fr-CA"/>
              </w:rPr>
              <w:t xml:space="preserve"> </w:t>
            </w:r>
            <w:r w:rsidRPr="009C2345">
              <w:rPr>
                <w:rFonts w:eastAsia="Calibri" w:cs="Times New Roman"/>
                <w:sz w:val="20"/>
                <w:szCs w:val="20"/>
                <w:lang w:val="fr-CA"/>
              </w:rPr>
              <w:t>L.R.C. 1985, ch. C-36</w:t>
            </w:r>
            <w:r w:rsidRPr="009C2345">
              <w:rPr>
                <w:rFonts w:eastAsia="Calibri" w:cs="Times New Roman"/>
                <w:i/>
                <w:iCs/>
                <w:sz w:val="20"/>
                <w:szCs w:val="20"/>
                <w:lang w:val="fr-CA"/>
              </w:rPr>
              <w:t xml:space="preserve"> </w:t>
            </w:r>
            <w:r w:rsidRPr="009C2345">
              <w:rPr>
                <w:rFonts w:eastAsia="Calibri" w:cs="Times New Roman"/>
                <w:sz w:val="20"/>
                <w:szCs w:val="20"/>
                <w:lang w:val="fr-CA"/>
              </w:rPr>
              <w:t xml:space="preserve">(la </w:t>
            </w:r>
            <w:r w:rsidRPr="009C2345">
              <w:rPr>
                <w:rFonts w:eastAsia="Calibri" w:cs="Times New Roman"/>
                <w:bCs/>
                <w:sz w:val="20"/>
                <w:szCs w:val="20"/>
                <w:lang w:val="fr-CA"/>
              </w:rPr>
              <w:t>« </w:t>
            </w:r>
            <w:r w:rsidRPr="009C2345">
              <w:rPr>
                <w:rFonts w:eastAsia="Calibri" w:cs="Times New Roman"/>
                <w:bCs/>
                <w:i/>
                <w:sz w:val="20"/>
                <w:szCs w:val="20"/>
                <w:lang w:val="fr-CA"/>
              </w:rPr>
              <w:t>LACC</w:t>
            </w:r>
            <w:r w:rsidRPr="009C2345">
              <w:rPr>
                <w:rFonts w:eastAsia="Calibri" w:cs="Times New Roman"/>
                <w:bCs/>
                <w:sz w:val="20"/>
                <w:szCs w:val="20"/>
                <w:lang w:val="fr-CA"/>
              </w:rPr>
              <w:t xml:space="preserve"> »)? </w:t>
            </w:r>
            <w:r w:rsidRPr="009C2345">
              <w:rPr>
                <w:rFonts w:eastAsia="Calibri" w:cs="Times New Roman"/>
                <w:sz w:val="20"/>
                <w:szCs w:val="20"/>
                <w:lang w:val="fr-CA"/>
              </w:rPr>
              <w:t xml:space="preserve">– La Cour d’appel de l’Ontario a-t-elle eu tort de statuer qu’une règle de common law s’appliquait de façon à mettre immédiatement fin à l’accumulation des intérêts postérieurs au dépôt d’une instance sous le régime de la </w:t>
            </w:r>
            <w:r w:rsidRPr="009C2345">
              <w:rPr>
                <w:rFonts w:eastAsia="Calibri" w:cs="Times New Roman"/>
                <w:i/>
                <w:sz w:val="20"/>
                <w:szCs w:val="20"/>
                <w:lang w:val="fr-CA"/>
              </w:rPr>
              <w:t>LACC</w:t>
            </w:r>
            <w:r w:rsidRPr="009C2345">
              <w:rPr>
                <w:rFonts w:eastAsia="Calibri" w:cs="Times New Roman"/>
                <w:sz w:val="20"/>
                <w:szCs w:val="20"/>
                <w:lang w:val="fr-CA"/>
              </w:rPr>
              <w:t xml:space="preserve">? – La Cour d’appel de l’Ontario a-t-elle eu tort de ne pas suivre les arrêts </w:t>
            </w:r>
            <w:r w:rsidRPr="009C2345">
              <w:rPr>
                <w:rFonts w:eastAsia="Times New Roman" w:cs="Times New Roman"/>
                <w:i/>
                <w:sz w:val="20"/>
                <w:szCs w:val="20"/>
                <w:lang w:val="fr-CA"/>
              </w:rPr>
              <w:t>Canada 3000 Inc., Re; Inter</w:t>
            </w:r>
            <w:r w:rsidRPr="009C2345">
              <w:rPr>
                <w:rFonts w:eastAsia="Times New Roman" w:cs="Times New Roman"/>
                <w:i/>
                <w:sz w:val="20"/>
                <w:szCs w:val="20"/>
                <w:lang w:val="fr-CA"/>
              </w:rPr>
              <w:noBreakHyphen/>
              <w:t>Canadien (1991) Inc. (Syndic de)</w:t>
            </w:r>
            <w:r w:rsidRPr="009C2345">
              <w:rPr>
                <w:rFonts w:eastAsia="Times New Roman" w:cs="Times New Roman"/>
                <w:sz w:val="20"/>
                <w:szCs w:val="20"/>
                <w:lang w:val="fr-CA"/>
              </w:rPr>
              <w:t>, [2006] 1 R.C.S. 865, 2006 CSC 24</w:t>
            </w:r>
            <w:r w:rsidRPr="009C2345">
              <w:rPr>
                <w:rFonts w:eastAsia="Calibri" w:cs="Times New Roman"/>
                <w:sz w:val="20"/>
                <w:szCs w:val="20"/>
                <w:lang w:val="fr-CA"/>
              </w:rPr>
              <w:t xml:space="preserve"> et </w:t>
            </w:r>
            <w:r w:rsidRPr="009C2345">
              <w:rPr>
                <w:rFonts w:eastAsia="Calibri" w:cs="Times New Roman"/>
                <w:i/>
                <w:sz w:val="20"/>
                <w:szCs w:val="20"/>
                <w:lang w:val="fr-CA"/>
              </w:rPr>
              <w:t>Stelco (Re)</w:t>
            </w:r>
            <w:r w:rsidRPr="009C2345">
              <w:rPr>
                <w:rFonts w:eastAsia="Calibri" w:cs="Times New Roman"/>
                <w:sz w:val="20"/>
                <w:szCs w:val="20"/>
                <w:lang w:val="fr-CA"/>
              </w:rPr>
              <w:t>, 2007 ONCA 483, 35 C.B.R. (5</w:t>
            </w:r>
            <w:r w:rsidRPr="009C2345">
              <w:rPr>
                <w:rFonts w:eastAsia="Calibri" w:cs="Times New Roman"/>
                <w:sz w:val="20"/>
                <w:szCs w:val="20"/>
                <w:vertAlign w:val="superscript"/>
                <w:lang w:val="fr-CA"/>
              </w:rPr>
              <w:t>th</w:t>
            </w:r>
            <w:r w:rsidRPr="009C2345">
              <w:rPr>
                <w:rFonts w:eastAsia="Calibri" w:cs="Times New Roman"/>
                <w:sz w:val="20"/>
                <w:szCs w:val="20"/>
                <w:lang w:val="fr-CA"/>
              </w:rPr>
              <w:t>) 174?</w:t>
            </w:r>
          </w:p>
          <w:p w:rsidR="00D015CA" w:rsidRPr="009C2345" w:rsidRDefault="00D015CA" w:rsidP="00D015CA">
            <w:pPr>
              <w:jc w:val="both"/>
              <w:rPr>
                <w:rFonts w:eastAsia="Calibri" w:cs="Times New Roman"/>
                <w:sz w:val="20"/>
                <w:szCs w:val="20"/>
                <w:lang w:val="fr-CA"/>
              </w:rPr>
            </w:pPr>
          </w:p>
        </w:tc>
      </w:tr>
      <w:tr w:rsidR="00D015CA" w:rsidRPr="009C2345" w:rsidTr="00017A3C">
        <w:tc>
          <w:tcPr>
            <w:tcW w:w="5000" w:type="pct"/>
            <w:gridSpan w:val="3"/>
          </w:tcPr>
          <w:p w:rsidR="00D015CA" w:rsidRPr="009C2345" w:rsidRDefault="00D015CA" w:rsidP="00D015CA">
            <w:pPr>
              <w:jc w:val="both"/>
              <w:rPr>
                <w:rFonts w:eastAsia="Calibri" w:cs="Times New Roman"/>
                <w:sz w:val="20"/>
                <w:szCs w:val="20"/>
                <w:lang w:val="fr-CA"/>
              </w:rPr>
            </w:pPr>
            <w:r w:rsidRPr="009C2345">
              <w:rPr>
                <w:rFonts w:eastAsia="Calibri" w:cs="Times New Roman"/>
                <w:sz w:val="20"/>
                <w:szCs w:val="20"/>
                <w:lang w:val="fr-CA"/>
              </w:rPr>
              <w:t xml:space="preserve">Dans le contexte d’instances en cours sous le régime de la </w:t>
            </w:r>
            <w:r w:rsidRPr="009C2345">
              <w:rPr>
                <w:rFonts w:eastAsia="Calibri" w:cs="Times New Roman"/>
                <w:i/>
                <w:sz w:val="20"/>
                <w:szCs w:val="20"/>
                <w:lang w:val="fr-CA"/>
              </w:rPr>
              <w:t>LACC</w:t>
            </w:r>
            <w:r w:rsidRPr="009C2345">
              <w:rPr>
                <w:rFonts w:eastAsia="Calibri" w:cs="Times New Roman"/>
                <w:sz w:val="20"/>
                <w:szCs w:val="20"/>
                <w:lang w:val="fr-CA"/>
              </w:rPr>
              <w:t xml:space="preserve"> et d’instances parallèles sous le régime du chapitre 11 du </w:t>
            </w:r>
            <w:r w:rsidRPr="009C2345">
              <w:rPr>
                <w:rFonts w:eastAsia="Calibri" w:cs="Times New Roman"/>
                <w:i/>
                <w:sz w:val="20"/>
                <w:szCs w:val="20"/>
                <w:lang w:val="fr-CA"/>
              </w:rPr>
              <w:t xml:space="preserve">Bankruptcy Code </w:t>
            </w:r>
            <w:r w:rsidRPr="009C2345">
              <w:rPr>
                <w:rFonts w:eastAsia="Calibri" w:cs="Times New Roman"/>
                <w:sz w:val="20"/>
                <w:szCs w:val="20"/>
                <w:lang w:val="fr-CA"/>
              </w:rPr>
              <w:t xml:space="preserve">des États-Unis dans l’affaire Nortel, la demanderesse représente d’importants titulaires d’obligations non garanties de qualité intermédiaire émises ou garanties par certaines entités canadiennes de Nortel. Les actes formalistes bilatéraux connexes prévoyaient l’accumulation continue des intérêts jusqu’au paiement, à des taux déterminés contractuellement, et d’autres obligations de paiement postérieures au dépôt, sous forme de dispositions d’indemnisation intégrale et d’honoraires de fiduciaire. Par conséquent, en plus de réclamer le capital et les intérêts antérieurs au dépôt au montant de 4,092 milliards de dollars US contre chacun des patrimoines canadiens et américains de Nortel (dont le produit de liquidation totale représente environ 7,3 milliards de dollars), la demanderesse a réclamé des intérêts postérieurs au dépôt en exécution des obligations de qualité intermédiaire, d’un montant de 1,6 milliard de dollars US. Les créances des autres demandeurs, par exemple les retraités et les anciens employés, ne prévoyaient pas d’intérêt sur les montants dus. La Cour supérieure de justice de l’Ontario a statué que la règle prévoyant  la cessation immédiate de l’accumulation des intérêts élaborée dans le contexte du droit de l’insolvabilité s’appliquait à l’instance sous le régime de la </w:t>
            </w:r>
            <w:r w:rsidRPr="009C2345">
              <w:rPr>
                <w:rFonts w:eastAsia="Calibri" w:cs="Times New Roman"/>
                <w:i/>
                <w:sz w:val="20"/>
                <w:szCs w:val="20"/>
                <w:lang w:val="fr-CA"/>
              </w:rPr>
              <w:t>LACC</w:t>
            </w:r>
            <w:r w:rsidRPr="009C2345">
              <w:rPr>
                <w:rFonts w:eastAsia="Calibri" w:cs="Times New Roman"/>
                <w:sz w:val="20"/>
                <w:szCs w:val="20"/>
                <w:lang w:val="fr-CA"/>
              </w:rPr>
              <w:t xml:space="preserve"> et que la demanderesse n’avait pas légalement droit au montant réclamé en sus de la dette en capital impayé et des intérêts accumulés avant le dépôt de la requête. La Cour d’appel de l’Ontario a rejeté l’appel. </w:t>
            </w:r>
          </w:p>
        </w:tc>
      </w:tr>
      <w:tr w:rsidR="00D015CA" w:rsidRPr="009C2345" w:rsidTr="00017A3C">
        <w:tc>
          <w:tcPr>
            <w:tcW w:w="5000" w:type="pct"/>
            <w:gridSpan w:val="3"/>
          </w:tcPr>
          <w:p w:rsidR="00D015CA" w:rsidRPr="009C2345" w:rsidRDefault="00D015CA" w:rsidP="00D015CA">
            <w:pPr>
              <w:jc w:val="both"/>
              <w:rPr>
                <w:rFonts w:eastAsia="Calibri" w:cs="Times New Roman"/>
                <w:sz w:val="20"/>
                <w:szCs w:val="20"/>
                <w:lang w:val="fr-CA"/>
              </w:rPr>
            </w:pPr>
          </w:p>
        </w:tc>
      </w:tr>
      <w:tr w:rsidR="00D015CA" w:rsidRPr="0082006E" w:rsidTr="00017A3C">
        <w:tc>
          <w:tcPr>
            <w:tcW w:w="2427" w:type="pct"/>
          </w:tcPr>
          <w:p w:rsidR="00D015CA" w:rsidRPr="009C2345" w:rsidRDefault="00D015CA" w:rsidP="00D015CA">
            <w:pPr>
              <w:jc w:val="both"/>
              <w:rPr>
                <w:rFonts w:eastAsia="Calibri" w:cs="Times New Roman"/>
                <w:sz w:val="20"/>
                <w:szCs w:val="20"/>
                <w:lang w:val="fr-CA"/>
              </w:rPr>
            </w:pPr>
            <w:r w:rsidRPr="009C2345">
              <w:rPr>
                <w:rFonts w:eastAsia="Calibri" w:cs="Times New Roman"/>
                <w:sz w:val="20"/>
                <w:szCs w:val="20"/>
                <w:lang w:val="fr-CA"/>
              </w:rPr>
              <w:t>11 septembre 2014</w:t>
            </w:r>
          </w:p>
          <w:p w:rsidR="00D015CA" w:rsidRPr="009C2345" w:rsidRDefault="00D015CA" w:rsidP="00D015CA">
            <w:pPr>
              <w:jc w:val="both"/>
              <w:rPr>
                <w:rFonts w:eastAsia="Calibri" w:cs="Times New Roman"/>
                <w:sz w:val="20"/>
                <w:szCs w:val="20"/>
                <w:lang w:val="fr-CA"/>
              </w:rPr>
            </w:pPr>
            <w:r w:rsidRPr="009C2345">
              <w:rPr>
                <w:rFonts w:eastAsia="Calibri" w:cs="Times New Roman"/>
                <w:sz w:val="20"/>
                <w:szCs w:val="20"/>
                <w:lang w:val="fr-CA"/>
              </w:rPr>
              <w:t xml:space="preserve">Cour supérieure de justice de l’Ontario </w:t>
            </w:r>
          </w:p>
          <w:p w:rsidR="00D015CA" w:rsidRPr="009C2345" w:rsidRDefault="00D015CA" w:rsidP="00D015CA">
            <w:pPr>
              <w:jc w:val="both"/>
              <w:rPr>
                <w:rFonts w:eastAsia="Calibri" w:cs="Times New Roman"/>
                <w:sz w:val="20"/>
                <w:szCs w:val="20"/>
                <w:lang w:val="fr-CA"/>
              </w:rPr>
            </w:pPr>
            <w:r w:rsidRPr="009C2345">
              <w:rPr>
                <w:rFonts w:eastAsia="Calibri" w:cs="Times New Roman"/>
                <w:sz w:val="20"/>
                <w:szCs w:val="20"/>
                <w:lang w:val="fr-CA"/>
              </w:rPr>
              <w:t>(Juge Newbould)</w:t>
            </w:r>
          </w:p>
          <w:p w:rsidR="00D015CA" w:rsidRPr="009C2345" w:rsidRDefault="0082006E" w:rsidP="00D015CA">
            <w:pPr>
              <w:jc w:val="both"/>
              <w:rPr>
                <w:rFonts w:eastAsia="Calibri" w:cs="Times New Roman"/>
                <w:color w:val="0563C1"/>
                <w:sz w:val="20"/>
                <w:szCs w:val="20"/>
                <w:lang w:val="fr-CA"/>
              </w:rPr>
            </w:pPr>
            <w:hyperlink r:id="rId64" w:history="1">
              <w:r w:rsidR="00D015CA" w:rsidRPr="009C2345">
                <w:rPr>
                  <w:rFonts w:eastAsia="Calibri" w:cs="Times New Roman"/>
                  <w:color w:val="0563C1"/>
                  <w:sz w:val="20"/>
                  <w:szCs w:val="20"/>
                  <w:u w:val="single"/>
                  <w:lang w:val="fr-CA"/>
                </w:rPr>
                <w:t>2014 ONSC 4777</w:t>
              </w:r>
            </w:hyperlink>
            <w:r w:rsidR="00D015CA" w:rsidRPr="009C2345">
              <w:rPr>
                <w:rFonts w:eastAsia="Calibri" w:cs="Times New Roman"/>
                <w:sz w:val="20"/>
                <w:szCs w:val="20"/>
                <w:lang w:val="fr-CA"/>
              </w:rPr>
              <w:t xml:space="preserve">; </w:t>
            </w:r>
            <w:hyperlink r:id="rId65" w:history="1">
              <w:r w:rsidR="00D015CA" w:rsidRPr="009C2345">
                <w:rPr>
                  <w:rFonts w:eastAsia="Calibri" w:cs="Times New Roman"/>
                  <w:color w:val="0563C1"/>
                  <w:sz w:val="20"/>
                  <w:szCs w:val="20"/>
                  <w:u w:val="single"/>
                  <w:lang w:val="fr-CA"/>
                </w:rPr>
                <w:t>2014 ONSC 5274</w:t>
              </w:r>
            </w:hyperlink>
          </w:p>
          <w:p w:rsidR="00D015CA" w:rsidRPr="009C2345" w:rsidRDefault="00D015CA" w:rsidP="00D015CA">
            <w:pPr>
              <w:jc w:val="both"/>
              <w:rPr>
                <w:rFonts w:eastAsia="Calibri" w:cs="Times New Roman"/>
                <w:sz w:val="20"/>
                <w:szCs w:val="20"/>
                <w:lang w:val="fr-CA"/>
              </w:rPr>
            </w:pPr>
          </w:p>
        </w:tc>
        <w:tc>
          <w:tcPr>
            <w:tcW w:w="243" w:type="pct"/>
          </w:tcPr>
          <w:p w:rsidR="00D015CA" w:rsidRPr="009C2345" w:rsidRDefault="00D015CA" w:rsidP="00D015CA">
            <w:pPr>
              <w:jc w:val="both"/>
              <w:rPr>
                <w:rFonts w:eastAsia="Calibri" w:cs="Times New Roman"/>
                <w:sz w:val="20"/>
                <w:szCs w:val="20"/>
                <w:lang w:val="fr-CA"/>
              </w:rPr>
            </w:pPr>
          </w:p>
        </w:tc>
        <w:tc>
          <w:tcPr>
            <w:tcW w:w="2330" w:type="pct"/>
          </w:tcPr>
          <w:p w:rsidR="00D015CA" w:rsidRPr="009C2345" w:rsidRDefault="00D015CA" w:rsidP="00D015CA">
            <w:pPr>
              <w:jc w:val="both"/>
              <w:rPr>
                <w:rFonts w:eastAsia="Calibri" w:cs="Times New Roman"/>
                <w:sz w:val="20"/>
                <w:szCs w:val="20"/>
                <w:lang w:val="fr-CA"/>
              </w:rPr>
            </w:pPr>
            <w:r w:rsidRPr="009C2345">
              <w:rPr>
                <w:rFonts w:eastAsia="Calibri" w:cs="Times New Roman"/>
                <w:sz w:val="20"/>
                <w:szCs w:val="20"/>
                <w:lang w:val="fr-CA"/>
              </w:rPr>
              <w:t>Jugement statuant que les demanderesses n’ont pas légalement droit au montant en exécution des actes formalistes bilatéraux en plus du capital impayé et des intérêts accumulés avant la requête</w:t>
            </w:r>
          </w:p>
          <w:p w:rsidR="00D015CA" w:rsidRPr="009C2345" w:rsidRDefault="00D015CA" w:rsidP="00D015CA">
            <w:pPr>
              <w:jc w:val="both"/>
              <w:rPr>
                <w:rFonts w:eastAsia="Calibri" w:cs="Times New Roman"/>
                <w:sz w:val="20"/>
                <w:szCs w:val="20"/>
                <w:lang w:val="fr-CA"/>
              </w:rPr>
            </w:pPr>
          </w:p>
        </w:tc>
      </w:tr>
      <w:tr w:rsidR="00D015CA" w:rsidRPr="009C2345" w:rsidTr="00017A3C">
        <w:tc>
          <w:tcPr>
            <w:tcW w:w="2427" w:type="pct"/>
          </w:tcPr>
          <w:p w:rsidR="00D015CA" w:rsidRPr="009C2345" w:rsidRDefault="00D015CA" w:rsidP="00D015CA">
            <w:pPr>
              <w:jc w:val="both"/>
              <w:rPr>
                <w:rFonts w:eastAsia="Calibri" w:cs="Times New Roman"/>
                <w:sz w:val="20"/>
                <w:szCs w:val="20"/>
                <w:lang w:val="fr-CA"/>
              </w:rPr>
            </w:pPr>
            <w:r w:rsidRPr="009C2345">
              <w:rPr>
                <w:rFonts w:eastAsia="Calibri" w:cs="Times New Roman"/>
                <w:sz w:val="20"/>
                <w:szCs w:val="20"/>
                <w:lang w:val="fr-CA"/>
              </w:rPr>
              <w:t>13 octobre 2015</w:t>
            </w:r>
          </w:p>
          <w:p w:rsidR="00D015CA" w:rsidRPr="009C2345" w:rsidRDefault="00D015CA" w:rsidP="00D015CA">
            <w:pPr>
              <w:jc w:val="both"/>
              <w:rPr>
                <w:rFonts w:eastAsia="Calibri" w:cs="Times New Roman"/>
                <w:sz w:val="20"/>
                <w:szCs w:val="20"/>
                <w:lang w:val="fr-CA"/>
              </w:rPr>
            </w:pPr>
            <w:r w:rsidRPr="009C2345">
              <w:rPr>
                <w:rFonts w:eastAsia="Calibri" w:cs="Times New Roman"/>
                <w:sz w:val="20"/>
                <w:szCs w:val="20"/>
                <w:lang w:val="fr-CA"/>
              </w:rPr>
              <w:t>Cour d’appel de l’Ontario</w:t>
            </w:r>
          </w:p>
          <w:p w:rsidR="00D015CA" w:rsidRPr="009C2345" w:rsidRDefault="00D015CA" w:rsidP="00D015CA">
            <w:pPr>
              <w:jc w:val="both"/>
              <w:rPr>
                <w:rFonts w:eastAsia="Calibri" w:cs="Times New Roman"/>
                <w:sz w:val="20"/>
                <w:szCs w:val="20"/>
                <w:lang w:val="fr-CA"/>
              </w:rPr>
            </w:pPr>
            <w:r w:rsidRPr="009C2345">
              <w:rPr>
                <w:rFonts w:eastAsia="Calibri" w:cs="Times New Roman"/>
                <w:sz w:val="20"/>
                <w:szCs w:val="20"/>
                <w:lang w:val="fr-CA"/>
              </w:rPr>
              <w:t>(Juges Simmons, Gillese et Rouleau)</w:t>
            </w:r>
          </w:p>
          <w:p w:rsidR="00D015CA" w:rsidRPr="009C2345" w:rsidRDefault="0082006E" w:rsidP="00D015CA">
            <w:pPr>
              <w:jc w:val="both"/>
              <w:rPr>
                <w:rFonts w:eastAsia="Calibri" w:cs="Times New Roman"/>
                <w:sz w:val="20"/>
                <w:szCs w:val="20"/>
                <w:lang w:val="fr-CA"/>
              </w:rPr>
            </w:pPr>
            <w:hyperlink r:id="rId66" w:history="1">
              <w:r w:rsidR="00D015CA" w:rsidRPr="009C2345">
                <w:rPr>
                  <w:rFonts w:eastAsia="Calibri" w:cs="Times New Roman"/>
                  <w:color w:val="0563C1"/>
                  <w:sz w:val="20"/>
                  <w:szCs w:val="20"/>
                  <w:u w:val="single"/>
                  <w:lang w:val="fr-CA"/>
                </w:rPr>
                <w:t>2015 ONCA 681</w:t>
              </w:r>
            </w:hyperlink>
            <w:r w:rsidR="00D015CA" w:rsidRPr="009C2345">
              <w:rPr>
                <w:rFonts w:eastAsia="Calibri" w:cs="Times New Roman"/>
                <w:color w:val="0563C1"/>
                <w:sz w:val="20"/>
                <w:szCs w:val="20"/>
                <w:lang w:val="fr-CA"/>
              </w:rPr>
              <w:t xml:space="preserve">; </w:t>
            </w:r>
            <w:r w:rsidR="00D015CA" w:rsidRPr="009C2345">
              <w:rPr>
                <w:rFonts w:eastAsia="Calibri" w:cs="Times New Roman"/>
                <w:sz w:val="20"/>
                <w:szCs w:val="20"/>
                <w:lang w:val="fr-CA"/>
              </w:rPr>
              <w:t>C59703</w:t>
            </w:r>
          </w:p>
          <w:p w:rsidR="00D015CA" w:rsidRPr="009C2345" w:rsidRDefault="00D015CA" w:rsidP="00D015CA">
            <w:pPr>
              <w:jc w:val="both"/>
              <w:rPr>
                <w:rFonts w:eastAsia="Calibri" w:cs="Times New Roman"/>
                <w:sz w:val="20"/>
                <w:szCs w:val="20"/>
                <w:lang w:val="fr-CA"/>
              </w:rPr>
            </w:pPr>
          </w:p>
        </w:tc>
        <w:tc>
          <w:tcPr>
            <w:tcW w:w="243" w:type="pct"/>
          </w:tcPr>
          <w:p w:rsidR="00D015CA" w:rsidRPr="009C2345" w:rsidRDefault="00D015CA" w:rsidP="00D015CA">
            <w:pPr>
              <w:jc w:val="both"/>
              <w:rPr>
                <w:rFonts w:eastAsia="Calibri" w:cs="Times New Roman"/>
                <w:sz w:val="20"/>
                <w:szCs w:val="20"/>
                <w:lang w:val="fr-CA"/>
              </w:rPr>
            </w:pPr>
          </w:p>
        </w:tc>
        <w:tc>
          <w:tcPr>
            <w:tcW w:w="2330" w:type="pct"/>
          </w:tcPr>
          <w:p w:rsidR="00D015CA" w:rsidRPr="009C2345" w:rsidRDefault="00D015CA" w:rsidP="00D015CA">
            <w:pPr>
              <w:jc w:val="both"/>
              <w:rPr>
                <w:rFonts w:eastAsia="Calibri" w:cs="Times New Roman"/>
                <w:sz w:val="20"/>
                <w:szCs w:val="20"/>
                <w:lang w:val="fr-CA"/>
              </w:rPr>
            </w:pPr>
            <w:r w:rsidRPr="009C2345">
              <w:rPr>
                <w:rFonts w:eastAsia="Calibri" w:cs="Times New Roman"/>
                <w:sz w:val="20"/>
                <w:szCs w:val="20"/>
                <w:lang w:val="fr-CA"/>
              </w:rPr>
              <w:t>Rejet de l’appel</w:t>
            </w:r>
          </w:p>
          <w:p w:rsidR="00D015CA" w:rsidRPr="009C2345" w:rsidRDefault="00D015CA" w:rsidP="00D015CA">
            <w:pPr>
              <w:jc w:val="both"/>
              <w:rPr>
                <w:rFonts w:eastAsia="Calibri" w:cs="Times New Roman"/>
                <w:sz w:val="20"/>
                <w:szCs w:val="20"/>
                <w:lang w:val="fr-CA"/>
              </w:rPr>
            </w:pPr>
          </w:p>
        </w:tc>
      </w:tr>
      <w:tr w:rsidR="00D015CA" w:rsidRPr="0082006E" w:rsidTr="00017A3C">
        <w:tc>
          <w:tcPr>
            <w:tcW w:w="2427" w:type="pct"/>
          </w:tcPr>
          <w:p w:rsidR="00D015CA" w:rsidRPr="009C2345" w:rsidRDefault="00D015CA" w:rsidP="00D015CA">
            <w:pPr>
              <w:jc w:val="both"/>
              <w:rPr>
                <w:rFonts w:eastAsia="Calibri" w:cs="Times New Roman"/>
                <w:sz w:val="20"/>
                <w:szCs w:val="20"/>
                <w:lang w:val="fr-CA"/>
              </w:rPr>
            </w:pPr>
            <w:r w:rsidRPr="009C2345">
              <w:rPr>
                <w:rFonts w:eastAsia="Calibri" w:cs="Times New Roman"/>
                <w:sz w:val="20"/>
                <w:szCs w:val="20"/>
                <w:lang w:val="fr-CA"/>
              </w:rPr>
              <w:t>14 décembre 2015</w:t>
            </w:r>
          </w:p>
          <w:p w:rsidR="00D015CA" w:rsidRPr="009C2345" w:rsidRDefault="00D015CA" w:rsidP="00D015CA">
            <w:pPr>
              <w:jc w:val="both"/>
              <w:rPr>
                <w:rFonts w:eastAsia="Calibri" w:cs="Times New Roman"/>
                <w:sz w:val="20"/>
                <w:szCs w:val="20"/>
                <w:lang w:val="fr-CA"/>
              </w:rPr>
            </w:pPr>
            <w:r w:rsidRPr="009C2345">
              <w:rPr>
                <w:rFonts w:eastAsia="Calibri" w:cs="Times New Roman"/>
                <w:sz w:val="20"/>
                <w:szCs w:val="20"/>
                <w:lang w:val="fr-CA"/>
              </w:rPr>
              <w:t>Cour suprême du Canada</w:t>
            </w:r>
          </w:p>
        </w:tc>
        <w:tc>
          <w:tcPr>
            <w:tcW w:w="243" w:type="pct"/>
          </w:tcPr>
          <w:p w:rsidR="00D015CA" w:rsidRPr="009C2345" w:rsidRDefault="00D015CA" w:rsidP="00D015CA">
            <w:pPr>
              <w:jc w:val="both"/>
              <w:rPr>
                <w:rFonts w:eastAsia="Calibri" w:cs="Times New Roman"/>
                <w:sz w:val="20"/>
                <w:szCs w:val="20"/>
                <w:lang w:val="fr-CA"/>
              </w:rPr>
            </w:pPr>
          </w:p>
        </w:tc>
        <w:tc>
          <w:tcPr>
            <w:tcW w:w="2330" w:type="pct"/>
          </w:tcPr>
          <w:p w:rsidR="00D015CA" w:rsidRPr="009C2345" w:rsidRDefault="00D015CA" w:rsidP="00D015CA">
            <w:pPr>
              <w:jc w:val="both"/>
              <w:rPr>
                <w:rFonts w:eastAsia="Calibri" w:cs="Times New Roman"/>
                <w:sz w:val="20"/>
                <w:szCs w:val="20"/>
                <w:lang w:val="fr-CA"/>
              </w:rPr>
            </w:pPr>
            <w:r w:rsidRPr="009C2345">
              <w:rPr>
                <w:rFonts w:eastAsia="Calibri" w:cs="Times New Roman"/>
                <w:sz w:val="20"/>
                <w:szCs w:val="20"/>
                <w:lang w:val="fr-CA"/>
              </w:rPr>
              <w:t>Dépôt de la demande d’autorisation d’appel</w:t>
            </w:r>
          </w:p>
        </w:tc>
      </w:tr>
    </w:tbl>
    <w:p w:rsidR="00031F07" w:rsidRPr="009C2345" w:rsidRDefault="00031F07" w:rsidP="008D292F">
      <w:pPr>
        <w:rPr>
          <w:sz w:val="20"/>
          <w:szCs w:val="20"/>
          <w:lang w:val="fr-CA"/>
        </w:rPr>
      </w:pPr>
    </w:p>
    <w:p w:rsidR="00031F07" w:rsidRPr="009C2345" w:rsidRDefault="0082006E" w:rsidP="008D292F">
      <w:pPr>
        <w:rPr>
          <w:sz w:val="20"/>
          <w:szCs w:val="20"/>
          <w:lang w:val="fr-CA"/>
        </w:rPr>
      </w:pPr>
      <w:r>
        <w:rPr>
          <w:sz w:val="20"/>
          <w:szCs w:val="20"/>
          <w:lang w:val="fr-CA"/>
        </w:rPr>
        <w:pict>
          <v:rect id="_x0000_i1059" style="width:2in;height:1pt" o:hrpct="0" o:hralign="center" o:hrstd="t" o:hrnoshade="t" o:hr="t" fillcolor="black [3213]" stroked="f"/>
        </w:pict>
      </w:r>
    </w:p>
    <w:p w:rsidR="00031F07" w:rsidRPr="009C2345" w:rsidRDefault="00031F07" w:rsidP="008D292F">
      <w:pPr>
        <w:rPr>
          <w:sz w:val="20"/>
          <w:szCs w:val="20"/>
          <w:lang w:val="fr-CA"/>
        </w:rPr>
      </w:pPr>
    </w:p>
    <w:p w:rsidR="0083301A" w:rsidRPr="009C2345" w:rsidRDefault="0083301A">
      <w:r w:rsidRPr="009C2345">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940B1C" w:rsidRPr="00800514" w:rsidTr="00940B1C">
        <w:trPr>
          <w:cantSplit/>
          <w:trHeight w:val="392"/>
        </w:trPr>
        <w:tc>
          <w:tcPr>
            <w:tcW w:w="1458" w:type="dxa"/>
          </w:tcPr>
          <w:p w:rsidR="00940B1C" w:rsidRPr="00800514" w:rsidRDefault="00940B1C" w:rsidP="00017A3C">
            <w:pPr>
              <w:rPr>
                <w:sz w:val="20"/>
                <w:szCs w:val="20"/>
              </w:rPr>
            </w:pPr>
            <w:r w:rsidRPr="00800514">
              <w:rPr>
                <w:rStyle w:val="SCCFileNumberChar"/>
                <w:sz w:val="20"/>
                <w:szCs w:val="20"/>
              </w:rPr>
              <w:t>36782</w:t>
            </w:r>
          </w:p>
          <w:p w:rsidR="00940B1C" w:rsidRPr="00800514" w:rsidRDefault="00940B1C" w:rsidP="00017A3C">
            <w:pPr>
              <w:rPr>
                <w:b/>
                <w:sz w:val="20"/>
                <w:szCs w:val="20"/>
                <w:lang w:val="fr-CA"/>
              </w:rPr>
            </w:pPr>
          </w:p>
        </w:tc>
        <w:tc>
          <w:tcPr>
            <w:tcW w:w="8118" w:type="dxa"/>
          </w:tcPr>
          <w:p w:rsidR="00940B1C" w:rsidRPr="00800514" w:rsidRDefault="00940B1C" w:rsidP="00940B1C">
            <w:pPr>
              <w:rPr>
                <w:sz w:val="20"/>
                <w:szCs w:val="20"/>
              </w:rPr>
            </w:pPr>
            <w:r w:rsidRPr="00800514">
              <w:rPr>
                <w:b/>
                <w:sz w:val="20"/>
                <w:szCs w:val="20"/>
                <w:u w:val="single"/>
              </w:rPr>
              <w:t>Whirlpool Canada LP v. Alliance Laundry Systems LLC</w:t>
            </w:r>
            <w:r w:rsidRPr="00800514">
              <w:rPr>
                <w:sz w:val="20"/>
                <w:szCs w:val="20"/>
              </w:rPr>
              <w:t xml:space="preserve"> (F</w:t>
            </w:r>
            <w:r w:rsidR="008008E0" w:rsidRPr="00800514">
              <w:rPr>
                <w:sz w:val="20"/>
                <w:szCs w:val="20"/>
              </w:rPr>
              <w:t>.</w:t>
            </w:r>
            <w:r w:rsidRPr="00800514">
              <w:rPr>
                <w:sz w:val="20"/>
                <w:szCs w:val="20"/>
              </w:rPr>
              <w:t>C</w:t>
            </w:r>
            <w:r w:rsidR="008008E0" w:rsidRPr="00800514">
              <w:rPr>
                <w:sz w:val="20"/>
                <w:szCs w:val="20"/>
              </w:rPr>
              <w:t>.</w:t>
            </w:r>
            <w:r w:rsidRPr="00800514">
              <w:rPr>
                <w:sz w:val="20"/>
                <w:szCs w:val="20"/>
              </w:rPr>
              <w:t>) (Civil) (By Leave)</w:t>
            </w:r>
          </w:p>
          <w:p w:rsidR="00940B1C" w:rsidRPr="00800514" w:rsidRDefault="00940B1C" w:rsidP="00017A3C">
            <w:pPr>
              <w:rPr>
                <w:sz w:val="20"/>
                <w:szCs w:val="20"/>
              </w:rPr>
            </w:pPr>
          </w:p>
        </w:tc>
      </w:tr>
      <w:tr w:rsidR="00940B1C" w:rsidRPr="00800514" w:rsidTr="00017A3C">
        <w:trPr>
          <w:cantSplit/>
        </w:trPr>
        <w:tc>
          <w:tcPr>
            <w:tcW w:w="1458" w:type="dxa"/>
          </w:tcPr>
          <w:p w:rsidR="00940B1C" w:rsidRPr="00800514" w:rsidRDefault="00940B1C" w:rsidP="00017A3C">
            <w:pPr>
              <w:rPr>
                <w:sz w:val="20"/>
                <w:szCs w:val="20"/>
              </w:rPr>
            </w:pPr>
            <w:r w:rsidRPr="00800514">
              <w:rPr>
                <w:sz w:val="20"/>
                <w:szCs w:val="20"/>
              </w:rPr>
              <w:t>Coram :</w:t>
            </w:r>
          </w:p>
        </w:tc>
        <w:tc>
          <w:tcPr>
            <w:tcW w:w="8118" w:type="dxa"/>
          </w:tcPr>
          <w:p w:rsidR="00940B1C" w:rsidRPr="00800514" w:rsidRDefault="00AB75CB" w:rsidP="00017A3C">
            <w:pPr>
              <w:rPr>
                <w:rStyle w:val="SCCCoramChar"/>
                <w:sz w:val="20"/>
                <w:szCs w:val="20"/>
                <w:lang w:val="en-CA"/>
              </w:rPr>
            </w:pPr>
            <w:r w:rsidRPr="00800514">
              <w:rPr>
                <w:rStyle w:val="SCCCoramChar"/>
                <w:sz w:val="20"/>
                <w:szCs w:val="20"/>
                <w:lang w:val="en-CA"/>
              </w:rPr>
              <w:t>Cromwell, Wagner and Côté JJ.</w:t>
            </w:r>
          </w:p>
          <w:p w:rsidR="00AB75CB" w:rsidRPr="00800514" w:rsidRDefault="00AB75CB" w:rsidP="00017A3C">
            <w:pPr>
              <w:rPr>
                <w:sz w:val="20"/>
                <w:szCs w:val="20"/>
              </w:rPr>
            </w:pPr>
          </w:p>
        </w:tc>
      </w:tr>
      <w:tr w:rsidR="00940B1C" w:rsidRPr="0082006E" w:rsidTr="00017A3C">
        <w:trPr>
          <w:cantSplit/>
        </w:trPr>
        <w:tc>
          <w:tcPr>
            <w:tcW w:w="9576" w:type="dxa"/>
            <w:gridSpan w:val="2"/>
          </w:tcPr>
          <w:p w:rsidR="00940B1C" w:rsidRPr="00800514" w:rsidRDefault="00AB75CB" w:rsidP="00017A3C">
            <w:pPr>
              <w:pStyle w:val="SCCShortJudgment"/>
              <w:ind w:firstLine="0"/>
            </w:pPr>
            <w:r w:rsidRPr="00800514">
              <w:tab/>
              <w:t>The application for leave to appeal from the judgment of the Federal Court of Appeal, Number A-24-15, 2015 FCA 232, dated October 28, 2015, is dismissed with costs.</w:t>
            </w:r>
          </w:p>
          <w:p w:rsidR="00AB75CB" w:rsidRPr="00800514" w:rsidRDefault="00AB75CB" w:rsidP="00017A3C">
            <w:pPr>
              <w:pStyle w:val="SCCShortJudgment"/>
              <w:ind w:firstLine="0"/>
              <w:rPr>
                <w:szCs w:val="20"/>
              </w:rPr>
            </w:pPr>
          </w:p>
          <w:p w:rsidR="00940B1C" w:rsidRPr="00800514" w:rsidRDefault="00AB75CB" w:rsidP="00017A3C">
            <w:pPr>
              <w:pStyle w:val="SCCShortJudgment"/>
              <w:rPr>
                <w:szCs w:val="20"/>
                <w:lang w:val="fr-CA"/>
              </w:rPr>
            </w:pPr>
            <w:r w:rsidRPr="00800514">
              <w:rPr>
                <w:lang w:val="fr-CA"/>
              </w:rPr>
              <w:t>La demande d’autorisation d’appel de l’arrêt de la Cour d’appel fédérale, numéro A-24-15, 2015 FCA 232, daté du 28 octobre 2015, est rejetée avec dépens.</w:t>
            </w:r>
          </w:p>
        </w:tc>
      </w:tr>
    </w:tbl>
    <w:p w:rsidR="00940B1C" w:rsidRPr="009C2345" w:rsidRDefault="00940B1C" w:rsidP="00940B1C">
      <w:pPr>
        <w:rPr>
          <w:sz w:val="20"/>
          <w:szCs w:val="20"/>
          <w:lang w:val="fr-CA"/>
        </w:rPr>
      </w:pPr>
    </w:p>
    <w:p w:rsidR="00940B1C" w:rsidRPr="009C2345" w:rsidRDefault="00940B1C" w:rsidP="00940B1C">
      <w:pPr>
        <w:rPr>
          <w:sz w:val="20"/>
          <w:szCs w:val="20"/>
          <w:u w:val="single"/>
        </w:rPr>
      </w:pPr>
      <w:r w:rsidRPr="009C2345">
        <w:rPr>
          <w:sz w:val="20"/>
          <w:szCs w:val="20"/>
          <w:u w:val="single"/>
        </w:rPr>
        <w:t>CASE SUMMARY</w:t>
      </w:r>
    </w:p>
    <w:p w:rsidR="00940B1C" w:rsidRPr="009C2345" w:rsidRDefault="00940B1C" w:rsidP="00940B1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40B1C" w:rsidRPr="009C2345" w:rsidTr="00017A3C">
        <w:tc>
          <w:tcPr>
            <w:tcW w:w="5000" w:type="pct"/>
            <w:gridSpan w:val="3"/>
          </w:tcPr>
          <w:p w:rsidR="00940B1C" w:rsidRPr="009C2345" w:rsidRDefault="00940B1C" w:rsidP="00940B1C">
            <w:pPr>
              <w:jc w:val="both"/>
              <w:rPr>
                <w:sz w:val="20"/>
                <w:szCs w:val="20"/>
              </w:rPr>
            </w:pPr>
            <w:r w:rsidRPr="009C2345">
              <w:rPr>
                <w:sz w:val="20"/>
                <w:szCs w:val="20"/>
              </w:rPr>
              <w:t>Intellectual property — Trade-marks — Proof of use — Evidence — Evidence necessary to establish use of a trade-mark — Whether the Court of Appeal substantially compromised the jurisdiction of the Registrar of Trademarks and transformed a simple, summary and expeditious administrative procedure into an adversarial process.</w:t>
            </w:r>
          </w:p>
        </w:tc>
      </w:tr>
      <w:tr w:rsidR="00940B1C" w:rsidRPr="009C2345" w:rsidTr="00017A3C">
        <w:tc>
          <w:tcPr>
            <w:tcW w:w="5000" w:type="pct"/>
            <w:gridSpan w:val="3"/>
          </w:tcPr>
          <w:p w:rsidR="00940B1C" w:rsidRPr="009C2345" w:rsidRDefault="00940B1C" w:rsidP="00940B1C">
            <w:pPr>
              <w:jc w:val="both"/>
              <w:rPr>
                <w:sz w:val="20"/>
                <w:szCs w:val="20"/>
              </w:rPr>
            </w:pPr>
          </w:p>
        </w:tc>
      </w:tr>
      <w:tr w:rsidR="00940B1C" w:rsidRPr="009C2345" w:rsidTr="00017A3C">
        <w:tc>
          <w:tcPr>
            <w:tcW w:w="5000" w:type="pct"/>
            <w:gridSpan w:val="3"/>
          </w:tcPr>
          <w:p w:rsidR="00940B1C" w:rsidRPr="009C2345" w:rsidRDefault="00940B1C" w:rsidP="00940B1C">
            <w:pPr>
              <w:jc w:val="both"/>
              <w:rPr>
                <w:sz w:val="20"/>
                <w:szCs w:val="20"/>
              </w:rPr>
            </w:pPr>
            <w:r w:rsidRPr="009C2345">
              <w:rPr>
                <w:sz w:val="20"/>
                <w:szCs w:val="20"/>
              </w:rPr>
              <w:t xml:space="preserve">At the request of the Alliance Laundry Systems LLC, the Registrar of Trade-Marks forwarded a notice under s. 45 of the </w:t>
            </w:r>
            <w:r w:rsidRPr="009C2345">
              <w:rPr>
                <w:i/>
                <w:sz w:val="20"/>
                <w:szCs w:val="20"/>
              </w:rPr>
              <w:t>Trade-marks Act</w:t>
            </w:r>
            <w:r w:rsidRPr="009C2345">
              <w:rPr>
                <w:sz w:val="20"/>
                <w:szCs w:val="20"/>
              </w:rPr>
              <w:t>, R.S.C. 1985, c. T-13, to Whirlpool Canada LP, the registered owner of registration no. UCA15837 for the trade-mark SPEED QUEEN, requesting proof of use of the mark between October 5, 2008 and October 5, 2011. At the outset, Whirlpool Canada conceded that the registration should be amended to delete all but two wares (washing machines and dryers), and all services. It submitted an affidavit from Whirlpool Corp.’s Director/General Manager indicating that SPEED QUEEN had been used by Whirlpool Canada and its licensees (including Whirlpool Corp.) in association with washers and dryers in Canada in the normal course of trade within the relevant period; total sales figures for SPEED QUEEN washers and dryers in Canada in 2001-2010, an unspecified portion of which were affirmed to have occurred in the relevant period; a licensee’s invoices dated shortly after the relevant period, said to be representative of the invoices issued during the relevant period; that Whirlpool Canada had retained direct or indirect control of the character and quality of SPEED QUEEN washers and dryers marketed and sold by its licensees in Canada since it acquired the mark in 2004. He also provided undated photographs of what appeared to be commercial, coin-operated washers and dryers prominently displaying the mark.</w:t>
            </w:r>
          </w:p>
          <w:p w:rsidR="00940B1C" w:rsidRPr="009C2345" w:rsidRDefault="00940B1C" w:rsidP="00940B1C">
            <w:pPr>
              <w:jc w:val="both"/>
              <w:rPr>
                <w:sz w:val="20"/>
                <w:szCs w:val="20"/>
              </w:rPr>
            </w:pPr>
          </w:p>
          <w:p w:rsidR="00940B1C" w:rsidRPr="009C2345" w:rsidRDefault="00940B1C" w:rsidP="00940B1C">
            <w:pPr>
              <w:jc w:val="both"/>
              <w:rPr>
                <w:sz w:val="20"/>
                <w:szCs w:val="20"/>
              </w:rPr>
            </w:pPr>
            <w:r w:rsidRPr="009C2345">
              <w:rPr>
                <w:sz w:val="20"/>
                <w:szCs w:val="20"/>
              </w:rPr>
              <w:t xml:space="preserve">The Hearing Officer was satisfied that the affidavit had showed use of the mark during the relevant period within the meaning of s. 4(1) of the </w:t>
            </w:r>
            <w:r w:rsidRPr="009C2345">
              <w:rPr>
                <w:i/>
                <w:sz w:val="20"/>
                <w:szCs w:val="20"/>
              </w:rPr>
              <w:t>Trade-marks Act</w:t>
            </w:r>
            <w:r w:rsidRPr="009C2345">
              <w:rPr>
                <w:sz w:val="20"/>
                <w:szCs w:val="20"/>
              </w:rPr>
              <w:t>. The Federal Court dismissed Alliance’s appeal, but the Federal Court of Appeal allowed Alliance’s further appeal. It ordered that the Registrar of Trade-marks expunge registration no. UCA15837 in association with Whirlpool Canada’s washers and dryers.</w:t>
            </w:r>
          </w:p>
          <w:p w:rsidR="00940B1C" w:rsidRPr="009C2345" w:rsidRDefault="00940B1C" w:rsidP="00940B1C">
            <w:pPr>
              <w:jc w:val="both"/>
              <w:rPr>
                <w:sz w:val="20"/>
                <w:szCs w:val="20"/>
              </w:rPr>
            </w:pPr>
          </w:p>
        </w:tc>
      </w:tr>
      <w:tr w:rsidR="00940B1C" w:rsidRPr="009C2345" w:rsidTr="00017A3C">
        <w:tc>
          <w:tcPr>
            <w:tcW w:w="2427" w:type="pct"/>
          </w:tcPr>
          <w:p w:rsidR="00940B1C" w:rsidRPr="009C2345" w:rsidRDefault="00940B1C" w:rsidP="00940B1C">
            <w:pPr>
              <w:jc w:val="both"/>
              <w:rPr>
                <w:sz w:val="20"/>
                <w:szCs w:val="20"/>
              </w:rPr>
            </w:pPr>
            <w:r w:rsidRPr="009C2345">
              <w:rPr>
                <w:sz w:val="20"/>
                <w:szCs w:val="20"/>
              </w:rPr>
              <w:t>December 17, 2014</w:t>
            </w:r>
          </w:p>
          <w:p w:rsidR="00940B1C" w:rsidRPr="009C2345" w:rsidRDefault="00940B1C" w:rsidP="00940B1C">
            <w:pPr>
              <w:jc w:val="both"/>
              <w:rPr>
                <w:sz w:val="20"/>
                <w:szCs w:val="20"/>
              </w:rPr>
            </w:pPr>
            <w:r w:rsidRPr="009C2345">
              <w:rPr>
                <w:sz w:val="20"/>
                <w:szCs w:val="20"/>
              </w:rPr>
              <w:t>Federal Court</w:t>
            </w:r>
          </w:p>
          <w:p w:rsidR="00940B1C" w:rsidRPr="009C2345" w:rsidRDefault="00940B1C" w:rsidP="00940B1C">
            <w:pPr>
              <w:jc w:val="both"/>
              <w:rPr>
                <w:sz w:val="20"/>
                <w:szCs w:val="20"/>
              </w:rPr>
            </w:pPr>
            <w:r w:rsidRPr="009C2345">
              <w:rPr>
                <w:sz w:val="20"/>
                <w:szCs w:val="20"/>
              </w:rPr>
              <w:t>(Bédard J.)</w:t>
            </w:r>
          </w:p>
          <w:p w:rsidR="00940B1C" w:rsidRPr="009C2345" w:rsidRDefault="0082006E" w:rsidP="00940B1C">
            <w:pPr>
              <w:jc w:val="both"/>
              <w:rPr>
                <w:sz w:val="20"/>
                <w:szCs w:val="20"/>
              </w:rPr>
            </w:pPr>
            <w:hyperlink r:id="rId67" w:history="1">
              <w:r w:rsidR="00940B1C" w:rsidRPr="009C2345">
                <w:rPr>
                  <w:color w:val="0000FF" w:themeColor="hyperlink"/>
                  <w:sz w:val="20"/>
                  <w:szCs w:val="20"/>
                  <w:u w:val="single"/>
                </w:rPr>
                <w:t>2014 FC 1224</w:t>
              </w:r>
            </w:hyperlink>
          </w:p>
          <w:p w:rsidR="00940B1C" w:rsidRPr="009C2345" w:rsidRDefault="00940B1C" w:rsidP="00940B1C">
            <w:pPr>
              <w:jc w:val="both"/>
              <w:rPr>
                <w:sz w:val="20"/>
                <w:szCs w:val="20"/>
              </w:rPr>
            </w:pPr>
          </w:p>
        </w:tc>
        <w:tc>
          <w:tcPr>
            <w:tcW w:w="243" w:type="pct"/>
          </w:tcPr>
          <w:p w:rsidR="00940B1C" w:rsidRPr="009C2345" w:rsidRDefault="00940B1C" w:rsidP="00940B1C">
            <w:pPr>
              <w:jc w:val="both"/>
              <w:rPr>
                <w:sz w:val="20"/>
                <w:szCs w:val="20"/>
              </w:rPr>
            </w:pPr>
          </w:p>
        </w:tc>
        <w:tc>
          <w:tcPr>
            <w:tcW w:w="2330" w:type="pct"/>
          </w:tcPr>
          <w:p w:rsidR="00940B1C" w:rsidRPr="009C2345" w:rsidRDefault="00940B1C" w:rsidP="00940B1C">
            <w:pPr>
              <w:jc w:val="both"/>
              <w:rPr>
                <w:sz w:val="20"/>
                <w:szCs w:val="20"/>
              </w:rPr>
            </w:pPr>
            <w:r w:rsidRPr="009C2345">
              <w:rPr>
                <w:sz w:val="20"/>
                <w:szCs w:val="20"/>
              </w:rPr>
              <w:t>Appeal from decision of Registrar of Trade-marks dismissed</w:t>
            </w:r>
          </w:p>
          <w:p w:rsidR="00940B1C" w:rsidRPr="009C2345" w:rsidRDefault="00940B1C" w:rsidP="00940B1C">
            <w:pPr>
              <w:jc w:val="both"/>
              <w:rPr>
                <w:sz w:val="20"/>
                <w:szCs w:val="20"/>
              </w:rPr>
            </w:pPr>
          </w:p>
        </w:tc>
      </w:tr>
      <w:tr w:rsidR="00940B1C" w:rsidRPr="009C2345" w:rsidTr="00017A3C">
        <w:tc>
          <w:tcPr>
            <w:tcW w:w="2427" w:type="pct"/>
          </w:tcPr>
          <w:p w:rsidR="00940B1C" w:rsidRPr="009C2345" w:rsidRDefault="00940B1C" w:rsidP="00940B1C">
            <w:pPr>
              <w:jc w:val="both"/>
              <w:rPr>
                <w:sz w:val="20"/>
                <w:szCs w:val="20"/>
              </w:rPr>
            </w:pPr>
            <w:r w:rsidRPr="009C2345">
              <w:rPr>
                <w:sz w:val="20"/>
                <w:szCs w:val="20"/>
              </w:rPr>
              <w:t>October 28, 2015</w:t>
            </w:r>
          </w:p>
          <w:p w:rsidR="00940B1C" w:rsidRPr="009C2345" w:rsidRDefault="00940B1C" w:rsidP="00940B1C">
            <w:pPr>
              <w:jc w:val="both"/>
              <w:rPr>
                <w:sz w:val="20"/>
                <w:szCs w:val="20"/>
              </w:rPr>
            </w:pPr>
            <w:r w:rsidRPr="009C2345">
              <w:rPr>
                <w:sz w:val="20"/>
                <w:szCs w:val="20"/>
              </w:rPr>
              <w:t>Federal Court of Appeal</w:t>
            </w:r>
          </w:p>
          <w:p w:rsidR="00940B1C" w:rsidRPr="009C2345" w:rsidRDefault="00940B1C" w:rsidP="00940B1C">
            <w:pPr>
              <w:jc w:val="both"/>
              <w:rPr>
                <w:sz w:val="20"/>
                <w:szCs w:val="20"/>
              </w:rPr>
            </w:pPr>
            <w:r w:rsidRPr="009C2345">
              <w:rPr>
                <w:sz w:val="20"/>
                <w:szCs w:val="20"/>
              </w:rPr>
              <w:t>(Nadon, Trudel, Scott JJ.A.)</w:t>
            </w:r>
          </w:p>
          <w:p w:rsidR="00940B1C" w:rsidRPr="009C2345" w:rsidRDefault="0082006E" w:rsidP="00940B1C">
            <w:pPr>
              <w:jc w:val="both"/>
              <w:rPr>
                <w:sz w:val="20"/>
                <w:szCs w:val="20"/>
              </w:rPr>
            </w:pPr>
            <w:hyperlink r:id="rId68" w:history="1">
              <w:r w:rsidR="00940B1C" w:rsidRPr="009C2345">
                <w:rPr>
                  <w:color w:val="0000FF" w:themeColor="hyperlink"/>
                  <w:sz w:val="20"/>
                  <w:szCs w:val="20"/>
                  <w:u w:val="single"/>
                </w:rPr>
                <w:t>2015 FCA 232</w:t>
              </w:r>
            </w:hyperlink>
          </w:p>
          <w:p w:rsidR="00940B1C" w:rsidRPr="009C2345" w:rsidRDefault="00940B1C" w:rsidP="00940B1C">
            <w:pPr>
              <w:jc w:val="both"/>
              <w:rPr>
                <w:sz w:val="20"/>
                <w:szCs w:val="20"/>
              </w:rPr>
            </w:pPr>
          </w:p>
        </w:tc>
        <w:tc>
          <w:tcPr>
            <w:tcW w:w="243" w:type="pct"/>
          </w:tcPr>
          <w:p w:rsidR="00940B1C" w:rsidRPr="009C2345" w:rsidRDefault="00940B1C" w:rsidP="00940B1C">
            <w:pPr>
              <w:jc w:val="both"/>
              <w:rPr>
                <w:sz w:val="20"/>
                <w:szCs w:val="20"/>
              </w:rPr>
            </w:pPr>
          </w:p>
        </w:tc>
        <w:tc>
          <w:tcPr>
            <w:tcW w:w="2330" w:type="pct"/>
          </w:tcPr>
          <w:p w:rsidR="00940B1C" w:rsidRPr="009C2345" w:rsidRDefault="00940B1C" w:rsidP="00940B1C">
            <w:pPr>
              <w:jc w:val="both"/>
              <w:rPr>
                <w:sz w:val="20"/>
                <w:szCs w:val="20"/>
              </w:rPr>
            </w:pPr>
            <w:r w:rsidRPr="009C2345">
              <w:rPr>
                <w:sz w:val="20"/>
                <w:szCs w:val="20"/>
              </w:rPr>
              <w:t>Appeal allowed; registration no. UCA15837 in association with Whirlpool Canada’s goods is expunged; Registrar to modify record accordingly</w:t>
            </w:r>
          </w:p>
          <w:p w:rsidR="00940B1C" w:rsidRPr="009C2345" w:rsidRDefault="00940B1C" w:rsidP="00940B1C">
            <w:pPr>
              <w:jc w:val="both"/>
              <w:rPr>
                <w:sz w:val="20"/>
                <w:szCs w:val="20"/>
              </w:rPr>
            </w:pPr>
          </w:p>
        </w:tc>
      </w:tr>
      <w:tr w:rsidR="00940B1C" w:rsidRPr="009C2345" w:rsidTr="00017A3C">
        <w:tc>
          <w:tcPr>
            <w:tcW w:w="2427" w:type="pct"/>
          </w:tcPr>
          <w:p w:rsidR="00940B1C" w:rsidRPr="009C2345" w:rsidRDefault="00940B1C" w:rsidP="00940B1C">
            <w:pPr>
              <w:jc w:val="both"/>
              <w:rPr>
                <w:sz w:val="20"/>
                <w:szCs w:val="20"/>
              </w:rPr>
            </w:pPr>
            <w:r w:rsidRPr="009C2345">
              <w:rPr>
                <w:sz w:val="20"/>
                <w:szCs w:val="20"/>
              </w:rPr>
              <w:t>December 29, 2015</w:t>
            </w:r>
          </w:p>
          <w:p w:rsidR="00940B1C" w:rsidRPr="009C2345" w:rsidRDefault="00940B1C" w:rsidP="00940B1C">
            <w:pPr>
              <w:jc w:val="both"/>
              <w:rPr>
                <w:sz w:val="20"/>
                <w:szCs w:val="20"/>
              </w:rPr>
            </w:pPr>
            <w:r w:rsidRPr="009C2345">
              <w:rPr>
                <w:sz w:val="20"/>
                <w:szCs w:val="20"/>
              </w:rPr>
              <w:t>Supreme Court of Canada</w:t>
            </w:r>
          </w:p>
        </w:tc>
        <w:tc>
          <w:tcPr>
            <w:tcW w:w="243" w:type="pct"/>
          </w:tcPr>
          <w:p w:rsidR="00940B1C" w:rsidRPr="009C2345" w:rsidRDefault="00940B1C" w:rsidP="00940B1C">
            <w:pPr>
              <w:jc w:val="both"/>
              <w:rPr>
                <w:sz w:val="20"/>
                <w:szCs w:val="20"/>
              </w:rPr>
            </w:pPr>
          </w:p>
        </w:tc>
        <w:tc>
          <w:tcPr>
            <w:tcW w:w="2330" w:type="pct"/>
          </w:tcPr>
          <w:p w:rsidR="00940B1C" w:rsidRPr="009C2345" w:rsidRDefault="00940B1C" w:rsidP="00940B1C">
            <w:pPr>
              <w:jc w:val="both"/>
              <w:rPr>
                <w:sz w:val="20"/>
                <w:szCs w:val="20"/>
              </w:rPr>
            </w:pPr>
            <w:r w:rsidRPr="009C2345">
              <w:rPr>
                <w:sz w:val="20"/>
                <w:szCs w:val="20"/>
              </w:rPr>
              <w:t>Application for leave to appeal filed</w:t>
            </w:r>
          </w:p>
        </w:tc>
      </w:tr>
    </w:tbl>
    <w:p w:rsidR="00031F07" w:rsidRPr="009C2345" w:rsidRDefault="00031F07" w:rsidP="008D292F">
      <w:pPr>
        <w:rPr>
          <w:sz w:val="20"/>
          <w:szCs w:val="20"/>
        </w:rPr>
      </w:pPr>
    </w:p>
    <w:p w:rsidR="00031F07" w:rsidRPr="009C2345" w:rsidRDefault="0082006E" w:rsidP="008D292F">
      <w:pPr>
        <w:rPr>
          <w:sz w:val="20"/>
          <w:szCs w:val="20"/>
          <w:lang w:val="fr-CA"/>
        </w:rPr>
      </w:pPr>
      <w:r>
        <w:rPr>
          <w:sz w:val="20"/>
          <w:szCs w:val="20"/>
          <w:lang w:val="fr-CA"/>
        </w:rPr>
        <w:pict>
          <v:rect id="_x0000_i1060" style="width:2in;height:1pt" o:hrpct="0" o:hralign="center" o:hrstd="t" o:hrnoshade="t" o:hr="t" fillcolor="black [3213]" stroked="f"/>
        </w:pict>
      </w:r>
    </w:p>
    <w:p w:rsidR="00031F07" w:rsidRPr="009C2345" w:rsidRDefault="00031F07" w:rsidP="008D292F">
      <w:pPr>
        <w:rPr>
          <w:sz w:val="20"/>
          <w:szCs w:val="20"/>
          <w:lang w:val="fr-CA"/>
        </w:rPr>
      </w:pPr>
    </w:p>
    <w:p w:rsidR="00940B1C" w:rsidRPr="009C2345" w:rsidRDefault="00940B1C" w:rsidP="00940B1C">
      <w:pPr>
        <w:rPr>
          <w:sz w:val="20"/>
          <w:szCs w:val="20"/>
          <w:u w:val="single"/>
          <w:lang w:val="fr-CA"/>
        </w:rPr>
      </w:pPr>
      <w:r w:rsidRPr="009C2345">
        <w:rPr>
          <w:sz w:val="20"/>
          <w:szCs w:val="20"/>
          <w:u w:val="single"/>
          <w:lang w:val="fr-CA"/>
        </w:rPr>
        <w:t>RÉSUMÉ DE L’AFFAIRE</w:t>
      </w:r>
    </w:p>
    <w:p w:rsidR="00940B1C" w:rsidRPr="009C2345" w:rsidRDefault="00940B1C" w:rsidP="00940B1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90009" w:rsidRPr="0082006E" w:rsidTr="00017A3C">
        <w:tc>
          <w:tcPr>
            <w:tcW w:w="5000" w:type="pct"/>
            <w:gridSpan w:val="3"/>
          </w:tcPr>
          <w:p w:rsidR="00A90009" w:rsidRPr="009C2345" w:rsidRDefault="00A90009" w:rsidP="00A90009">
            <w:pPr>
              <w:jc w:val="both"/>
              <w:rPr>
                <w:sz w:val="20"/>
                <w:szCs w:val="20"/>
                <w:lang w:val="fr-CA"/>
              </w:rPr>
            </w:pPr>
            <w:r w:rsidRPr="009C2345">
              <w:rPr>
                <w:sz w:val="20"/>
                <w:szCs w:val="20"/>
                <w:lang w:val="fr-CA"/>
              </w:rPr>
              <w:t>Propriété intellectuelle — Marques de commerce — Preuve d’emploi — Preuve — Preuve nécessaire pour rétablir l’emploi d’une marque de commerce — La Cour d’appel a-t-elle sensiblement compromis la compétence du registraire des marques de commerce et transformé une procédure simple, sommaire et expéditive en un processus accusatoire?</w:t>
            </w:r>
          </w:p>
        </w:tc>
      </w:tr>
      <w:tr w:rsidR="00A90009" w:rsidRPr="0082006E" w:rsidTr="00017A3C">
        <w:tc>
          <w:tcPr>
            <w:tcW w:w="5000" w:type="pct"/>
            <w:gridSpan w:val="3"/>
          </w:tcPr>
          <w:p w:rsidR="00A90009" w:rsidRPr="009C2345" w:rsidRDefault="00A90009" w:rsidP="00A90009">
            <w:pPr>
              <w:jc w:val="both"/>
              <w:rPr>
                <w:sz w:val="20"/>
                <w:szCs w:val="20"/>
                <w:lang w:val="fr-CA"/>
              </w:rPr>
            </w:pPr>
          </w:p>
        </w:tc>
      </w:tr>
      <w:tr w:rsidR="00A90009" w:rsidRPr="0082006E" w:rsidTr="00017A3C">
        <w:tc>
          <w:tcPr>
            <w:tcW w:w="5000" w:type="pct"/>
            <w:gridSpan w:val="3"/>
          </w:tcPr>
          <w:p w:rsidR="00A90009" w:rsidRPr="009C2345" w:rsidRDefault="00A90009" w:rsidP="00A90009">
            <w:pPr>
              <w:jc w:val="both"/>
              <w:rPr>
                <w:sz w:val="20"/>
                <w:szCs w:val="20"/>
                <w:lang w:val="fr-CA"/>
              </w:rPr>
            </w:pPr>
            <w:r w:rsidRPr="009C2345">
              <w:rPr>
                <w:sz w:val="20"/>
                <w:szCs w:val="20"/>
                <w:lang w:val="fr-CA"/>
              </w:rPr>
              <w:t xml:space="preserve">À la demande d’Alliance Laundry Systems LLC, le registraire des marques de commerce a transmis un avis prévu à l’art. 45 de la </w:t>
            </w:r>
            <w:r w:rsidRPr="009C2345">
              <w:rPr>
                <w:i/>
                <w:sz w:val="20"/>
                <w:szCs w:val="20"/>
                <w:lang w:val="fr-CA"/>
              </w:rPr>
              <w:t>Loi sur les marques de commerce</w:t>
            </w:r>
            <w:r w:rsidRPr="009C2345">
              <w:rPr>
                <w:sz w:val="20"/>
                <w:szCs w:val="20"/>
                <w:lang w:val="fr-CA"/>
              </w:rPr>
              <w:t>, L.R.C. 1985, ch. T-13, à Whirlpool Canada LP, le propriétaire inscrit de l’enregistrement n</w:t>
            </w:r>
            <w:r w:rsidRPr="009C2345">
              <w:rPr>
                <w:sz w:val="20"/>
                <w:szCs w:val="20"/>
                <w:vertAlign w:val="superscript"/>
                <w:lang w:val="fr-CA"/>
              </w:rPr>
              <w:t>o</w:t>
            </w:r>
            <w:r w:rsidRPr="009C2345">
              <w:rPr>
                <w:sz w:val="20"/>
                <w:szCs w:val="20"/>
                <w:lang w:val="fr-CA"/>
              </w:rPr>
              <w:t> UCA15837 pour la marque de commerce SPEED QUEEN, demandant une preuve d’emploi de la marque entre le 5 octobre 2008 et le 5 octobre 2011. D’entrée de jeu, Whirlpool Canada a convenu que l’enregistrement devait être modifié afin de supprimer toutes les marchandises sauf deux (les machines à laver et les sécheuses), et tous les services. Elle a présenté un affidavit de l’administrateur/directeur général de Whirlpool Corp. Dans cet affidavit, l’administrateur/directeur a déclaré que la marque SPEED QUEEN avait été utilisée par Whirlpool Canada et ses licenciés (y compris Whirlpool Corp.) en liaison avec des machines à laver et des sécheuses au Canada dans la pratique normale du commerce au cours de la période pertinente, il a mis en preuve les chiffres de ventes totales des machines à laver et des sécheuses SPEED QUEEN au Canada pour les années 2001-2010 (dont une partie non précisée des ventes se serait produite au cours de la période pertinente) et les factures d’un licencié portant des dates qui suivaient de peu la période pertinente (lesquelles, disait-il, étaient représentatives des factures établies au cours de la période pertinente) et il a déclaré que Whirlpool Canada avait conservé un contrôle direct ou indirect sur les caractéristiques et la qualité des machines à laver et des sécheuses SPEED QUEEN commercialisées et vendues par ses licenciés au Canada depuis qu’elle avait acquis la marque en 2004. L’administrateur/directeur général a également fourni des photographies non datées de ce qui paraissait être des machines à laver et des sécheuses à monnaie sur lesquelles la marque était affichée bien en vue.</w:t>
            </w:r>
          </w:p>
          <w:p w:rsidR="00A90009" w:rsidRPr="009C2345" w:rsidRDefault="00A90009" w:rsidP="00A90009">
            <w:pPr>
              <w:jc w:val="both"/>
              <w:rPr>
                <w:sz w:val="20"/>
                <w:szCs w:val="20"/>
                <w:lang w:val="fr-CA"/>
              </w:rPr>
            </w:pPr>
          </w:p>
          <w:p w:rsidR="00A90009" w:rsidRPr="009C2345" w:rsidRDefault="00A90009" w:rsidP="00A90009">
            <w:pPr>
              <w:jc w:val="both"/>
              <w:rPr>
                <w:sz w:val="20"/>
                <w:szCs w:val="20"/>
                <w:lang w:val="fr-CA"/>
              </w:rPr>
            </w:pPr>
            <w:r w:rsidRPr="009C2345">
              <w:rPr>
                <w:sz w:val="20"/>
                <w:szCs w:val="20"/>
                <w:lang w:val="fr-CA"/>
              </w:rPr>
              <w:t xml:space="preserve">L’agente d’audience était convaincue que l’affidavit avait établi l’emploi de la marque au cours de la période pertinente au sens du par. 4(1) de la </w:t>
            </w:r>
            <w:r w:rsidRPr="009C2345">
              <w:rPr>
                <w:i/>
                <w:sz w:val="20"/>
                <w:szCs w:val="20"/>
                <w:lang w:val="fr-CA"/>
              </w:rPr>
              <w:t>Loi sur les marques de commerce</w:t>
            </w:r>
            <w:r w:rsidRPr="009C2345">
              <w:rPr>
                <w:sz w:val="20"/>
                <w:szCs w:val="20"/>
                <w:lang w:val="fr-CA"/>
              </w:rPr>
              <w:t>. La Cour fédérale a rejeté l’appel d’Alliance, mais la Cour d’appel fédérale a accueilli son appel subséquent. Elle a ordonné au registraire des marques de commerce de radier l’enregistrement n</w:t>
            </w:r>
            <w:r w:rsidRPr="009C2345">
              <w:rPr>
                <w:sz w:val="20"/>
                <w:szCs w:val="20"/>
                <w:vertAlign w:val="superscript"/>
                <w:lang w:val="fr-CA"/>
              </w:rPr>
              <w:t>o </w:t>
            </w:r>
            <w:r w:rsidRPr="009C2345">
              <w:rPr>
                <w:sz w:val="20"/>
                <w:szCs w:val="20"/>
                <w:lang w:val="fr-CA"/>
              </w:rPr>
              <w:t>UCA15837 en liaison avec les machines à laver et les sécheuses de Whirlpool Canada.</w:t>
            </w:r>
          </w:p>
          <w:p w:rsidR="00A90009" w:rsidRPr="009C2345" w:rsidRDefault="00A90009" w:rsidP="00A90009">
            <w:pPr>
              <w:jc w:val="both"/>
              <w:rPr>
                <w:sz w:val="20"/>
                <w:szCs w:val="20"/>
                <w:lang w:val="fr-CA"/>
              </w:rPr>
            </w:pPr>
          </w:p>
        </w:tc>
      </w:tr>
      <w:tr w:rsidR="00A90009" w:rsidRPr="0082006E" w:rsidTr="00017A3C">
        <w:tc>
          <w:tcPr>
            <w:tcW w:w="2427" w:type="pct"/>
          </w:tcPr>
          <w:p w:rsidR="00A90009" w:rsidRPr="009C2345" w:rsidRDefault="00A90009" w:rsidP="00A90009">
            <w:pPr>
              <w:jc w:val="both"/>
              <w:rPr>
                <w:sz w:val="20"/>
                <w:szCs w:val="20"/>
                <w:lang w:val="fr-CA"/>
              </w:rPr>
            </w:pPr>
            <w:r w:rsidRPr="009C2345">
              <w:rPr>
                <w:sz w:val="20"/>
                <w:szCs w:val="20"/>
                <w:lang w:val="fr-CA"/>
              </w:rPr>
              <w:t>17 décembre 2014</w:t>
            </w:r>
          </w:p>
          <w:p w:rsidR="00A90009" w:rsidRPr="009C2345" w:rsidRDefault="00A90009" w:rsidP="00A90009">
            <w:pPr>
              <w:jc w:val="both"/>
              <w:rPr>
                <w:sz w:val="20"/>
                <w:szCs w:val="20"/>
                <w:lang w:val="fr-CA"/>
              </w:rPr>
            </w:pPr>
            <w:r w:rsidRPr="009C2345">
              <w:rPr>
                <w:sz w:val="20"/>
                <w:szCs w:val="20"/>
                <w:lang w:val="fr-CA"/>
              </w:rPr>
              <w:t xml:space="preserve">Cour fédérale </w:t>
            </w:r>
          </w:p>
          <w:p w:rsidR="00A90009" w:rsidRPr="009C2345" w:rsidRDefault="00A90009" w:rsidP="00A90009">
            <w:pPr>
              <w:jc w:val="both"/>
              <w:rPr>
                <w:sz w:val="20"/>
                <w:szCs w:val="20"/>
                <w:lang w:val="fr-CA"/>
              </w:rPr>
            </w:pPr>
            <w:r w:rsidRPr="009C2345">
              <w:rPr>
                <w:sz w:val="20"/>
                <w:szCs w:val="20"/>
                <w:lang w:val="fr-CA"/>
              </w:rPr>
              <w:t>(Juge Bédard)</w:t>
            </w:r>
          </w:p>
          <w:p w:rsidR="00A90009" w:rsidRPr="009C2345" w:rsidRDefault="0082006E" w:rsidP="00A90009">
            <w:pPr>
              <w:jc w:val="both"/>
              <w:rPr>
                <w:sz w:val="20"/>
                <w:szCs w:val="20"/>
                <w:u w:val="single"/>
                <w:lang w:val="fr-CA"/>
              </w:rPr>
            </w:pPr>
            <w:hyperlink r:id="rId69" w:history="1">
              <w:r w:rsidR="00A90009" w:rsidRPr="009C2345">
                <w:rPr>
                  <w:color w:val="0000FF" w:themeColor="hyperlink"/>
                  <w:sz w:val="20"/>
                  <w:szCs w:val="20"/>
                  <w:u w:val="single"/>
                  <w:lang w:val="fr-CA"/>
                </w:rPr>
                <w:t>2014 FC 1224</w:t>
              </w:r>
            </w:hyperlink>
          </w:p>
          <w:p w:rsidR="00A90009" w:rsidRPr="009C2345" w:rsidRDefault="00A90009" w:rsidP="00A90009">
            <w:pPr>
              <w:jc w:val="both"/>
              <w:rPr>
                <w:sz w:val="20"/>
                <w:szCs w:val="20"/>
                <w:lang w:val="fr-CA"/>
              </w:rPr>
            </w:pPr>
          </w:p>
        </w:tc>
        <w:tc>
          <w:tcPr>
            <w:tcW w:w="243" w:type="pct"/>
          </w:tcPr>
          <w:p w:rsidR="00A90009" w:rsidRPr="009C2345" w:rsidRDefault="00A90009" w:rsidP="00A90009">
            <w:pPr>
              <w:jc w:val="both"/>
              <w:rPr>
                <w:sz w:val="20"/>
                <w:szCs w:val="20"/>
                <w:lang w:val="fr-CA"/>
              </w:rPr>
            </w:pPr>
          </w:p>
        </w:tc>
        <w:tc>
          <w:tcPr>
            <w:tcW w:w="2330" w:type="pct"/>
          </w:tcPr>
          <w:p w:rsidR="00A90009" w:rsidRPr="009C2345" w:rsidRDefault="00A90009" w:rsidP="00A90009">
            <w:pPr>
              <w:jc w:val="both"/>
              <w:rPr>
                <w:sz w:val="20"/>
                <w:szCs w:val="20"/>
                <w:lang w:val="fr-CA"/>
              </w:rPr>
            </w:pPr>
            <w:r w:rsidRPr="009C2345">
              <w:rPr>
                <w:sz w:val="20"/>
                <w:szCs w:val="20"/>
                <w:lang w:val="fr-CA"/>
              </w:rPr>
              <w:t>Rejet de l’appel de la décision du registraire des marques de commerce</w:t>
            </w:r>
          </w:p>
          <w:p w:rsidR="00A90009" w:rsidRPr="009C2345" w:rsidRDefault="00A90009" w:rsidP="00A90009">
            <w:pPr>
              <w:jc w:val="both"/>
              <w:rPr>
                <w:sz w:val="20"/>
                <w:szCs w:val="20"/>
                <w:lang w:val="fr-CA"/>
              </w:rPr>
            </w:pPr>
          </w:p>
        </w:tc>
      </w:tr>
      <w:tr w:rsidR="00A90009" w:rsidRPr="0082006E" w:rsidTr="00017A3C">
        <w:tc>
          <w:tcPr>
            <w:tcW w:w="2427" w:type="pct"/>
          </w:tcPr>
          <w:p w:rsidR="00A90009" w:rsidRPr="009C2345" w:rsidRDefault="00A90009" w:rsidP="00A90009">
            <w:pPr>
              <w:jc w:val="both"/>
              <w:rPr>
                <w:sz w:val="20"/>
                <w:szCs w:val="20"/>
                <w:lang w:val="fr-CA"/>
              </w:rPr>
            </w:pPr>
            <w:r w:rsidRPr="009C2345">
              <w:rPr>
                <w:sz w:val="20"/>
                <w:szCs w:val="20"/>
                <w:lang w:val="fr-CA"/>
              </w:rPr>
              <w:t>28 octobre 2015</w:t>
            </w:r>
          </w:p>
          <w:p w:rsidR="00A90009" w:rsidRPr="009C2345" w:rsidRDefault="00A90009" w:rsidP="00A90009">
            <w:pPr>
              <w:jc w:val="both"/>
              <w:rPr>
                <w:sz w:val="20"/>
                <w:szCs w:val="20"/>
                <w:lang w:val="fr-CA"/>
              </w:rPr>
            </w:pPr>
            <w:r w:rsidRPr="009C2345">
              <w:rPr>
                <w:sz w:val="20"/>
                <w:szCs w:val="20"/>
                <w:lang w:val="fr-CA"/>
              </w:rPr>
              <w:t xml:space="preserve">Cour d’appel fédérale </w:t>
            </w:r>
          </w:p>
          <w:p w:rsidR="00A90009" w:rsidRPr="009C2345" w:rsidRDefault="00A90009" w:rsidP="00A90009">
            <w:pPr>
              <w:jc w:val="both"/>
              <w:rPr>
                <w:sz w:val="20"/>
                <w:szCs w:val="20"/>
                <w:lang w:val="fr-CA"/>
              </w:rPr>
            </w:pPr>
            <w:r w:rsidRPr="009C2345">
              <w:rPr>
                <w:sz w:val="20"/>
                <w:szCs w:val="20"/>
                <w:lang w:val="fr-CA"/>
              </w:rPr>
              <w:t>(Juges Nadon, Trudel et Scott)</w:t>
            </w:r>
          </w:p>
          <w:p w:rsidR="00A90009" w:rsidRPr="009C2345" w:rsidRDefault="0082006E" w:rsidP="00A90009">
            <w:pPr>
              <w:jc w:val="both"/>
              <w:rPr>
                <w:sz w:val="20"/>
                <w:szCs w:val="20"/>
                <w:u w:val="single"/>
                <w:lang w:val="fr-CA"/>
              </w:rPr>
            </w:pPr>
            <w:hyperlink r:id="rId70" w:history="1">
              <w:r w:rsidR="00A90009" w:rsidRPr="009C2345">
                <w:rPr>
                  <w:color w:val="0000FF" w:themeColor="hyperlink"/>
                  <w:sz w:val="20"/>
                  <w:szCs w:val="20"/>
                  <w:u w:val="single"/>
                  <w:lang w:val="fr-CA"/>
                </w:rPr>
                <w:t>2015 FCA 232</w:t>
              </w:r>
            </w:hyperlink>
          </w:p>
          <w:p w:rsidR="00A90009" w:rsidRPr="009C2345" w:rsidRDefault="00A90009" w:rsidP="00A90009">
            <w:pPr>
              <w:jc w:val="both"/>
              <w:rPr>
                <w:sz w:val="20"/>
                <w:szCs w:val="20"/>
                <w:lang w:val="fr-CA"/>
              </w:rPr>
            </w:pPr>
          </w:p>
        </w:tc>
        <w:tc>
          <w:tcPr>
            <w:tcW w:w="243" w:type="pct"/>
          </w:tcPr>
          <w:p w:rsidR="00A90009" w:rsidRPr="009C2345" w:rsidRDefault="00A90009" w:rsidP="00A90009">
            <w:pPr>
              <w:jc w:val="both"/>
              <w:rPr>
                <w:sz w:val="20"/>
                <w:szCs w:val="20"/>
                <w:lang w:val="fr-CA"/>
              </w:rPr>
            </w:pPr>
          </w:p>
        </w:tc>
        <w:tc>
          <w:tcPr>
            <w:tcW w:w="2330" w:type="pct"/>
          </w:tcPr>
          <w:p w:rsidR="00A90009" w:rsidRPr="009C2345" w:rsidRDefault="00A90009" w:rsidP="00A90009">
            <w:pPr>
              <w:jc w:val="both"/>
              <w:rPr>
                <w:sz w:val="20"/>
                <w:szCs w:val="20"/>
                <w:lang w:val="fr-CA"/>
              </w:rPr>
            </w:pPr>
            <w:r w:rsidRPr="009C2345">
              <w:rPr>
                <w:sz w:val="20"/>
                <w:szCs w:val="20"/>
                <w:lang w:val="fr-CA"/>
              </w:rPr>
              <w:t>Arrêt accueillant l’appel, radiant l’enregistrement n</w:t>
            </w:r>
            <w:r w:rsidRPr="009C2345">
              <w:rPr>
                <w:sz w:val="20"/>
                <w:szCs w:val="20"/>
                <w:vertAlign w:val="superscript"/>
                <w:lang w:val="fr-CA"/>
              </w:rPr>
              <w:t>o</w:t>
            </w:r>
            <w:r w:rsidRPr="009C2345">
              <w:rPr>
                <w:sz w:val="20"/>
                <w:szCs w:val="20"/>
                <w:lang w:val="fr-CA"/>
              </w:rPr>
              <w:t xml:space="preserve"> UCA15837 en liaison avec les marchandises de Whirlpool Canada et ordonnant au registraire de modifier le registre en conséquence</w:t>
            </w:r>
          </w:p>
          <w:p w:rsidR="00A90009" w:rsidRPr="009C2345" w:rsidRDefault="00A90009" w:rsidP="00A90009">
            <w:pPr>
              <w:jc w:val="both"/>
              <w:rPr>
                <w:sz w:val="20"/>
                <w:szCs w:val="20"/>
                <w:lang w:val="fr-CA"/>
              </w:rPr>
            </w:pPr>
          </w:p>
        </w:tc>
      </w:tr>
      <w:tr w:rsidR="00A90009" w:rsidRPr="0082006E" w:rsidTr="00017A3C">
        <w:tc>
          <w:tcPr>
            <w:tcW w:w="2427" w:type="pct"/>
          </w:tcPr>
          <w:p w:rsidR="00A90009" w:rsidRPr="009C2345" w:rsidRDefault="00A90009" w:rsidP="00A90009">
            <w:pPr>
              <w:jc w:val="both"/>
              <w:rPr>
                <w:sz w:val="20"/>
                <w:szCs w:val="20"/>
                <w:lang w:val="fr-CA"/>
              </w:rPr>
            </w:pPr>
            <w:r w:rsidRPr="009C2345">
              <w:rPr>
                <w:sz w:val="20"/>
                <w:szCs w:val="20"/>
                <w:lang w:val="fr-CA"/>
              </w:rPr>
              <w:t>29 décembre 2015</w:t>
            </w:r>
          </w:p>
          <w:p w:rsidR="00A90009" w:rsidRPr="009C2345" w:rsidRDefault="00A90009" w:rsidP="00A90009">
            <w:pPr>
              <w:jc w:val="both"/>
              <w:rPr>
                <w:sz w:val="20"/>
                <w:szCs w:val="20"/>
                <w:lang w:val="fr-CA"/>
              </w:rPr>
            </w:pPr>
            <w:r w:rsidRPr="009C2345">
              <w:rPr>
                <w:sz w:val="20"/>
                <w:szCs w:val="20"/>
                <w:lang w:val="fr-CA"/>
              </w:rPr>
              <w:t>Cour suprême du Canada</w:t>
            </w:r>
          </w:p>
        </w:tc>
        <w:tc>
          <w:tcPr>
            <w:tcW w:w="243" w:type="pct"/>
          </w:tcPr>
          <w:p w:rsidR="00A90009" w:rsidRPr="009C2345" w:rsidRDefault="00A90009" w:rsidP="00A90009">
            <w:pPr>
              <w:jc w:val="both"/>
              <w:rPr>
                <w:sz w:val="20"/>
                <w:szCs w:val="20"/>
                <w:lang w:val="fr-CA"/>
              </w:rPr>
            </w:pPr>
          </w:p>
        </w:tc>
        <w:tc>
          <w:tcPr>
            <w:tcW w:w="2330" w:type="pct"/>
          </w:tcPr>
          <w:p w:rsidR="00A90009" w:rsidRPr="009C2345" w:rsidRDefault="00A90009" w:rsidP="00A90009">
            <w:pPr>
              <w:jc w:val="both"/>
              <w:rPr>
                <w:sz w:val="20"/>
                <w:szCs w:val="20"/>
                <w:lang w:val="fr-CA"/>
              </w:rPr>
            </w:pPr>
            <w:r w:rsidRPr="009C2345">
              <w:rPr>
                <w:sz w:val="20"/>
                <w:szCs w:val="20"/>
                <w:lang w:val="fr-CA"/>
              </w:rPr>
              <w:t>Dépôt de la demande d’autorisation d’appel</w:t>
            </w:r>
          </w:p>
        </w:tc>
      </w:tr>
    </w:tbl>
    <w:p w:rsidR="00031F07" w:rsidRPr="009C2345" w:rsidRDefault="00031F07" w:rsidP="008D292F">
      <w:pPr>
        <w:rPr>
          <w:sz w:val="20"/>
          <w:szCs w:val="20"/>
          <w:lang w:val="fr-CA"/>
        </w:rPr>
      </w:pPr>
    </w:p>
    <w:p w:rsidR="00031F07" w:rsidRPr="009C2345" w:rsidRDefault="0082006E" w:rsidP="008D292F">
      <w:pPr>
        <w:rPr>
          <w:sz w:val="20"/>
          <w:szCs w:val="20"/>
          <w:lang w:val="fr-CA"/>
        </w:rPr>
      </w:pPr>
      <w:r>
        <w:rPr>
          <w:sz w:val="20"/>
          <w:szCs w:val="20"/>
          <w:lang w:val="fr-CA"/>
        </w:rPr>
        <w:pict>
          <v:rect id="_x0000_i1061" style="width:2in;height:1pt" o:hrpct="0" o:hralign="center" o:hrstd="t" o:hrnoshade="t" o:hr="t" fillcolor="black [3213]" stroked="f"/>
        </w:pict>
      </w:r>
    </w:p>
    <w:p w:rsidR="00031F07" w:rsidRPr="009C2345" w:rsidRDefault="00031F07" w:rsidP="008D292F">
      <w:pPr>
        <w:rPr>
          <w:sz w:val="20"/>
          <w:szCs w:val="20"/>
          <w:lang w:val="fr-CA"/>
        </w:rPr>
      </w:pPr>
    </w:p>
    <w:p w:rsidR="00BD50B7" w:rsidRPr="009C2345" w:rsidRDefault="00BD50B7">
      <w:r w:rsidRPr="009C2345">
        <w:br w:type="page"/>
      </w: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72"/>
      </w:tblGrid>
      <w:tr w:rsidR="00B13339" w:rsidRPr="0082006E" w:rsidTr="00D6785D">
        <w:trPr>
          <w:cantSplit/>
          <w:trHeight w:val="392"/>
        </w:trPr>
        <w:tc>
          <w:tcPr>
            <w:tcW w:w="1458" w:type="dxa"/>
          </w:tcPr>
          <w:p w:rsidR="00B13339" w:rsidRPr="006B56B1" w:rsidRDefault="00B13339" w:rsidP="00017A3C">
            <w:pPr>
              <w:rPr>
                <w:sz w:val="20"/>
                <w:szCs w:val="20"/>
              </w:rPr>
            </w:pPr>
            <w:r w:rsidRPr="006B56B1">
              <w:rPr>
                <w:rStyle w:val="SCCFileNumberChar"/>
                <w:sz w:val="20"/>
                <w:szCs w:val="20"/>
              </w:rPr>
              <w:t>36785</w:t>
            </w:r>
          </w:p>
          <w:p w:rsidR="00B13339" w:rsidRPr="006B56B1" w:rsidRDefault="00B13339" w:rsidP="00017A3C">
            <w:pPr>
              <w:rPr>
                <w:b/>
                <w:sz w:val="20"/>
                <w:szCs w:val="20"/>
                <w:lang w:val="fr-CA"/>
              </w:rPr>
            </w:pPr>
          </w:p>
        </w:tc>
        <w:tc>
          <w:tcPr>
            <w:tcW w:w="8172" w:type="dxa"/>
          </w:tcPr>
          <w:p w:rsidR="00B13339" w:rsidRPr="006B56B1" w:rsidRDefault="00130A41" w:rsidP="004E6EF3">
            <w:pPr>
              <w:jc w:val="both"/>
              <w:rPr>
                <w:sz w:val="20"/>
                <w:szCs w:val="20"/>
                <w:lang w:val="fr-CA"/>
              </w:rPr>
            </w:pPr>
            <w:r w:rsidRPr="006B56B1">
              <w:rPr>
                <w:b/>
                <w:sz w:val="20"/>
                <w:szCs w:val="20"/>
                <w:u w:val="single"/>
                <w:lang w:val="fr-CA"/>
              </w:rPr>
              <w:t>Daniel Laforest c. Agence du revenu du Québec et Procureure générale du Québec</w:t>
            </w:r>
            <w:r w:rsidRPr="006B56B1">
              <w:rPr>
                <w:b/>
                <w:sz w:val="20"/>
                <w:szCs w:val="20"/>
                <w:lang w:val="fr-CA"/>
              </w:rPr>
              <w:t xml:space="preserve"> </w:t>
            </w:r>
            <w:r w:rsidR="00B13339" w:rsidRPr="006B56B1">
              <w:rPr>
                <w:sz w:val="20"/>
                <w:szCs w:val="20"/>
                <w:lang w:val="fr-CA"/>
              </w:rPr>
              <w:t>(Q</w:t>
            </w:r>
            <w:r w:rsidRPr="006B56B1">
              <w:rPr>
                <w:sz w:val="20"/>
                <w:szCs w:val="20"/>
                <w:lang w:val="fr-CA"/>
              </w:rPr>
              <w:t>c</w:t>
            </w:r>
            <w:r w:rsidR="00B13339" w:rsidRPr="006B56B1">
              <w:rPr>
                <w:sz w:val="20"/>
                <w:szCs w:val="20"/>
                <w:lang w:val="fr-CA"/>
              </w:rPr>
              <w:t>) (Civil</w:t>
            </w:r>
            <w:r w:rsidRPr="006B56B1">
              <w:rPr>
                <w:sz w:val="20"/>
                <w:szCs w:val="20"/>
                <w:lang w:val="fr-CA"/>
              </w:rPr>
              <w:t>e</w:t>
            </w:r>
            <w:r w:rsidR="00B13339" w:rsidRPr="006B56B1">
              <w:rPr>
                <w:sz w:val="20"/>
                <w:szCs w:val="20"/>
                <w:lang w:val="fr-CA"/>
              </w:rPr>
              <w:t>) (</w:t>
            </w:r>
            <w:r w:rsidRPr="006B56B1">
              <w:rPr>
                <w:sz w:val="20"/>
                <w:szCs w:val="20"/>
                <w:lang w:val="fr-CA"/>
              </w:rPr>
              <w:t>Autorisation</w:t>
            </w:r>
            <w:r w:rsidR="00B13339" w:rsidRPr="006B56B1">
              <w:rPr>
                <w:sz w:val="20"/>
                <w:szCs w:val="20"/>
                <w:lang w:val="fr-CA"/>
              </w:rPr>
              <w:t>)</w:t>
            </w:r>
          </w:p>
          <w:p w:rsidR="00B13339" w:rsidRPr="006B56B1" w:rsidRDefault="00B13339" w:rsidP="00017A3C">
            <w:pPr>
              <w:rPr>
                <w:sz w:val="20"/>
                <w:szCs w:val="20"/>
                <w:lang w:val="fr-CA"/>
              </w:rPr>
            </w:pPr>
          </w:p>
        </w:tc>
      </w:tr>
      <w:tr w:rsidR="00B13339" w:rsidRPr="0082006E" w:rsidTr="00D6785D">
        <w:trPr>
          <w:cantSplit/>
        </w:trPr>
        <w:tc>
          <w:tcPr>
            <w:tcW w:w="1458" w:type="dxa"/>
          </w:tcPr>
          <w:p w:rsidR="00B13339" w:rsidRPr="006B56B1" w:rsidRDefault="00B13339" w:rsidP="00017A3C">
            <w:pPr>
              <w:rPr>
                <w:sz w:val="20"/>
                <w:szCs w:val="20"/>
              </w:rPr>
            </w:pPr>
            <w:r w:rsidRPr="006B56B1">
              <w:rPr>
                <w:sz w:val="20"/>
                <w:szCs w:val="20"/>
              </w:rPr>
              <w:t>Coram :</w:t>
            </w:r>
          </w:p>
        </w:tc>
        <w:tc>
          <w:tcPr>
            <w:tcW w:w="8172" w:type="dxa"/>
          </w:tcPr>
          <w:p w:rsidR="00B13339" w:rsidRPr="006B56B1" w:rsidRDefault="00130A41" w:rsidP="00017A3C">
            <w:pPr>
              <w:rPr>
                <w:rStyle w:val="SCCCoramChar"/>
                <w:sz w:val="20"/>
                <w:szCs w:val="20"/>
              </w:rPr>
            </w:pPr>
            <w:r w:rsidRPr="006B56B1">
              <w:rPr>
                <w:rStyle w:val="SCCCoramChar"/>
                <w:sz w:val="20"/>
                <w:szCs w:val="20"/>
              </w:rPr>
              <w:t xml:space="preserve">Les juges Cromwell, Wagner et Côté </w:t>
            </w:r>
          </w:p>
          <w:p w:rsidR="00130A41" w:rsidRPr="006B56B1" w:rsidRDefault="00130A41" w:rsidP="00017A3C">
            <w:pPr>
              <w:rPr>
                <w:sz w:val="20"/>
                <w:szCs w:val="20"/>
                <w:lang w:val="fr-CA"/>
              </w:rPr>
            </w:pPr>
          </w:p>
        </w:tc>
      </w:tr>
      <w:tr w:rsidR="00B13339" w:rsidRPr="006B56B1" w:rsidTr="00D6785D">
        <w:trPr>
          <w:cantSplit/>
        </w:trPr>
        <w:tc>
          <w:tcPr>
            <w:tcW w:w="9630" w:type="dxa"/>
            <w:gridSpan w:val="2"/>
          </w:tcPr>
          <w:p w:rsidR="00B13339" w:rsidRPr="006B56B1" w:rsidRDefault="00130A41" w:rsidP="00017A3C">
            <w:pPr>
              <w:pStyle w:val="SCCShortJudgment"/>
              <w:ind w:firstLine="0"/>
              <w:rPr>
                <w:lang w:val="fr-CA"/>
              </w:rPr>
            </w:pPr>
            <w:r w:rsidRPr="006B56B1">
              <w:rPr>
                <w:lang w:val="fr-CA"/>
              </w:rPr>
              <w:tab/>
              <w:t>La demande d’autorisation d’appel de l’arrêt de la Cour d’appel du Québec (Montréal), numéro 500-09-025544-156, 2015 QCCA 1763, daté du 26 octobre 2015, est rejetée sans dépens.</w:t>
            </w:r>
          </w:p>
          <w:p w:rsidR="00130A41" w:rsidRPr="006B56B1" w:rsidRDefault="00130A41" w:rsidP="00017A3C">
            <w:pPr>
              <w:pStyle w:val="SCCShortJudgment"/>
              <w:ind w:firstLine="0"/>
              <w:rPr>
                <w:szCs w:val="20"/>
                <w:lang w:val="fr-CA"/>
              </w:rPr>
            </w:pPr>
          </w:p>
          <w:p w:rsidR="00B13339" w:rsidRPr="006B56B1" w:rsidRDefault="00130A41" w:rsidP="00017A3C">
            <w:pPr>
              <w:pStyle w:val="SCCShortJudgment"/>
              <w:rPr>
                <w:szCs w:val="20"/>
              </w:rPr>
            </w:pPr>
            <w:r w:rsidRPr="006B56B1">
              <w:t xml:space="preserve">The application for leave to appeal from the judgment of the Court of Appeal of Quebec (Montréal), Number 500-09-025544-156, </w:t>
            </w:r>
            <w:r w:rsidRPr="006B56B1">
              <w:rPr>
                <w:lang w:val="en-US"/>
              </w:rPr>
              <w:t xml:space="preserve">2015 QCCA 1763, </w:t>
            </w:r>
            <w:r w:rsidRPr="006B56B1">
              <w:t>dated October 26, 2015, is dismissed without costs.</w:t>
            </w:r>
          </w:p>
        </w:tc>
      </w:tr>
    </w:tbl>
    <w:p w:rsidR="00B13339" w:rsidRPr="009C2345" w:rsidRDefault="00B13339" w:rsidP="00B13339">
      <w:pPr>
        <w:rPr>
          <w:sz w:val="20"/>
          <w:szCs w:val="20"/>
        </w:rPr>
      </w:pPr>
    </w:p>
    <w:p w:rsidR="00B13339" w:rsidRPr="009C2345" w:rsidRDefault="00B13339" w:rsidP="00B13339">
      <w:pPr>
        <w:rPr>
          <w:sz w:val="20"/>
          <w:szCs w:val="20"/>
          <w:u w:val="single"/>
        </w:rPr>
      </w:pPr>
      <w:r w:rsidRPr="009C2345">
        <w:rPr>
          <w:sz w:val="20"/>
          <w:szCs w:val="20"/>
          <w:u w:val="single"/>
        </w:rPr>
        <w:t>CASE SUMMARY</w:t>
      </w:r>
    </w:p>
    <w:p w:rsidR="00B13339" w:rsidRPr="009C2345" w:rsidRDefault="00B13339" w:rsidP="00B13339">
      <w:pPr>
        <w:rPr>
          <w:sz w:val="20"/>
          <w:szCs w:val="20"/>
        </w:rPr>
      </w:pPr>
    </w:p>
    <w:tbl>
      <w:tblPr>
        <w:tblW w:w="5006" w:type="pct"/>
        <w:tblLayout w:type="fixed"/>
        <w:tblCellMar>
          <w:left w:w="0" w:type="dxa"/>
          <w:bottom w:w="99" w:type="dxa"/>
          <w:right w:w="0" w:type="dxa"/>
        </w:tblCellMar>
        <w:tblLook w:val="04A0" w:firstRow="1" w:lastRow="0" w:firstColumn="1" w:lastColumn="0" w:noHBand="0" w:noVBand="1"/>
      </w:tblPr>
      <w:tblGrid>
        <w:gridCol w:w="4619"/>
        <w:gridCol w:w="462"/>
        <w:gridCol w:w="4550"/>
      </w:tblGrid>
      <w:tr w:rsidR="00B13339" w:rsidRPr="009C2345" w:rsidTr="00525901">
        <w:tc>
          <w:tcPr>
            <w:tcW w:w="5000" w:type="pct"/>
            <w:gridSpan w:val="3"/>
          </w:tcPr>
          <w:p w:rsidR="00B13339" w:rsidRPr="009C2345" w:rsidRDefault="00B13339" w:rsidP="00B13339">
            <w:pPr>
              <w:jc w:val="both"/>
              <w:rPr>
                <w:sz w:val="20"/>
                <w:szCs w:val="20"/>
              </w:rPr>
            </w:pPr>
            <w:r w:rsidRPr="009C2345">
              <w:rPr>
                <w:i/>
                <w:sz w:val="20"/>
                <w:szCs w:val="20"/>
              </w:rPr>
              <w:t>Canadian Charter of Rights and Freedoms</w:t>
            </w:r>
            <w:r w:rsidRPr="009C2345">
              <w:rPr>
                <w:sz w:val="20"/>
                <w:szCs w:val="20"/>
              </w:rPr>
              <w:t xml:space="preserve"> – Family law – Taxation – Support – Whether it is valid that support payments are neither taxable nor deductible under </w:t>
            </w:r>
            <w:r w:rsidRPr="009C2345">
              <w:rPr>
                <w:i/>
                <w:sz w:val="20"/>
                <w:szCs w:val="20"/>
              </w:rPr>
              <w:t xml:space="preserve">Taxation Act </w:t>
            </w:r>
            <w:r w:rsidRPr="009C2345">
              <w:rPr>
                <w:sz w:val="20"/>
                <w:szCs w:val="20"/>
              </w:rPr>
              <w:t xml:space="preserve">– Whether this is judicial or policy issue – Whether fact that support payments are neither taxable nor deductible infringes s. 15 of </w:t>
            </w:r>
            <w:r w:rsidRPr="009C2345">
              <w:rPr>
                <w:i/>
                <w:sz w:val="20"/>
                <w:szCs w:val="20"/>
              </w:rPr>
              <w:t xml:space="preserve">Canadian Charter </w:t>
            </w:r>
            <w:r w:rsidRPr="009C2345">
              <w:rPr>
                <w:sz w:val="20"/>
                <w:szCs w:val="20"/>
              </w:rPr>
              <w:t>–</w:t>
            </w:r>
            <w:r w:rsidRPr="009C2345">
              <w:rPr>
                <w:i/>
                <w:sz w:val="20"/>
                <w:szCs w:val="20"/>
              </w:rPr>
              <w:t xml:space="preserve"> Taxation Act</w:t>
            </w:r>
            <w:r w:rsidRPr="009C2345">
              <w:rPr>
                <w:sz w:val="20"/>
                <w:szCs w:val="20"/>
              </w:rPr>
              <w:t xml:space="preserve">, CQLR, c. 13. </w:t>
            </w:r>
          </w:p>
          <w:p w:rsidR="00B13339" w:rsidRPr="009C2345" w:rsidRDefault="00B13339" w:rsidP="00B13339">
            <w:pPr>
              <w:jc w:val="both"/>
              <w:rPr>
                <w:sz w:val="20"/>
                <w:szCs w:val="20"/>
              </w:rPr>
            </w:pPr>
          </w:p>
        </w:tc>
      </w:tr>
      <w:tr w:rsidR="00B13339" w:rsidRPr="009C2345" w:rsidTr="00525901">
        <w:tc>
          <w:tcPr>
            <w:tcW w:w="5000" w:type="pct"/>
            <w:gridSpan w:val="3"/>
          </w:tcPr>
          <w:p w:rsidR="00B13339" w:rsidRPr="009C2345" w:rsidRDefault="00B13339" w:rsidP="00B13339">
            <w:pPr>
              <w:jc w:val="both"/>
              <w:rPr>
                <w:sz w:val="20"/>
                <w:szCs w:val="20"/>
              </w:rPr>
            </w:pPr>
            <w:r w:rsidRPr="009C2345">
              <w:rPr>
                <w:sz w:val="20"/>
                <w:szCs w:val="20"/>
              </w:rPr>
              <w:t xml:space="preserve">Mr. Laforest challenged the fact that the child support he paid was neither taxable nor deductible under s. 336.0.3 of the </w:t>
            </w:r>
            <w:r w:rsidRPr="009C2345">
              <w:rPr>
                <w:i/>
                <w:sz w:val="20"/>
                <w:szCs w:val="20"/>
              </w:rPr>
              <w:t>Taxation Act</w:t>
            </w:r>
            <w:r w:rsidRPr="009C2345">
              <w:rPr>
                <w:sz w:val="20"/>
                <w:szCs w:val="20"/>
              </w:rPr>
              <w:t>, CQLR, c. 13. In 2005, the Superior Court had ordered him to pay support to his former spouse for his two children. It was impossible for him to deduct that support from his taxable income. He appealed the assessments made for 2008, 2009 and 2010.</w:t>
            </w:r>
          </w:p>
        </w:tc>
      </w:tr>
      <w:tr w:rsidR="00B13339" w:rsidRPr="009C2345" w:rsidTr="00525901">
        <w:tc>
          <w:tcPr>
            <w:tcW w:w="5000" w:type="pct"/>
            <w:gridSpan w:val="3"/>
          </w:tcPr>
          <w:p w:rsidR="00B13339" w:rsidRPr="009C2345" w:rsidRDefault="00B13339" w:rsidP="00B13339">
            <w:pPr>
              <w:jc w:val="both"/>
              <w:rPr>
                <w:sz w:val="20"/>
                <w:szCs w:val="20"/>
              </w:rPr>
            </w:pPr>
          </w:p>
        </w:tc>
      </w:tr>
      <w:tr w:rsidR="00B13339" w:rsidRPr="009C2345" w:rsidTr="00525901">
        <w:tc>
          <w:tcPr>
            <w:tcW w:w="2398" w:type="pct"/>
          </w:tcPr>
          <w:p w:rsidR="00B13339" w:rsidRPr="009C2345" w:rsidRDefault="00B13339" w:rsidP="00B13339">
            <w:pPr>
              <w:jc w:val="both"/>
              <w:rPr>
                <w:sz w:val="20"/>
                <w:szCs w:val="20"/>
              </w:rPr>
            </w:pPr>
            <w:r w:rsidRPr="009C2345">
              <w:rPr>
                <w:sz w:val="20"/>
                <w:szCs w:val="20"/>
              </w:rPr>
              <w:t>July 17, 2015</w:t>
            </w:r>
          </w:p>
          <w:p w:rsidR="00B13339" w:rsidRPr="009C2345" w:rsidRDefault="00B13339" w:rsidP="00B13339">
            <w:pPr>
              <w:jc w:val="both"/>
              <w:rPr>
                <w:sz w:val="20"/>
                <w:szCs w:val="20"/>
              </w:rPr>
            </w:pPr>
            <w:r w:rsidRPr="009C2345">
              <w:rPr>
                <w:sz w:val="20"/>
                <w:szCs w:val="20"/>
              </w:rPr>
              <w:t>Court of Québec</w:t>
            </w:r>
          </w:p>
          <w:p w:rsidR="00B13339" w:rsidRPr="009C2345" w:rsidRDefault="00B13339" w:rsidP="00B13339">
            <w:pPr>
              <w:jc w:val="both"/>
              <w:rPr>
                <w:sz w:val="20"/>
                <w:szCs w:val="20"/>
              </w:rPr>
            </w:pPr>
            <w:r w:rsidRPr="009C2345">
              <w:rPr>
                <w:sz w:val="20"/>
                <w:szCs w:val="20"/>
              </w:rPr>
              <w:t>(Judge Paquet)</w:t>
            </w:r>
          </w:p>
          <w:p w:rsidR="00B13339" w:rsidRPr="009C2345" w:rsidRDefault="0082006E" w:rsidP="00B13339">
            <w:pPr>
              <w:jc w:val="both"/>
              <w:rPr>
                <w:sz w:val="20"/>
                <w:szCs w:val="20"/>
              </w:rPr>
            </w:pPr>
            <w:hyperlink r:id="rId71" w:history="1">
              <w:r w:rsidR="00B13339" w:rsidRPr="009C2345">
                <w:rPr>
                  <w:color w:val="0000FF" w:themeColor="hyperlink"/>
                  <w:sz w:val="20"/>
                  <w:szCs w:val="20"/>
                  <w:u w:val="single"/>
                </w:rPr>
                <w:t>2015 QCCQ 7133</w:t>
              </w:r>
            </w:hyperlink>
          </w:p>
          <w:p w:rsidR="00B13339" w:rsidRPr="009C2345" w:rsidRDefault="00B13339" w:rsidP="00B13339">
            <w:pPr>
              <w:jc w:val="both"/>
              <w:rPr>
                <w:sz w:val="20"/>
                <w:szCs w:val="20"/>
              </w:rPr>
            </w:pPr>
          </w:p>
        </w:tc>
        <w:tc>
          <w:tcPr>
            <w:tcW w:w="240" w:type="pct"/>
          </w:tcPr>
          <w:p w:rsidR="00B13339" w:rsidRPr="009C2345" w:rsidRDefault="00B13339" w:rsidP="00B13339">
            <w:pPr>
              <w:jc w:val="both"/>
              <w:rPr>
                <w:sz w:val="20"/>
                <w:szCs w:val="20"/>
              </w:rPr>
            </w:pPr>
          </w:p>
        </w:tc>
        <w:tc>
          <w:tcPr>
            <w:tcW w:w="2362" w:type="pct"/>
          </w:tcPr>
          <w:p w:rsidR="00B13339" w:rsidRPr="009C2345" w:rsidRDefault="00B13339" w:rsidP="00B13339">
            <w:pPr>
              <w:jc w:val="both"/>
              <w:rPr>
                <w:sz w:val="20"/>
                <w:szCs w:val="20"/>
              </w:rPr>
            </w:pPr>
            <w:r w:rsidRPr="009C2345">
              <w:rPr>
                <w:sz w:val="20"/>
                <w:szCs w:val="20"/>
              </w:rPr>
              <w:t>Motions to dismiss allowed and motion to institute proceedings dismissed without costs</w:t>
            </w:r>
          </w:p>
          <w:p w:rsidR="00B13339" w:rsidRPr="009C2345" w:rsidRDefault="00B13339" w:rsidP="00B13339">
            <w:pPr>
              <w:jc w:val="both"/>
              <w:rPr>
                <w:sz w:val="20"/>
                <w:szCs w:val="20"/>
              </w:rPr>
            </w:pPr>
          </w:p>
        </w:tc>
      </w:tr>
      <w:tr w:rsidR="00B13339" w:rsidRPr="009C2345" w:rsidTr="00525901">
        <w:tc>
          <w:tcPr>
            <w:tcW w:w="2398" w:type="pct"/>
          </w:tcPr>
          <w:p w:rsidR="00B13339" w:rsidRPr="009C2345" w:rsidRDefault="00B13339" w:rsidP="00B13339">
            <w:pPr>
              <w:jc w:val="both"/>
              <w:rPr>
                <w:sz w:val="20"/>
                <w:szCs w:val="20"/>
              </w:rPr>
            </w:pPr>
            <w:r w:rsidRPr="009C2345">
              <w:rPr>
                <w:sz w:val="20"/>
                <w:szCs w:val="20"/>
              </w:rPr>
              <w:t>October 26, 2015</w:t>
            </w:r>
          </w:p>
          <w:p w:rsidR="00B13339" w:rsidRPr="009C2345" w:rsidRDefault="00B13339" w:rsidP="00B13339">
            <w:pPr>
              <w:jc w:val="both"/>
              <w:rPr>
                <w:sz w:val="20"/>
                <w:szCs w:val="20"/>
              </w:rPr>
            </w:pPr>
            <w:r w:rsidRPr="009C2345">
              <w:rPr>
                <w:sz w:val="20"/>
                <w:szCs w:val="20"/>
              </w:rPr>
              <w:t>Quebec Court of Appeal (Montréal)</w:t>
            </w:r>
          </w:p>
          <w:p w:rsidR="00B13339" w:rsidRPr="009C2345" w:rsidRDefault="00B13339" w:rsidP="00B13339">
            <w:pPr>
              <w:jc w:val="both"/>
              <w:rPr>
                <w:sz w:val="20"/>
                <w:szCs w:val="20"/>
              </w:rPr>
            </w:pPr>
            <w:r w:rsidRPr="009C2345">
              <w:rPr>
                <w:sz w:val="20"/>
                <w:szCs w:val="20"/>
              </w:rPr>
              <w:t>(Chamberland, Kasirer and Bélanger JJ.A.)</w:t>
            </w:r>
          </w:p>
          <w:p w:rsidR="00B13339" w:rsidRPr="009C2345" w:rsidRDefault="0082006E" w:rsidP="00B13339">
            <w:pPr>
              <w:jc w:val="both"/>
              <w:rPr>
                <w:sz w:val="20"/>
                <w:szCs w:val="20"/>
              </w:rPr>
            </w:pPr>
            <w:hyperlink r:id="rId72" w:history="1">
              <w:r w:rsidR="00B13339" w:rsidRPr="009C2345">
                <w:rPr>
                  <w:color w:val="0000FF" w:themeColor="hyperlink"/>
                  <w:sz w:val="20"/>
                  <w:szCs w:val="20"/>
                  <w:u w:val="single"/>
                </w:rPr>
                <w:t>2015 QCCA 1763</w:t>
              </w:r>
            </w:hyperlink>
          </w:p>
          <w:p w:rsidR="00B13339" w:rsidRPr="009C2345" w:rsidRDefault="00B13339" w:rsidP="00B13339">
            <w:pPr>
              <w:jc w:val="both"/>
              <w:rPr>
                <w:sz w:val="20"/>
                <w:szCs w:val="20"/>
              </w:rPr>
            </w:pPr>
          </w:p>
        </w:tc>
        <w:tc>
          <w:tcPr>
            <w:tcW w:w="240" w:type="pct"/>
          </w:tcPr>
          <w:p w:rsidR="00B13339" w:rsidRPr="009C2345" w:rsidRDefault="00B13339" w:rsidP="00B13339">
            <w:pPr>
              <w:jc w:val="both"/>
              <w:rPr>
                <w:sz w:val="20"/>
                <w:szCs w:val="20"/>
              </w:rPr>
            </w:pPr>
          </w:p>
        </w:tc>
        <w:tc>
          <w:tcPr>
            <w:tcW w:w="2362" w:type="pct"/>
          </w:tcPr>
          <w:p w:rsidR="00B13339" w:rsidRPr="009C2345" w:rsidRDefault="00B13339" w:rsidP="00B13339">
            <w:pPr>
              <w:jc w:val="both"/>
              <w:rPr>
                <w:sz w:val="20"/>
                <w:szCs w:val="20"/>
              </w:rPr>
            </w:pPr>
            <w:r w:rsidRPr="009C2345">
              <w:rPr>
                <w:sz w:val="20"/>
                <w:szCs w:val="20"/>
              </w:rPr>
              <w:t>Motions to dismiss appeal allowed and appeal dismissed without costs</w:t>
            </w:r>
          </w:p>
          <w:p w:rsidR="00B13339" w:rsidRPr="009C2345" w:rsidRDefault="00B13339" w:rsidP="00B13339">
            <w:pPr>
              <w:jc w:val="both"/>
              <w:rPr>
                <w:sz w:val="20"/>
                <w:szCs w:val="20"/>
              </w:rPr>
            </w:pPr>
          </w:p>
        </w:tc>
      </w:tr>
      <w:tr w:rsidR="00B13339" w:rsidRPr="009C2345" w:rsidTr="00525901">
        <w:tc>
          <w:tcPr>
            <w:tcW w:w="2398" w:type="pct"/>
          </w:tcPr>
          <w:p w:rsidR="00B13339" w:rsidRPr="009C2345" w:rsidRDefault="00B13339" w:rsidP="00B13339">
            <w:pPr>
              <w:jc w:val="both"/>
              <w:rPr>
                <w:sz w:val="20"/>
                <w:szCs w:val="20"/>
              </w:rPr>
            </w:pPr>
            <w:r w:rsidRPr="009C2345">
              <w:rPr>
                <w:sz w:val="20"/>
                <w:szCs w:val="20"/>
              </w:rPr>
              <w:t>December 29, 2015</w:t>
            </w:r>
          </w:p>
          <w:p w:rsidR="00B13339" w:rsidRPr="009C2345" w:rsidRDefault="00B13339" w:rsidP="00B13339">
            <w:pPr>
              <w:jc w:val="both"/>
              <w:rPr>
                <w:sz w:val="20"/>
                <w:szCs w:val="20"/>
              </w:rPr>
            </w:pPr>
            <w:r w:rsidRPr="009C2345">
              <w:rPr>
                <w:sz w:val="20"/>
                <w:szCs w:val="20"/>
              </w:rPr>
              <w:t>Supreme Court of Canada</w:t>
            </w:r>
          </w:p>
        </w:tc>
        <w:tc>
          <w:tcPr>
            <w:tcW w:w="240" w:type="pct"/>
          </w:tcPr>
          <w:p w:rsidR="00B13339" w:rsidRPr="009C2345" w:rsidRDefault="00B13339" w:rsidP="00B13339">
            <w:pPr>
              <w:jc w:val="both"/>
              <w:rPr>
                <w:sz w:val="20"/>
                <w:szCs w:val="20"/>
              </w:rPr>
            </w:pPr>
          </w:p>
        </w:tc>
        <w:tc>
          <w:tcPr>
            <w:tcW w:w="2362" w:type="pct"/>
          </w:tcPr>
          <w:p w:rsidR="00B13339" w:rsidRPr="009C2345" w:rsidRDefault="00B13339" w:rsidP="00B13339">
            <w:pPr>
              <w:jc w:val="both"/>
              <w:rPr>
                <w:sz w:val="20"/>
                <w:szCs w:val="20"/>
              </w:rPr>
            </w:pPr>
            <w:r w:rsidRPr="009C2345">
              <w:rPr>
                <w:sz w:val="20"/>
                <w:szCs w:val="20"/>
              </w:rPr>
              <w:t>Application for leave to appeal filed</w:t>
            </w:r>
          </w:p>
        </w:tc>
      </w:tr>
    </w:tbl>
    <w:p w:rsidR="00031F07" w:rsidRPr="009C2345" w:rsidRDefault="00031F07" w:rsidP="008D292F">
      <w:pPr>
        <w:rPr>
          <w:sz w:val="20"/>
          <w:szCs w:val="20"/>
        </w:rPr>
      </w:pPr>
    </w:p>
    <w:p w:rsidR="00B13339" w:rsidRPr="009C2345" w:rsidRDefault="0082006E" w:rsidP="008D292F">
      <w:pPr>
        <w:rPr>
          <w:sz w:val="20"/>
          <w:szCs w:val="20"/>
          <w:lang w:val="fr-CA"/>
        </w:rPr>
      </w:pPr>
      <w:r>
        <w:rPr>
          <w:sz w:val="20"/>
          <w:szCs w:val="20"/>
          <w:lang w:val="fr-CA"/>
        </w:rPr>
        <w:pict>
          <v:rect id="_x0000_i1062" style="width:2in;height:1pt" o:hrpct="0" o:hralign="center" o:hrstd="t" o:hrnoshade="t" o:hr="t" fillcolor="black [3213]" stroked="f"/>
        </w:pict>
      </w:r>
    </w:p>
    <w:p w:rsidR="00B13339" w:rsidRPr="009C2345" w:rsidRDefault="00B13339" w:rsidP="008D292F">
      <w:pPr>
        <w:rPr>
          <w:sz w:val="20"/>
          <w:szCs w:val="20"/>
          <w:lang w:val="fr-CA"/>
        </w:rPr>
      </w:pPr>
    </w:p>
    <w:p w:rsidR="00B13339" w:rsidRPr="009C2345" w:rsidRDefault="00B13339" w:rsidP="00B13339">
      <w:pPr>
        <w:rPr>
          <w:sz w:val="20"/>
          <w:szCs w:val="20"/>
          <w:u w:val="single"/>
          <w:lang w:val="fr-CA"/>
        </w:rPr>
      </w:pPr>
      <w:r w:rsidRPr="009C2345">
        <w:rPr>
          <w:sz w:val="20"/>
          <w:szCs w:val="20"/>
          <w:u w:val="single"/>
          <w:lang w:val="fr-CA"/>
        </w:rPr>
        <w:t>RÉSUMÉ DE L’AFFAIRE</w:t>
      </w:r>
    </w:p>
    <w:p w:rsidR="00B13339" w:rsidRPr="009C2345" w:rsidRDefault="00B13339" w:rsidP="00B13339">
      <w:pPr>
        <w:rPr>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4619"/>
        <w:gridCol w:w="462"/>
        <w:gridCol w:w="4538"/>
      </w:tblGrid>
      <w:tr w:rsidR="00B13339" w:rsidRPr="0082006E" w:rsidTr="00525901">
        <w:tc>
          <w:tcPr>
            <w:tcW w:w="5000" w:type="pct"/>
            <w:gridSpan w:val="3"/>
          </w:tcPr>
          <w:p w:rsidR="00B13339" w:rsidRPr="009C2345" w:rsidRDefault="00B13339" w:rsidP="00B13339">
            <w:pPr>
              <w:jc w:val="both"/>
              <w:rPr>
                <w:sz w:val="20"/>
                <w:szCs w:val="20"/>
                <w:lang w:val="fr-CA"/>
              </w:rPr>
            </w:pPr>
            <w:r w:rsidRPr="009C2345">
              <w:rPr>
                <w:i/>
                <w:sz w:val="20"/>
                <w:szCs w:val="20"/>
                <w:lang w:val="fr-CA"/>
              </w:rPr>
              <w:t>Charte canadienne des droits et libertés</w:t>
            </w:r>
            <w:r w:rsidRPr="009C2345">
              <w:rPr>
                <w:sz w:val="20"/>
                <w:szCs w:val="20"/>
                <w:lang w:val="fr-CA"/>
              </w:rPr>
              <w:t xml:space="preserve"> – Droit de la famille – Droit de l’impôt – Pensions alimentaires – Est-ce que la défiscalisation des pensions alimentaires dans la </w:t>
            </w:r>
            <w:r w:rsidRPr="009C2345">
              <w:rPr>
                <w:i/>
                <w:sz w:val="20"/>
                <w:szCs w:val="20"/>
                <w:lang w:val="fr-CA"/>
              </w:rPr>
              <w:t>Loi sur les impôts</w:t>
            </w:r>
            <w:r w:rsidRPr="009C2345">
              <w:rPr>
                <w:sz w:val="20"/>
                <w:szCs w:val="20"/>
                <w:lang w:val="fr-CA"/>
              </w:rPr>
              <w:t xml:space="preserve"> est valide? – Est-ce une question judiciaire ou politique ? – Est-ce que la défiscalisation des pensions alimentaires viole l’article 15 de la </w:t>
            </w:r>
            <w:r w:rsidRPr="009C2345">
              <w:rPr>
                <w:i/>
                <w:sz w:val="20"/>
                <w:szCs w:val="20"/>
                <w:lang w:val="fr-CA"/>
              </w:rPr>
              <w:t xml:space="preserve">Charte canadienne </w:t>
            </w:r>
            <w:r w:rsidRPr="009C2345">
              <w:rPr>
                <w:sz w:val="20"/>
                <w:szCs w:val="20"/>
                <w:lang w:val="fr-CA"/>
              </w:rPr>
              <w:t xml:space="preserve">? – </w:t>
            </w:r>
            <w:r w:rsidRPr="009C2345">
              <w:rPr>
                <w:i/>
                <w:sz w:val="20"/>
                <w:szCs w:val="20"/>
                <w:lang w:val="fr-CA"/>
              </w:rPr>
              <w:t>Loi sur les impôts</w:t>
            </w:r>
            <w:r w:rsidRPr="009C2345">
              <w:rPr>
                <w:sz w:val="20"/>
                <w:szCs w:val="20"/>
                <w:lang w:val="fr-CA"/>
              </w:rPr>
              <w:t xml:space="preserve">, RLRQ, c. 13. </w:t>
            </w:r>
          </w:p>
          <w:p w:rsidR="00B13339" w:rsidRPr="009C2345" w:rsidRDefault="00B13339" w:rsidP="00B13339">
            <w:pPr>
              <w:jc w:val="both"/>
              <w:rPr>
                <w:sz w:val="20"/>
                <w:szCs w:val="20"/>
                <w:lang w:val="fr-CA"/>
              </w:rPr>
            </w:pPr>
          </w:p>
        </w:tc>
      </w:tr>
      <w:tr w:rsidR="00B13339" w:rsidRPr="0082006E" w:rsidTr="00525901">
        <w:tc>
          <w:tcPr>
            <w:tcW w:w="5000" w:type="pct"/>
            <w:gridSpan w:val="3"/>
          </w:tcPr>
          <w:p w:rsidR="00B13339" w:rsidRPr="009C2345" w:rsidRDefault="00B13339" w:rsidP="00B13339">
            <w:pPr>
              <w:jc w:val="both"/>
              <w:rPr>
                <w:sz w:val="20"/>
                <w:szCs w:val="20"/>
                <w:lang w:val="fr-CA"/>
              </w:rPr>
            </w:pPr>
            <w:r w:rsidRPr="009C2345">
              <w:rPr>
                <w:sz w:val="20"/>
                <w:szCs w:val="20"/>
                <w:lang w:val="fr-CA"/>
              </w:rPr>
              <w:t xml:space="preserve">M. Laforest conteste la défiscalisation des pensions alimentaires payées à ses enfants découlant de l’article 336.0.3 de la </w:t>
            </w:r>
            <w:r w:rsidRPr="009C2345">
              <w:rPr>
                <w:i/>
                <w:sz w:val="20"/>
                <w:szCs w:val="20"/>
                <w:lang w:val="fr-CA"/>
              </w:rPr>
              <w:t>Loi sur les impôts</w:t>
            </w:r>
            <w:r w:rsidRPr="009C2345">
              <w:rPr>
                <w:sz w:val="20"/>
                <w:szCs w:val="20"/>
                <w:lang w:val="fr-CA"/>
              </w:rPr>
              <w:t>, RLRQ, c. 13. En 2005, il avait été ordonné par la Cour supérieure de verser ces pensions alimentaires pour ses deux enfants à son ex-conjointe. Il est impossible pour lui de déduire ces pensions alimentaires de son revenu imposable. Il porte en appel des cotisations émises pour les années 2008, 2009 et 2010.</w:t>
            </w:r>
          </w:p>
        </w:tc>
      </w:tr>
      <w:tr w:rsidR="00B13339" w:rsidRPr="0082006E" w:rsidTr="00525901">
        <w:tc>
          <w:tcPr>
            <w:tcW w:w="5000" w:type="pct"/>
            <w:gridSpan w:val="3"/>
          </w:tcPr>
          <w:p w:rsidR="00B13339" w:rsidRPr="009C2345" w:rsidRDefault="00B13339" w:rsidP="00B13339">
            <w:pPr>
              <w:jc w:val="both"/>
              <w:rPr>
                <w:sz w:val="20"/>
                <w:szCs w:val="20"/>
                <w:lang w:val="fr-CA"/>
              </w:rPr>
            </w:pPr>
          </w:p>
        </w:tc>
      </w:tr>
      <w:tr w:rsidR="00B13339" w:rsidRPr="0082006E" w:rsidTr="00525901">
        <w:tc>
          <w:tcPr>
            <w:tcW w:w="2401" w:type="pct"/>
          </w:tcPr>
          <w:p w:rsidR="00B13339" w:rsidRPr="009C2345" w:rsidRDefault="00B13339" w:rsidP="00B13339">
            <w:pPr>
              <w:jc w:val="both"/>
              <w:rPr>
                <w:sz w:val="20"/>
                <w:szCs w:val="20"/>
                <w:lang w:val="fr-CA"/>
              </w:rPr>
            </w:pPr>
            <w:r w:rsidRPr="009C2345">
              <w:rPr>
                <w:sz w:val="20"/>
                <w:szCs w:val="20"/>
                <w:lang w:val="fr-CA"/>
              </w:rPr>
              <w:t>Le 17 juillet 2015</w:t>
            </w:r>
          </w:p>
          <w:p w:rsidR="00B13339" w:rsidRPr="009C2345" w:rsidRDefault="00B13339" w:rsidP="00B13339">
            <w:pPr>
              <w:jc w:val="both"/>
              <w:rPr>
                <w:sz w:val="20"/>
                <w:szCs w:val="20"/>
                <w:lang w:val="fr-CA"/>
              </w:rPr>
            </w:pPr>
            <w:r w:rsidRPr="009C2345">
              <w:rPr>
                <w:sz w:val="20"/>
                <w:szCs w:val="20"/>
                <w:lang w:val="fr-CA"/>
              </w:rPr>
              <w:t>Cour du Québec</w:t>
            </w:r>
          </w:p>
          <w:p w:rsidR="00B13339" w:rsidRPr="009C2345" w:rsidRDefault="00B13339" w:rsidP="00B13339">
            <w:pPr>
              <w:jc w:val="both"/>
              <w:rPr>
                <w:sz w:val="20"/>
                <w:szCs w:val="20"/>
                <w:lang w:val="fr-CA"/>
              </w:rPr>
            </w:pPr>
            <w:r w:rsidRPr="009C2345">
              <w:rPr>
                <w:sz w:val="20"/>
                <w:szCs w:val="20"/>
                <w:lang w:val="fr-CA"/>
              </w:rPr>
              <w:t>(Le juge Paquet)</w:t>
            </w:r>
          </w:p>
          <w:p w:rsidR="00B13339" w:rsidRPr="009C2345" w:rsidRDefault="0082006E" w:rsidP="00B13339">
            <w:pPr>
              <w:jc w:val="both"/>
              <w:rPr>
                <w:sz w:val="20"/>
                <w:szCs w:val="20"/>
                <w:u w:val="single"/>
                <w:lang w:val="fr-CA"/>
              </w:rPr>
            </w:pPr>
            <w:hyperlink r:id="rId73" w:history="1">
              <w:r w:rsidR="00B13339" w:rsidRPr="009C2345">
                <w:rPr>
                  <w:color w:val="0000FF" w:themeColor="hyperlink"/>
                  <w:sz w:val="20"/>
                  <w:szCs w:val="20"/>
                  <w:u w:val="single"/>
                  <w:lang w:val="fr-CA"/>
                </w:rPr>
                <w:t>2015 QCCQ 7133</w:t>
              </w:r>
            </w:hyperlink>
          </w:p>
          <w:p w:rsidR="00B13339" w:rsidRPr="009C2345" w:rsidRDefault="00B13339" w:rsidP="00B13339">
            <w:pPr>
              <w:jc w:val="both"/>
              <w:rPr>
                <w:sz w:val="20"/>
                <w:szCs w:val="20"/>
                <w:lang w:val="fr-CA"/>
              </w:rPr>
            </w:pPr>
          </w:p>
        </w:tc>
        <w:tc>
          <w:tcPr>
            <w:tcW w:w="240" w:type="pct"/>
          </w:tcPr>
          <w:p w:rsidR="00B13339" w:rsidRPr="009C2345" w:rsidRDefault="00B13339" w:rsidP="00B13339">
            <w:pPr>
              <w:jc w:val="both"/>
              <w:rPr>
                <w:sz w:val="20"/>
                <w:szCs w:val="20"/>
                <w:lang w:val="fr-CA"/>
              </w:rPr>
            </w:pPr>
          </w:p>
        </w:tc>
        <w:tc>
          <w:tcPr>
            <w:tcW w:w="2359" w:type="pct"/>
          </w:tcPr>
          <w:p w:rsidR="00B13339" w:rsidRPr="009C2345" w:rsidRDefault="00B13339" w:rsidP="00B13339">
            <w:pPr>
              <w:jc w:val="both"/>
              <w:rPr>
                <w:sz w:val="20"/>
                <w:szCs w:val="20"/>
                <w:lang w:val="fr-CA"/>
              </w:rPr>
            </w:pPr>
            <w:r w:rsidRPr="009C2345">
              <w:rPr>
                <w:sz w:val="20"/>
                <w:szCs w:val="20"/>
                <w:lang w:val="fr-CA"/>
              </w:rPr>
              <w:t>Requêtes en irrecevabilité accueillis et requête introductive d’instance rejetée sans frais</w:t>
            </w:r>
          </w:p>
          <w:p w:rsidR="00B13339" w:rsidRPr="009C2345" w:rsidRDefault="00B13339" w:rsidP="00B13339">
            <w:pPr>
              <w:jc w:val="both"/>
              <w:rPr>
                <w:sz w:val="20"/>
                <w:szCs w:val="20"/>
                <w:lang w:val="fr-CA"/>
              </w:rPr>
            </w:pPr>
          </w:p>
        </w:tc>
      </w:tr>
      <w:tr w:rsidR="00B13339" w:rsidRPr="0082006E" w:rsidTr="00525901">
        <w:tc>
          <w:tcPr>
            <w:tcW w:w="2401" w:type="pct"/>
          </w:tcPr>
          <w:p w:rsidR="00B13339" w:rsidRPr="009C2345" w:rsidRDefault="00B13339" w:rsidP="00B13339">
            <w:pPr>
              <w:jc w:val="both"/>
              <w:rPr>
                <w:sz w:val="20"/>
                <w:szCs w:val="20"/>
                <w:lang w:val="fr-CA"/>
              </w:rPr>
            </w:pPr>
            <w:r w:rsidRPr="009C2345">
              <w:rPr>
                <w:sz w:val="20"/>
                <w:szCs w:val="20"/>
                <w:lang w:val="fr-CA"/>
              </w:rPr>
              <w:t>Le 26 octobre 2015</w:t>
            </w:r>
          </w:p>
          <w:p w:rsidR="00B13339" w:rsidRPr="009C2345" w:rsidRDefault="00B13339" w:rsidP="00B13339">
            <w:pPr>
              <w:jc w:val="both"/>
              <w:rPr>
                <w:sz w:val="20"/>
                <w:szCs w:val="20"/>
                <w:lang w:val="fr-CA"/>
              </w:rPr>
            </w:pPr>
            <w:r w:rsidRPr="009C2345">
              <w:rPr>
                <w:sz w:val="20"/>
                <w:szCs w:val="20"/>
                <w:lang w:val="fr-CA"/>
              </w:rPr>
              <w:t>Cour d’appel du Québec (Montréal)</w:t>
            </w:r>
          </w:p>
          <w:p w:rsidR="00B13339" w:rsidRPr="009C2345" w:rsidRDefault="00B13339" w:rsidP="00B13339">
            <w:pPr>
              <w:jc w:val="both"/>
              <w:rPr>
                <w:sz w:val="20"/>
                <w:szCs w:val="20"/>
                <w:lang w:val="fr-CA"/>
              </w:rPr>
            </w:pPr>
            <w:r w:rsidRPr="009C2345">
              <w:rPr>
                <w:sz w:val="20"/>
                <w:szCs w:val="20"/>
                <w:lang w:val="fr-CA"/>
              </w:rPr>
              <w:t>(Les juges Chamberland, Kasirer et Bélanger)</w:t>
            </w:r>
          </w:p>
          <w:p w:rsidR="00B13339" w:rsidRPr="009C2345" w:rsidRDefault="0082006E" w:rsidP="00B13339">
            <w:pPr>
              <w:jc w:val="both"/>
              <w:rPr>
                <w:sz w:val="20"/>
                <w:szCs w:val="20"/>
                <w:u w:val="single"/>
                <w:lang w:val="fr-CA"/>
              </w:rPr>
            </w:pPr>
            <w:hyperlink r:id="rId74" w:history="1">
              <w:r w:rsidR="00B13339" w:rsidRPr="009C2345">
                <w:rPr>
                  <w:color w:val="0000FF" w:themeColor="hyperlink"/>
                  <w:sz w:val="20"/>
                  <w:szCs w:val="20"/>
                  <w:u w:val="single"/>
                  <w:lang w:val="fr-CA"/>
                </w:rPr>
                <w:t>2015 QCCA 1763</w:t>
              </w:r>
            </w:hyperlink>
          </w:p>
          <w:p w:rsidR="00B13339" w:rsidRPr="009C2345" w:rsidRDefault="00B13339" w:rsidP="00B13339">
            <w:pPr>
              <w:jc w:val="both"/>
              <w:rPr>
                <w:sz w:val="20"/>
                <w:szCs w:val="20"/>
                <w:lang w:val="fr-CA"/>
              </w:rPr>
            </w:pPr>
          </w:p>
        </w:tc>
        <w:tc>
          <w:tcPr>
            <w:tcW w:w="240" w:type="pct"/>
          </w:tcPr>
          <w:p w:rsidR="00B13339" w:rsidRPr="009C2345" w:rsidRDefault="00B13339" w:rsidP="00B13339">
            <w:pPr>
              <w:jc w:val="both"/>
              <w:rPr>
                <w:sz w:val="20"/>
                <w:szCs w:val="20"/>
                <w:lang w:val="fr-CA"/>
              </w:rPr>
            </w:pPr>
          </w:p>
        </w:tc>
        <w:tc>
          <w:tcPr>
            <w:tcW w:w="2359" w:type="pct"/>
          </w:tcPr>
          <w:p w:rsidR="00B13339" w:rsidRPr="009C2345" w:rsidRDefault="00B13339" w:rsidP="00B13339">
            <w:pPr>
              <w:jc w:val="both"/>
              <w:rPr>
                <w:sz w:val="20"/>
                <w:szCs w:val="20"/>
                <w:lang w:val="fr-CA"/>
              </w:rPr>
            </w:pPr>
            <w:r w:rsidRPr="009C2345">
              <w:rPr>
                <w:sz w:val="20"/>
                <w:szCs w:val="20"/>
                <w:lang w:val="fr-CA"/>
              </w:rPr>
              <w:t>Requêtes en rejet d’appel accueillies et appel rejeté sans frais</w:t>
            </w:r>
          </w:p>
          <w:p w:rsidR="00B13339" w:rsidRPr="009C2345" w:rsidRDefault="00B13339" w:rsidP="00B13339">
            <w:pPr>
              <w:jc w:val="both"/>
              <w:rPr>
                <w:sz w:val="20"/>
                <w:szCs w:val="20"/>
                <w:lang w:val="fr-CA"/>
              </w:rPr>
            </w:pPr>
          </w:p>
        </w:tc>
      </w:tr>
      <w:tr w:rsidR="00B13339" w:rsidRPr="009C2345" w:rsidTr="00525901">
        <w:tc>
          <w:tcPr>
            <w:tcW w:w="2401" w:type="pct"/>
          </w:tcPr>
          <w:p w:rsidR="00B13339" w:rsidRPr="009C2345" w:rsidRDefault="00B13339" w:rsidP="00B13339">
            <w:pPr>
              <w:jc w:val="both"/>
              <w:rPr>
                <w:sz w:val="20"/>
                <w:szCs w:val="20"/>
                <w:lang w:val="fr-CA"/>
              </w:rPr>
            </w:pPr>
            <w:r w:rsidRPr="009C2345">
              <w:rPr>
                <w:sz w:val="20"/>
                <w:szCs w:val="20"/>
                <w:lang w:val="fr-CA"/>
              </w:rPr>
              <w:t>Le 29 décembre 2015</w:t>
            </w:r>
          </w:p>
          <w:p w:rsidR="00B13339" w:rsidRPr="009C2345" w:rsidRDefault="00B13339" w:rsidP="00B13339">
            <w:pPr>
              <w:jc w:val="both"/>
              <w:rPr>
                <w:sz w:val="20"/>
                <w:szCs w:val="20"/>
                <w:lang w:val="fr-CA"/>
              </w:rPr>
            </w:pPr>
            <w:r w:rsidRPr="009C2345">
              <w:rPr>
                <w:sz w:val="20"/>
                <w:szCs w:val="20"/>
                <w:lang w:val="fr-CA"/>
              </w:rPr>
              <w:t>Cour suprême du Canada</w:t>
            </w:r>
          </w:p>
        </w:tc>
        <w:tc>
          <w:tcPr>
            <w:tcW w:w="240" w:type="pct"/>
          </w:tcPr>
          <w:p w:rsidR="00B13339" w:rsidRPr="009C2345" w:rsidRDefault="00B13339" w:rsidP="00B13339">
            <w:pPr>
              <w:jc w:val="both"/>
              <w:rPr>
                <w:sz w:val="20"/>
                <w:szCs w:val="20"/>
                <w:lang w:val="fr-CA"/>
              </w:rPr>
            </w:pPr>
          </w:p>
        </w:tc>
        <w:tc>
          <w:tcPr>
            <w:tcW w:w="2359" w:type="pct"/>
          </w:tcPr>
          <w:p w:rsidR="00B13339" w:rsidRPr="009C2345" w:rsidRDefault="00B13339" w:rsidP="00B13339">
            <w:pPr>
              <w:jc w:val="both"/>
              <w:rPr>
                <w:sz w:val="20"/>
                <w:szCs w:val="20"/>
                <w:lang w:val="fr-CA"/>
              </w:rPr>
            </w:pPr>
            <w:r w:rsidRPr="009C2345">
              <w:rPr>
                <w:sz w:val="20"/>
                <w:szCs w:val="20"/>
                <w:lang w:val="fr-CA"/>
              </w:rPr>
              <w:t>Demande d’autorisation d’appel déposée</w:t>
            </w:r>
          </w:p>
        </w:tc>
      </w:tr>
    </w:tbl>
    <w:p w:rsidR="00B13339" w:rsidRPr="009C2345" w:rsidRDefault="00B13339" w:rsidP="008D292F">
      <w:pPr>
        <w:rPr>
          <w:sz w:val="20"/>
          <w:szCs w:val="20"/>
          <w:lang w:val="fr-CA"/>
        </w:rPr>
      </w:pPr>
    </w:p>
    <w:p w:rsidR="00B13339" w:rsidRPr="009C2345" w:rsidRDefault="0082006E" w:rsidP="008D292F">
      <w:pPr>
        <w:rPr>
          <w:sz w:val="20"/>
          <w:szCs w:val="20"/>
          <w:lang w:val="fr-CA"/>
        </w:rPr>
      </w:pPr>
      <w:r>
        <w:rPr>
          <w:sz w:val="20"/>
          <w:szCs w:val="20"/>
          <w:lang w:val="fr-CA"/>
        </w:rPr>
        <w:pict>
          <v:rect id="_x0000_i1063" style="width:2in;height:1pt" o:hrpct="0" o:hralign="center" o:hrstd="t" o:hrnoshade="t" o:hr="t" fillcolor="black [3213]" stroked="f"/>
        </w:pict>
      </w:r>
    </w:p>
    <w:p w:rsidR="00B13339" w:rsidRPr="009C2345" w:rsidRDefault="00B13339" w:rsidP="008D292F">
      <w:pPr>
        <w:rPr>
          <w:sz w:val="20"/>
          <w:szCs w:val="20"/>
          <w:lang w:val="fr-CA"/>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72"/>
      </w:tblGrid>
      <w:tr w:rsidR="00627DCF" w:rsidRPr="00D6785D" w:rsidTr="00525901">
        <w:trPr>
          <w:cantSplit/>
          <w:trHeight w:val="437"/>
        </w:trPr>
        <w:tc>
          <w:tcPr>
            <w:tcW w:w="1458" w:type="dxa"/>
          </w:tcPr>
          <w:p w:rsidR="00627DCF" w:rsidRPr="00D6785D" w:rsidRDefault="00627DCF" w:rsidP="00017A3C">
            <w:pPr>
              <w:rPr>
                <w:sz w:val="20"/>
                <w:szCs w:val="20"/>
              </w:rPr>
            </w:pPr>
            <w:r w:rsidRPr="00D6785D">
              <w:rPr>
                <w:rStyle w:val="SCCFileNumberChar"/>
                <w:sz w:val="20"/>
                <w:szCs w:val="20"/>
              </w:rPr>
              <w:t>36796</w:t>
            </w:r>
          </w:p>
          <w:p w:rsidR="00627DCF" w:rsidRPr="00D6785D" w:rsidRDefault="00627DCF" w:rsidP="00017A3C">
            <w:pPr>
              <w:rPr>
                <w:b/>
                <w:sz w:val="20"/>
                <w:szCs w:val="20"/>
                <w:lang w:val="fr-CA"/>
              </w:rPr>
            </w:pPr>
          </w:p>
        </w:tc>
        <w:tc>
          <w:tcPr>
            <w:tcW w:w="8172" w:type="dxa"/>
          </w:tcPr>
          <w:p w:rsidR="00627DCF" w:rsidRPr="00D6785D" w:rsidRDefault="009815C4" w:rsidP="009815C4">
            <w:pPr>
              <w:rPr>
                <w:sz w:val="20"/>
                <w:szCs w:val="20"/>
              </w:rPr>
            </w:pPr>
            <w:r w:rsidRPr="00D6785D">
              <w:rPr>
                <w:b/>
                <w:sz w:val="20"/>
                <w:szCs w:val="20"/>
                <w:u w:val="single"/>
                <w:lang w:val="fr-CA"/>
              </w:rPr>
              <w:t>Rainer Zenner v. Denyse Zenner</w:t>
            </w:r>
            <w:r w:rsidRPr="00D6785D">
              <w:rPr>
                <w:sz w:val="20"/>
                <w:szCs w:val="20"/>
                <w:lang w:val="fr-CA"/>
              </w:rPr>
              <w:t xml:space="preserve"> (N.S.) </w:t>
            </w:r>
            <w:r w:rsidRPr="00D6785D">
              <w:rPr>
                <w:sz w:val="20"/>
                <w:szCs w:val="20"/>
              </w:rPr>
              <w:t>(Civil) (By Leave)</w:t>
            </w:r>
          </w:p>
          <w:p w:rsidR="00627DCF" w:rsidRPr="00D6785D" w:rsidRDefault="00627DCF" w:rsidP="00017A3C">
            <w:pPr>
              <w:rPr>
                <w:sz w:val="20"/>
                <w:szCs w:val="20"/>
              </w:rPr>
            </w:pPr>
          </w:p>
        </w:tc>
      </w:tr>
      <w:tr w:rsidR="00627DCF" w:rsidRPr="00D6785D" w:rsidTr="00525901">
        <w:trPr>
          <w:cantSplit/>
        </w:trPr>
        <w:tc>
          <w:tcPr>
            <w:tcW w:w="1458" w:type="dxa"/>
          </w:tcPr>
          <w:p w:rsidR="00627DCF" w:rsidRPr="00D6785D" w:rsidRDefault="00627DCF" w:rsidP="00017A3C">
            <w:pPr>
              <w:rPr>
                <w:sz w:val="20"/>
                <w:szCs w:val="20"/>
              </w:rPr>
            </w:pPr>
            <w:r w:rsidRPr="00D6785D">
              <w:rPr>
                <w:sz w:val="20"/>
                <w:szCs w:val="20"/>
              </w:rPr>
              <w:t>Coram :</w:t>
            </w:r>
          </w:p>
        </w:tc>
        <w:tc>
          <w:tcPr>
            <w:tcW w:w="8172" w:type="dxa"/>
          </w:tcPr>
          <w:p w:rsidR="00627DCF" w:rsidRPr="00D6785D" w:rsidRDefault="004D61A4" w:rsidP="00017A3C">
            <w:pPr>
              <w:rPr>
                <w:rStyle w:val="SCCCoramChar"/>
                <w:sz w:val="20"/>
                <w:szCs w:val="20"/>
                <w:lang w:val="en-CA"/>
              </w:rPr>
            </w:pPr>
            <w:r w:rsidRPr="00D6785D">
              <w:rPr>
                <w:rStyle w:val="SCCCoramChar"/>
                <w:sz w:val="20"/>
                <w:szCs w:val="20"/>
                <w:lang w:val="en-CA"/>
              </w:rPr>
              <w:t>Abella, Karakatsanis and Brown JJ.</w:t>
            </w:r>
          </w:p>
          <w:p w:rsidR="004D61A4" w:rsidRPr="00D6785D" w:rsidRDefault="004D61A4" w:rsidP="00017A3C">
            <w:pPr>
              <w:rPr>
                <w:sz w:val="20"/>
                <w:szCs w:val="20"/>
              </w:rPr>
            </w:pPr>
          </w:p>
        </w:tc>
      </w:tr>
      <w:tr w:rsidR="00627DCF" w:rsidRPr="0082006E" w:rsidTr="00525901">
        <w:trPr>
          <w:cantSplit/>
        </w:trPr>
        <w:tc>
          <w:tcPr>
            <w:tcW w:w="9630" w:type="dxa"/>
            <w:gridSpan w:val="2"/>
          </w:tcPr>
          <w:p w:rsidR="00627DCF" w:rsidRPr="00D6785D" w:rsidRDefault="004D61A4" w:rsidP="00017A3C">
            <w:pPr>
              <w:pStyle w:val="SCCShortJudgment"/>
              <w:ind w:firstLine="0"/>
            </w:pPr>
            <w:r w:rsidRPr="00D6785D">
              <w:tab/>
              <w:t>The application for leave to appeal from the judgment of the Nova Scotia Court of Appeal, Number CA 435892, 2015 NSCA 100, dated November 10, 2015, is dismissed with no order as to costs.</w:t>
            </w:r>
          </w:p>
          <w:p w:rsidR="004D61A4" w:rsidRPr="00D6785D" w:rsidRDefault="004D61A4" w:rsidP="00017A3C">
            <w:pPr>
              <w:pStyle w:val="SCCShortJudgment"/>
              <w:ind w:firstLine="0"/>
              <w:rPr>
                <w:szCs w:val="20"/>
              </w:rPr>
            </w:pPr>
          </w:p>
          <w:p w:rsidR="00627DCF" w:rsidRPr="00D6785D" w:rsidRDefault="004D61A4" w:rsidP="00017A3C">
            <w:pPr>
              <w:pStyle w:val="SCCShortJudgment"/>
              <w:rPr>
                <w:szCs w:val="20"/>
                <w:lang w:val="fr-CA"/>
              </w:rPr>
            </w:pPr>
            <w:r w:rsidRPr="00D6785D">
              <w:rPr>
                <w:lang w:val="fr-CA"/>
              </w:rPr>
              <w:t xml:space="preserve">La demande d’autorisation d’appel de l’arrêt de la </w:t>
            </w:r>
            <w:r w:rsidRPr="00D6785D">
              <w:rPr>
                <w:lang w:val="fr-FR"/>
              </w:rPr>
              <w:t>Cour d’appel de la Nouvelle-Écosse</w:t>
            </w:r>
            <w:r w:rsidRPr="00D6785D">
              <w:rPr>
                <w:lang w:val="fr-CA"/>
              </w:rPr>
              <w:t xml:space="preserve">, numéro </w:t>
            </w:r>
            <w:r w:rsidRPr="00D6785D">
              <w:rPr>
                <w:lang w:val="fr-FR"/>
              </w:rPr>
              <w:t>CA 435892, 2015 NSCA 100</w:t>
            </w:r>
            <w:r w:rsidRPr="00D6785D">
              <w:rPr>
                <w:lang w:val="fr-CA"/>
              </w:rPr>
              <w:t xml:space="preserve">, daté du </w:t>
            </w:r>
            <w:r w:rsidRPr="00D6785D">
              <w:rPr>
                <w:lang w:val="fr-FR"/>
              </w:rPr>
              <w:t>10 novembre 2015</w:t>
            </w:r>
            <w:r w:rsidRPr="00D6785D">
              <w:rPr>
                <w:lang w:val="fr-CA"/>
              </w:rPr>
              <w:t>, est rejetée sans ordonnance quant aux dépens.</w:t>
            </w:r>
          </w:p>
        </w:tc>
      </w:tr>
    </w:tbl>
    <w:p w:rsidR="00627DCF" w:rsidRPr="009C2345" w:rsidRDefault="00627DCF" w:rsidP="00627DCF">
      <w:pPr>
        <w:rPr>
          <w:sz w:val="20"/>
          <w:szCs w:val="20"/>
          <w:lang w:val="fr-CA"/>
        </w:rPr>
      </w:pPr>
    </w:p>
    <w:p w:rsidR="00627DCF" w:rsidRPr="009C2345" w:rsidRDefault="00627DCF" w:rsidP="00627DCF">
      <w:pPr>
        <w:rPr>
          <w:sz w:val="20"/>
          <w:szCs w:val="20"/>
          <w:u w:val="single"/>
        </w:rPr>
      </w:pPr>
      <w:r w:rsidRPr="009C2345">
        <w:rPr>
          <w:sz w:val="20"/>
          <w:szCs w:val="20"/>
          <w:u w:val="single"/>
        </w:rPr>
        <w:t>CASE SUMMARY</w:t>
      </w:r>
    </w:p>
    <w:p w:rsidR="00627DCF" w:rsidRPr="009C2345" w:rsidRDefault="00627DCF" w:rsidP="00627DCF">
      <w:pPr>
        <w:rPr>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4619"/>
        <w:gridCol w:w="462"/>
        <w:gridCol w:w="4538"/>
      </w:tblGrid>
      <w:tr w:rsidR="00D07805" w:rsidRPr="009C2345" w:rsidTr="00525901">
        <w:tc>
          <w:tcPr>
            <w:tcW w:w="5000" w:type="pct"/>
            <w:gridSpan w:val="3"/>
          </w:tcPr>
          <w:p w:rsidR="00D07805" w:rsidRPr="009C2345" w:rsidRDefault="00D07805" w:rsidP="00D07805">
            <w:pPr>
              <w:autoSpaceDE w:val="0"/>
              <w:autoSpaceDN w:val="0"/>
              <w:adjustRightInd w:val="0"/>
              <w:ind w:left="-25"/>
              <w:jc w:val="both"/>
              <w:rPr>
                <w:sz w:val="20"/>
                <w:szCs w:val="20"/>
              </w:rPr>
            </w:pPr>
            <w:r w:rsidRPr="009C2345">
              <w:rPr>
                <w:sz w:val="20"/>
                <w:szCs w:val="20"/>
              </w:rPr>
              <w:t xml:space="preserve">Family law – Support – Child support – Spousal support – Arrears - Applicant failing to make bulk of spousal and child support payments since time of original judgment in 1990 – Applicant seeking to have arrears of support cancelled – Whether there is </w:t>
            </w:r>
            <w:r w:rsidRPr="009C2345">
              <w:rPr>
                <w:sz w:val="20"/>
                <w:szCs w:val="20"/>
                <w:lang w:val="en-US"/>
              </w:rPr>
              <w:t xml:space="preserve">conflict in law about whether it is mandatory or discretionary to apply the </w:t>
            </w:r>
            <w:r w:rsidRPr="009C2345">
              <w:rPr>
                <w:bCs/>
                <w:i/>
                <w:sz w:val="20"/>
                <w:szCs w:val="20"/>
                <w:lang w:val="en-US"/>
              </w:rPr>
              <w:t>Federal Child Support Guidelines.</w:t>
            </w:r>
          </w:p>
        </w:tc>
      </w:tr>
      <w:tr w:rsidR="00D07805" w:rsidRPr="009C2345" w:rsidTr="00525901">
        <w:tc>
          <w:tcPr>
            <w:tcW w:w="5000" w:type="pct"/>
            <w:gridSpan w:val="3"/>
          </w:tcPr>
          <w:p w:rsidR="00D07805" w:rsidRPr="009C2345" w:rsidRDefault="00D07805" w:rsidP="00D07805">
            <w:pPr>
              <w:jc w:val="both"/>
              <w:rPr>
                <w:sz w:val="20"/>
                <w:szCs w:val="20"/>
              </w:rPr>
            </w:pPr>
          </w:p>
        </w:tc>
      </w:tr>
      <w:tr w:rsidR="00D07805" w:rsidRPr="009C2345" w:rsidTr="00525901">
        <w:trPr>
          <w:trHeight w:val="2232"/>
        </w:trPr>
        <w:tc>
          <w:tcPr>
            <w:tcW w:w="5000" w:type="pct"/>
            <w:gridSpan w:val="3"/>
          </w:tcPr>
          <w:p w:rsidR="00D07805" w:rsidRPr="009C2345" w:rsidRDefault="00D07805" w:rsidP="00D07805">
            <w:pPr>
              <w:autoSpaceDE w:val="0"/>
              <w:autoSpaceDN w:val="0"/>
              <w:jc w:val="both"/>
              <w:rPr>
                <w:rFonts w:eastAsia="Times New Roman" w:cs="Times New Roman"/>
                <w:sz w:val="20"/>
                <w:szCs w:val="20"/>
                <w:lang w:eastAsia="en-CA"/>
              </w:rPr>
            </w:pPr>
            <w:r w:rsidRPr="009C2345">
              <w:rPr>
                <w:rFonts w:eastAsia="Times New Roman" w:cs="Times New Roman"/>
                <w:sz w:val="20"/>
                <w:szCs w:val="20"/>
                <w:lang w:eastAsia="en-CA"/>
              </w:rPr>
              <w:t>The parties were divorced in Prince Edward Island in 1990. The respondent was awarded sole custody to the two children of the marriage, then ages ten and eight. The applicant was ordered to pay spousal and child support of $1,600 per month. Over the ensuing years, the applicant made very few of the support payments. Instead, he made multiple unsuccessful attempts to have those obligations cancelled, and all arrears forgiven. In 2008 a provisional order was issued in Prince Edward Island stopping spousal and child support as of 2005 and 2006, and cancelling the portion of the arrears that had accumulated from 2005 and 2006 to the date of the order. This order was confirmed by the British Columbia Supreme Court, where the respondent resided in 2011. In 2013, the applicant obtained a provisional order from the Ontario Superior Court that would have varied the original 1990 judgment and forgiven all arrears. The Applicant sought to have this order confirmed at a hearing in Nova Scotia, where the respondent then resided.</w:t>
            </w:r>
          </w:p>
          <w:p w:rsidR="00D07805" w:rsidRPr="009C2345" w:rsidRDefault="00D07805" w:rsidP="00D07805">
            <w:pPr>
              <w:jc w:val="both"/>
              <w:rPr>
                <w:sz w:val="20"/>
                <w:szCs w:val="20"/>
              </w:rPr>
            </w:pPr>
          </w:p>
        </w:tc>
      </w:tr>
      <w:tr w:rsidR="00D07805" w:rsidRPr="009C2345" w:rsidTr="00525901">
        <w:tc>
          <w:tcPr>
            <w:tcW w:w="2401" w:type="pct"/>
          </w:tcPr>
          <w:p w:rsidR="00D07805" w:rsidRPr="009C2345" w:rsidRDefault="00D07805" w:rsidP="00D07805">
            <w:pPr>
              <w:jc w:val="both"/>
              <w:rPr>
                <w:sz w:val="20"/>
                <w:szCs w:val="20"/>
              </w:rPr>
            </w:pPr>
            <w:r w:rsidRPr="009C2345">
              <w:rPr>
                <w:sz w:val="20"/>
                <w:szCs w:val="20"/>
              </w:rPr>
              <w:t>January 26, 2015</w:t>
            </w:r>
          </w:p>
          <w:p w:rsidR="00D07805" w:rsidRPr="009C2345" w:rsidRDefault="00D07805" w:rsidP="00D07805">
            <w:pPr>
              <w:jc w:val="both"/>
              <w:rPr>
                <w:sz w:val="20"/>
                <w:szCs w:val="20"/>
              </w:rPr>
            </w:pPr>
            <w:r w:rsidRPr="009C2345">
              <w:rPr>
                <w:sz w:val="20"/>
                <w:szCs w:val="20"/>
              </w:rPr>
              <w:t>Supreme Court of Nova Scotia</w:t>
            </w:r>
          </w:p>
          <w:p w:rsidR="00D07805" w:rsidRPr="009C2345" w:rsidRDefault="00D07805" w:rsidP="00D07805">
            <w:pPr>
              <w:jc w:val="both"/>
              <w:rPr>
                <w:sz w:val="20"/>
                <w:szCs w:val="20"/>
              </w:rPr>
            </w:pPr>
            <w:r w:rsidRPr="009C2345">
              <w:rPr>
                <w:sz w:val="20"/>
                <w:szCs w:val="20"/>
              </w:rPr>
              <w:t>(Family Division)</w:t>
            </w:r>
          </w:p>
          <w:p w:rsidR="00D07805" w:rsidRPr="009C2345" w:rsidRDefault="00D07805" w:rsidP="00D07805">
            <w:pPr>
              <w:jc w:val="both"/>
              <w:rPr>
                <w:sz w:val="20"/>
                <w:szCs w:val="20"/>
              </w:rPr>
            </w:pPr>
            <w:r w:rsidRPr="009C2345">
              <w:rPr>
                <w:sz w:val="20"/>
                <w:szCs w:val="20"/>
              </w:rPr>
              <w:t>(Muise J.)</w:t>
            </w:r>
          </w:p>
          <w:p w:rsidR="00D07805" w:rsidRPr="009C2345" w:rsidRDefault="0082006E" w:rsidP="00D07805">
            <w:pPr>
              <w:jc w:val="both"/>
              <w:rPr>
                <w:sz w:val="20"/>
                <w:szCs w:val="20"/>
              </w:rPr>
            </w:pPr>
            <w:hyperlink r:id="rId75" w:history="1">
              <w:r w:rsidR="00D07805" w:rsidRPr="009C2345">
                <w:rPr>
                  <w:color w:val="0000FF" w:themeColor="hyperlink"/>
                  <w:sz w:val="20"/>
                  <w:szCs w:val="20"/>
                  <w:u w:val="single"/>
                </w:rPr>
                <w:t>2015 NSSC 16</w:t>
              </w:r>
            </w:hyperlink>
          </w:p>
          <w:p w:rsidR="00D07805" w:rsidRPr="009C2345" w:rsidRDefault="00D07805" w:rsidP="00D07805">
            <w:pPr>
              <w:jc w:val="both"/>
              <w:rPr>
                <w:sz w:val="20"/>
                <w:szCs w:val="20"/>
              </w:rPr>
            </w:pPr>
          </w:p>
        </w:tc>
        <w:tc>
          <w:tcPr>
            <w:tcW w:w="240" w:type="pct"/>
          </w:tcPr>
          <w:p w:rsidR="00D07805" w:rsidRPr="009C2345" w:rsidRDefault="00D07805" w:rsidP="00D07805">
            <w:pPr>
              <w:jc w:val="both"/>
              <w:rPr>
                <w:sz w:val="20"/>
                <w:szCs w:val="20"/>
              </w:rPr>
            </w:pPr>
          </w:p>
        </w:tc>
        <w:tc>
          <w:tcPr>
            <w:tcW w:w="2359" w:type="pct"/>
          </w:tcPr>
          <w:p w:rsidR="00D07805" w:rsidRPr="009C2345" w:rsidRDefault="00D07805" w:rsidP="00D07805">
            <w:pPr>
              <w:jc w:val="both"/>
              <w:rPr>
                <w:sz w:val="20"/>
                <w:szCs w:val="20"/>
              </w:rPr>
            </w:pPr>
            <w:r w:rsidRPr="009C2345">
              <w:rPr>
                <w:sz w:val="20"/>
                <w:szCs w:val="20"/>
              </w:rPr>
              <w:t>Applicant’s motion seeking confirmation of provisional order terminating support and rescinding arrears refused</w:t>
            </w:r>
          </w:p>
          <w:p w:rsidR="00D07805" w:rsidRPr="009C2345" w:rsidRDefault="00D07805" w:rsidP="00D07805">
            <w:pPr>
              <w:jc w:val="both"/>
              <w:rPr>
                <w:sz w:val="20"/>
                <w:szCs w:val="20"/>
              </w:rPr>
            </w:pPr>
          </w:p>
        </w:tc>
      </w:tr>
    </w:tbl>
    <w:p w:rsidR="00525901" w:rsidRPr="009C2345" w:rsidRDefault="00525901">
      <w:r w:rsidRPr="009C2345">
        <w:br w:type="page"/>
      </w:r>
    </w:p>
    <w:tbl>
      <w:tblPr>
        <w:tblW w:w="5000" w:type="pct"/>
        <w:tblLayout w:type="fixed"/>
        <w:tblCellMar>
          <w:left w:w="0" w:type="dxa"/>
          <w:bottom w:w="99" w:type="dxa"/>
          <w:right w:w="0" w:type="dxa"/>
        </w:tblCellMar>
        <w:tblLook w:val="04A0" w:firstRow="1" w:lastRow="0" w:firstColumn="1" w:lastColumn="0" w:noHBand="0" w:noVBand="1"/>
      </w:tblPr>
      <w:tblGrid>
        <w:gridCol w:w="4619"/>
        <w:gridCol w:w="462"/>
        <w:gridCol w:w="4538"/>
      </w:tblGrid>
      <w:tr w:rsidR="00D07805" w:rsidRPr="009C2345" w:rsidTr="00525901">
        <w:tc>
          <w:tcPr>
            <w:tcW w:w="2401" w:type="pct"/>
          </w:tcPr>
          <w:p w:rsidR="00D07805" w:rsidRPr="009C2345" w:rsidRDefault="00D07805" w:rsidP="00D07805">
            <w:pPr>
              <w:jc w:val="both"/>
              <w:rPr>
                <w:sz w:val="20"/>
                <w:szCs w:val="20"/>
              </w:rPr>
            </w:pPr>
            <w:r w:rsidRPr="009C2345">
              <w:rPr>
                <w:sz w:val="20"/>
                <w:szCs w:val="20"/>
              </w:rPr>
              <w:t>November 10, 2015</w:t>
            </w:r>
          </w:p>
          <w:p w:rsidR="00D07805" w:rsidRPr="009C2345" w:rsidRDefault="00D07805" w:rsidP="00D07805">
            <w:pPr>
              <w:jc w:val="both"/>
              <w:rPr>
                <w:sz w:val="20"/>
                <w:szCs w:val="20"/>
              </w:rPr>
            </w:pPr>
            <w:r w:rsidRPr="009C2345">
              <w:rPr>
                <w:sz w:val="20"/>
                <w:szCs w:val="20"/>
              </w:rPr>
              <w:t>Nova Scotia Court of Appeal</w:t>
            </w:r>
          </w:p>
          <w:p w:rsidR="00D07805" w:rsidRPr="009C2345" w:rsidRDefault="00D07805" w:rsidP="00D07805">
            <w:pPr>
              <w:jc w:val="both"/>
              <w:rPr>
                <w:sz w:val="20"/>
                <w:szCs w:val="20"/>
              </w:rPr>
            </w:pPr>
            <w:r w:rsidRPr="009C2345">
              <w:rPr>
                <w:sz w:val="20"/>
                <w:szCs w:val="20"/>
              </w:rPr>
              <w:t>(Beveridge, Bryson and Scanlan JJ.A.)</w:t>
            </w:r>
          </w:p>
          <w:p w:rsidR="00D07805" w:rsidRPr="009C2345" w:rsidRDefault="0082006E" w:rsidP="00D07805">
            <w:pPr>
              <w:jc w:val="both"/>
              <w:rPr>
                <w:sz w:val="20"/>
                <w:szCs w:val="20"/>
              </w:rPr>
            </w:pPr>
            <w:hyperlink r:id="rId76" w:history="1">
              <w:r w:rsidR="00D07805" w:rsidRPr="009C2345">
                <w:rPr>
                  <w:color w:val="0000FF" w:themeColor="hyperlink"/>
                  <w:sz w:val="20"/>
                  <w:szCs w:val="20"/>
                  <w:u w:val="single"/>
                </w:rPr>
                <w:t>2015 NSCA 100</w:t>
              </w:r>
            </w:hyperlink>
          </w:p>
          <w:p w:rsidR="00D07805" w:rsidRPr="009C2345" w:rsidRDefault="00D07805" w:rsidP="00D07805">
            <w:pPr>
              <w:jc w:val="both"/>
              <w:rPr>
                <w:sz w:val="20"/>
                <w:szCs w:val="20"/>
              </w:rPr>
            </w:pPr>
          </w:p>
        </w:tc>
        <w:tc>
          <w:tcPr>
            <w:tcW w:w="240" w:type="pct"/>
          </w:tcPr>
          <w:p w:rsidR="00D07805" w:rsidRPr="009C2345" w:rsidRDefault="00D07805" w:rsidP="00D07805">
            <w:pPr>
              <w:jc w:val="both"/>
              <w:rPr>
                <w:sz w:val="20"/>
                <w:szCs w:val="20"/>
              </w:rPr>
            </w:pPr>
          </w:p>
        </w:tc>
        <w:tc>
          <w:tcPr>
            <w:tcW w:w="2359" w:type="pct"/>
          </w:tcPr>
          <w:p w:rsidR="00D07805" w:rsidRPr="009C2345" w:rsidRDefault="00D07805" w:rsidP="00D07805">
            <w:pPr>
              <w:jc w:val="both"/>
              <w:rPr>
                <w:sz w:val="20"/>
                <w:szCs w:val="20"/>
              </w:rPr>
            </w:pPr>
            <w:r w:rsidRPr="009C2345">
              <w:rPr>
                <w:sz w:val="20"/>
                <w:szCs w:val="20"/>
              </w:rPr>
              <w:t>Applicant’s appeal dismissed</w:t>
            </w:r>
          </w:p>
          <w:p w:rsidR="00D07805" w:rsidRPr="009C2345" w:rsidRDefault="00D07805" w:rsidP="00D07805">
            <w:pPr>
              <w:jc w:val="both"/>
              <w:rPr>
                <w:sz w:val="20"/>
                <w:szCs w:val="20"/>
              </w:rPr>
            </w:pPr>
          </w:p>
        </w:tc>
      </w:tr>
      <w:tr w:rsidR="00D07805" w:rsidRPr="009C2345" w:rsidTr="00525901">
        <w:tc>
          <w:tcPr>
            <w:tcW w:w="2401" w:type="pct"/>
          </w:tcPr>
          <w:p w:rsidR="00D07805" w:rsidRPr="009C2345" w:rsidRDefault="00D07805" w:rsidP="00D07805">
            <w:pPr>
              <w:jc w:val="both"/>
              <w:rPr>
                <w:sz w:val="20"/>
                <w:szCs w:val="20"/>
              </w:rPr>
            </w:pPr>
            <w:r w:rsidRPr="009C2345">
              <w:rPr>
                <w:sz w:val="20"/>
                <w:szCs w:val="20"/>
              </w:rPr>
              <w:t>January 7, 2016</w:t>
            </w:r>
          </w:p>
          <w:p w:rsidR="00D07805" w:rsidRPr="009C2345" w:rsidRDefault="00D07805" w:rsidP="00D07805">
            <w:pPr>
              <w:jc w:val="both"/>
              <w:rPr>
                <w:sz w:val="20"/>
                <w:szCs w:val="20"/>
              </w:rPr>
            </w:pPr>
            <w:r w:rsidRPr="009C2345">
              <w:rPr>
                <w:sz w:val="20"/>
                <w:szCs w:val="20"/>
              </w:rPr>
              <w:t>Supreme Court of Canada</w:t>
            </w:r>
          </w:p>
        </w:tc>
        <w:tc>
          <w:tcPr>
            <w:tcW w:w="240" w:type="pct"/>
          </w:tcPr>
          <w:p w:rsidR="00D07805" w:rsidRPr="009C2345" w:rsidRDefault="00D07805" w:rsidP="00D07805">
            <w:pPr>
              <w:jc w:val="both"/>
              <w:rPr>
                <w:sz w:val="20"/>
                <w:szCs w:val="20"/>
              </w:rPr>
            </w:pPr>
          </w:p>
        </w:tc>
        <w:tc>
          <w:tcPr>
            <w:tcW w:w="2359" w:type="pct"/>
          </w:tcPr>
          <w:p w:rsidR="00D07805" w:rsidRPr="009C2345" w:rsidRDefault="00D07805" w:rsidP="00D07805">
            <w:pPr>
              <w:jc w:val="both"/>
              <w:rPr>
                <w:sz w:val="20"/>
                <w:szCs w:val="20"/>
              </w:rPr>
            </w:pPr>
            <w:r w:rsidRPr="009C2345">
              <w:rPr>
                <w:sz w:val="20"/>
                <w:szCs w:val="20"/>
              </w:rPr>
              <w:t>Application for leave to appeal filed</w:t>
            </w:r>
          </w:p>
          <w:p w:rsidR="00D07805" w:rsidRPr="009C2345" w:rsidRDefault="00D07805" w:rsidP="00D07805">
            <w:pPr>
              <w:jc w:val="both"/>
              <w:rPr>
                <w:sz w:val="20"/>
                <w:szCs w:val="20"/>
              </w:rPr>
            </w:pPr>
          </w:p>
        </w:tc>
      </w:tr>
    </w:tbl>
    <w:p w:rsidR="00B13339" w:rsidRPr="009C2345" w:rsidRDefault="00B13339" w:rsidP="008D292F">
      <w:pPr>
        <w:rPr>
          <w:sz w:val="20"/>
          <w:szCs w:val="20"/>
        </w:rPr>
      </w:pPr>
    </w:p>
    <w:p w:rsidR="00B13339" w:rsidRPr="009C2345" w:rsidRDefault="0082006E" w:rsidP="008D292F">
      <w:pPr>
        <w:rPr>
          <w:sz w:val="20"/>
          <w:szCs w:val="20"/>
          <w:lang w:val="fr-CA"/>
        </w:rPr>
      </w:pPr>
      <w:r>
        <w:rPr>
          <w:sz w:val="20"/>
          <w:szCs w:val="20"/>
          <w:lang w:val="fr-CA"/>
        </w:rPr>
        <w:pict>
          <v:rect id="_x0000_i1064" style="width:2in;height:1pt" o:hrpct="0" o:hralign="center" o:hrstd="t" o:hrnoshade="t" o:hr="t" fillcolor="black [3213]" stroked="f"/>
        </w:pict>
      </w:r>
    </w:p>
    <w:p w:rsidR="00B13339" w:rsidRPr="009C2345" w:rsidRDefault="00B13339" w:rsidP="008D292F">
      <w:pPr>
        <w:rPr>
          <w:sz w:val="20"/>
          <w:szCs w:val="20"/>
          <w:lang w:val="fr-CA"/>
        </w:rPr>
      </w:pPr>
    </w:p>
    <w:p w:rsidR="00627DCF" w:rsidRPr="009C2345" w:rsidRDefault="00627DCF" w:rsidP="00627DCF">
      <w:pPr>
        <w:rPr>
          <w:sz w:val="20"/>
          <w:szCs w:val="20"/>
          <w:u w:val="single"/>
          <w:lang w:val="fr-CA"/>
        </w:rPr>
      </w:pPr>
      <w:r w:rsidRPr="009C2345">
        <w:rPr>
          <w:sz w:val="20"/>
          <w:szCs w:val="20"/>
          <w:u w:val="single"/>
          <w:lang w:val="fr-CA"/>
        </w:rPr>
        <w:t>RÉSUMÉ DE L’AFFAIRE</w:t>
      </w:r>
    </w:p>
    <w:p w:rsidR="00B13339" w:rsidRPr="009C2345" w:rsidRDefault="00B13339" w:rsidP="008D292F">
      <w:pPr>
        <w:rPr>
          <w:sz w:val="20"/>
          <w:szCs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4619"/>
        <w:gridCol w:w="462"/>
        <w:gridCol w:w="4538"/>
      </w:tblGrid>
      <w:tr w:rsidR="009D3F03" w:rsidRPr="0082006E" w:rsidTr="005F12E5">
        <w:tc>
          <w:tcPr>
            <w:tcW w:w="5000" w:type="pct"/>
            <w:gridSpan w:val="3"/>
          </w:tcPr>
          <w:p w:rsidR="009D3F03" w:rsidRPr="009C2345" w:rsidRDefault="009D3F03" w:rsidP="009D3F03">
            <w:pPr>
              <w:autoSpaceDE w:val="0"/>
              <w:autoSpaceDN w:val="0"/>
              <w:adjustRightInd w:val="0"/>
              <w:jc w:val="both"/>
              <w:rPr>
                <w:sz w:val="20"/>
                <w:szCs w:val="20"/>
                <w:lang w:val="fr-CA"/>
              </w:rPr>
            </w:pPr>
            <w:r w:rsidRPr="009C2345">
              <w:rPr>
                <w:sz w:val="20"/>
                <w:szCs w:val="20"/>
                <w:lang w:val="fr-CA"/>
              </w:rPr>
              <w:t xml:space="preserve">Droit de la famille – Aliments – Pension alimentaire pour enfants – Pension alimentaire pour le conjoint – Arriérés – Le demandeur a omis de payer le gros de la pension alimentaire pour son conjoint et les enfants depuis le jugement original rendu en 1990 – Le demandeur veut faire annuler les arriérés de pension alimentaire – Y a-t-il un conflit de droit sur la question de savoir si les </w:t>
            </w:r>
            <w:r w:rsidRPr="009C2345">
              <w:rPr>
                <w:bCs/>
                <w:i/>
                <w:sz w:val="20"/>
                <w:szCs w:val="20"/>
                <w:lang w:val="fr-CA"/>
              </w:rPr>
              <w:t xml:space="preserve">Lignes directrices fédérales sur les pensions alimentaires pour enfants </w:t>
            </w:r>
            <w:r w:rsidRPr="009C2345">
              <w:rPr>
                <w:bCs/>
                <w:sz w:val="20"/>
                <w:szCs w:val="20"/>
                <w:lang w:val="fr-CA"/>
              </w:rPr>
              <w:t>sont d’application obligatoire ou facultative?</w:t>
            </w:r>
          </w:p>
        </w:tc>
      </w:tr>
      <w:tr w:rsidR="009D3F03" w:rsidRPr="0082006E" w:rsidTr="005F12E5">
        <w:tc>
          <w:tcPr>
            <w:tcW w:w="5000" w:type="pct"/>
            <w:gridSpan w:val="3"/>
          </w:tcPr>
          <w:p w:rsidR="009D3F03" w:rsidRPr="009C2345" w:rsidRDefault="009D3F03" w:rsidP="009D3F03">
            <w:pPr>
              <w:jc w:val="both"/>
              <w:rPr>
                <w:sz w:val="20"/>
                <w:szCs w:val="20"/>
                <w:lang w:val="fr-CA"/>
              </w:rPr>
            </w:pPr>
          </w:p>
        </w:tc>
      </w:tr>
      <w:tr w:rsidR="009D3F03" w:rsidRPr="0082006E" w:rsidTr="005F12E5">
        <w:trPr>
          <w:trHeight w:val="2763"/>
        </w:trPr>
        <w:tc>
          <w:tcPr>
            <w:tcW w:w="5000" w:type="pct"/>
            <w:gridSpan w:val="3"/>
          </w:tcPr>
          <w:p w:rsidR="009D3F03" w:rsidRPr="009C2345" w:rsidRDefault="009D3F03" w:rsidP="009D3F03">
            <w:pPr>
              <w:autoSpaceDE w:val="0"/>
              <w:autoSpaceDN w:val="0"/>
              <w:jc w:val="both"/>
              <w:rPr>
                <w:rFonts w:eastAsia="Times New Roman" w:cs="Times New Roman"/>
                <w:sz w:val="20"/>
                <w:szCs w:val="20"/>
                <w:lang w:val="fr-CA" w:eastAsia="en-CA"/>
              </w:rPr>
            </w:pPr>
            <w:r w:rsidRPr="009C2345">
              <w:rPr>
                <w:rFonts w:eastAsia="Times New Roman" w:cs="Times New Roman"/>
                <w:sz w:val="20"/>
                <w:szCs w:val="20"/>
                <w:lang w:val="fr-CA" w:eastAsia="en-CA"/>
              </w:rPr>
              <w:t>Les parties se sont divorcées à l’Île-du-Prince-Édouard en 1990. L’intimée s’est vue accorder la garde exclusive des deux enfants du mariage, alors âgés de dix ans et de huit ans. Le demandeur a été condamné à payer une pension alimentaire pour sa conjointe et les enfants de 1 600 $ par mois. Au cours des années subséquentes, le demandeur a fait très peu de paiements de pension alimentaire. Il a plutôt tenté à plusieurs reprises, sans succès, de faire annuler ces obligations et d’obtenir remise de tous les arriérés. En 2008, une ordonnance provisoire a été rendue à l’Île-du Prince-Édouard, mettant fin à la pension alimentaire pour le conjoint et les enfants à compter de 2005 et 2006 et annulant la partie des arriérés qui s’étaient accumulés de 2005 et 2006 jusqu’à la date de l’ordonnance. La Cour suprême de la Colombie-Britannique, où l’intimée résidait en 2011, a confirmé cette ordonnance. En 2013, le demandeur a obtenu de la Cour supérieure de l’Ontario une ordonnance provisoire qui aurait modifié le jugement initial de 1990 et annulé tous les arriérés. Le demandeur a cherché à faire confirmer cette ordonnance à une audience tenue en Nouvelle-Écosse, où résidait alors l’intimée.</w:t>
            </w:r>
          </w:p>
          <w:p w:rsidR="009D3F03" w:rsidRPr="009C2345" w:rsidRDefault="009D3F03" w:rsidP="009D3F03">
            <w:pPr>
              <w:jc w:val="both"/>
              <w:rPr>
                <w:sz w:val="20"/>
                <w:szCs w:val="20"/>
                <w:lang w:val="fr-CA"/>
              </w:rPr>
            </w:pPr>
          </w:p>
        </w:tc>
      </w:tr>
      <w:tr w:rsidR="009D3F03" w:rsidRPr="0082006E" w:rsidTr="005F12E5">
        <w:tc>
          <w:tcPr>
            <w:tcW w:w="2401" w:type="pct"/>
          </w:tcPr>
          <w:p w:rsidR="009D3F03" w:rsidRPr="009C2345" w:rsidRDefault="009D3F03" w:rsidP="009D3F03">
            <w:pPr>
              <w:jc w:val="both"/>
              <w:rPr>
                <w:sz w:val="20"/>
                <w:szCs w:val="20"/>
                <w:lang w:val="fr-CA"/>
              </w:rPr>
            </w:pPr>
            <w:r w:rsidRPr="009C2345">
              <w:rPr>
                <w:sz w:val="20"/>
                <w:szCs w:val="20"/>
                <w:lang w:val="fr-CA"/>
              </w:rPr>
              <w:t>26 janvier 2015</w:t>
            </w:r>
          </w:p>
          <w:p w:rsidR="009D3F03" w:rsidRPr="009C2345" w:rsidRDefault="009D3F03" w:rsidP="009D3F03">
            <w:pPr>
              <w:jc w:val="both"/>
              <w:rPr>
                <w:sz w:val="20"/>
                <w:szCs w:val="20"/>
                <w:lang w:val="fr-CA"/>
              </w:rPr>
            </w:pPr>
            <w:r w:rsidRPr="009C2345">
              <w:rPr>
                <w:sz w:val="20"/>
                <w:szCs w:val="20"/>
                <w:lang w:val="fr-CA"/>
              </w:rPr>
              <w:t xml:space="preserve">Cour suprême de la Nouvelle-Écosse </w:t>
            </w:r>
          </w:p>
          <w:p w:rsidR="009D3F03" w:rsidRPr="009C2345" w:rsidRDefault="009D3F03" w:rsidP="009D3F03">
            <w:pPr>
              <w:jc w:val="both"/>
              <w:rPr>
                <w:sz w:val="20"/>
                <w:szCs w:val="20"/>
                <w:lang w:val="fr-CA"/>
              </w:rPr>
            </w:pPr>
            <w:r w:rsidRPr="009C2345">
              <w:rPr>
                <w:sz w:val="20"/>
                <w:szCs w:val="20"/>
                <w:lang w:val="fr-CA"/>
              </w:rPr>
              <w:t>(Division de la famille)</w:t>
            </w:r>
          </w:p>
          <w:p w:rsidR="009D3F03" w:rsidRPr="009C2345" w:rsidRDefault="009D3F03" w:rsidP="009D3F03">
            <w:pPr>
              <w:jc w:val="both"/>
              <w:rPr>
                <w:sz w:val="20"/>
                <w:szCs w:val="20"/>
                <w:lang w:val="fr-CA"/>
              </w:rPr>
            </w:pPr>
            <w:r w:rsidRPr="009C2345">
              <w:rPr>
                <w:sz w:val="20"/>
                <w:szCs w:val="20"/>
                <w:lang w:val="fr-CA"/>
              </w:rPr>
              <w:t>(Juge Muise)</w:t>
            </w:r>
          </w:p>
          <w:p w:rsidR="009D3F03" w:rsidRPr="009C2345" w:rsidRDefault="0082006E" w:rsidP="009D3F03">
            <w:pPr>
              <w:jc w:val="both"/>
              <w:rPr>
                <w:sz w:val="20"/>
                <w:szCs w:val="20"/>
                <w:u w:val="single"/>
                <w:lang w:val="fr-CA"/>
              </w:rPr>
            </w:pPr>
            <w:hyperlink r:id="rId77" w:history="1">
              <w:r w:rsidR="009D3F03" w:rsidRPr="009C2345">
                <w:rPr>
                  <w:color w:val="0000FF" w:themeColor="hyperlink"/>
                  <w:sz w:val="20"/>
                  <w:szCs w:val="20"/>
                  <w:u w:val="single"/>
                  <w:lang w:val="fr-CA"/>
                </w:rPr>
                <w:t>2015 NSSC 16</w:t>
              </w:r>
            </w:hyperlink>
          </w:p>
          <w:p w:rsidR="009D3F03" w:rsidRPr="009C2345" w:rsidRDefault="009D3F03" w:rsidP="009D3F03">
            <w:pPr>
              <w:jc w:val="both"/>
              <w:rPr>
                <w:sz w:val="20"/>
                <w:szCs w:val="20"/>
                <w:lang w:val="fr-CA"/>
              </w:rPr>
            </w:pPr>
          </w:p>
        </w:tc>
        <w:tc>
          <w:tcPr>
            <w:tcW w:w="240" w:type="pct"/>
          </w:tcPr>
          <w:p w:rsidR="009D3F03" w:rsidRPr="009C2345" w:rsidRDefault="009D3F03" w:rsidP="009D3F03">
            <w:pPr>
              <w:jc w:val="both"/>
              <w:rPr>
                <w:sz w:val="20"/>
                <w:szCs w:val="20"/>
                <w:lang w:val="fr-CA"/>
              </w:rPr>
            </w:pPr>
          </w:p>
        </w:tc>
        <w:tc>
          <w:tcPr>
            <w:tcW w:w="2359" w:type="pct"/>
          </w:tcPr>
          <w:p w:rsidR="009D3F03" w:rsidRPr="009C2345" w:rsidRDefault="009D3F03" w:rsidP="009D3F03">
            <w:pPr>
              <w:jc w:val="both"/>
              <w:rPr>
                <w:sz w:val="20"/>
                <w:szCs w:val="20"/>
                <w:lang w:val="fr-CA"/>
              </w:rPr>
            </w:pPr>
            <w:r w:rsidRPr="009C2345">
              <w:rPr>
                <w:sz w:val="20"/>
                <w:szCs w:val="20"/>
                <w:lang w:val="fr-CA"/>
              </w:rPr>
              <w:t>Rejet de la requête du demandeur en confirmation de l’ordonnance provisoire mettant fin à la pension alimentaire et annulant les arriérés</w:t>
            </w:r>
          </w:p>
          <w:p w:rsidR="009D3F03" w:rsidRPr="009C2345" w:rsidRDefault="009D3F03" w:rsidP="009D3F03">
            <w:pPr>
              <w:jc w:val="both"/>
              <w:rPr>
                <w:sz w:val="20"/>
                <w:szCs w:val="20"/>
                <w:lang w:val="fr-CA"/>
              </w:rPr>
            </w:pPr>
          </w:p>
        </w:tc>
      </w:tr>
      <w:tr w:rsidR="009D3F03" w:rsidRPr="009C2345" w:rsidTr="005F12E5">
        <w:tc>
          <w:tcPr>
            <w:tcW w:w="2401" w:type="pct"/>
          </w:tcPr>
          <w:p w:rsidR="009D3F03" w:rsidRPr="009C2345" w:rsidRDefault="009D3F03" w:rsidP="009D3F03">
            <w:pPr>
              <w:jc w:val="both"/>
              <w:rPr>
                <w:sz w:val="20"/>
                <w:szCs w:val="20"/>
                <w:lang w:val="fr-CA"/>
              </w:rPr>
            </w:pPr>
            <w:r w:rsidRPr="009C2345">
              <w:rPr>
                <w:sz w:val="20"/>
                <w:szCs w:val="20"/>
                <w:lang w:val="fr-CA"/>
              </w:rPr>
              <w:t>10 novembre 2015</w:t>
            </w:r>
          </w:p>
          <w:p w:rsidR="009D3F03" w:rsidRPr="009C2345" w:rsidRDefault="009D3F03" w:rsidP="009D3F03">
            <w:pPr>
              <w:jc w:val="both"/>
              <w:rPr>
                <w:sz w:val="20"/>
                <w:szCs w:val="20"/>
                <w:lang w:val="fr-CA"/>
              </w:rPr>
            </w:pPr>
            <w:r w:rsidRPr="009C2345">
              <w:rPr>
                <w:sz w:val="20"/>
                <w:szCs w:val="20"/>
                <w:lang w:val="fr-CA"/>
              </w:rPr>
              <w:t xml:space="preserve">Cour d’appel de la Nouvelle-Écosse </w:t>
            </w:r>
          </w:p>
          <w:p w:rsidR="009D3F03" w:rsidRPr="009C2345" w:rsidRDefault="009D3F03" w:rsidP="009D3F03">
            <w:pPr>
              <w:jc w:val="both"/>
              <w:rPr>
                <w:sz w:val="20"/>
                <w:szCs w:val="20"/>
                <w:lang w:val="fr-CA"/>
              </w:rPr>
            </w:pPr>
            <w:r w:rsidRPr="009C2345">
              <w:rPr>
                <w:sz w:val="20"/>
                <w:szCs w:val="20"/>
                <w:lang w:val="fr-CA"/>
              </w:rPr>
              <w:t>(Juges Beveridge, Bryson et Scanlan)</w:t>
            </w:r>
          </w:p>
          <w:p w:rsidR="009D3F03" w:rsidRPr="009C2345" w:rsidRDefault="0082006E" w:rsidP="009D3F03">
            <w:pPr>
              <w:jc w:val="both"/>
              <w:rPr>
                <w:sz w:val="20"/>
                <w:szCs w:val="20"/>
                <w:u w:val="single"/>
                <w:lang w:val="fr-CA"/>
              </w:rPr>
            </w:pPr>
            <w:hyperlink r:id="rId78" w:history="1">
              <w:r w:rsidR="009D3F03" w:rsidRPr="009C2345">
                <w:rPr>
                  <w:color w:val="0000FF" w:themeColor="hyperlink"/>
                  <w:sz w:val="20"/>
                  <w:szCs w:val="20"/>
                  <w:u w:val="single"/>
                  <w:lang w:val="fr-CA"/>
                </w:rPr>
                <w:t>2015 NSCA 100</w:t>
              </w:r>
            </w:hyperlink>
          </w:p>
          <w:p w:rsidR="009D3F03" w:rsidRPr="009C2345" w:rsidRDefault="009D3F03" w:rsidP="009D3F03">
            <w:pPr>
              <w:jc w:val="both"/>
              <w:rPr>
                <w:sz w:val="20"/>
                <w:szCs w:val="20"/>
                <w:lang w:val="fr-CA"/>
              </w:rPr>
            </w:pPr>
          </w:p>
        </w:tc>
        <w:tc>
          <w:tcPr>
            <w:tcW w:w="240" w:type="pct"/>
          </w:tcPr>
          <w:p w:rsidR="009D3F03" w:rsidRPr="009C2345" w:rsidRDefault="009D3F03" w:rsidP="009D3F03">
            <w:pPr>
              <w:jc w:val="both"/>
              <w:rPr>
                <w:sz w:val="20"/>
                <w:szCs w:val="20"/>
                <w:lang w:val="fr-CA"/>
              </w:rPr>
            </w:pPr>
          </w:p>
        </w:tc>
        <w:tc>
          <w:tcPr>
            <w:tcW w:w="2359" w:type="pct"/>
          </w:tcPr>
          <w:p w:rsidR="009D3F03" w:rsidRPr="009C2345" w:rsidRDefault="009D3F03" w:rsidP="009D3F03">
            <w:pPr>
              <w:jc w:val="both"/>
              <w:rPr>
                <w:sz w:val="20"/>
                <w:szCs w:val="20"/>
                <w:lang w:val="fr-CA"/>
              </w:rPr>
            </w:pPr>
            <w:r w:rsidRPr="009C2345">
              <w:rPr>
                <w:sz w:val="20"/>
                <w:szCs w:val="20"/>
                <w:lang w:val="fr-CA"/>
              </w:rPr>
              <w:t>Rejet de l’appel du demandeur</w:t>
            </w:r>
          </w:p>
          <w:p w:rsidR="009D3F03" w:rsidRPr="009C2345" w:rsidRDefault="009D3F03" w:rsidP="009D3F03">
            <w:pPr>
              <w:jc w:val="both"/>
              <w:rPr>
                <w:sz w:val="20"/>
                <w:szCs w:val="20"/>
                <w:lang w:val="fr-CA"/>
              </w:rPr>
            </w:pPr>
          </w:p>
        </w:tc>
      </w:tr>
      <w:tr w:rsidR="009D3F03" w:rsidRPr="0082006E" w:rsidTr="005F12E5">
        <w:tc>
          <w:tcPr>
            <w:tcW w:w="2401" w:type="pct"/>
          </w:tcPr>
          <w:p w:rsidR="009D3F03" w:rsidRPr="009C2345" w:rsidRDefault="009D3F03" w:rsidP="009D3F03">
            <w:pPr>
              <w:jc w:val="both"/>
              <w:rPr>
                <w:sz w:val="20"/>
                <w:szCs w:val="20"/>
                <w:lang w:val="fr-CA"/>
              </w:rPr>
            </w:pPr>
            <w:r w:rsidRPr="009C2345">
              <w:rPr>
                <w:sz w:val="20"/>
                <w:szCs w:val="20"/>
                <w:lang w:val="fr-CA"/>
              </w:rPr>
              <w:t>7 janvier 2016</w:t>
            </w:r>
          </w:p>
          <w:p w:rsidR="009D3F03" w:rsidRPr="009C2345" w:rsidRDefault="009D3F03" w:rsidP="009D3F03">
            <w:pPr>
              <w:jc w:val="both"/>
              <w:rPr>
                <w:sz w:val="20"/>
                <w:szCs w:val="20"/>
                <w:lang w:val="fr-CA"/>
              </w:rPr>
            </w:pPr>
            <w:r w:rsidRPr="009C2345">
              <w:rPr>
                <w:sz w:val="20"/>
                <w:szCs w:val="20"/>
                <w:lang w:val="fr-CA"/>
              </w:rPr>
              <w:t>Cour suprême du Canada</w:t>
            </w:r>
          </w:p>
        </w:tc>
        <w:tc>
          <w:tcPr>
            <w:tcW w:w="240" w:type="pct"/>
          </w:tcPr>
          <w:p w:rsidR="009D3F03" w:rsidRPr="009C2345" w:rsidRDefault="009D3F03" w:rsidP="009D3F03">
            <w:pPr>
              <w:jc w:val="both"/>
              <w:rPr>
                <w:sz w:val="20"/>
                <w:szCs w:val="20"/>
                <w:lang w:val="fr-CA"/>
              </w:rPr>
            </w:pPr>
          </w:p>
        </w:tc>
        <w:tc>
          <w:tcPr>
            <w:tcW w:w="2359" w:type="pct"/>
          </w:tcPr>
          <w:p w:rsidR="009D3F03" w:rsidRPr="009C2345" w:rsidRDefault="009D3F03" w:rsidP="009D3F03">
            <w:pPr>
              <w:jc w:val="both"/>
              <w:rPr>
                <w:sz w:val="20"/>
                <w:szCs w:val="20"/>
                <w:lang w:val="fr-CA"/>
              </w:rPr>
            </w:pPr>
            <w:r w:rsidRPr="009C2345">
              <w:rPr>
                <w:sz w:val="20"/>
                <w:szCs w:val="20"/>
                <w:lang w:val="fr-CA"/>
              </w:rPr>
              <w:t>Dépôt de la demande d’autorisation d’appel</w:t>
            </w:r>
          </w:p>
          <w:p w:rsidR="009D3F03" w:rsidRPr="009C2345" w:rsidRDefault="009D3F03" w:rsidP="009D3F03">
            <w:pPr>
              <w:jc w:val="both"/>
              <w:rPr>
                <w:sz w:val="20"/>
                <w:szCs w:val="20"/>
                <w:lang w:val="fr-CA"/>
              </w:rPr>
            </w:pPr>
          </w:p>
        </w:tc>
      </w:tr>
    </w:tbl>
    <w:p w:rsidR="00B13339" w:rsidRPr="009C2345" w:rsidRDefault="00B13339" w:rsidP="008D292F">
      <w:pPr>
        <w:rPr>
          <w:sz w:val="20"/>
          <w:szCs w:val="20"/>
          <w:lang w:val="fr-CA"/>
        </w:rPr>
      </w:pPr>
    </w:p>
    <w:p w:rsidR="00B13339" w:rsidRPr="009C2345" w:rsidRDefault="0082006E" w:rsidP="008D292F">
      <w:pPr>
        <w:rPr>
          <w:sz w:val="20"/>
          <w:szCs w:val="20"/>
          <w:lang w:val="fr-CA"/>
        </w:rPr>
      </w:pPr>
      <w:r>
        <w:rPr>
          <w:sz w:val="20"/>
          <w:szCs w:val="20"/>
          <w:lang w:val="fr-CA"/>
        </w:rPr>
        <w:pict>
          <v:rect id="_x0000_i1065" style="width:2in;height:1pt" o:hrpct="0" o:hralign="center" o:hrstd="t" o:hrnoshade="t" o:hr="t" fillcolor="black [3213]" stroked="f"/>
        </w:pict>
      </w:r>
    </w:p>
    <w:p w:rsidR="00B13339" w:rsidRPr="009C2345" w:rsidRDefault="00B13339" w:rsidP="008D292F">
      <w:pPr>
        <w:rPr>
          <w:sz w:val="20"/>
          <w:szCs w:val="20"/>
          <w:lang w:val="fr-CA"/>
        </w:rPr>
      </w:pPr>
    </w:p>
    <w:p w:rsidR="00BD50B7" w:rsidRPr="009C2345" w:rsidRDefault="00BD50B7">
      <w:r w:rsidRPr="009C2345">
        <w:br w:type="page"/>
      </w: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72"/>
      </w:tblGrid>
      <w:tr w:rsidR="006E4D45" w:rsidRPr="00D6785D" w:rsidTr="00B07335">
        <w:trPr>
          <w:cantSplit/>
          <w:trHeight w:val="437"/>
        </w:trPr>
        <w:tc>
          <w:tcPr>
            <w:tcW w:w="1458" w:type="dxa"/>
          </w:tcPr>
          <w:p w:rsidR="006E4D45" w:rsidRPr="00D6785D" w:rsidRDefault="006E4D45" w:rsidP="00017A3C">
            <w:pPr>
              <w:rPr>
                <w:sz w:val="20"/>
                <w:szCs w:val="20"/>
              </w:rPr>
            </w:pPr>
            <w:r w:rsidRPr="00D6785D">
              <w:rPr>
                <w:rStyle w:val="SCCFileNumberChar"/>
                <w:sz w:val="20"/>
                <w:szCs w:val="20"/>
              </w:rPr>
              <w:t>36800</w:t>
            </w:r>
          </w:p>
          <w:p w:rsidR="006E4D45" w:rsidRPr="00D6785D" w:rsidRDefault="006E4D45" w:rsidP="00017A3C">
            <w:pPr>
              <w:rPr>
                <w:b/>
                <w:sz w:val="20"/>
                <w:szCs w:val="20"/>
                <w:lang w:val="fr-CA"/>
              </w:rPr>
            </w:pPr>
          </w:p>
        </w:tc>
        <w:tc>
          <w:tcPr>
            <w:tcW w:w="8172" w:type="dxa"/>
          </w:tcPr>
          <w:p w:rsidR="006E4D45" w:rsidRPr="00D6785D" w:rsidRDefault="006E4D45" w:rsidP="006E4D45">
            <w:pPr>
              <w:rPr>
                <w:sz w:val="20"/>
                <w:szCs w:val="20"/>
              </w:rPr>
            </w:pPr>
            <w:r w:rsidRPr="00D6785D">
              <w:rPr>
                <w:b/>
                <w:sz w:val="20"/>
                <w:szCs w:val="20"/>
                <w:u w:val="single"/>
              </w:rPr>
              <w:t>Laura Marie Flatt v. Attorney General of Canada</w:t>
            </w:r>
            <w:r w:rsidRPr="00D6785D">
              <w:rPr>
                <w:sz w:val="20"/>
                <w:szCs w:val="20"/>
              </w:rPr>
              <w:t xml:space="preserve"> (F</w:t>
            </w:r>
            <w:r w:rsidR="008008E0" w:rsidRPr="00D6785D">
              <w:rPr>
                <w:sz w:val="20"/>
                <w:szCs w:val="20"/>
              </w:rPr>
              <w:t>.</w:t>
            </w:r>
            <w:r w:rsidRPr="00D6785D">
              <w:rPr>
                <w:sz w:val="20"/>
                <w:szCs w:val="20"/>
              </w:rPr>
              <w:t>C</w:t>
            </w:r>
            <w:r w:rsidR="008008E0" w:rsidRPr="00D6785D">
              <w:rPr>
                <w:sz w:val="20"/>
                <w:szCs w:val="20"/>
              </w:rPr>
              <w:t>.</w:t>
            </w:r>
            <w:r w:rsidRPr="00D6785D">
              <w:rPr>
                <w:sz w:val="20"/>
                <w:szCs w:val="20"/>
              </w:rPr>
              <w:t>) (Civil) (By Leave)</w:t>
            </w:r>
          </w:p>
          <w:p w:rsidR="006E4D45" w:rsidRPr="00D6785D" w:rsidRDefault="006E4D45" w:rsidP="00017A3C">
            <w:pPr>
              <w:rPr>
                <w:sz w:val="20"/>
                <w:szCs w:val="20"/>
              </w:rPr>
            </w:pPr>
          </w:p>
        </w:tc>
      </w:tr>
      <w:tr w:rsidR="006E4D45" w:rsidRPr="00D6785D" w:rsidTr="00B07335">
        <w:trPr>
          <w:cantSplit/>
        </w:trPr>
        <w:tc>
          <w:tcPr>
            <w:tcW w:w="1458" w:type="dxa"/>
          </w:tcPr>
          <w:p w:rsidR="006E4D45" w:rsidRPr="00D6785D" w:rsidRDefault="006E4D45" w:rsidP="00017A3C">
            <w:pPr>
              <w:rPr>
                <w:sz w:val="20"/>
                <w:szCs w:val="20"/>
              </w:rPr>
            </w:pPr>
            <w:r w:rsidRPr="00D6785D">
              <w:rPr>
                <w:sz w:val="20"/>
                <w:szCs w:val="20"/>
              </w:rPr>
              <w:t>Coram :</w:t>
            </w:r>
          </w:p>
        </w:tc>
        <w:tc>
          <w:tcPr>
            <w:tcW w:w="8172" w:type="dxa"/>
          </w:tcPr>
          <w:p w:rsidR="006E4D45" w:rsidRPr="00D6785D" w:rsidRDefault="00552A85" w:rsidP="00017A3C">
            <w:pPr>
              <w:rPr>
                <w:rStyle w:val="SCCCoramChar"/>
                <w:sz w:val="20"/>
                <w:szCs w:val="20"/>
                <w:lang w:val="en-CA"/>
              </w:rPr>
            </w:pPr>
            <w:r w:rsidRPr="00D6785D">
              <w:rPr>
                <w:rStyle w:val="SCCCoramChar"/>
                <w:sz w:val="20"/>
                <w:szCs w:val="20"/>
                <w:lang w:val="en-CA"/>
              </w:rPr>
              <w:t>Cromwell, Wagner and Côté JJ.</w:t>
            </w:r>
          </w:p>
          <w:p w:rsidR="00552A85" w:rsidRPr="00D6785D" w:rsidRDefault="00552A85" w:rsidP="00017A3C">
            <w:pPr>
              <w:rPr>
                <w:sz w:val="20"/>
                <w:szCs w:val="20"/>
              </w:rPr>
            </w:pPr>
          </w:p>
        </w:tc>
      </w:tr>
      <w:tr w:rsidR="006E4D45" w:rsidRPr="0082006E" w:rsidTr="00B07335">
        <w:trPr>
          <w:cantSplit/>
        </w:trPr>
        <w:tc>
          <w:tcPr>
            <w:tcW w:w="9630" w:type="dxa"/>
            <w:gridSpan w:val="2"/>
          </w:tcPr>
          <w:p w:rsidR="006E4D45" w:rsidRPr="00D6785D" w:rsidRDefault="00552A85" w:rsidP="00017A3C">
            <w:pPr>
              <w:pStyle w:val="SCCShortJudgment"/>
              <w:ind w:firstLine="0"/>
            </w:pPr>
            <w:r w:rsidRPr="00D6785D">
              <w:tab/>
              <w:t>The application for leave to appeal from the judgment of the Federal Court of Appeal, Number A-557-14, 2015 FCA 250, dated November 10, 2015, is dismissed with costs.</w:t>
            </w:r>
          </w:p>
          <w:p w:rsidR="00552A85" w:rsidRPr="00D6785D" w:rsidRDefault="00552A85" w:rsidP="00017A3C">
            <w:pPr>
              <w:pStyle w:val="SCCShortJudgment"/>
              <w:ind w:firstLine="0"/>
              <w:rPr>
                <w:szCs w:val="20"/>
              </w:rPr>
            </w:pPr>
          </w:p>
          <w:p w:rsidR="006E4D45" w:rsidRPr="00D6785D" w:rsidRDefault="00552A85" w:rsidP="00017A3C">
            <w:pPr>
              <w:pStyle w:val="SCCShortJudgment"/>
              <w:rPr>
                <w:szCs w:val="20"/>
                <w:lang w:val="fr-CA"/>
              </w:rPr>
            </w:pPr>
            <w:r w:rsidRPr="00D6785D">
              <w:rPr>
                <w:lang w:val="fr-CA"/>
              </w:rPr>
              <w:t>La demande d’autorisation d’appel de l’arrêt de la Cour d’appel fédérale, numéro A-557-14, 2015 CAF 250, daté du 10 novembre 2015, est rejetée avec dépens.</w:t>
            </w:r>
          </w:p>
        </w:tc>
      </w:tr>
    </w:tbl>
    <w:p w:rsidR="006E4D45" w:rsidRPr="009C2345" w:rsidRDefault="006E4D45" w:rsidP="006E4D45">
      <w:pPr>
        <w:rPr>
          <w:sz w:val="20"/>
          <w:szCs w:val="20"/>
          <w:lang w:val="fr-CA"/>
        </w:rPr>
      </w:pPr>
    </w:p>
    <w:p w:rsidR="006E4D45" w:rsidRPr="009C2345" w:rsidRDefault="006E4D45" w:rsidP="006E4D45">
      <w:pPr>
        <w:rPr>
          <w:sz w:val="20"/>
          <w:szCs w:val="20"/>
          <w:u w:val="single"/>
        </w:rPr>
      </w:pPr>
      <w:r w:rsidRPr="009C2345">
        <w:rPr>
          <w:sz w:val="20"/>
          <w:szCs w:val="20"/>
          <w:u w:val="single"/>
        </w:rPr>
        <w:t>CASE SUMMARY</w:t>
      </w:r>
    </w:p>
    <w:p w:rsidR="006E4D45" w:rsidRPr="009C2345" w:rsidRDefault="006E4D45" w:rsidP="006E4D45">
      <w:pPr>
        <w:rPr>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4619"/>
        <w:gridCol w:w="462"/>
        <w:gridCol w:w="4538"/>
      </w:tblGrid>
      <w:tr w:rsidR="006E4D45" w:rsidRPr="009C2345" w:rsidTr="005F12E5">
        <w:tc>
          <w:tcPr>
            <w:tcW w:w="5000" w:type="pct"/>
            <w:gridSpan w:val="3"/>
          </w:tcPr>
          <w:p w:rsidR="006E4D45" w:rsidRPr="009C2345" w:rsidRDefault="006E4D45" w:rsidP="006E4D45">
            <w:pPr>
              <w:jc w:val="both"/>
              <w:rPr>
                <w:sz w:val="20"/>
                <w:szCs w:val="20"/>
              </w:rPr>
            </w:pPr>
            <w:r w:rsidRPr="009C2345">
              <w:rPr>
                <w:sz w:val="20"/>
                <w:szCs w:val="20"/>
              </w:rPr>
              <w:t xml:space="preserve">Human Rights – Discriminatory practices – In what circumstances is discrimination on the basis of breastfeeding, discrimination on the basis of sex, or family status, or both – What is required to establish a </w:t>
            </w:r>
            <w:r w:rsidRPr="009C2345">
              <w:rPr>
                <w:i/>
                <w:sz w:val="20"/>
                <w:szCs w:val="20"/>
              </w:rPr>
              <w:t>prima facie</w:t>
            </w:r>
            <w:r w:rsidRPr="009C2345">
              <w:rPr>
                <w:sz w:val="20"/>
                <w:szCs w:val="20"/>
              </w:rPr>
              <w:t xml:space="preserve"> case of discrimination on the basis of breastfeeding – </w:t>
            </w:r>
            <w:r w:rsidRPr="009C2345">
              <w:rPr>
                <w:i/>
                <w:sz w:val="20"/>
                <w:szCs w:val="20"/>
              </w:rPr>
              <w:t>Canadian Human Rights Act</w:t>
            </w:r>
            <w:r w:rsidRPr="009C2345">
              <w:rPr>
                <w:sz w:val="20"/>
                <w:szCs w:val="20"/>
              </w:rPr>
              <w:t>, R.S.C. 1985, C. h-6, s. 3.</w:t>
            </w:r>
          </w:p>
        </w:tc>
      </w:tr>
      <w:tr w:rsidR="006E4D45" w:rsidRPr="009C2345" w:rsidTr="005F12E5">
        <w:tc>
          <w:tcPr>
            <w:tcW w:w="5000" w:type="pct"/>
            <w:gridSpan w:val="3"/>
          </w:tcPr>
          <w:p w:rsidR="006E4D45" w:rsidRPr="009C2345" w:rsidRDefault="006E4D45" w:rsidP="006E4D45">
            <w:pPr>
              <w:jc w:val="both"/>
              <w:rPr>
                <w:sz w:val="20"/>
                <w:szCs w:val="20"/>
              </w:rPr>
            </w:pPr>
          </w:p>
        </w:tc>
      </w:tr>
      <w:tr w:rsidR="006E4D45" w:rsidRPr="009C2345" w:rsidTr="005F12E5">
        <w:tc>
          <w:tcPr>
            <w:tcW w:w="5000" w:type="pct"/>
            <w:gridSpan w:val="3"/>
          </w:tcPr>
          <w:p w:rsidR="006E4D45" w:rsidRPr="009C2345" w:rsidRDefault="006E4D45" w:rsidP="006E4D45">
            <w:pPr>
              <w:jc w:val="both"/>
              <w:rPr>
                <w:sz w:val="20"/>
                <w:szCs w:val="20"/>
              </w:rPr>
            </w:pPr>
            <w:r w:rsidRPr="009C2345">
              <w:rPr>
                <w:sz w:val="20"/>
                <w:szCs w:val="20"/>
              </w:rPr>
              <w:t xml:space="preserve">Following her one-year maternity leave, the applicant requested permission to telework in order to continue breastfeeding her third child. Despite various exchanges, the parties failed to establish a suitable work schedule that would meet both their needs. As a result, the applicant filed a grievance claiming that the failure to accommodate was discriminatory on the basis of sex and family status, contrary to the </w:t>
            </w:r>
            <w:r w:rsidRPr="009C2345">
              <w:rPr>
                <w:i/>
                <w:sz w:val="20"/>
                <w:szCs w:val="20"/>
              </w:rPr>
              <w:t>Canadian Human Rights Act</w:t>
            </w:r>
            <w:r w:rsidRPr="009C2345">
              <w:rPr>
                <w:sz w:val="20"/>
                <w:szCs w:val="20"/>
              </w:rPr>
              <w:t>, R.S.C. 1985, C. h-6 and the collective agreement. The grievance was dismissed. The application for judicial review was dismissed.</w:t>
            </w:r>
          </w:p>
          <w:p w:rsidR="006E4D45" w:rsidRPr="009C2345" w:rsidRDefault="006E4D45" w:rsidP="006E4D45">
            <w:pPr>
              <w:jc w:val="both"/>
              <w:rPr>
                <w:sz w:val="20"/>
                <w:szCs w:val="20"/>
              </w:rPr>
            </w:pPr>
          </w:p>
        </w:tc>
      </w:tr>
      <w:tr w:rsidR="006E4D45" w:rsidRPr="009C2345" w:rsidTr="005F12E5">
        <w:tc>
          <w:tcPr>
            <w:tcW w:w="2401" w:type="pct"/>
          </w:tcPr>
          <w:p w:rsidR="006E4D45" w:rsidRPr="009C2345" w:rsidRDefault="006E4D45" w:rsidP="006E4D45">
            <w:pPr>
              <w:jc w:val="both"/>
              <w:rPr>
                <w:sz w:val="20"/>
                <w:szCs w:val="20"/>
              </w:rPr>
            </w:pPr>
            <w:r w:rsidRPr="009C2345">
              <w:rPr>
                <w:sz w:val="20"/>
                <w:szCs w:val="20"/>
              </w:rPr>
              <w:t>November 13, 2014</w:t>
            </w:r>
          </w:p>
          <w:p w:rsidR="006E4D45" w:rsidRPr="009C2345" w:rsidRDefault="006E4D45" w:rsidP="006E4D45">
            <w:pPr>
              <w:jc w:val="both"/>
              <w:rPr>
                <w:sz w:val="20"/>
                <w:szCs w:val="20"/>
              </w:rPr>
            </w:pPr>
            <w:r w:rsidRPr="009C2345">
              <w:rPr>
                <w:sz w:val="20"/>
                <w:szCs w:val="20"/>
              </w:rPr>
              <w:t>Public Service Labour Relations Board</w:t>
            </w:r>
          </w:p>
          <w:p w:rsidR="006E4D45" w:rsidRPr="009C2345" w:rsidRDefault="006E4D45" w:rsidP="006E4D45">
            <w:pPr>
              <w:jc w:val="both"/>
              <w:rPr>
                <w:sz w:val="20"/>
                <w:szCs w:val="20"/>
              </w:rPr>
            </w:pPr>
            <w:r w:rsidRPr="009C2345">
              <w:rPr>
                <w:sz w:val="20"/>
                <w:szCs w:val="20"/>
              </w:rPr>
              <w:t>(Richardson, Member)</w:t>
            </w:r>
          </w:p>
          <w:p w:rsidR="006E4D45" w:rsidRPr="009C2345" w:rsidRDefault="006E4D45" w:rsidP="006E4D45">
            <w:pPr>
              <w:jc w:val="both"/>
              <w:rPr>
                <w:sz w:val="20"/>
                <w:szCs w:val="20"/>
              </w:rPr>
            </w:pPr>
            <w:r w:rsidRPr="009C2345">
              <w:rPr>
                <w:sz w:val="20"/>
                <w:szCs w:val="20"/>
              </w:rPr>
              <w:t>2014 PSLREB 02</w:t>
            </w:r>
          </w:p>
          <w:p w:rsidR="006E4D45" w:rsidRPr="009C2345" w:rsidRDefault="006E4D45" w:rsidP="006E4D45">
            <w:pPr>
              <w:jc w:val="both"/>
              <w:rPr>
                <w:sz w:val="20"/>
                <w:szCs w:val="20"/>
              </w:rPr>
            </w:pPr>
          </w:p>
        </w:tc>
        <w:tc>
          <w:tcPr>
            <w:tcW w:w="240" w:type="pct"/>
          </w:tcPr>
          <w:p w:rsidR="006E4D45" w:rsidRPr="009C2345" w:rsidRDefault="006E4D45" w:rsidP="006E4D45">
            <w:pPr>
              <w:jc w:val="both"/>
              <w:rPr>
                <w:sz w:val="20"/>
                <w:szCs w:val="20"/>
              </w:rPr>
            </w:pPr>
          </w:p>
        </w:tc>
        <w:tc>
          <w:tcPr>
            <w:tcW w:w="2359" w:type="pct"/>
          </w:tcPr>
          <w:p w:rsidR="006E4D45" w:rsidRPr="009C2345" w:rsidRDefault="006E4D45" w:rsidP="006E4D45">
            <w:pPr>
              <w:jc w:val="both"/>
              <w:rPr>
                <w:sz w:val="20"/>
                <w:szCs w:val="20"/>
              </w:rPr>
            </w:pPr>
            <w:r w:rsidRPr="009C2345">
              <w:rPr>
                <w:sz w:val="20"/>
                <w:szCs w:val="20"/>
              </w:rPr>
              <w:t>Applicant’s grievance dismissed</w:t>
            </w:r>
          </w:p>
          <w:p w:rsidR="006E4D45" w:rsidRPr="009C2345" w:rsidRDefault="006E4D45" w:rsidP="006E4D45">
            <w:pPr>
              <w:jc w:val="both"/>
              <w:rPr>
                <w:sz w:val="20"/>
                <w:szCs w:val="20"/>
              </w:rPr>
            </w:pPr>
          </w:p>
        </w:tc>
      </w:tr>
      <w:tr w:rsidR="006E4D45" w:rsidRPr="009C2345" w:rsidTr="005F12E5">
        <w:tc>
          <w:tcPr>
            <w:tcW w:w="2401" w:type="pct"/>
          </w:tcPr>
          <w:p w:rsidR="006E4D45" w:rsidRPr="009C2345" w:rsidRDefault="006E4D45" w:rsidP="006E4D45">
            <w:pPr>
              <w:jc w:val="both"/>
              <w:rPr>
                <w:sz w:val="20"/>
                <w:szCs w:val="20"/>
              </w:rPr>
            </w:pPr>
            <w:r w:rsidRPr="009C2345">
              <w:rPr>
                <w:sz w:val="20"/>
                <w:szCs w:val="20"/>
              </w:rPr>
              <w:t>November 10, 2015</w:t>
            </w:r>
          </w:p>
          <w:p w:rsidR="006E4D45" w:rsidRPr="009C2345" w:rsidRDefault="006E4D45" w:rsidP="006E4D45">
            <w:pPr>
              <w:jc w:val="both"/>
              <w:rPr>
                <w:sz w:val="20"/>
                <w:szCs w:val="20"/>
              </w:rPr>
            </w:pPr>
            <w:r w:rsidRPr="009C2345">
              <w:rPr>
                <w:sz w:val="20"/>
                <w:szCs w:val="20"/>
              </w:rPr>
              <w:t>Federal Court of Appeal</w:t>
            </w:r>
          </w:p>
          <w:p w:rsidR="006E4D45" w:rsidRPr="009C2345" w:rsidRDefault="006E4D45" w:rsidP="006E4D45">
            <w:pPr>
              <w:jc w:val="both"/>
              <w:rPr>
                <w:sz w:val="20"/>
                <w:szCs w:val="20"/>
              </w:rPr>
            </w:pPr>
            <w:r w:rsidRPr="009C2345">
              <w:rPr>
                <w:sz w:val="20"/>
                <w:szCs w:val="20"/>
              </w:rPr>
              <w:t>(Trudel, Scott, Gleason JJ.A.)</w:t>
            </w:r>
          </w:p>
          <w:p w:rsidR="006E4D45" w:rsidRPr="009C2345" w:rsidRDefault="006E4D45" w:rsidP="006E4D45">
            <w:pPr>
              <w:jc w:val="both"/>
              <w:rPr>
                <w:sz w:val="20"/>
                <w:szCs w:val="20"/>
              </w:rPr>
            </w:pPr>
            <w:r w:rsidRPr="009C2345">
              <w:rPr>
                <w:sz w:val="20"/>
                <w:szCs w:val="20"/>
              </w:rPr>
              <w:t>2015 FCA 250; A-557-14</w:t>
            </w:r>
          </w:p>
          <w:p w:rsidR="006E4D45" w:rsidRPr="009C2345" w:rsidRDefault="0082006E" w:rsidP="006E4D45">
            <w:pPr>
              <w:jc w:val="both"/>
              <w:rPr>
                <w:sz w:val="20"/>
                <w:szCs w:val="20"/>
              </w:rPr>
            </w:pPr>
            <w:hyperlink r:id="rId79" w:history="1">
              <w:r w:rsidR="006E4D45" w:rsidRPr="009C2345">
                <w:rPr>
                  <w:rFonts w:eastAsiaTheme="majorEastAsia"/>
                  <w:color w:val="0000FF"/>
                  <w:sz w:val="20"/>
                  <w:szCs w:val="20"/>
                  <w:u w:val="single"/>
                </w:rPr>
                <w:t>http://canlii.ca/t/gm271</w:t>
              </w:r>
            </w:hyperlink>
          </w:p>
          <w:p w:rsidR="006E4D45" w:rsidRPr="009C2345" w:rsidRDefault="006E4D45" w:rsidP="006E4D45">
            <w:pPr>
              <w:jc w:val="both"/>
              <w:rPr>
                <w:sz w:val="20"/>
                <w:szCs w:val="20"/>
              </w:rPr>
            </w:pPr>
          </w:p>
        </w:tc>
        <w:tc>
          <w:tcPr>
            <w:tcW w:w="240" w:type="pct"/>
          </w:tcPr>
          <w:p w:rsidR="006E4D45" w:rsidRPr="009C2345" w:rsidRDefault="006E4D45" w:rsidP="006E4D45">
            <w:pPr>
              <w:jc w:val="both"/>
              <w:rPr>
                <w:sz w:val="20"/>
                <w:szCs w:val="20"/>
              </w:rPr>
            </w:pPr>
          </w:p>
        </w:tc>
        <w:tc>
          <w:tcPr>
            <w:tcW w:w="2359" w:type="pct"/>
          </w:tcPr>
          <w:p w:rsidR="006E4D45" w:rsidRPr="009C2345" w:rsidRDefault="006E4D45" w:rsidP="006E4D45">
            <w:pPr>
              <w:jc w:val="both"/>
              <w:rPr>
                <w:sz w:val="20"/>
                <w:szCs w:val="20"/>
              </w:rPr>
            </w:pPr>
            <w:r w:rsidRPr="009C2345">
              <w:rPr>
                <w:sz w:val="20"/>
                <w:szCs w:val="20"/>
              </w:rPr>
              <w:t xml:space="preserve">Application for judicial review dismissed with costs </w:t>
            </w:r>
          </w:p>
          <w:p w:rsidR="006E4D45" w:rsidRPr="009C2345" w:rsidRDefault="006E4D45" w:rsidP="006E4D45">
            <w:pPr>
              <w:jc w:val="both"/>
              <w:rPr>
                <w:sz w:val="20"/>
                <w:szCs w:val="20"/>
              </w:rPr>
            </w:pPr>
          </w:p>
        </w:tc>
      </w:tr>
      <w:tr w:rsidR="006E4D45" w:rsidRPr="009C2345" w:rsidTr="005F12E5">
        <w:tc>
          <w:tcPr>
            <w:tcW w:w="2401" w:type="pct"/>
          </w:tcPr>
          <w:p w:rsidR="006E4D45" w:rsidRPr="009C2345" w:rsidRDefault="006E4D45" w:rsidP="006E4D45">
            <w:pPr>
              <w:jc w:val="both"/>
              <w:rPr>
                <w:sz w:val="20"/>
                <w:szCs w:val="20"/>
              </w:rPr>
            </w:pPr>
            <w:r w:rsidRPr="009C2345">
              <w:rPr>
                <w:sz w:val="20"/>
                <w:szCs w:val="20"/>
              </w:rPr>
              <w:t>January 11, 2016</w:t>
            </w:r>
          </w:p>
          <w:p w:rsidR="006E4D45" w:rsidRPr="009C2345" w:rsidRDefault="006E4D45" w:rsidP="006E4D45">
            <w:pPr>
              <w:jc w:val="both"/>
              <w:rPr>
                <w:sz w:val="20"/>
                <w:szCs w:val="20"/>
              </w:rPr>
            </w:pPr>
            <w:r w:rsidRPr="009C2345">
              <w:rPr>
                <w:sz w:val="20"/>
                <w:szCs w:val="20"/>
              </w:rPr>
              <w:t>Supreme Court of Canada</w:t>
            </w:r>
          </w:p>
        </w:tc>
        <w:tc>
          <w:tcPr>
            <w:tcW w:w="240" w:type="pct"/>
          </w:tcPr>
          <w:p w:rsidR="006E4D45" w:rsidRPr="009C2345" w:rsidRDefault="006E4D45" w:rsidP="006E4D45">
            <w:pPr>
              <w:jc w:val="both"/>
              <w:rPr>
                <w:sz w:val="20"/>
                <w:szCs w:val="20"/>
              </w:rPr>
            </w:pPr>
          </w:p>
        </w:tc>
        <w:tc>
          <w:tcPr>
            <w:tcW w:w="2359" w:type="pct"/>
          </w:tcPr>
          <w:p w:rsidR="006E4D45" w:rsidRPr="009C2345" w:rsidRDefault="006E4D45" w:rsidP="006E4D45">
            <w:pPr>
              <w:jc w:val="both"/>
              <w:rPr>
                <w:sz w:val="20"/>
                <w:szCs w:val="20"/>
              </w:rPr>
            </w:pPr>
            <w:r w:rsidRPr="009C2345">
              <w:rPr>
                <w:sz w:val="20"/>
                <w:szCs w:val="20"/>
              </w:rPr>
              <w:t>Application for leave to appeal filed</w:t>
            </w:r>
          </w:p>
          <w:p w:rsidR="006E4D45" w:rsidRPr="009C2345" w:rsidRDefault="006E4D45" w:rsidP="006E4D45">
            <w:pPr>
              <w:jc w:val="both"/>
              <w:rPr>
                <w:sz w:val="20"/>
                <w:szCs w:val="20"/>
              </w:rPr>
            </w:pPr>
          </w:p>
        </w:tc>
      </w:tr>
    </w:tbl>
    <w:p w:rsidR="00B13339" w:rsidRPr="009C2345" w:rsidRDefault="00B13339" w:rsidP="008D292F">
      <w:pPr>
        <w:rPr>
          <w:sz w:val="20"/>
          <w:szCs w:val="20"/>
        </w:rPr>
      </w:pPr>
    </w:p>
    <w:p w:rsidR="00B13339" w:rsidRPr="009C2345" w:rsidRDefault="0082006E" w:rsidP="008D292F">
      <w:pPr>
        <w:rPr>
          <w:sz w:val="20"/>
          <w:szCs w:val="20"/>
          <w:lang w:val="fr-CA"/>
        </w:rPr>
      </w:pPr>
      <w:r>
        <w:rPr>
          <w:sz w:val="20"/>
          <w:szCs w:val="20"/>
          <w:lang w:val="fr-CA"/>
        </w:rPr>
        <w:pict>
          <v:rect id="_x0000_i1066" style="width:2in;height:1pt" o:hrpct="0" o:hralign="center" o:hrstd="t" o:hrnoshade="t" o:hr="t" fillcolor="black [3213]" stroked="f"/>
        </w:pict>
      </w:r>
    </w:p>
    <w:p w:rsidR="00B13339" w:rsidRPr="009C2345" w:rsidRDefault="00B13339" w:rsidP="008D292F">
      <w:pPr>
        <w:rPr>
          <w:sz w:val="20"/>
          <w:szCs w:val="20"/>
          <w:lang w:val="fr-CA"/>
        </w:rPr>
      </w:pPr>
    </w:p>
    <w:p w:rsidR="006E4D45" w:rsidRPr="009C2345" w:rsidRDefault="006E4D45" w:rsidP="006E4D45">
      <w:pPr>
        <w:rPr>
          <w:sz w:val="20"/>
          <w:szCs w:val="20"/>
          <w:u w:val="single"/>
          <w:lang w:val="fr-CA"/>
        </w:rPr>
      </w:pPr>
      <w:r w:rsidRPr="009C2345">
        <w:rPr>
          <w:sz w:val="20"/>
          <w:szCs w:val="20"/>
          <w:u w:val="single"/>
          <w:lang w:val="fr-CA"/>
        </w:rPr>
        <w:t>RÉSUMÉ DE L’AFFAIRE</w:t>
      </w:r>
    </w:p>
    <w:p w:rsidR="006E4D45" w:rsidRPr="009C2345" w:rsidRDefault="006E4D45" w:rsidP="006E4D45">
      <w:pPr>
        <w:rPr>
          <w:sz w:val="20"/>
          <w:szCs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4619"/>
        <w:gridCol w:w="462"/>
        <w:gridCol w:w="4538"/>
      </w:tblGrid>
      <w:tr w:rsidR="006E4D45" w:rsidRPr="009C2345" w:rsidTr="005F12E5">
        <w:tc>
          <w:tcPr>
            <w:tcW w:w="5000" w:type="pct"/>
            <w:gridSpan w:val="3"/>
          </w:tcPr>
          <w:p w:rsidR="006E4D45" w:rsidRPr="009C2345" w:rsidRDefault="006E4D45" w:rsidP="006E4D45">
            <w:pPr>
              <w:jc w:val="both"/>
              <w:rPr>
                <w:sz w:val="20"/>
                <w:szCs w:val="20"/>
                <w:lang w:val="fr-CA"/>
              </w:rPr>
            </w:pPr>
            <w:r w:rsidRPr="009C2345">
              <w:rPr>
                <w:sz w:val="20"/>
                <w:szCs w:val="20"/>
                <w:lang w:val="fr-CA"/>
              </w:rPr>
              <w:t>Droits de la personne – Pratiques discriminatoires – Dans quelles circonstances la discrimination fondée sur l’allaitement maternel constitue</w:t>
            </w:r>
            <w:r w:rsidRPr="009C2345">
              <w:rPr>
                <w:sz w:val="20"/>
                <w:szCs w:val="20"/>
                <w:lang w:val="fr-CA"/>
              </w:rPr>
              <w:noBreakHyphen/>
              <w:t xml:space="preserve">t-elle une discrimination fondée sur le sexe ou sur la situation de famille ou sur les deux? – </w:t>
            </w:r>
            <w:bookmarkStart w:id="2" w:name="lt_pId098"/>
            <w:r w:rsidRPr="009C2345">
              <w:rPr>
                <w:sz w:val="20"/>
                <w:szCs w:val="20"/>
                <w:lang w:val="fr-CA"/>
              </w:rPr>
              <w:t>Quel est le critère nécessaire pour établir une preuve </w:t>
            </w:r>
            <w:r w:rsidRPr="009C2345">
              <w:rPr>
                <w:i/>
                <w:iCs/>
                <w:sz w:val="20"/>
                <w:szCs w:val="20"/>
                <w:lang w:val="fr-CA"/>
              </w:rPr>
              <w:t>prima facie</w:t>
            </w:r>
            <w:r w:rsidRPr="009C2345">
              <w:rPr>
                <w:sz w:val="20"/>
                <w:szCs w:val="20"/>
                <w:lang w:val="fr-CA"/>
              </w:rPr>
              <w:t xml:space="preserve"> de discrimination fondée sur l’allaitement maternel?</w:t>
            </w:r>
            <w:bookmarkEnd w:id="2"/>
            <w:r w:rsidRPr="009C2345">
              <w:rPr>
                <w:sz w:val="20"/>
                <w:szCs w:val="20"/>
                <w:lang w:val="fr-CA"/>
              </w:rPr>
              <w:t xml:space="preserve"> – </w:t>
            </w:r>
            <w:r w:rsidRPr="009C2345">
              <w:rPr>
                <w:i/>
                <w:iCs/>
                <w:sz w:val="20"/>
                <w:szCs w:val="20"/>
                <w:lang w:val="fr-CA"/>
              </w:rPr>
              <w:t>Loi canadienne sur les droits de la personne</w:t>
            </w:r>
            <w:r w:rsidRPr="009C2345">
              <w:rPr>
                <w:sz w:val="20"/>
                <w:szCs w:val="20"/>
                <w:lang w:val="fr-CA"/>
              </w:rPr>
              <w:t>, L.R.C. (1985), ch. H-6, art. 3.</w:t>
            </w:r>
          </w:p>
        </w:tc>
      </w:tr>
      <w:tr w:rsidR="006E4D45" w:rsidRPr="009C2345" w:rsidTr="005F12E5">
        <w:tc>
          <w:tcPr>
            <w:tcW w:w="5000" w:type="pct"/>
            <w:gridSpan w:val="3"/>
          </w:tcPr>
          <w:p w:rsidR="006E4D45" w:rsidRPr="009C2345" w:rsidRDefault="006E4D45" w:rsidP="006E4D45">
            <w:pPr>
              <w:jc w:val="both"/>
              <w:rPr>
                <w:sz w:val="20"/>
                <w:szCs w:val="20"/>
                <w:lang w:val="fr-CA"/>
              </w:rPr>
            </w:pPr>
          </w:p>
        </w:tc>
      </w:tr>
      <w:tr w:rsidR="006E4D45" w:rsidRPr="009C2345" w:rsidTr="005F12E5">
        <w:tc>
          <w:tcPr>
            <w:tcW w:w="5000" w:type="pct"/>
            <w:gridSpan w:val="3"/>
          </w:tcPr>
          <w:p w:rsidR="006E4D45" w:rsidRPr="009C2345" w:rsidRDefault="006E4D45" w:rsidP="006E4D45">
            <w:pPr>
              <w:jc w:val="both"/>
              <w:rPr>
                <w:sz w:val="20"/>
                <w:szCs w:val="20"/>
                <w:lang w:val="fr-CA"/>
              </w:rPr>
            </w:pPr>
            <w:r w:rsidRPr="009C2345">
              <w:rPr>
                <w:sz w:val="20"/>
                <w:szCs w:val="20"/>
                <w:lang w:val="fr-CA"/>
              </w:rPr>
              <w:t>Au terme d’un congé de maternité d’un an, la demanderesse a demandé l’autorisation de faire du télétravail pour pouvoir continuer d’allaiter son troisième enfant. Les parties ont eu différents échanges mais ne sont pas parvenues à établir un horaire de travail convenable qui aurait répondu à leurs besoins respectifs. De ce fait, la demanderesse a déposé un grief alléguant que le défaut de l’accommoder constituait un acte discriminatoire fondé sur le sexe et la situation familiale, en violation des dispositions de la </w:t>
            </w:r>
            <w:r w:rsidRPr="009C2345">
              <w:rPr>
                <w:i/>
                <w:iCs/>
                <w:sz w:val="20"/>
                <w:szCs w:val="20"/>
                <w:lang w:val="fr-CA"/>
              </w:rPr>
              <w:t>Loi canadienne sur les droits de la personne</w:t>
            </w:r>
            <w:r w:rsidRPr="009C2345">
              <w:rPr>
                <w:sz w:val="20"/>
                <w:szCs w:val="20"/>
                <w:lang w:val="fr-CA"/>
              </w:rPr>
              <w:t>, L.R.C. (1985), ch. H-6, ainsi que de la convention collective. Le grief a été rejeté. La demande de contrôle judiciaire a été rejetée.</w:t>
            </w:r>
          </w:p>
          <w:p w:rsidR="006E4D45" w:rsidRPr="009C2345" w:rsidRDefault="006E4D45" w:rsidP="006E4D45">
            <w:pPr>
              <w:jc w:val="both"/>
              <w:rPr>
                <w:sz w:val="20"/>
                <w:szCs w:val="20"/>
                <w:lang w:val="fr-CA"/>
              </w:rPr>
            </w:pPr>
          </w:p>
        </w:tc>
      </w:tr>
      <w:tr w:rsidR="006E4D45" w:rsidRPr="0082006E" w:rsidTr="005F12E5">
        <w:tc>
          <w:tcPr>
            <w:tcW w:w="2401" w:type="pct"/>
          </w:tcPr>
          <w:p w:rsidR="006E4D45" w:rsidRPr="009C2345" w:rsidRDefault="006E4D45" w:rsidP="006E4D45">
            <w:pPr>
              <w:jc w:val="both"/>
              <w:rPr>
                <w:sz w:val="20"/>
                <w:szCs w:val="20"/>
                <w:lang w:val="fr-CA"/>
              </w:rPr>
            </w:pPr>
            <w:r w:rsidRPr="009C2345">
              <w:rPr>
                <w:sz w:val="20"/>
                <w:szCs w:val="20"/>
                <w:lang w:val="fr-CA"/>
              </w:rPr>
              <w:t>13 novembre 2014</w:t>
            </w:r>
          </w:p>
          <w:p w:rsidR="006E4D45" w:rsidRPr="009C2345" w:rsidRDefault="006E4D45" w:rsidP="006E4D45">
            <w:pPr>
              <w:jc w:val="both"/>
              <w:rPr>
                <w:sz w:val="20"/>
                <w:szCs w:val="20"/>
                <w:lang w:val="fr-CA"/>
              </w:rPr>
            </w:pPr>
            <w:r w:rsidRPr="009C2345">
              <w:rPr>
                <w:sz w:val="20"/>
                <w:szCs w:val="20"/>
                <w:lang w:val="fr-CA"/>
              </w:rPr>
              <w:t>Commission des relations de travail et de l’emploi dans la fonction publique (Commissaire Richardson)</w:t>
            </w:r>
          </w:p>
          <w:p w:rsidR="006E4D45" w:rsidRPr="009C2345" w:rsidRDefault="006E4D45" w:rsidP="006E4D45">
            <w:pPr>
              <w:jc w:val="both"/>
              <w:rPr>
                <w:sz w:val="20"/>
                <w:szCs w:val="20"/>
                <w:lang w:val="fr-CA"/>
              </w:rPr>
            </w:pPr>
            <w:r w:rsidRPr="009C2345">
              <w:rPr>
                <w:sz w:val="20"/>
                <w:szCs w:val="20"/>
                <w:lang w:val="fr-CA"/>
              </w:rPr>
              <w:t>2014 PSLREB 02</w:t>
            </w:r>
          </w:p>
          <w:p w:rsidR="006E4D45" w:rsidRPr="009C2345" w:rsidRDefault="006E4D45" w:rsidP="006E4D45">
            <w:pPr>
              <w:jc w:val="both"/>
              <w:rPr>
                <w:sz w:val="20"/>
                <w:szCs w:val="20"/>
                <w:lang w:val="fr-CA"/>
              </w:rPr>
            </w:pPr>
          </w:p>
        </w:tc>
        <w:tc>
          <w:tcPr>
            <w:tcW w:w="240" w:type="pct"/>
          </w:tcPr>
          <w:p w:rsidR="006E4D45" w:rsidRPr="009C2345" w:rsidRDefault="006E4D45" w:rsidP="006E4D45">
            <w:pPr>
              <w:jc w:val="both"/>
              <w:rPr>
                <w:sz w:val="20"/>
                <w:szCs w:val="20"/>
                <w:lang w:val="fr-CA"/>
              </w:rPr>
            </w:pPr>
          </w:p>
        </w:tc>
        <w:tc>
          <w:tcPr>
            <w:tcW w:w="2359" w:type="pct"/>
          </w:tcPr>
          <w:p w:rsidR="006E4D45" w:rsidRPr="009C2345" w:rsidRDefault="006E4D45" w:rsidP="006E4D45">
            <w:pPr>
              <w:jc w:val="both"/>
              <w:rPr>
                <w:sz w:val="20"/>
                <w:szCs w:val="20"/>
                <w:lang w:val="fr-CA"/>
              </w:rPr>
            </w:pPr>
            <w:r w:rsidRPr="009C2345">
              <w:rPr>
                <w:sz w:val="20"/>
                <w:szCs w:val="20"/>
                <w:lang w:val="fr-CA"/>
              </w:rPr>
              <w:t>Rejet du grief de la demanderesse</w:t>
            </w:r>
          </w:p>
          <w:p w:rsidR="006E4D45" w:rsidRPr="009C2345" w:rsidRDefault="006E4D45" w:rsidP="006E4D45">
            <w:pPr>
              <w:jc w:val="both"/>
              <w:rPr>
                <w:sz w:val="20"/>
                <w:szCs w:val="20"/>
                <w:lang w:val="fr-CA"/>
              </w:rPr>
            </w:pPr>
          </w:p>
        </w:tc>
      </w:tr>
      <w:tr w:rsidR="006E4D45" w:rsidRPr="0082006E" w:rsidTr="005F12E5">
        <w:tc>
          <w:tcPr>
            <w:tcW w:w="2401" w:type="pct"/>
          </w:tcPr>
          <w:p w:rsidR="006E4D45" w:rsidRPr="009C2345" w:rsidRDefault="006E4D45" w:rsidP="006E4D45">
            <w:pPr>
              <w:jc w:val="both"/>
              <w:rPr>
                <w:sz w:val="20"/>
                <w:szCs w:val="20"/>
                <w:lang w:val="fr-CA"/>
              </w:rPr>
            </w:pPr>
            <w:r w:rsidRPr="009C2345">
              <w:rPr>
                <w:sz w:val="20"/>
                <w:szCs w:val="20"/>
                <w:lang w:val="fr-CA"/>
              </w:rPr>
              <w:t>10 novembre 2015</w:t>
            </w:r>
          </w:p>
          <w:p w:rsidR="006E4D45" w:rsidRPr="009C2345" w:rsidRDefault="006E4D45" w:rsidP="006E4D45">
            <w:pPr>
              <w:jc w:val="both"/>
              <w:rPr>
                <w:sz w:val="20"/>
                <w:szCs w:val="20"/>
                <w:lang w:val="fr-CA"/>
              </w:rPr>
            </w:pPr>
            <w:r w:rsidRPr="009C2345">
              <w:rPr>
                <w:sz w:val="20"/>
                <w:szCs w:val="20"/>
                <w:lang w:val="fr-CA"/>
              </w:rPr>
              <w:t xml:space="preserve">Cour d’appel fédérale </w:t>
            </w:r>
          </w:p>
          <w:p w:rsidR="006E4D45" w:rsidRPr="009C2345" w:rsidRDefault="006E4D45" w:rsidP="006E4D45">
            <w:pPr>
              <w:jc w:val="both"/>
              <w:rPr>
                <w:sz w:val="20"/>
                <w:szCs w:val="20"/>
                <w:lang w:val="fr-CA"/>
              </w:rPr>
            </w:pPr>
            <w:r w:rsidRPr="009C2345">
              <w:rPr>
                <w:sz w:val="20"/>
                <w:szCs w:val="20"/>
                <w:lang w:val="fr-CA"/>
              </w:rPr>
              <w:t>(Juge Trudel, Scott et Gleason)</w:t>
            </w:r>
          </w:p>
          <w:p w:rsidR="006E4D45" w:rsidRPr="009C2345" w:rsidRDefault="006E4D45" w:rsidP="006E4D45">
            <w:pPr>
              <w:jc w:val="both"/>
              <w:rPr>
                <w:sz w:val="20"/>
                <w:szCs w:val="20"/>
                <w:lang w:val="en-US"/>
              </w:rPr>
            </w:pPr>
            <w:r w:rsidRPr="009C2345">
              <w:rPr>
                <w:sz w:val="20"/>
                <w:szCs w:val="20"/>
                <w:lang w:val="en-US"/>
              </w:rPr>
              <w:t>2015 FCA 250; A-557-14</w:t>
            </w:r>
          </w:p>
          <w:p w:rsidR="006E4D45" w:rsidRPr="009C2345" w:rsidRDefault="0082006E" w:rsidP="006E4D45">
            <w:pPr>
              <w:jc w:val="both"/>
              <w:rPr>
                <w:sz w:val="20"/>
                <w:szCs w:val="20"/>
                <w:u w:val="single"/>
                <w:lang w:val="en-US"/>
              </w:rPr>
            </w:pPr>
            <w:hyperlink r:id="rId80" w:history="1">
              <w:r w:rsidR="006E4D45" w:rsidRPr="009C2345">
                <w:rPr>
                  <w:rFonts w:eastAsiaTheme="majorEastAsia"/>
                  <w:color w:val="0000FF"/>
                  <w:sz w:val="20"/>
                  <w:szCs w:val="20"/>
                  <w:u w:val="single"/>
                  <w:lang w:val="en-US"/>
                </w:rPr>
                <w:t>http://canlii.ca/t/gm271</w:t>
              </w:r>
            </w:hyperlink>
          </w:p>
          <w:p w:rsidR="006E4D45" w:rsidRPr="009C2345" w:rsidRDefault="006E4D45" w:rsidP="006E4D45">
            <w:pPr>
              <w:jc w:val="both"/>
              <w:rPr>
                <w:sz w:val="20"/>
                <w:szCs w:val="20"/>
                <w:lang w:val="en-US"/>
              </w:rPr>
            </w:pPr>
          </w:p>
        </w:tc>
        <w:tc>
          <w:tcPr>
            <w:tcW w:w="240" w:type="pct"/>
          </w:tcPr>
          <w:p w:rsidR="006E4D45" w:rsidRPr="009C2345" w:rsidRDefault="006E4D45" w:rsidP="006E4D45">
            <w:pPr>
              <w:jc w:val="both"/>
              <w:rPr>
                <w:sz w:val="20"/>
                <w:szCs w:val="20"/>
                <w:lang w:val="en-US"/>
              </w:rPr>
            </w:pPr>
          </w:p>
        </w:tc>
        <w:tc>
          <w:tcPr>
            <w:tcW w:w="2359" w:type="pct"/>
          </w:tcPr>
          <w:p w:rsidR="006E4D45" w:rsidRPr="009C2345" w:rsidRDefault="006E4D45" w:rsidP="006E4D45">
            <w:pPr>
              <w:jc w:val="both"/>
              <w:rPr>
                <w:sz w:val="20"/>
                <w:szCs w:val="20"/>
                <w:lang w:val="fr-CA"/>
              </w:rPr>
            </w:pPr>
            <w:r w:rsidRPr="009C2345">
              <w:rPr>
                <w:sz w:val="20"/>
                <w:szCs w:val="20"/>
                <w:lang w:val="fr-CA"/>
              </w:rPr>
              <w:t>Rejet de la demande de contrôle judiciaire avec dépens</w:t>
            </w:r>
          </w:p>
          <w:p w:rsidR="006E4D45" w:rsidRPr="009C2345" w:rsidRDefault="006E4D45" w:rsidP="006E4D45">
            <w:pPr>
              <w:jc w:val="both"/>
              <w:rPr>
                <w:sz w:val="20"/>
                <w:szCs w:val="20"/>
                <w:lang w:val="fr-CA"/>
              </w:rPr>
            </w:pPr>
          </w:p>
        </w:tc>
      </w:tr>
      <w:tr w:rsidR="006E4D45" w:rsidRPr="0082006E" w:rsidTr="005F12E5">
        <w:tc>
          <w:tcPr>
            <w:tcW w:w="2401" w:type="pct"/>
          </w:tcPr>
          <w:p w:rsidR="006E4D45" w:rsidRPr="009C2345" w:rsidRDefault="006E4D45" w:rsidP="006E4D45">
            <w:pPr>
              <w:jc w:val="both"/>
              <w:rPr>
                <w:sz w:val="20"/>
                <w:szCs w:val="20"/>
                <w:lang w:val="fr-CA"/>
              </w:rPr>
            </w:pPr>
            <w:r w:rsidRPr="009C2345">
              <w:rPr>
                <w:sz w:val="20"/>
                <w:szCs w:val="20"/>
                <w:lang w:val="fr-CA"/>
              </w:rPr>
              <w:t>11 janvier 2016</w:t>
            </w:r>
          </w:p>
          <w:p w:rsidR="006E4D45" w:rsidRPr="009C2345" w:rsidRDefault="006E4D45" w:rsidP="006E4D45">
            <w:pPr>
              <w:jc w:val="both"/>
              <w:rPr>
                <w:sz w:val="20"/>
                <w:szCs w:val="20"/>
                <w:lang w:val="fr-CA"/>
              </w:rPr>
            </w:pPr>
            <w:r w:rsidRPr="009C2345">
              <w:rPr>
                <w:sz w:val="20"/>
                <w:szCs w:val="20"/>
                <w:lang w:val="fr-CA"/>
              </w:rPr>
              <w:t>Cour suprême du Canada</w:t>
            </w:r>
          </w:p>
        </w:tc>
        <w:tc>
          <w:tcPr>
            <w:tcW w:w="240" w:type="pct"/>
          </w:tcPr>
          <w:p w:rsidR="006E4D45" w:rsidRPr="009C2345" w:rsidRDefault="006E4D45" w:rsidP="006E4D45">
            <w:pPr>
              <w:jc w:val="both"/>
              <w:rPr>
                <w:sz w:val="20"/>
                <w:szCs w:val="20"/>
                <w:lang w:val="fr-CA"/>
              </w:rPr>
            </w:pPr>
          </w:p>
        </w:tc>
        <w:tc>
          <w:tcPr>
            <w:tcW w:w="2359" w:type="pct"/>
          </w:tcPr>
          <w:p w:rsidR="006E4D45" w:rsidRPr="009C2345" w:rsidRDefault="006E4D45" w:rsidP="006E4D45">
            <w:pPr>
              <w:jc w:val="both"/>
              <w:rPr>
                <w:sz w:val="20"/>
                <w:szCs w:val="20"/>
                <w:lang w:val="fr-CA"/>
              </w:rPr>
            </w:pPr>
            <w:r w:rsidRPr="009C2345">
              <w:rPr>
                <w:sz w:val="20"/>
                <w:szCs w:val="20"/>
                <w:lang w:val="fr-CA"/>
              </w:rPr>
              <w:t>Dépôt de la demande d’autorisation d’appel</w:t>
            </w:r>
          </w:p>
          <w:p w:rsidR="006E4D45" w:rsidRPr="009C2345" w:rsidRDefault="006E4D45" w:rsidP="006E4D45">
            <w:pPr>
              <w:jc w:val="both"/>
              <w:rPr>
                <w:sz w:val="20"/>
                <w:szCs w:val="20"/>
                <w:lang w:val="fr-CA"/>
              </w:rPr>
            </w:pPr>
          </w:p>
        </w:tc>
      </w:tr>
    </w:tbl>
    <w:p w:rsidR="006E4D45" w:rsidRPr="009C2345" w:rsidRDefault="006E4D45" w:rsidP="008D292F">
      <w:pPr>
        <w:rPr>
          <w:sz w:val="20"/>
          <w:szCs w:val="20"/>
          <w:lang w:val="fr-CA"/>
        </w:rPr>
      </w:pPr>
    </w:p>
    <w:p w:rsidR="00031F07" w:rsidRPr="009C2345" w:rsidRDefault="0082006E" w:rsidP="008D292F">
      <w:pPr>
        <w:rPr>
          <w:sz w:val="20"/>
          <w:szCs w:val="20"/>
          <w:lang w:val="fr-CA"/>
        </w:rPr>
      </w:pPr>
      <w:r>
        <w:rPr>
          <w:sz w:val="20"/>
          <w:szCs w:val="20"/>
          <w:lang w:val="fr-CA"/>
        </w:rPr>
        <w:pict>
          <v:rect id="_x0000_i1067" style="width:2in;height:1pt" o:hrpct="0" o:hralign="center" o:hrstd="t" o:hrnoshade="t" o:hr="t" fillcolor="black [3213]" stroked="f"/>
        </w:pict>
      </w:r>
    </w:p>
    <w:p w:rsidR="00031F07" w:rsidRPr="009C2345" w:rsidRDefault="00031F07" w:rsidP="008D292F">
      <w:pPr>
        <w:rPr>
          <w:sz w:val="20"/>
          <w:szCs w:val="20"/>
          <w:lang w:val="fr-CA"/>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72"/>
      </w:tblGrid>
      <w:tr w:rsidR="00AD2024" w:rsidRPr="00B07335" w:rsidTr="00B07335">
        <w:trPr>
          <w:cantSplit/>
          <w:trHeight w:val="437"/>
        </w:trPr>
        <w:tc>
          <w:tcPr>
            <w:tcW w:w="1458" w:type="dxa"/>
          </w:tcPr>
          <w:p w:rsidR="00AD2024" w:rsidRPr="00B07335" w:rsidRDefault="00AD2024" w:rsidP="00017A3C">
            <w:pPr>
              <w:rPr>
                <w:sz w:val="20"/>
                <w:szCs w:val="20"/>
              </w:rPr>
            </w:pPr>
            <w:r w:rsidRPr="00B07335">
              <w:rPr>
                <w:rStyle w:val="SCCFileNumberChar"/>
                <w:sz w:val="20"/>
                <w:szCs w:val="20"/>
              </w:rPr>
              <w:t>36803</w:t>
            </w:r>
          </w:p>
          <w:p w:rsidR="00AD2024" w:rsidRPr="00B07335" w:rsidRDefault="00AD2024" w:rsidP="00017A3C">
            <w:pPr>
              <w:rPr>
                <w:b/>
                <w:sz w:val="20"/>
                <w:szCs w:val="20"/>
                <w:lang w:val="fr-CA"/>
              </w:rPr>
            </w:pPr>
          </w:p>
        </w:tc>
        <w:tc>
          <w:tcPr>
            <w:tcW w:w="8172" w:type="dxa"/>
          </w:tcPr>
          <w:p w:rsidR="00AD2024" w:rsidRPr="00B07335" w:rsidRDefault="00AD2024" w:rsidP="00AD2024">
            <w:pPr>
              <w:rPr>
                <w:sz w:val="20"/>
                <w:szCs w:val="20"/>
              </w:rPr>
            </w:pPr>
            <w:r w:rsidRPr="00B07335">
              <w:rPr>
                <w:b/>
                <w:sz w:val="20"/>
                <w:szCs w:val="20"/>
                <w:u w:val="single"/>
              </w:rPr>
              <w:t>Zurich Insurance Company v. TD General Insurance Company</w:t>
            </w:r>
            <w:r w:rsidRPr="00B07335">
              <w:rPr>
                <w:sz w:val="20"/>
                <w:szCs w:val="20"/>
              </w:rPr>
              <w:t xml:space="preserve"> (Ont.) (Civil) (By Leave)</w:t>
            </w:r>
          </w:p>
          <w:p w:rsidR="00AD2024" w:rsidRPr="00B07335" w:rsidRDefault="00AD2024" w:rsidP="00017A3C">
            <w:pPr>
              <w:rPr>
                <w:sz w:val="20"/>
                <w:szCs w:val="20"/>
              </w:rPr>
            </w:pPr>
          </w:p>
        </w:tc>
      </w:tr>
      <w:tr w:rsidR="00AD2024" w:rsidRPr="00B07335" w:rsidTr="00B07335">
        <w:trPr>
          <w:cantSplit/>
        </w:trPr>
        <w:tc>
          <w:tcPr>
            <w:tcW w:w="1458" w:type="dxa"/>
          </w:tcPr>
          <w:p w:rsidR="00AD2024" w:rsidRPr="00B07335" w:rsidRDefault="00AD2024" w:rsidP="00017A3C">
            <w:pPr>
              <w:rPr>
                <w:sz w:val="20"/>
                <w:szCs w:val="20"/>
              </w:rPr>
            </w:pPr>
            <w:r w:rsidRPr="00B07335">
              <w:rPr>
                <w:sz w:val="20"/>
                <w:szCs w:val="20"/>
              </w:rPr>
              <w:t>Coram :</w:t>
            </w:r>
          </w:p>
        </w:tc>
        <w:tc>
          <w:tcPr>
            <w:tcW w:w="8172" w:type="dxa"/>
          </w:tcPr>
          <w:p w:rsidR="00AD2024" w:rsidRPr="00B07335" w:rsidRDefault="00DD5F29" w:rsidP="00017A3C">
            <w:pPr>
              <w:rPr>
                <w:rStyle w:val="SCCCoramChar"/>
                <w:sz w:val="20"/>
                <w:szCs w:val="20"/>
                <w:lang w:val="en-CA"/>
              </w:rPr>
            </w:pPr>
            <w:r w:rsidRPr="00B07335">
              <w:rPr>
                <w:rStyle w:val="SCCCoramChar"/>
                <w:sz w:val="20"/>
                <w:szCs w:val="20"/>
                <w:lang w:val="en-CA"/>
              </w:rPr>
              <w:t>Abella, Karakatsanis and Brown JJ.</w:t>
            </w:r>
          </w:p>
          <w:p w:rsidR="00DD5F29" w:rsidRPr="00B07335" w:rsidRDefault="00DD5F29" w:rsidP="00017A3C">
            <w:pPr>
              <w:rPr>
                <w:sz w:val="20"/>
                <w:szCs w:val="20"/>
              </w:rPr>
            </w:pPr>
          </w:p>
        </w:tc>
      </w:tr>
      <w:tr w:rsidR="00AD2024" w:rsidRPr="0082006E" w:rsidTr="00B07335">
        <w:trPr>
          <w:cantSplit/>
        </w:trPr>
        <w:tc>
          <w:tcPr>
            <w:tcW w:w="9630" w:type="dxa"/>
            <w:gridSpan w:val="2"/>
          </w:tcPr>
          <w:p w:rsidR="00AD2024" w:rsidRPr="00B07335" w:rsidRDefault="00DD5F29" w:rsidP="00017A3C">
            <w:pPr>
              <w:pStyle w:val="SCCShortJudgment"/>
              <w:ind w:firstLine="0"/>
            </w:pPr>
            <w:r w:rsidRPr="00B07335">
              <w:tab/>
              <w:t>The application for leave to appeal from the judgment of the Court of Appeal for Ontario, Number C59127, 2015 ONCA 764, dated November 12, 2015, is dismissed with costs.</w:t>
            </w:r>
          </w:p>
          <w:p w:rsidR="00DD5F29" w:rsidRPr="00B07335" w:rsidRDefault="00DD5F29" w:rsidP="00017A3C">
            <w:pPr>
              <w:pStyle w:val="SCCShortJudgment"/>
              <w:ind w:firstLine="0"/>
              <w:rPr>
                <w:szCs w:val="20"/>
              </w:rPr>
            </w:pPr>
          </w:p>
          <w:p w:rsidR="00AD2024" w:rsidRPr="00B07335" w:rsidRDefault="00DD5F29" w:rsidP="00017A3C">
            <w:pPr>
              <w:pStyle w:val="SCCShortJudgment"/>
              <w:rPr>
                <w:szCs w:val="20"/>
                <w:lang w:val="fr-CA"/>
              </w:rPr>
            </w:pPr>
            <w:r w:rsidRPr="00B07335">
              <w:rPr>
                <w:lang w:val="fr-CA"/>
              </w:rPr>
              <w:t xml:space="preserve">La demande d’autorisation d’appel de l’arrêt de la </w:t>
            </w:r>
            <w:r w:rsidRPr="00B07335">
              <w:rPr>
                <w:lang w:val="fr-FR"/>
              </w:rPr>
              <w:t>Cour d’appel de l’Ontario</w:t>
            </w:r>
            <w:r w:rsidRPr="00B07335">
              <w:rPr>
                <w:lang w:val="fr-CA"/>
              </w:rPr>
              <w:t xml:space="preserve">, numéro </w:t>
            </w:r>
            <w:r w:rsidRPr="00B07335">
              <w:rPr>
                <w:lang w:val="fr-FR"/>
              </w:rPr>
              <w:t>C59127, 2015 ONCA 764</w:t>
            </w:r>
            <w:r w:rsidRPr="00B07335">
              <w:rPr>
                <w:lang w:val="fr-CA"/>
              </w:rPr>
              <w:t xml:space="preserve">, daté du </w:t>
            </w:r>
            <w:r w:rsidRPr="00B07335">
              <w:rPr>
                <w:lang w:val="fr-FR"/>
              </w:rPr>
              <w:t>12 novembre 2015</w:t>
            </w:r>
            <w:r w:rsidRPr="00B07335">
              <w:rPr>
                <w:lang w:val="fr-CA"/>
              </w:rPr>
              <w:t>, est rejetée avec dépens.</w:t>
            </w:r>
          </w:p>
        </w:tc>
      </w:tr>
    </w:tbl>
    <w:p w:rsidR="00AD2024" w:rsidRPr="009C2345" w:rsidRDefault="00AD2024" w:rsidP="00AD2024">
      <w:pPr>
        <w:rPr>
          <w:sz w:val="20"/>
          <w:szCs w:val="20"/>
          <w:lang w:val="fr-CA"/>
        </w:rPr>
      </w:pPr>
    </w:p>
    <w:p w:rsidR="00AD2024" w:rsidRPr="009C2345" w:rsidRDefault="00AD2024" w:rsidP="00AD2024">
      <w:pPr>
        <w:rPr>
          <w:sz w:val="20"/>
          <w:szCs w:val="20"/>
          <w:u w:val="single"/>
        </w:rPr>
      </w:pPr>
      <w:r w:rsidRPr="009C2345">
        <w:rPr>
          <w:sz w:val="20"/>
          <w:szCs w:val="20"/>
          <w:u w:val="single"/>
        </w:rPr>
        <w:t>CASE SUMMARY</w:t>
      </w:r>
    </w:p>
    <w:p w:rsidR="00AD2024" w:rsidRPr="009C2345" w:rsidRDefault="00AD2024" w:rsidP="00AD2024">
      <w:pPr>
        <w:rPr>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4613"/>
        <w:gridCol w:w="460"/>
        <w:gridCol w:w="4546"/>
      </w:tblGrid>
      <w:tr w:rsidR="00E4557E" w:rsidRPr="009C2345" w:rsidTr="00B07335">
        <w:tc>
          <w:tcPr>
            <w:tcW w:w="5000" w:type="pct"/>
            <w:gridSpan w:val="3"/>
          </w:tcPr>
          <w:p w:rsidR="00E4557E" w:rsidRPr="009C2345" w:rsidRDefault="00E4557E" w:rsidP="00E4557E">
            <w:pPr>
              <w:jc w:val="both"/>
              <w:rPr>
                <w:sz w:val="20"/>
                <w:szCs w:val="20"/>
              </w:rPr>
            </w:pPr>
            <w:r w:rsidRPr="009C2345">
              <w:rPr>
                <w:sz w:val="20"/>
                <w:szCs w:val="20"/>
              </w:rPr>
              <w:t xml:space="preserve">Insurance – Automobile insurance – Recovery by insurer – Laches – Whether the interpretation of s. 275 of the </w:t>
            </w:r>
            <w:r w:rsidRPr="009C2345">
              <w:rPr>
                <w:i/>
                <w:sz w:val="20"/>
                <w:szCs w:val="20"/>
              </w:rPr>
              <w:t>Insurance Act</w:t>
            </w:r>
            <w:r w:rsidRPr="009C2345">
              <w:rPr>
                <w:sz w:val="20"/>
                <w:szCs w:val="20"/>
              </w:rPr>
              <w:t xml:space="preserve">, the loss transfer regulation and the availability of the doctrine of laches raises issues of public importance affecting the trucking industry in Canada and insurers – Where an insurer becomes aware of a loss transfer claim, whether there is no limitation period on when that first party insurer must provide notice to the second party insurer – </w:t>
            </w:r>
            <w:r w:rsidRPr="009C2345">
              <w:rPr>
                <w:i/>
                <w:sz w:val="20"/>
                <w:szCs w:val="20"/>
              </w:rPr>
              <w:t>Insurance Act</w:t>
            </w:r>
            <w:r w:rsidRPr="009C2345">
              <w:rPr>
                <w:sz w:val="20"/>
                <w:szCs w:val="20"/>
              </w:rPr>
              <w:t>, R.S.O. 1990, c. I.8.</w:t>
            </w:r>
          </w:p>
        </w:tc>
      </w:tr>
      <w:tr w:rsidR="00E4557E" w:rsidRPr="009C2345" w:rsidTr="00B07335">
        <w:tc>
          <w:tcPr>
            <w:tcW w:w="5000" w:type="pct"/>
            <w:gridSpan w:val="3"/>
          </w:tcPr>
          <w:p w:rsidR="00E4557E" w:rsidRPr="009C2345" w:rsidRDefault="00E4557E" w:rsidP="00E4557E">
            <w:pPr>
              <w:jc w:val="both"/>
              <w:rPr>
                <w:sz w:val="20"/>
                <w:szCs w:val="20"/>
              </w:rPr>
            </w:pPr>
          </w:p>
        </w:tc>
      </w:tr>
      <w:tr w:rsidR="00E4557E" w:rsidRPr="009C2345" w:rsidTr="00B07335">
        <w:tc>
          <w:tcPr>
            <w:tcW w:w="5000" w:type="pct"/>
            <w:gridSpan w:val="3"/>
          </w:tcPr>
          <w:p w:rsidR="00E4557E" w:rsidRPr="009C2345" w:rsidRDefault="00E4557E" w:rsidP="00E4557E">
            <w:pPr>
              <w:jc w:val="both"/>
              <w:rPr>
                <w:sz w:val="20"/>
                <w:szCs w:val="20"/>
              </w:rPr>
            </w:pPr>
            <w:r w:rsidRPr="009C2345">
              <w:rPr>
                <w:sz w:val="20"/>
                <w:szCs w:val="20"/>
              </w:rPr>
              <w:t xml:space="preserve">In July, 1999, a multi-vehicle collision involved an automobile insured with TD General Insurance Company and a heavy commercial vehicle insured with Zurich Insurance Company. Over the course of the decade that followed, TD paid significant amounts in accident benefits to the driver of the automobile. Ten years after the accident, a global mediation was held to settle TD’s insured’s tort claim. In February, 2010 TD sent Zurich a Notice of Loss Transfer Request for indemnification alleging that Zurich’s insured was 100 per cent at fault. An application was brought by TD in August 2011 for an order requiring Zurich to participate in a loss transfer arbitration by reason of Zurich’s failure to satisfy TD’s Request for Indemnification. Zurich argued that TD’s loss transfer was barred by the equitable doctrine of laches and by operation of the </w:t>
            </w:r>
            <w:r w:rsidRPr="009C2345">
              <w:rPr>
                <w:i/>
                <w:sz w:val="20"/>
                <w:szCs w:val="20"/>
              </w:rPr>
              <w:t>Limitations Act</w:t>
            </w:r>
            <w:r w:rsidRPr="009C2345">
              <w:rPr>
                <w:sz w:val="20"/>
                <w:szCs w:val="20"/>
              </w:rPr>
              <w:t xml:space="preserve">. </w:t>
            </w:r>
          </w:p>
          <w:p w:rsidR="00E4557E" w:rsidRPr="009C2345" w:rsidRDefault="00E4557E" w:rsidP="00E4557E">
            <w:pPr>
              <w:jc w:val="both"/>
              <w:rPr>
                <w:sz w:val="20"/>
                <w:szCs w:val="20"/>
              </w:rPr>
            </w:pPr>
          </w:p>
          <w:p w:rsidR="00E4557E" w:rsidRPr="009C2345" w:rsidRDefault="00E4557E" w:rsidP="00E4557E">
            <w:pPr>
              <w:jc w:val="both"/>
              <w:rPr>
                <w:sz w:val="20"/>
                <w:szCs w:val="20"/>
              </w:rPr>
            </w:pPr>
            <w:r w:rsidRPr="009C2345">
              <w:rPr>
                <w:sz w:val="20"/>
                <w:szCs w:val="20"/>
              </w:rPr>
              <w:t>The arbitrator in this case was not satisfied that Zurich had established the necessary prejudice for laches to apply. Zurich’s motion to dismiss the loss transfer claim of TD was dismissed. The applications judge allowed Zurich’s appeal, set aside the Arbitrator’s decision and dismissed TD’s loss transfer application. It was held that the doctrine of laches did apply to the situation in this case because TD acquiesced in the delay. The Court of Appeal allowed TD’s appeal and set aside the order of the applications judge which had set aside the decision of the Arbitrator.</w:t>
            </w:r>
          </w:p>
          <w:p w:rsidR="00E4557E" w:rsidRPr="009C2345" w:rsidRDefault="00E4557E" w:rsidP="00E4557E">
            <w:pPr>
              <w:jc w:val="both"/>
              <w:rPr>
                <w:sz w:val="20"/>
                <w:szCs w:val="20"/>
              </w:rPr>
            </w:pPr>
          </w:p>
        </w:tc>
      </w:tr>
      <w:tr w:rsidR="00E4557E" w:rsidRPr="009C2345" w:rsidTr="00B07335">
        <w:tc>
          <w:tcPr>
            <w:tcW w:w="2398" w:type="pct"/>
          </w:tcPr>
          <w:p w:rsidR="00E4557E" w:rsidRPr="009C2345" w:rsidRDefault="00E4557E" w:rsidP="00E4557E">
            <w:pPr>
              <w:jc w:val="both"/>
              <w:rPr>
                <w:sz w:val="20"/>
                <w:szCs w:val="20"/>
              </w:rPr>
            </w:pPr>
            <w:r w:rsidRPr="009C2345">
              <w:rPr>
                <w:sz w:val="20"/>
                <w:szCs w:val="20"/>
              </w:rPr>
              <w:t>May 27, 2014</w:t>
            </w:r>
          </w:p>
          <w:p w:rsidR="00E4557E" w:rsidRPr="009C2345" w:rsidRDefault="00E4557E" w:rsidP="00E4557E">
            <w:pPr>
              <w:jc w:val="both"/>
              <w:rPr>
                <w:sz w:val="20"/>
                <w:szCs w:val="20"/>
              </w:rPr>
            </w:pPr>
            <w:r w:rsidRPr="009C2345">
              <w:rPr>
                <w:sz w:val="20"/>
                <w:szCs w:val="20"/>
              </w:rPr>
              <w:t>Ontario Superior Court of Justice</w:t>
            </w:r>
          </w:p>
          <w:p w:rsidR="00E4557E" w:rsidRPr="009C2345" w:rsidRDefault="00E4557E" w:rsidP="00E4557E">
            <w:pPr>
              <w:jc w:val="both"/>
              <w:rPr>
                <w:sz w:val="20"/>
                <w:szCs w:val="20"/>
              </w:rPr>
            </w:pPr>
            <w:r w:rsidRPr="009C2345">
              <w:rPr>
                <w:sz w:val="20"/>
                <w:szCs w:val="20"/>
              </w:rPr>
              <w:t>(Lederman J.)</w:t>
            </w:r>
          </w:p>
          <w:p w:rsidR="00E4557E" w:rsidRPr="009C2345" w:rsidRDefault="0082006E" w:rsidP="00E4557E">
            <w:pPr>
              <w:jc w:val="both"/>
              <w:rPr>
                <w:sz w:val="20"/>
                <w:szCs w:val="20"/>
              </w:rPr>
            </w:pPr>
            <w:hyperlink r:id="rId81" w:history="1">
              <w:r w:rsidR="00E4557E" w:rsidRPr="009C2345">
                <w:rPr>
                  <w:color w:val="0000FF" w:themeColor="hyperlink"/>
                  <w:sz w:val="20"/>
                  <w:szCs w:val="20"/>
                  <w:u w:val="single"/>
                </w:rPr>
                <w:t>2014 ONSC 3191</w:t>
              </w:r>
            </w:hyperlink>
            <w:r w:rsidR="00E4557E" w:rsidRPr="009C2345">
              <w:rPr>
                <w:sz w:val="20"/>
                <w:szCs w:val="20"/>
              </w:rPr>
              <w:t>; CV-14-497028</w:t>
            </w:r>
          </w:p>
          <w:p w:rsidR="00E4557E" w:rsidRPr="009C2345" w:rsidRDefault="00E4557E" w:rsidP="00E4557E">
            <w:pPr>
              <w:jc w:val="both"/>
              <w:rPr>
                <w:sz w:val="20"/>
                <w:szCs w:val="20"/>
              </w:rPr>
            </w:pPr>
          </w:p>
        </w:tc>
        <w:tc>
          <w:tcPr>
            <w:tcW w:w="239" w:type="pct"/>
          </w:tcPr>
          <w:p w:rsidR="00E4557E" w:rsidRPr="009C2345" w:rsidRDefault="00E4557E" w:rsidP="00E4557E">
            <w:pPr>
              <w:jc w:val="both"/>
              <w:rPr>
                <w:sz w:val="20"/>
                <w:szCs w:val="20"/>
              </w:rPr>
            </w:pPr>
          </w:p>
        </w:tc>
        <w:tc>
          <w:tcPr>
            <w:tcW w:w="2362" w:type="pct"/>
          </w:tcPr>
          <w:p w:rsidR="00E4557E" w:rsidRPr="009C2345" w:rsidRDefault="00E4557E" w:rsidP="00E4557E">
            <w:pPr>
              <w:jc w:val="both"/>
              <w:rPr>
                <w:sz w:val="20"/>
                <w:szCs w:val="20"/>
              </w:rPr>
            </w:pPr>
            <w:r w:rsidRPr="009C2345">
              <w:rPr>
                <w:sz w:val="20"/>
                <w:szCs w:val="20"/>
              </w:rPr>
              <w:t>Appeal allowed; Arbitrator’s order set aside; TD’s loss transfer application dismissed</w:t>
            </w:r>
          </w:p>
          <w:p w:rsidR="00E4557E" w:rsidRPr="009C2345" w:rsidRDefault="00E4557E" w:rsidP="00E4557E">
            <w:pPr>
              <w:jc w:val="both"/>
              <w:rPr>
                <w:sz w:val="20"/>
                <w:szCs w:val="20"/>
              </w:rPr>
            </w:pPr>
          </w:p>
        </w:tc>
      </w:tr>
      <w:tr w:rsidR="00E4557E" w:rsidRPr="009C2345" w:rsidTr="00B07335">
        <w:tc>
          <w:tcPr>
            <w:tcW w:w="2398" w:type="pct"/>
          </w:tcPr>
          <w:p w:rsidR="00E4557E" w:rsidRPr="009C2345" w:rsidRDefault="00E4557E" w:rsidP="00E4557E">
            <w:pPr>
              <w:jc w:val="both"/>
              <w:rPr>
                <w:sz w:val="20"/>
                <w:szCs w:val="20"/>
              </w:rPr>
            </w:pPr>
            <w:r w:rsidRPr="009C2345">
              <w:rPr>
                <w:sz w:val="20"/>
                <w:szCs w:val="20"/>
              </w:rPr>
              <w:t>November 12, 2015</w:t>
            </w:r>
          </w:p>
          <w:p w:rsidR="00E4557E" w:rsidRPr="009C2345" w:rsidRDefault="00E4557E" w:rsidP="00E4557E">
            <w:pPr>
              <w:jc w:val="both"/>
              <w:rPr>
                <w:sz w:val="20"/>
                <w:szCs w:val="20"/>
              </w:rPr>
            </w:pPr>
            <w:r w:rsidRPr="009C2345">
              <w:rPr>
                <w:sz w:val="20"/>
                <w:szCs w:val="20"/>
              </w:rPr>
              <w:t>Court of Appeal for Ontario</w:t>
            </w:r>
          </w:p>
          <w:p w:rsidR="00E4557E" w:rsidRPr="009C2345" w:rsidRDefault="00E4557E" w:rsidP="00E4557E">
            <w:pPr>
              <w:jc w:val="both"/>
              <w:rPr>
                <w:sz w:val="20"/>
                <w:szCs w:val="20"/>
              </w:rPr>
            </w:pPr>
            <w:r w:rsidRPr="009C2345">
              <w:rPr>
                <w:sz w:val="20"/>
                <w:szCs w:val="20"/>
              </w:rPr>
              <w:t>(Hoy, van Rensburg and Benotto JJ.A.)</w:t>
            </w:r>
          </w:p>
          <w:p w:rsidR="00E4557E" w:rsidRPr="009C2345" w:rsidRDefault="0082006E" w:rsidP="00E4557E">
            <w:pPr>
              <w:jc w:val="both"/>
              <w:rPr>
                <w:sz w:val="20"/>
                <w:szCs w:val="20"/>
              </w:rPr>
            </w:pPr>
            <w:hyperlink r:id="rId82" w:history="1">
              <w:r w:rsidR="00E4557E" w:rsidRPr="009C2345">
                <w:rPr>
                  <w:color w:val="0000FF" w:themeColor="hyperlink"/>
                  <w:sz w:val="20"/>
                  <w:szCs w:val="20"/>
                  <w:u w:val="single"/>
                </w:rPr>
                <w:t>2015 ONCA 764</w:t>
              </w:r>
            </w:hyperlink>
            <w:r w:rsidR="00E4557E" w:rsidRPr="009C2345">
              <w:rPr>
                <w:sz w:val="20"/>
                <w:szCs w:val="20"/>
              </w:rPr>
              <w:t>; C58290 and C59127</w:t>
            </w:r>
          </w:p>
          <w:p w:rsidR="00E4557E" w:rsidRPr="009C2345" w:rsidRDefault="00E4557E" w:rsidP="00E4557E">
            <w:pPr>
              <w:jc w:val="both"/>
              <w:rPr>
                <w:sz w:val="20"/>
                <w:szCs w:val="20"/>
              </w:rPr>
            </w:pPr>
          </w:p>
        </w:tc>
        <w:tc>
          <w:tcPr>
            <w:tcW w:w="239" w:type="pct"/>
          </w:tcPr>
          <w:p w:rsidR="00E4557E" w:rsidRPr="009C2345" w:rsidRDefault="00E4557E" w:rsidP="00E4557E">
            <w:pPr>
              <w:jc w:val="both"/>
              <w:rPr>
                <w:sz w:val="20"/>
                <w:szCs w:val="20"/>
              </w:rPr>
            </w:pPr>
          </w:p>
        </w:tc>
        <w:tc>
          <w:tcPr>
            <w:tcW w:w="2362" w:type="pct"/>
          </w:tcPr>
          <w:p w:rsidR="00E4557E" w:rsidRPr="009C2345" w:rsidRDefault="00E4557E" w:rsidP="00E4557E">
            <w:pPr>
              <w:jc w:val="both"/>
              <w:rPr>
                <w:sz w:val="20"/>
                <w:szCs w:val="20"/>
              </w:rPr>
            </w:pPr>
            <w:r w:rsidRPr="009C2345">
              <w:rPr>
                <w:sz w:val="20"/>
                <w:szCs w:val="20"/>
              </w:rPr>
              <w:t>Appeal allowed</w:t>
            </w:r>
          </w:p>
          <w:p w:rsidR="00E4557E" w:rsidRPr="009C2345" w:rsidRDefault="00E4557E" w:rsidP="00E4557E">
            <w:pPr>
              <w:jc w:val="both"/>
              <w:rPr>
                <w:sz w:val="20"/>
                <w:szCs w:val="20"/>
              </w:rPr>
            </w:pPr>
          </w:p>
        </w:tc>
      </w:tr>
      <w:tr w:rsidR="00E4557E" w:rsidRPr="009C2345" w:rsidTr="00B07335">
        <w:tc>
          <w:tcPr>
            <w:tcW w:w="2398" w:type="pct"/>
          </w:tcPr>
          <w:p w:rsidR="00E4557E" w:rsidRPr="009C2345" w:rsidRDefault="00E4557E" w:rsidP="00E4557E">
            <w:pPr>
              <w:jc w:val="both"/>
              <w:rPr>
                <w:sz w:val="20"/>
                <w:szCs w:val="20"/>
              </w:rPr>
            </w:pPr>
            <w:r w:rsidRPr="009C2345">
              <w:rPr>
                <w:sz w:val="20"/>
                <w:szCs w:val="20"/>
              </w:rPr>
              <w:t>January 11, 2016</w:t>
            </w:r>
          </w:p>
          <w:p w:rsidR="00E4557E" w:rsidRPr="009C2345" w:rsidRDefault="00E4557E" w:rsidP="00E4557E">
            <w:pPr>
              <w:jc w:val="both"/>
              <w:rPr>
                <w:sz w:val="20"/>
                <w:szCs w:val="20"/>
              </w:rPr>
            </w:pPr>
            <w:r w:rsidRPr="009C2345">
              <w:rPr>
                <w:sz w:val="20"/>
                <w:szCs w:val="20"/>
              </w:rPr>
              <w:t>Supreme Court of Canada</w:t>
            </w:r>
          </w:p>
        </w:tc>
        <w:tc>
          <w:tcPr>
            <w:tcW w:w="239" w:type="pct"/>
          </w:tcPr>
          <w:p w:rsidR="00E4557E" w:rsidRPr="009C2345" w:rsidRDefault="00E4557E" w:rsidP="00E4557E">
            <w:pPr>
              <w:jc w:val="both"/>
              <w:rPr>
                <w:sz w:val="20"/>
                <w:szCs w:val="20"/>
              </w:rPr>
            </w:pPr>
          </w:p>
        </w:tc>
        <w:tc>
          <w:tcPr>
            <w:tcW w:w="2362" w:type="pct"/>
          </w:tcPr>
          <w:p w:rsidR="00E4557E" w:rsidRPr="009C2345" w:rsidRDefault="00E4557E" w:rsidP="00E4557E">
            <w:pPr>
              <w:jc w:val="both"/>
              <w:rPr>
                <w:sz w:val="20"/>
                <w:szCs w:val="20"/>
              </w:rPr>
            </w:pPr>
            <w:r w:rsidRPr="009C2345">
              <w:rPr>
                <w:sz w:val="20"/>
                <w:szCs w:val="20"/>
              </w:rPr>
              <w:t>Application for leave to appeal filed</w:t>
            </w:r>
          </w:p>
          <w:p w:rsidR="00E4557E" w:rsidRPr="009C2345" w:rsidRDefault="00E4557E" w:rsidP="00E4557E">
            <w:pPr>
              <w:jc w:val="both"/>
              <w:rPr>
                <w:sz w:val="20"/>
                <w:szCs w:val="20"/>
              </w:rPr>
            </w:pPr>
          </w:p>
        </w:tc>
      </w:tr>
    </w:tbl>
    <w:p w:rsidR="00031F07" w:rsidRPr="009C2345" w:rsidRDefault="00031F07" w:rsidP="008D292F">
      <w:pPr>
        <w:rPr>
          <w:sz w:val="20"/>
          <w:szCs w:val="20"/>
        </w:rPr>
      </w:pPr>
    </w:p>
    <w:p w:rsidR="00AD2024" w:rsidRPr="009C2345" w:rsidRDefault="0082006E" w:rsidP="008D292F">
      <w:pPr>
        <w:rPr>
          <w:sz w:val="20"/>
          <w:szCs w:val="20"/>
          <w:lang w:val="fr-CA"/>
        </w:rPr>
      </w:pPr>
      <w:r>
        <w:rPr>
          <w:sz w:val="20"/>
          <w:szCs w:val="20"/>
          <w:lang w:val="fr-CA"/>
        </w:rPr>
        <w:pict>
          <v:rect id="_x0000_i1068" style="width:2in;height:1pt" o:hrpct="0" o:hralign="center" o:hrstd="t" o:hrnoshade="t" o:hr="t" fillcolor="black [3213]" stroked="f"/>
        </w:pict>
      </w:r>
    </w:p>
    <w:p w:rsidR="00AD2024" w:rsidRPr="009C2345" w:rsidRDefault="00AD2024" w:rsidP="00AD2024">
      <w:pPr>
        <w:rPr>
          <w:sz w:val="20"/>
          <w:szCs w:val="20"/>
          <w:lang w:val="fr-CA"/>
        </w:rPr>
      </w:pPr>
    </w:p>
    <w:p w:rsidR="00AD2024" w:rsidRPr="009C2345" w:rsidRDefault="00AD2024" w:rsidP="00AD2024">
      <w:pPr>
        <w:rPr>
          <w:sz w:val="20"/>
          <w:szCs w:val="20"/>
          <w:u w:val="single"/>
          <w:lang w:val="fr-CA"/>
        </w:rPr>
      </w:pPr>
      <w:r w:rsidRPr="009C2345">
        <w:rPr>
          <w:sz w:val="20"/>
          <w:szCs w:val="20"/>
          <w:u w:val="single"/>
          <w:lang w:val="fr-CA"/>
        </w:rPr>
        <w:t>RÉSUMÉ DE L’AFFAIRE</w:t>
      </w:r>
    </w:p>
    <w:p w:rsidR="00AD2024" w:rsidRPr="009C2345" w:rsidRDefault="00AD2024" w:rsidP="00AD2024">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34184" w:rsidRPr="009C2345" w:rsidTr="00017A3C">
        <w:tc>
          <w:tcPr>
            <w:tcW w:w="5000" w:type="pct"/>
            <w:gridSpan w:val="3"/>
          </w:tcPr>
          <w:p w:rsidR="00A34184" w:rsidRPr="009C2345" w:rsidRDefault="00A34184" w:rsidP="00A34184">
            <w:pPr>
              <w:jc w:val="both"/>
              <w:rPr>
                <w:sz w:val="20"/>
                <w:szCs w:val="20"/>
                <w:lang w:val="fr-CA"/>
              </w:rPr>
            </w:pPr>
            <w:r w:rsidRPr="009C2345">
              <w:rPr>
                <w:sz w:val="20"/>
                <w:szCs w:val="20"/>
                <w:lang w:val="fr-CA"/>
              </w:rPr>
              <w:t xml:space="preserve">Assurance – Assurance automobile – Recouvrement par l’assureur – Manque de diligence – L’interprétation de l’art. 275 de la </w:t>
            </w:r>
            <w:r w:rsidRPr="009C2345">
              <w:rPr>
                <w:i/>
                <w:sz w:val="20"/>
                <w:szCs w:val="20"/>
                <w:lang w:val="fr-CA"/>
              </w:rPr>
              <w:t>Loi sur les assurances</w:t>
            </w:r>
            <w:r w:rsidRPr="009C2345">
              <w:rPr>
                <w:sz w:val="20"/>
                <w:szCs w:val="20"/>
                <w:lang w:val="fr-CA"/>
              </w:rPr>
              <w:t xml:space="preserve">, le règlement sur l’indemnisation des pertes et la possibilité de se prévaloir de la doctrine du manque de diligence soulèvent-ils des questions d’importance pour le public touchant l’industrie du camionnage au Canada et les assureurs? – Lorsqu’un assureur prend connaissance d’une demande d’indemnisation des pertes, y a-t-il absence de délai de prescription dans lequel l’assureur de la première partie doit donner un avis à l’assureur de la deuxième partie? – </w:t>
            </w:r>
            <w:r w:rsidRPr="009C2345">
              <w:rPr>
                <w:i/>
                <w:sz w:val="20"/>
                <w:szCs w:val="20"/>
                <w:lang w:val="fr-CA"/>
              </w:rPr>
              <w:t>Loi sur les assurances</w:t>
            </w:r>
            <w:r w:rsidRPr="009C2345">
              <w:rPr>
                <w:sz w:val="20"/>
                <w:szCs w:val="20"/>
                <w:lang w:val="fr-CA"/>
              </w:rPr>
              <w:t>, L.R.O. 1990, ch. I.8.</w:t>
            </w:r>
          </w:p>
        </w:tc>
      </w:tr>
      <w:tr w:rsidR="00A34184" w:rsidRPr="009C2345" w:rsidTr="00017A3C">
        <w:tc>
          <w:tcPr>
            <w:tcW w:w="5000" w:type="pct"/>
            <w:gridSpan w:val="3"/>
          </w:tcPr>
          <w:p w:rsidR="00A34184" w:rsidRPr="009C2345" w:rsidRDefault="00A34184" w:rsidP="00A34184">
            <w:pPr>
              <w:jc w:val="both"/>
              <w:rPr>
                <w:sz w:val="20"/>
                <w:szCs w:val="20"/>
                <w:lang w:val="fr-CA"/>
              </w:rPr>
            </w:pPr>
          </w:p>
        </w:tc>
      </w:tr>
      <w:tr w:rsidR="00A34184" w:rsidRPr="0082006E" w:rsidTr="00017A3C">
        <w:tc>
          <w:tcPr>
            <w:tcW w:w="5000" w:type="pct"/>
            <w:gridSpan w:val="3"/>
          </w:tcPr>
          <w:p w:rsidR="00A34184" w:rsidRPr="009C2345" w:rsidRDefault="00A34184" w:rsidP="00A34184">
            <w:pPr>
              <w:jc w:val="both"/>
              <w:rPr>
                <w:sz w:val="20"/>
                <w:szCs w:val="20"/>
                <w:lang w:val="fr-CA"/>
              </w:rPr>
            </w:pPr>
            <w:r w:rsidRPr="009C2345">
              <w:rPr>
                <w:sz w:val="20"/>
                <w:szCs w:val="20"/>
                <w:lang w:val="fr-CA"/>
              </w:rPr>
              <w:t xml:space="preserve">En juillet 1999, une automobile assurée par TD Assurance (Assurance Générale) et un véhicule commercial lourd assuré par Zurich Compagnie d’assurances ont tous les deux été impliqués dans un carambolage. Au cours de la décennie qui a suivi, TD a versé des prestations d’accident considérables au conducteur de l’automobile. Dix ans après l’accident, une médiation globale a été tenue pour régler la demande en responsabilité délictuelle de l’assuré de TD. En février 2010, TD a envoyé à Zurich un avis de demande d’indemnisation des pertes, alléguant que l’assuré de Zurich était entièrement responsable de l’accident. En août 2011, TD a présenté une demande d’ordonnance enjoignant à Zurich de participer à un arbitrage portant sur l’indemnisation des pertes, vu l’omission de Zurich d’avoir donné suite à la demande d’indemnisation de TD. Zurich a plaidé que la demande d’indemnisation des pertes de TD était irrecevable par l’application de la doctrine en equity du manque de diligence ou par l’application de la </w:t>
            </w:r>
            <w:r w:rsidRPr="009C2345">
              <w:rPr>
                <w:i/>
                <w:sz w:val="20"/>
                <w:szCs w:val="20"/>
                <w:lang w:val="fr-CA"/>
              </w:rPr>
              <w:t>Loi sur la prescription des actions</w:t>
            </w:r>
            <w:r w:rsidRPr="009C2345">
              <w:rPr>
                <w:sz w:val="20"/>
                <w:szCs w:val="20"/>
                <w:lang w:val="fr-CA"/>
              </w:rPr>
              <w:t xml:space="preserve">. </w:t>
            </w:r>
          </w:p>
          <w:p w:rsidR="00A34184" w:rsidRPr="009C2345" w:rsidRDefault="00A34184" w:rsidP="00A34184">
            <w:pPr>
              <w:jc w:val="both"/>
              <w:rPr>
                <w:sz w:val="20"/>
                <w:szCs w:val="20"/>
                <w:lang w:val="fr-CA"/>
              </w:rPr>
            </w:pPr>
          </w:p>
          <w:p w:rsidR="00A34184" w:rsidRPr="009C2345" w:rsidRDefault="00A34184" w:rsidP="00A34184">
            <w:pPr>
              <w:jc w:val="both"/>
              <w:rPr>
                <w:sz w:val="20"/>
                <w:szCs w:val="20"/>
                <w:lang w:val="fr-CA"/>
              </w:rPr>
            </w:pPr>
            <w:r w:rsidRPr="009C2345">
              <w:rPr>
                <w:sz w:val="20"/>
                <w:szCs w:val="20"/>
                <w:lang w:val="fr-CA"/>
              </w:rPr>
              <w:t>L’arbitre en l’espèce n’était pas convaincu que Zurich avait établi le préjudice nécessaire pour justifier l’application de la doctrine du manque de diligence. La motion de Zurich en rejet de la demande d’indemnisation des pertes de TD a été rejetée. Le juge de première instance a accueilli l’appel de Zurich, annulé la décision de l’arbitre et rejeté la demande d’indemnisation des pertes de TD. Le juge a statué que la doctrine du manque de diligence s’appliquait en l’espèce, parce que TD avait acquiescé au délai. La Cour d’appel a accueilli l’appel de TD et annulé l’ordonnance du juge de première instance qui avait annulé la décision de l’arbitre.</w:t>
            </w:r>
          </w:p>
          <w:p w:rsidR="00A34184" w:rsidRPr="009C2345" w:rsidRDefault="00A34184" w:rsidP="00A34184">
            <w:pPr>
              <w:jc w:val="both"/>
              <w:rPr>
                <w:sz w:val="20"/>
                <w:szCs w:val="20"/>
                <w:lang w:val="fr-CA"/>
              </w:rPr>
            </w:pPr>
          </w:p>
        </w:tc>
      </w:tr>
      <w:tr w:rsidR="00A34184" w:rsidRPr="0082006E" w:rsidTr="00017A3C">
        <w:tc>
          <w:tcPr>
            <w:tcW w:w="2427" w:type="pct"/>
          </w:tcPr>
          <w:p w:rsidR="00A34184" w:rsidRPr="009C2345" w:rsidRDefault="00A34184" w:rsidP="00A34184">
            <w:pPr>
              <w:jc w:val="both"/>
              <w:rPr>
                <w:sz w:val="20"/>
                <w:szCs w:val="20"/>
                <w:lang w:val="fr-CA"/>
              </w:rPr>
            </w:pPr>
            <w:r w:rsidRPr="009C2345">
              <w:rPr>
                <w:sz w:val="20"/>
                <w:szCs w:val="20"/>
                <w:lang w:val="fr-CA"/>
              </w:rPr>
              <w:t>27 mai 2014</w:t>
            </w:r>
          </w:p>
          <w:p w:rsidR="00A34184" w:rsidRPr="009C2345" w:rsidRDefault="00A34184" w:rsidP="00A34184">
            <w:pPr>
              <w:jc w:val="both"/>
              <w:rPr>
                <w:sz w:val="20"/>
                <w:szCs w:val="20"/>
                <w:lang w:val="fr-CA"/>
              </w:rPr>
            </w:pPr>
            <w:r w:rsidRPr="009C2345">
              <w:rPr>
                <w:sz w:val="20"/>
                <w:szCs w:val="20"/>
                <w:lang w:val="fr-CA"/>
              </w:rPr>
              <w:t xml:space="preserve">Cour supérieure de justice de l’Ontario </w:t>
            </w:r>
          </w:p>
          <w:p w:rsidR="00A34184" w:rsidRPr="009C2345" w:rsidRDefault="00A34184" w:rsidP="00A34184">
            <w:pPr>
              <w:jc w:val="both"/>
              <w:rPr>
                <w:sz w:val="20"/>
                <w:szCs w:val="20"/>
                <w:lang w:val="fr-CA"/>
              </w:rPr>
            </w:pPr>
            <w:r w:rsidRPr="009C2345">
              <w:rPr>
                <w:sz w:val="20"/>
                <w:szCs w:val="20"/>
                <w:lang w:val="fr-CA"/>
              </w:rPr>
              <w:t>(Juge Lederman)</w:t>
            </w:r>
          </w:p>
          <w:p w:rsidR="00A34184" w:rsidRPr="009C2345" w:rsidRDefault="0082006E" w:rsidP="00A34184">
            <w:pPr>
              <w:jc w:val="both"/>
              <w:rPr>
                <w:sz w:val="20"/>
                <w:szCs w:val="20"/>
                <w:lang w:val="fr-CA"/>
              </w:rPr>
            </w:pPr>
            <w:hyperlink r:id="rId83" w:history="1">
              <w:r w:rsidR="00A34184" w:rsidRPr="009C2345">
                <w:rPr>
                  <w:color w:val="0000FF" w:themeColor="hyperlink"/>
                  <w:sz w:val="20"/>
                  <w:szCs w:val="20"/>
                  <w:u w:val="single"/>
                  <w:lang w:val="fr-CA"/>
                </w:rPr>
                <w:t>2014 ONSC 3191</w:t>
              </w:r>
            </w:hyperlink>
            <w:r w:rsidR="00A34184" w:rsidRPr="009C2345">
              <w:rPr>
                <w:sz w:val="20"/>
                <w:szCs w:val="20"/>
                <w:lang w:val="fr-CA"/>
              </w:rPr>
              <w:t>; CV-14-497028</w:t>
            </w:r>
          </w:p>
          <w:p w:rsidR="00A34184" w:rsidRPr="009C2345" w:rsidRDefault="00A34184" w:rsidP="00A34184">
            <w:pPr>
              <w:jc w:val="both"/>
              <w:rPr>
                <w:sz w:val="20"/>
                <w:szCs w:val="20"/>
                <w:lang w:val="fr-CA"/>
              </w:rPr>
            </w:pPr>
          </w:p>
        </w:tc>
        <w:tc>
          <w:tcPr>
            <w:tcW w:w="243" w:type="pct"/>
          </w:tcPr>
          <w:p w:rsidR="00A34184" w:rsidRPr="009C2345" w:rsidRDefault="00A34184" w:rsidP="00A34184">
            <w:pPr>
              <w:jc w:val="both"/>
              <w:rPr>
                <w:sz w:val="20"/>
                <w:szCs w:val="20"/>
                <w:lang w:val="fr-CA"/>
              </w:rPr>
            </w:pPr>
          </w:p>
        </w:tc>
        <w:tc>
          <w:tcPr>
            <w:tcW w:w="2330" w:type="pct"/>
          </w:tcPr>
          <w:p w:rsidR="00A34184" w:rsidRPr="009C2345" w:rsidRDefault="00A34184" w:rsidP="00A34184">
            <w:pPr>
              <w:jc w:val="both"/>
              <w:rPr>
                <w:sz w:val="20"/>
                <w:szCs w:val="20"/>
                <w:lang w:val="fr-CA"/>
              </w:rPr>
            </w:pPr>
            <w:r w:rsidRPr="009C2345">
              <w:rPr>
                <w:sz w:val="20"/>
                <w:szCs w:val="20"/>
                <w:lang w:val="fr-CA"/>
              </w:rPr>
              <w:t xml:space="preserve">Jugement accueillant l’appel, annulant l’ordonnance de l’arbitre et rejetant la demande de transfert d’indemnisation de TD </w:t>
            </w:r>
          </w:p>
          <w:p w:rsidR="00A34184" w:rsidRPr="009C2345" w:rsidRDefault="00A34184" w:rsidP="00A34184">
            <w:pPr>
              <w:jc w:val="both"/>
              <w:rPr>
                <w:sz w:val="20"/>
                <w:szCs w:val="20"/>
                <w:lang w:val="fr-CA"/>
              </w:rPr>
            </w:pPr>
          </w:p>
        </w:tc>
      </w:tr>
      <w:tr w:rsidR="00A34184" w:rsidRPr="009C2345" w:rsidTr="00017A3C">
        <w:tc>
          <w:tcPr>
            <w:tcW w:w="2427" w:type="pct"/>
          </w:tcPr>
          <w:p w:rsidR="00A34184" w:rsidRPr="009C2345" w:rsidRDefault="00A34184" w:rsidP="00A34184">
            <w:pPr>
              <w:jc w:val="both"/>
              <w:rPr>
                <w:sz w:val="20"/>
                <w:szCs w:val="20"/>
                <w:lang w:val="fr-CA"/>
              </w:rPr>
            </w:pPr>
            <w:r w:rsidRPr="009C2345">
              <w:rPr>
                <w:sz w:val="20"/>
                <w:szCs w:val="20"/>
                <w:lang w:val="fr-CA"/>
              </w:rPr>
              <w:t>12 novembre 2015</w:t>
            </w:r>
          </w:p>
          <w:p w:rsidR="00A34184" w:rsidRPr="009C2345" w:rsidRDefault="00A34184" w:rsidP="00A34184">
            <w:pPr>
              <w:jc w:val="both"/>
              <w:rPr>
                <w:sz w:val="20"/>
                <w:szCs w:val="20"/>
                <w:lang w:val="fr-CA"/>
              </w:rPr>
            </w:pPr>
            <w:r w:rsidRPr="009C2345">
              <w:rPr>
                <w:sz w:val="20"/>
                <w:szCs w:val="20"/>
                <w:lang w:val="fr-CA"/>
              </w:rPr>
              <w:t xml:space="preserve">Cour d’appel de l’Ontario </w:t>
            </w:r>
          </w:p>
          <w:p w:rsidR="00A34184" w:rsidRPr="009C2345" w:rsidRDefault="00A34184" w:rsidP="00A34184">
            <w:pPr>
              <w:jc w:val="both"/>
              <w:rPr>
                <w:sz w:val="20"/>
                <w:szCs w:val="20"/>
                <w:lang w:val="fr-CA"/>
              </w:rPr>
            </w:pPr>
            <w:r w:rsidRPr="009C2345">
              <w:rPr>
                <w:sz w:val="20"/>
                <w:szCs w:val="20"/>
                <w:lang w:val="fr-CA"/>
              </w:rPr>
              <w:t>(Juges Hoy, van Rensburg et Benotto)</w:t>
            </w:r>
          </w:p>
          <w:p w:rsidR="00A34184" w:rsidRPr="009C2345" w:rsidRDefault="0082006E" w:rsidP="00A34184">
            <w:pPr>
              <w:jc w:val="both"/>
              <w:rPr>
                <w:sz w:val="20"/>
                <w:szCs w:val="20"/>
                <w:lang w:val="fr-CA"/>
              </w:rPr>
            </w:pPr>
            <w:hyperlink r:id="rId84" w:history="1">
              <w:r w:rsidR="00A34184" w:rsidRPr="009C2345">
                <w:rPr>
                  <w:color w:val="0000FF" w:themeColor="hyperlink"/>
                  <w:sz w:val="20"/>
                  <w:szCs w:val="20"/>
                  <w:u w:val="single"/>
                  <w:lang w:val="fr-CA"/>
                </w:rPr>
                <w:t>2015 ONCA 764</w:t>
              </w:r>
            </w:hyperlink>
            <w:r w:rsidR="00A34184" w:rsidRPr="009C2345">
              <w:rPr>
                <w:sz w:val="20"/>
                <w:szCs w:val="20"/>
                <w:lang w:val="fr-CA"/>
              </w:rPr>
              <w:t>; C58290 et C59127</w:t>
            </w:r>
          </w:p>
          <w:p w:rsidR="00A34184" w:rsidRPr="009C2345" w:rsidRDefault="00A34184" w:rsidP="00A34184">
            <w:pPr>
              <w:jc w:val="both"/>
              <w:rPr>
                <w:sz w:val="20"/>
                <w:szCs w:val="20"/>
                <w:lang w:val="fr-CA"/>
              </w:rPr>
            </w:pPr>
          </w:p>
        </w:tc>
        <w:tc>
          <w:tcPr>
            <w:tcW w:w="243" w:type="pct"/>
          </w:tcPr>
          <w:p w:rsidR="00A34184" w:rsidRPr="009C2345" w:rsidRDefault="00A34184" w:rsidP="00A34184">
            <w:pPr>
              <w:jc w:val="both"/>
              <w:rPr>
                <w:sz w:val="20"/>
                <w:szCs w:val="20"/>
                <w:lang w:val="fr-CA"/>
              </w:rPr>
            </w:pPr>
          </w:p>
        </w:tc>
        <w:tc>
          <w:tcPr>
            <w:tcW w:w="2330" w:type="pct"/>
          </w:tcPr>
          <w:p w:rsidR="00A34184" w:rsidRPr="009C2345" w:rsidRDefault="00A34184" w:rsidP="00A34184">
            <w:pPr>
              <w:jc w:val="both"/>
              <w:rPr>
                <w:sz w:val="20"/>
                <w:szCs w:val="20"/>
                <w:lang w:val="fr-CA"/>
              </w:rPr>
            </w:pPr>
            <w:r w:rsidRPr="009C2345">
              <w:rPr>
                <w:sz w:val="20"/>
                <w:szCs w:val="20"/>
                <w:lang w:val="fr-CA"/>
              </w:rPr>
              <w:t>Arrêt accueillant l’appel</w:t>
            </w:r>
          </w:p>
          <w:p w:rsidR="00A34184" w:rsidRPr="009C2345" w:rsidRDefault="00A34184" w:rsidP="00A34184">
            <w:pPr>
              <w:jc w:val="both"/>
              <w:rPr>
                <w:sz w:val="20"/>
                <w:szCs w:val="20"/>
                <w:lang w:val="fr-CA"/>
              </w:rPr>
            </w:pPr>
          </w:p>
        </w:tc>
      </w:tr>
      <w:tr w:rsidR="00A34184" w:rsidRPr="0082006E" w:rsidTr="00017A3C">
        <w:tc>
          <w:tcPr>
            <w:tcW w:w="2427" w:type="pct"/>
          </w:tcPr>
          <w:p w:rsidR="00A34184" w:rsidRPr="009C2345" w:rsidRDefault="00A34184" w:rsidP="00A34184">
            <w:pPr>
              <w:jc w:val="both"/>
              <w:rPr>
                <w:sz w:val="20"/>
                <w:szCs w:val="20"/>
                <w:lang w:val="fr-CA"/>
              </w:rPr>
            </w:pPr>
            <w:r w:rsidRPr="009C2345">
              <w:rPr>
                <w:sz w:val="20"/>
                <w:szCs w:val="20"/>
                <w:lang w:val="fr-CA"/>
              </w:rPr>
              <w:t>11 janvier 2016</w:t>
            </w:r>
          </w:p>
          <w:p w:rsidR="00A34184" w:rsidRPr="009C2345" w:rsidRDefault="00A34184" w:rsidP="00A34184">
            <w:pPr>
              <w:jc w:val="both"/>
              <w:rPr>
                <w:sz w:val="20"/>
                <w:szCs w:val="20"/>
                <w:lang w:val="fr-CA"/>
              </w:rPr>
            </w:pPr>
            <w:r w:rsidRPr="009C2345">
              <w:rPr>
                <w:sz w:val="20"/>
                <w:szCs w:val="20"/>
                <w:lang w:val="fr-CA"/>
              </w:rPr>
              <w:t>Cour suprême du Canada</w:t>
            </w:r>
          </w:p>
        </w:tc>
        <w:tc>
          <w:tcPr>
            <w:tcW w:w="243" w:type="pct"/>
          </w:tcPr>
          <w:p w:rsidR="00A34184" w:rsidRPr="009C2345" w:rsidRDefault="00A34184" w:rsidP="00A34184">
            <w:pPr>
              <w:jc w:val="both"/>
              <w:rPr>
                <w:sz w:val="20"/>
                <w:szCs w:val="20"/>
                <w:lang w:val="fr-CA"/>
              </w:rPr>
            </w:pPr>
          </w:p>
        </w:tc>
        <w:tc>
          <w:tcPr>
            <w:tcW w:w="2330" w:type="pct"/>
          </w:tcPr>
          <w:p w:rsidR="00A34184" w:rsidRPr="009C2345" w:rsidRDefault="00A34184" w:rsidP="00A34184">
            <w:pPr>
              <w:jc w:val="both"/>
              <w:rPr>
                <w:sz w:val="20"/>
                <w:szCs w:val="20"/>
                <w:lang w:val="fr-CA"/>
              </w:rPr>
            </w:pPr>
            <w:r w:rsidRPr="009C2345">
              <w:rPr>
                <w:sz w:val="20"/>
                <w:szCs w:val="20"/>
                <w:lang w:val="fr-CA"/>
              </w:rPr>
              <w:t>Dépôt de la demande d’autorisation d’appel</w:t>
            </w:r>
          </w:p>
        </w:tc>
      </w:tr>
    </w:tbl>
    <w:p w:rsidR="006E4D45" w:rsidRPr="009C2345" w:rsidRDefault="006E4D45" w:rsidP="008D292F">
      <w:pPr>
        <w:rPr>
          <w:sz w:val="20"/>
          <w:szCs w:val="20"/>
          <w:lang w:val="fr-CA"/>
        </w:rPr>
      </w:pPr>
    </w:p>
    <w:p w:rsidR="006E4D45" w:rsidRPr="009C2345" w:rsidRDefault="0082006E" w:rsidP="008D292F">
      <w:pPr>
        <w:rPr>
          <w:sz w:val="20"/>
          <w:szCs w:val="20"/>
          <w:lang w:val="fr-CA"/>
        </w:rPr>
      </w:pPr>
      <w:r>
        <w:rPr>
          <w:sz w:val="20"/>
          <w:szCs w:val="20"/>
          <w:lang w:val="fr-CA"/>
        </w:rPr>
        <w:pict>
          <v:rect id="_x0000_i1069" style="width:2in;height:1pt" o:hrpct="0" o:hralign="center" o:hrstd="t" o:hrnoshade="t" o:hr="t" fillcolor="black [3213]" stroked="f"/>
        </w:pict>
      </w:r>
    </w:p>
    <w:p w:rsidR="003A549D" w:rsidRPr="009C2345" w:rsidRDefault="003A549D" w:rsidP="003A549D">
      <w:pPr>
        <w:rPr>
          <w:sz w:val="20"/>
          <w:szCs w:val="20"/>
          <w:lang w:val="fr-CA"/>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082"/>
      </w:tblGrid>
      <w:tr w:rsidR="003A549D" w:rsidRPr="00BD5BDE" w:rsidTr="005F12E5">
        <w:trPr>
          <w:cantSplit/>
          <w:trHeight w:val="608"/>
        </w:trPr>
        <w:tc>
          <w:tcPr>
            <w:tcW w:w="1458" w:type="dxa"/>
          </w:tcPr>
          <w:p w:rsidR="003A549D" w:rsidRPr="00BD5BDE" w:rsidRDefault="003A549D" w:rsidP="00017A3C">
            <w:pPr>
              <w:rPr>
                <w:sz w:val="20"/>
                <w:szCs w:val="20"/>
              </w:rPr>
            </w:pPr>
            <w:r w:rsidRPr="00BD5BDE">
              <w:rPr>
                <w:rStyle w:val="SCCFileNumberChar"/>
                <w:sz w:val="20"/>
                <w:szCs w:val="20"/>
              </w:rPr>
              <w:t>36804</w:t>
            </w:r>
          </w:p>
          <w:p w:rsidR="003A549D" w:rsidRPr="00BD5BDE" w:rsidRDefault="003A549D" w:rsidP="00017A3C">
            <w:pPr>
              <w:rPr>
                <w:b/>
                <w:sz w:val="20"/>
                <w:szCs w:val="20"/>
                <w:lang w:val="fr-CA"/>
              </w:rPr>
            </w:pPr>
          </w:p>
        </w:tc>
        <w:tc>
          <w:tcPr>
            <w:tcW w:w="8082" w:type="dxa"/>
          </w:tcPr>
          <w:p w:rsidR="003A549D" w:rsidRPr="00BD5BDE" w:rsidRDefault="003A549D" w:rsidP="004E6EF3">
            <w:pPr>
              <w:jc w:val="both"/>
              <w:rPr>
                <w:sz w:val="20"/>
                <w:szCs w:val="20"/>
              </w:rPr>
            </w:pPr>
            <w:r w:rsidRPr="00BD5BDE">
              <w:rPr>
                <w:b/>
                <w:sz w:val="20"/>
                <w:szCs w:val="20"/>
                <w:u w:val="single"/>
              </w:rPr>
              <w:t>Lombard General Insurance Company of Canada v. Intact Insurance Company of Canada</w:t>
            </w:r>
            <w:r w:rsidRPr="00BD5BDE">
              <w:rPr>
                <w:sz w:val="20"/>
                <w:szCs w:val="20"/>
              </w:rPr>
              <w:t xml:space="preserve"> (Ont.) (Civil) (By Leave)</w:t>
            </w:r>
          </w:p>
          <w:p w:rsidR="003A549D" w:rsidRPr="00BD5BDE" w:rsidRDefault="003A549D" w:rsidP="00017A3C">
            <w:pPr>
              <w:rPr>
                <w:sz w:val="20"/>
                <w:szCs w:val="20"/>
              </w:rPr>
            </w:pPr>
          </w:p>
        </w:tc>
      </w:tr>
      <w:tr w:rsidR="003A549D" w:rsidRPr="00BD5BDE" w:rsidTr="005F12E5">
        <w:trPr>
          <w:cantSplit/>
        </w:trPr>
        <w:tc>
          <w:tcPr>
            <w:tcW w:w="1458" w:type="dxa"/>
          </w:tcPr>
          <w:p w:rsidR="003A549D" w:rsidRPr="00BD5BDE" w:rsidRDefault="003A549D" w:rsidP="00017A3C">
            <w:pPr>
              <w:rPr>
                <w:sz w:val="20"/>
                <w:szCs w:val="20"/>
              </w:rPr>
            </w:pPr>
            <w:r w:rsidRPr="00BD5BDE">
              <w:rPr>
                <w:sz w:val="20"/>
                <w:szCs w:val="20"/>
              </w:rPr>
              <w:t>Coram :</w:t>
            </w:r>
          </w:p>
        </w:tc>
        <w:tc>
          <w:tcPr>
            <w:tcW w:w="8082" w:type="dxa"/>
          </w:tcPr>
          <w:p w:rsidR="003A549D" w:rsidRPr="00BD5BDE" w:rsidRDefault="008211E1" w:rsidP="00017A3C">
            <w:pPr>
              <w:rPr>
                <w:rStyle w:val="SCCCoramChar"/>
                <w:sz w:val="20"/>
                <w:szCs w:val="20"/>
                <w:lang w:val="en-CA"/>
              </w:rPr>
            </w:pPr>
            <w:r w:rsidRPr="00BD5BDE">
              <w:rPr>
                <w:rStyle w:val="SCCCoramChar"/>
                <w:sz w:val="20"/>
                <w:szCs w:val="20"/>
                <w:lang w:val="en-CA"/>
              </w:rPr>
              <w:t>Abella, Karakatsanis and Brown JJ.</w:t>
            </w:r>
          </w:p>
          <w:p w:rsidR="008211E1" w:rsidRPr="00BD5BDE" w:rsidRDefault="008211E1" w:rsidP="00017A3C">
            <w:pPr>
              <w:rPr>
                <w:sz w:val="20"/>
                <w:szCs w:val="20"/>
              </w:rPr>
            </w:pPr>
          </w:p>
        </w:tc>
      </w:tr>
      <w:tr w:rsidR="003A549D" w:rsidRPr="0082006E" w:rsidTr="005F12E5">
        <w:trPr>
          <w:cantSplit/>
        </w:trPr>
        <w:tc>
          <w:tcPr>
            <w:tcW w:w="9540" w:type="dxa"/>
            <w:gridSpan w:val="2"/>
          </w:tcPr>
          <w:p w:rsidR="003A549D" w:rsidRPr="00BD5BDE" w:rsidRDefault="008211E1" w:rsidP="00017A3C">
            <w:pPr>
              <w:pStyle w:val="SCCShortJudgment"/>
              <w:rPr>
                <w:szCs w:val="20"/>
              </w:rPr>
            </w:pPr>
            <w:r w:rsidRPr="00BD5BDE">
              <w:t>The application for leave to appeal from the judgment of the Court of Appeal for Ontario, Number C58290, 2015 ONCA 764, dated November 12, 2015, is dismissed with costs.</w:t>
            </w:r>
          </w:p>
          <w:p w:rsidR="003A549D" w:rsidRPr="00BD5BDE" w:rsidRDefault="003A549D" w:rsidP="00017A3C">
            <w:pPr>
              <w:pStyle w:val="SCCShortJudgment"/>
              <w:ind w:firstLine="0"/>
              <w:rPr>
                <w:szCs w:val="20"/>
              </w:rPr>
            </w:pPr>
          </w:p>
          <w:p w:rsidR="003A549D" w:rsidRPr="00BD5BDE" w:rsidRDefault="008211E1" w:rsidP="00017A3C">
            <w:pPr>
              <w:pStyle w:val="SCCShortJudgment"/>
              <w:rPr>
                <w:szCs w:val="20"/>
                <w:lang w:val="fr-CA"/>
              </w:rPr>
            </w:pPr>
            <w:r w:rsidRPr="00BD5BDE">
              <w:rPr>
                <w:lang w:val="fr-CA"/>
              </w:rPr>
              <w:t xml:space="preserve">La demande d’autorisation d’appel de l’arrêt de la </w:t>
            </w:r>
            <w:r w:rsidRPr="00BD5BDE">
              <w:rPr>
                <w:lang w:val="fr-FR"/>
              </w:rPr>
              <w:t>Cour d’appel de l’Ontario</w:t>
            </w:r>
            <w:r w:rsidRPr="00BD5BDE">
              <w:rPr>
                <w:lang w:val="fr-CA"/>
              </w:rPr>
              <w:t xml:space="preserve">, numéro </w:t>
            </w:r>
            <w:r w:rsidRPr="00BD5BDE">
              <w:rPr>
                <w:lang w:val="fr-FR"/>
              </w:rPr>
              <w:t>C58290, 2015 ONCA 764</w:t>
            </w:r>
            <w:r w:rsidRPr="00BD5BDE">
              <w:rPr>
                <w:lang w:val="fr-CA"/>
              </w:rPr>
              <w:t xml:space="preserve">, daté du </w:t>
            </w:r>
            <w:r w:rsidRPr="00BD5BDE">
              <w:rPr>
                <w:lang w:val="fr-FR"/>
              </w:rPr>
              <w:t>12 novembre 2015</w:t>
            </w:r>
            <w:r w:rsidRPr="00BD5BDE">
              <w:rPr>
                <w:lang w:val="fr-CA"/>
              </w:rPr>
              <w:t>, est rejetée avec dépens.</w:t>
            </w:r>
          </w:p>
        </w:tc>
      </w:tr>
    </w:tbl>
    <w:p w:rsidR="003A549D" w:rsidRPr="009C2345" w:rsidRDefault="003A549D" w:rsidP="003A549D">
      <w:pPr>
        <w:rPr>
          <w:sz w:val="20"/>
          <w:szCs w:val="20"/>
          <w:lang w:val="fr-CA"/>
        </w:rPr>
      </w:pPr>
    </w:p>
    <w:p w:rsidR="003A549D" w:rsidRPr="009C2345" w:rsidRDefault="003A549D" w:rsidP="003A549D">
      <w:pPr>
        <w:rPr>
          <w:sz w:val="20"/>
          <w:szCs w:val="20"/>
          <w:u w:val="single"/>
        </w:rPr>
      </w:pPr>
      <w:r w:rsidRPr="009C2345">
        <w:rPr>
          <w:sz w:val="20"/>
          <w:szCs w:val="20"/>
          <w:u w:val="single"/>
        </w:rPr>
        <w:t>CASE SUMMARY</w:t>
      </w:r>
    </w:p>
    <w:p w:rsidR="003A549D" w:rsidRPr="009C2345" w:rsidRDefault="003A549D" w:rsidP="003A549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A549D" w:rsidRPr="009C2345" w:rsidTr="00017A3C">
        <w:tc>
          <w:tcPr>
            <w:tcW w:w="5000" w:type="pct"/>
            <w:gridSpan w:val="3"/>
          </w:tcPr>
          <w:p w:rsidR="003A549D" w:rsidRPr="009C2345" w:rsidRDefault="003A549D" w:rsidP="003A549D">
            <w:pPr>
              <w:jc w:val="both"/>
              <w:rPr>
                <w:sz w:val="20"/>
                <w:szCs w:val="20"/>
              </w:rPr>
            </w:pPr>
            <w:r w:rsidRPr="009C2345">
              <w:rPr>
                <w:sz w:val="20"/>
                <w:szCs w:val="20"/>
              </w:rPr>
              <w:t xml:space="preserve">Insurance – Automobile insurance – Recovery by insurer – Laches – Whether the interpretation of s. 275 of the </w:t>
            </w:r>
            <w:r w:rsidRPr="009C2345">
              <w:rPr>
                <w:i/>
                <w:sz w:val="20"/>
                <w:szCs w:val="20"/>
              </w:rPr>
              <w:t>Insurance Act</w:t>
            </w:r>
            <w:r w:rsidRPr="009C2345">
              <w:rPr>
                <w:sz w:val="20"/>
                <w:szCs w:val="20"/>
              </w:rPr>
              <w:t xml:space="preserve">, the loss transfer regulation and the availability of the doctrine of laches raises issues of public importance affecting the trucking industry in Canada and insurers – Where an insurer becomes aware of a loss transfer claim, whether there is no limitation period on when that first party insurer must provide notice to the second party insurer – </w:t>
            </w:r>
            <w:r w:rsidRPr="009C2345">
              <w:rPr>
                <w:i/>
                <w:sz w:val="20"/>
                <w:szCs w:val="20"/>
              </w:rPr>
              <w:t>Insurance Act</w:t>
            </w:r>
            <w:r w:rsidRPr="009C2345">
              <w:rPr>
                <w:sz w:val="20"/>
                <w:szCs w:val="20"/>
              </w:rPr>
              <w:t>, R.S.O. 1990, c. I.8.</w:t>
            </w:r>
          </w:p>
        </w:tc>
      </w:tr>
      <w:tr w:rsidR="003A549D" w:rsidRPr="009C2345" w:rsidTr="00017A3C">
        <w:tc>
          <w:tcPr>
            <w:tcW w:w="5000" w:type="pct"/>
            <w:gridSpan w:val="3"/>
          </w:tcPr>
          <w:p w:rsidR="003A549D" w:rsidRPr="009C2345" w:rsidRDefault="003A549D" w:rsidP="003A549D">
            <w:pPr>
              <w:jc w:val="both"/>
              <w:rPr>
                <w:sz w:val="20"/>
                <w:szCs w:val="20"/>
              </w:rPr>
            </w:pPr>
          </w:p>
        </w:tc>
      </w:tr>
      <w:tr w:rsidR="003A549D" w:rsidRPr="009C2345" w:rsidTr="00017A3C">
        <w:tc>
          <w:tcPr>
            <w:tcW w:w="5000" w:type="pct"/>
            <w:gridSpan w:val="3"/>
          </w:tcPr>
          <w:p w:rsidR="003A549D" w:rsidRPr="009C2345" w:rsidRDefault="003A549D" w:rsidP="003A549D">
            <w:pPr>
              <w:jc w:val="both"/>
              <w:rPr>
                <w:sz w:val="20"/>
                <w:szCs w:val="20"/>
              </w:rPr>
            </w:pPr>
            <w:r w:rsidRPr="009C2345">
              <w:rPr>
                <w:sz w:val="20"/>
                <w:szCs w:val="20"/>
              </w:rPr>
              <w:t>Intact Insurance Company of Canada sought indemnity from Lombard General Insurance Company of Canada over four years after a multi-vehicle accident involving a pickup truck insured by Intact and a tractor trailer insured by Lombard that occurred in February 2007. Lombard refused to indemnify Intact based on the amount of time that elapsed from the date of the accident to the date of Intact’s first indemnification request. The matter was submitted to arbitration.</w:t>
            </w:r>
          </w:p>
          <w:p w:rsidR="003A549D" w:rsidRPr="009C2345" w:rsidRDefault="003A549D" w:rsidP="003A549D">
            <w:pPr>
              <w:jc w:val="both"/>
              <w:rPr>
                <w:sz w:val="20"/>
                <w:szCs w:val="20"/>
              </w:rPr>
            </w:pPr>
          </w:p>
          <w:p w:rsidR="003A549D" w:rsidRPr="009C2345" w:rsidRDefault="003A549D" w:rsidP="003A549D">
            <w:pPr>
              <w:jc w:val="both"/>
              <w:rPr>
                <w:sz w:val="20"/>
                <w:szCs w:val="20"/>
              </w:rPr>
            </w:pPr>
            <w:r w:rsidRPr="009C2345">
              <w:rPr>
                <w:sz w:val="20"/>
                <w:szCs w:val="20"/>
              </w:rPr>
              <w:t xml:space="preserve">The Arbitrator held that Intact was precluded from proceeding with the loss transfer application against Lombard due to its delay in giving notice pursuant to s. 275 of the </w:t>
            </w:r>
            <w:r w:rsidRPr="009C2345">
              <w:rPr>
                <w:i/>
                <w:sz w:val="20"/>
                <w:szCs w:val="20"/>
              </w:rPr>
              <w:t>Insurance Act</w:t>
            </w:r>
            <w:r w:rsidRPr="009C2345">
              <w:rPr>
                <w:sz w:val="20"/>
                <w:szCs w:val="20"/>
              </w:rPr>
              <w:t xml:space="preserve">. The Arbitrator found that the delay was inordinate and inexcusable and gave rise to a presumption of prejudice which was not rebutted. The applications judge set aside the decision of the Arbitrator. It was held that the laches doctrine did not properly apply to loss transfer claims under s. 275 of the </w:t>
            </w:r>
            <w:r w:rsidRPr="009C2345">
              <w:rPr>
                <w:i/>
                <w:sz w:val="20"/>
                <w:szCs w:val="20"/>
              </w:rPr>
              <w:t>Insurance Act</w:t>
            </w:r>
            <w:r w:rsidRPr="009C2345">
              <w:rPr>
                <w:sz w:val="20"/>
                <w:szCs w:val="20"/>
              </w:rPr>
              <w:t xml:space="preserve"> and even if the doctrine could apply, it was not reasonable for the Arbitrator to conclude that Lombard had established the necessary elements of the defence in this case. The appeal was allowed and Intact was not barred from pursuing the loss transfer against Lombard. The Court of Appeal dismissed Lombard’s appeal. </w:t>
            </w:r>
          </w:p>
          <w:p w:rsidR="003A549D" w:rsidRPr="009C2345" w:rsidRDefault="003A549D" w:rsidP="003A549D">
            <w:pPr>
              <w:jc w:val="both"/>
              <w:rPr>
                <w:sz w:val="20"/>
                <w:szCs w:val="20"/>
              </w:rPr>
            </w:pPr>
          </w:p>
        </w:tc>
      </w:tr>
      <w:tr w:rsidR="003A549D" w:rsidRPr="009C2345" w:rsidTr="00017A3C">
        <w:tc>
          <w:tcPr>
            <w:tcW w:w="2427" w:type="pct"/>
          </w:tcPr>
          <w:p w:rsidR="003A549D" w:rsidRPr="009C2345" w:rsidRDefault="003A549D" w:rsidP="003A549D">
            <w:pPr>
              <w:jc w:val="both"/>
              <w:rPr>
                <w:sz w:val="20"/>
                <w:szCs w:val="20"/>
              </w:rPr>
            </w:pPr>
            <w:r w:rsidRPr="009C2345">
              <w:rPr>
                <w:sz w:val="20"/>
                <w:szCs w:val="20"/>
              </w:rPr>
              <w:t>September 30, 2013</w:t>
            </w:r>
          </w:p>
          <w:p w:rsidR="003A549D" w:rsidRPr="009C2345" w:rsidRDefault="003A549D" w:rsidP="003A549D">
            <w:pPr>
              <w:jc w:val="both"/>
              <w:rPr>
                <w:sz w:val="20"/>
                <w:szCs w:val="20"/>
              </w:rPr>
            </w:pPr>
            <w:r w:rsidRPr="009C2345">
              <w:rPr>
                <w:sz w:val="20"/>
                <w:szCs w:val="20"/>
              </w:rPr>
              <w:t>Ontario Superior Court of Justice</w:t>
            </w:r>
          </w:p>
          <w:p w:rsidR="003A549D" w:rsidRPr="009C2345" w:rsidRDefault="003A549D" w:rsidP="003A549D">
            <w:pPr>
              <w:jc w:val="both"/>
              <w:rPr>
                <w:sz w:val="20"/>
                <w:szCs w:val="20"/>
              </w:rPr>
            </w:pPr>
            <w:r w:rsidRPr="009C2345">
              <w:rPr>
                <w:sz w:val="20"/>
                <w:szCs w:val="20"/>
              </w:rPr>
              <w:t>(Chiapetta J.)</w:t>
            </w:r>
          </w:p>
          <w:p w:rsidR="003A549D" w:rsidRPr="009C2345" w:rsidRDefault="0082006E" w:rsidP="003A549D">
            <w:pPr>
              <w:jc w:val="both"/>
              <w:rPr>
                <w:sz w:val="20"/>
                <w:szCs w:val="20"/>
              </w:rPr>
            </w:pPr>
            <w:hyperlink r:id="rId85" w:history="1">
              <w:r w:rsidR="003A549D" w:rsidRPr="009C2345">
                <w:rPr>
                  <w:color w:val="0000FF" w:themeColor="hyperlink"/>
                  <w:sz w:val="20"/>
                  <w:szCs w:val="20"/>
                  <w:u w:val="single"/>
                </w:rPr>
                <w:t>2013 ONSC 5878</w:t>
              </w:r>
            </w:hyperlink>
            <w:r w:rsidR="003A549D" w:rsidRPr="009C2345">
              <w:rPr>
                <w:sz w:val="20"/>
                <w:szCs w:val="20"/>
              </w:rPr>
              <w:t>; CV-12-468794</w:t>
            </w:r>
          </w:p>
          <w:p w:rsidR="003A549D" w:rsidRPr="009C2345" w:rsidRDefault="003A549D" w:rsidP="003A549D">
            <w:pPr>
              <w:jc w:val="both"/>
              <w:rPr>
                <w:sz w:val="20"/>
                <w:szCs w:val="20"/>
              </w:rPr>
            </w:pPr>
          </w:p>
        </w:tc>
        <w:tc>
          <w:tcPr>
            <w:tcW w:w="243" w:type="pct"/>
          </w:tcPr>
          <w:p w:rsidR="003A549D" w:rsidRPr="009C2345" w:rsidRDefault="003A549D" w:rsidP="003A549D">
            <w:pPr>
              <w:jc w:val="both"/>
              <w:rPr>
                <w:sz w:val="20"/>
                <w:szCs w:val="20"/>
              </w:rPr>
            </w:pPr>
          </w:p>
        </w:tc>
        <w:tc>
          <w:tcPr>
            <w:tcW w:w="2330" w:type="pct"/>
          </w:tcPr>
          <w:p w:rsidR="003A549D" w:rsidRPr="009C2345" w:rsidRDefault="003A549D" w:rsidP="003A549D">
            <w:pPr>
              <w:jc w:val="both"/>
              <w:rPr>
                <w:sz w:val="20"/>
                <w:szCs w:val="20"/>
              </w:rPr>
            </w:pPr>
            <w:r w:rsidRPr="009C2345">
              <w:rPr>
                <w:sz w:val="20"/>
                <w:szCs w:val="20"/>
              </w:rPr>
              <w:t>Appeal allowed; Arbitrator’s decision set aside; Intact loss transfer claim can proceed</w:t>
            </w:r>
          </w:p>
          <w:p w:rsidR="003A549D" w:rsidRPr="009C2345" w:rsidRDefault="003A549D" w:rsidP="003A549D">
            <w:pPr>
              <w:jc w:val="both"/>
              <w:rPr>
                <w:sz w:val="20"/>
                <w:szCs w:val="20"/>
              </w:rPr>
            </w:pPr>
          </w:p>
        </w:tc>
      </w:tr>
    </w:tbl>
    <w:p w:rsidR="00BD50B7" w:rsidRPr="009C2345" w:rsidRDefault="00BD50B7">
      <w:r w:rsidRPr="009C234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A549D" w:rsidRPr="009C2345" w:rsidTr="00017A3C">
        <w:tc>
          <w:tcPr>
            <w:tcW w:w="2427" w:type="pct"/>
          </w:tcPr>
          <w:p w:rsidR="003A549D" w:rsidRPr="009C2345" w:rsidRDefault="003A549D" w:rsidP="003A549D">
            <w:pPr>
              <w:jc w:val="both"/>
              <w:rPr>
                <w:sz w:val="20"/>
                <w:szCs w:val="20"/>
              </w:rPr>
            </w:pPr>
            <w:r w:rsidRPr="009C2345">
              <w:rPr>
                <w:sz w:val="20"/>
                <w:szCs w:val="20"/>
              </w:rPr>
              <w:t>November 12, 2015</w:t>
            </w:r>
          </w:p>
          <w:p w:rsidR="003A549D" w:rsidRPr="009C2345" w:rsidRDefault="003A549D" w:rsidP="003A549D">
            <w:pPr>
              <w:jc w:val="both"/>
              <w:rPr>
                <w:sz w:val="20"/>
                <w:szCs w:val="20"/>
              </w:rPr>
            </w:pPr>
            <w:r w:rsidRPr="009C2345">
              <w:rPr>
                <w:sz w:val="20"/>
                <w:szCs w:val="20"/>
              </w:rPr>
              <w:t>Court of Appeal for Ontario</w:t>
            </w:r>
          </w:p>
          <w:p w:rsidR="003A549D" w:rsidRPr="009C2345" w:rsidRDefault="003A549D" w:rsidP="003A549D">
            <w:pPr>
              <w:jc w:val="both"/>
              <w:rPr>
                <w:sz w:val="20"/>
                <w:szCs w:val="20"/>
              </w:rPr>
            </w:pPr>
            <w:r w:rsidRPr="009C2345">
              <w:rPr>
                <w:sz w:val="20"/>
                <w:szCs w:val="20"/>
              </w:rPr>
              <w:t>(Hoy, van Rensburg and Benotto JJ.A.)</w:t>
            </w:r>
          </w:p>
          <w:p w:rsidR="003A549D" w:rsidRPr="009C2345" w:rsidRDefault="0082006E" w:rsidP="003A549D">
            <w:pPr>
              <w:jc w:val="both"/>
              <w:rPr>
                <w:sz w:val="20"/>
                <w:szCs w:val="20"/>
              </w:rPr>
            </w:pPr>
            <w:hyperlink r:id="rId86" w:history="1">
              <w:r w:rsidR="003A549D" w:rsidRPr="009C2345">
                <w:rPr>
                  <w:color w:val="0000FF" w:themeColor="hyperlink"/>
                  <w:sz w:val="20"/>
                  <w:szCs w:val="20"/>
                  <w:u w:val="single"/>
                </w:rPr>
                <w:t>2015 ONCA 764</w:t>
              </w:r>
            </w:hyperlink>
            <w:r w:rsidR="003A549D" w:rsidRPr="009C2345">
              <w:rPr>
                <w:sz w:val="20"/>
                <w:szCs w:val="20"/>
              </w:rPr>
              <w:t>; C58290 and C59127</w:t>
            </w:r>
          </w:p>
          <w:p w:rsidR="003A549D" w:rsidRPr="009C2345" w:rsidRDefault="003A549D" w:rsidP="003A549D">
            <w:pPr>
              <w:jc w:val="both"/>
              <w:rPr>
                <w:sz w:val="20"/>
                <w:szCs w:val="20"/>
              </w:rPr>
            </w:pPr>
          </w:p>
        </w:tc>
        <w:tc>
          <w:tcPr>
            <w:tcW w:w="243" w:type="pct"/>
          </w:tcPr>
          <w:p w:rsidR="003A549D" w:rsidRPr="009C2345" w:rsidRDefault="003A549D" w:rsidP="003A549D">
            <w:pPr>
              <w:jc w:val="both"/>
              <w:rPr>
                <w:sz w:val="20"/>
                <w:szCs w:val="20"/>
              </w:rPr>
            </w:pPr>
          </w:p>
        </w:tc>
        <w:tc>
          <w:tcPr>
            <w:tcW w:w="2330" w:type="pct"/>
          </w:tcPr>
          <w:p w:rsidR="003A549D" w:rsidRPr="009C2345" w:rsidRDefault="003A549D" w:rsidP="003A549D">
            <w:pPr>
              <w:jc w:val="both"/>
              <w:rPr>
                <w:sz w:val="20"/>
                <w:szCs w:val="20"/>
              </w:rPr>
            </w:pPr>
            <w:r w:rsidRPr="009C2345">
              <w:rPr>
                <w:sz w:val="20"/>
                <w:szCs w:val="20"/>
              </w:rPr>
              <w:t>Appeal dismissed</w:t>
            </w:r>
          </w:p>
        </w:tc>
      </w:tr>
      <w:tr w:rsidR="003A549D" w:rsidRPr="009C2345" w:rsidTr="00017A3C">
        <w:tc>
          <w:tcPr>
            <w:tcW w:w="2427" w:type="pct"/>
          </w:tcPr>
          <w:p w:rsidR="003A549D" w:rsidRPr="009C2345" w:rsidRDefault="003A549D" w:rsidP="003A549D">
            <w:pPr>
              <w:jc w:val="both"/>
              <w:rPr>
                <w:sz w:val="20"/>
                <w:szCs w:val="20"/>
              </w:rPr>
            </w:pPr>
            <w:r w:rsidRPr="009C2345">
              <w:rPr>
                <w:sz w:val="20"/>
                <w:szCs w:val="20"/>
              </w:rPr>
              <w:t>January 11, 2016</w:t>
            </w:r>
          </w:p>
          <w:p w:rsidR="003A549D" w:rsidRPr="009C2345" w:rsidRDefault="003A549D" w:rsidP="003A549D">
            <w:pPr>
              <w:jc w:val="both"/>
              <w:rPr>
                <w:sz w:val="20"/>
                <w:szCs w:val="20"/>
              </w:rPr>
            </w:pPr>
            <w:r w:rsidRPr="009C2345">
              <w:rPr>
                <w:sz w:val="20"/>
                <w:szCs w:val="20"/>
              </w:rPr>
              <w:t>Supreme Court of Canada</w:t>
            </w:r>
          </w:p>
        </w:tc>
        <w:tc>
          <w:tcPr>
            <w:tcW w:w="243" w:type="pct"/>
          </w:tcPr>
          <w:p w:rsidR="003A549D" w:rsidRPr="009C2345" w:rsidRDefault="003A549D" w:rsidP="003A549D">
            <w:pPr>
              <w:jc w:val="both"/>
              <w:rPr>
                <w:sz w:val="20"/>
                <w:szCs w:val="20"/>
              </w:rPr>
            </w:pPr>
          </w:p>
        </w:tc>
        <w:tc>
          <w:tcPr>
            <w:tcW w:w="2330" w:type="pct"/>
          </w:tcPr>
          <w:p w:rsidR="003A549D" w:rsidRPr="009C2345" w:rsidRDefault="003A549D" w:rsidP="003A549D">
            <w:pPr>
              <w:jc w:val="both"/>
              <w:rPr>
                <w:sz w:val="20"/>
                <w:szCs w:val="20"/>
              </w:rPr>
            </w:pPr>
            <w:r w:rsidRPr="009C2345">
              <w:rPr>
                <w:sz w:val="20"/>
                <w:szCs w:val="20"/>
              </w:rPr>
              <w:t>Application for leave to appeal filed</w:t>
            </w:r>
          </w:p>
        </w:tc>
      </w:tr>
    </w:tbl>
    <w:p w:rsidR="003A549D" w:rsidRPr="009C2345" w:rsidRDefault="003A549D" w:rsidP="008D292F">
      <w:pPr>
        <w:rPr>
          <w:sz w:val="20"/>
          <w:szCs w:val="20"/>
        </w:rPr>
      </w:pPr>
    </w:p>
    <w:p w:rsidR="006E4D45" w:rsidRPr="009C2345" w:rsidRDefault="0082006E" w:rsidP="008D292F">
      <w:pPr>
        <w:rPr>
          <w:sz w:val="20"/>
          <w:szCs w:val="20"/>
          <w:lang w:val="fr-CA"/>
        </w:rPr>
      </w:pPr>
      <w:r>
        <w:rPr>
          <w:sz w:val="20"/>
          <w:szCs w:val="20"/>
          <w:lang w:val="fr-CA"/>
        </w:rPr>
        <w:pict>
          <v:rect id="_x0000_i1070" style="width:2in;height:1pt" o:hrpct="0" o:hralign="center" o:hrstd="t" o:hrnoshade="t" o:hr="t" fillcolor="black [3213]" stroked="f"/>
        </w:pict>
      </w:r>
    </w:p>
    <w:p w:rsidR="006E4D45" w:rsidRPr="009C2345" w:rsidRDefault="006E4D45" w:rsidP="008D292F">
      <w:pPr>
        <w:rPr>
          <w:sz w:val="20"/>
          <w:szCs w:val="20"/>
          <w:lang w:val="fr-CA"/>
        </w:rPr>
      </w:pPr>
    </w:p>
    <w:p w:rsidR="003A549D" w:rsidRPr="009C2345" w:rsidRDefault="003A549D" w:rsidP="003A549D">
      <w:pPr>
        <w:rPr>
          <w:sz w:val="20"/>
          <w:szCs w:val="20"/>
          <w:u w:val="single"/>
          <w:lang w:val="fr-CA"/>
        </w:rPr>
      </w:pPr>
      <w:r w:rsidRPr="009C2345">
        <w:rPr>
          <w:sz w:val="20"/>
          <w:szCs w:val="20"/>
          <w:u w:val="single"/>
          <w:lang w:val="fr-CA"/>
        </w:rPr>
        <w:t>RÉSUMÉ DE L’AFFAIRE</w:t>
      </w:r>
    </w:p>
    <w:p w:rsidR="003A549D" w:rsidRPr="009C2345" w:rsidRDefault="003A549D" w:rsidP="003A549D">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A549D" w:rsidRPr="009C2345" w:rsidTr="00017A3C">
        <w:tc>
          <w:tcPr>
            <w:tcW w:w="5000" w:type="pct"/>
            <w:gridSpan w:val="3"/>
          </w:tcPr>
          <w:p w:rsidR="003A549D" w:rsidRPr="009C2345" w:rsidRDefault="003A549D" w:rsidP="003A549D">
            <w:pPr>
              <w:jc w:val="both"/>
              <w:rPr>
                <w:sz w:val="20"/>
                <w:szCs w:val="20"/>
                <w:lang w:val="fr-CA"/>
              </w:rPr>
            </w:pPr>
            <w:r w:rsidRPr="009C2345">
              <w:rPr>
                <w:sz w:val="20"/>
                <w:szCs w:val="20"/>
                <w:lang w:val="fr-CA"/>
              </w:rPr>
              <w:t xml:space="preserve">Assurance – Assurance automobile – Recouvrement par l’assureur – Manque de diligence – L’interprétation de l’art. 275 de la </w:t>
            </w:r>
            <w:r w:rsidRPr="009C2345">
              <w:rPr>
                <w:i/>
                <w:sz w:val="20"/>
                <w:szCs w:val="20"/>
                <w:lang w:val="fr-CA"/>
              </w:rPr>
              <w:t>Loi sur les assurances</w:t>
            </w:r>
            <w:r w:rsidRPr="009C2345">
              <w:rPr>
                <w:sz w:val="20"/>
                <w:szCs w:val="20"/>
                <w:lang w:val="fr-CA"/>
              </w:rPr>
              <w:t xml:space="preserve">, le règlement sur l’indemnisation des pertes et la possibilité de se prévaloir de la doctrine du manque de diligence soulèvent-ils des questions d’importance pour le public touchant l’industrie du camionnage au Canada et les assureurs? – Lorsqu’un assureur prend connaissance d’une demande d’indemnisation des pertes, y a-t-il absence de délai de prescription dans lequel l’assureur de la première partie doit donner un avis à l’assureur de la deuxième partie? – </w:t>
            </w:r>
            <w:r w:rsidRPr="009C2345">
              <w:rPr>
                <w:i/>
                <w:sz w:val="20"/>
                <w:szCs w:val="20"/>
                <w:lang w:val="fr-CA"/>
              </w:rPr>
              <w:t>Loi sur les assurances</w:t>
            </w:r>
            <w:r w:rsidRPr="009C2345">
              <w:rPr>
                <w:sz w:val="20"/>
                <w:szCs w:val="20"/>
                <w:lang w:val="fr-CA"/>
              </w:rPr>
              <w:t>, L.R.O. 1990, ch. I.8.</w:t>
            </w:r>
          </w:p>
        </w:tc>
      </w:tr>
      <w:tr w:rsidR="003A549D" w:rsidRPr="009C2345" w:rsidTr="00017A3C">
        <w:tc>
          <w:tcPr>
            <w:tcW w:w="5000" w:type="pct"/>
            <w:gridSpan w:val="3"/>
          </w:tcPr>
          <w:p w:rsidR="003A549D" w:rsidRPr="009C2345" w:rsidRDefault="003A549D" w:rsidP="003A549D">
            <w:pPr>
              <w:jc w:val="both"/>
              <w:rPr>
                <w:sz w:val="20"/>
                <w:szCs w:val="20"/>
                <w:lang w:val="fr-CA"/>
              </w:rPr>
            </w:pPr>
          </w:p>
        </w:tc>
      </w:tr>
      <w:tr w:rsidR="003A549D" w:rsidRPr="009C2345" w:rsidTr="00017A3C">
        <w:tc>
          <w:tcPr>
            <w:tcW w:w="5000" w:type="pct"/>
            <w:gridSpan w:val="3"/>
          </w:tcPr>
          <w:p w:rsidR="003A549D" w:rsidRPr="009C2345" w:rsidRDefault="003A549D" w:rsidP="003A549D">
            <w:pPr>
              <w:jc w:val="both"/>
              <w:rPr>
                <w:sz w:val="20"/>
                <w:szCs w:val="20"/>
                <w:lang w:val="fr-CA"/>
              </w:rPr>
            </w:pPr>
            <w:r w:rsidRPr="009C2345">
              <w:rPr>
                <w:sz w:val="20"/>
                <w:szCs w:val="20"/>
                <w:lang w:val="fr-CA"/>
              </w:rPr>
              <w:t>Intact Compagnie d’assurance du Canada</w:t>
            </w:r>
            <w:r w:rsidRPr="009C2345">
              <w:rPr>
                <w:b/>
                <w:sz w:val="20"/>
                <w:szCs w:val="20"/>
                <w:lang w:val="fr-CA"/>
              </w:rPr>
              <w:t xml:space="preserve"> </w:t>
            </w:r>
            <w:r w:rsidRPr="009C2345">
              <w:rPr>
                <w:sz w:val="20"/>
                <w:szCs w:val="20"/>
                <w:lang w:val="fr-CA"/>
              </w:rPr>
              <w:t>a demandé une indemnité de Compagnie canadienne d’assurances générales Lombard plus de quatre ans après un carambolage survenu en février 2007, impliquant une camionnette assurée par Intact et un camion gros porteur assuré par Lombard. Lombard a refusé d’indemniser Intact, vu le délai qui s’était écoulé entre la date de l’accident et la date de la première demande d’indemnisation d’Intact. La question a été soumise à l’arbitrage.</w:t>
            </w:r>
          </w:p>
          <w:p w:rsidR="003A549D" w:rsidRPr="009C2345" w:rsidRDefault="003A549D" w:rsidP="003A549D">
            <w:pPr>
              <w:jc w:val="both"/>
              <w:rPr>
                <w:sz w:val="20"/>
                <w:szCs w:val="20"/>
                <w:lang w:val="fr-CA"/>
              </w:rPr>
            </w:pPr>
          </w:p>
          <w:p w:rsidR="003A549D" w:rsidRPr="009C2345" w:rsidRDefault="003A549D" w:rsidP="003A549D">
            <w:pPr>
              <w:jc w:val="both"/>
              <w:rPr>
                <w:sz w:val="20"/>
                <w:szCs w:val="20"/>
                <w:lang w:val="fr-CA"/>
              </w:rPr>
            </w:pPr>
            <w:r w:rsidRPr="009C2345">
              <w:rPr>
                <w:sz w:val="20"/>
                <w:szCs w:val="20"/>
                <w:lang w:val="fr-CA"/>
              </w:rPr>
              <w:t xml:space="preserve">L’arbitre a statué qu’Intact était empêchée de présenter sa demande d’indemnisation des pertes contre Lombard, vu son retard à donner un avis en application de l’art. 275 de la </w:t>
            </w:r>
            <w:r w:rsidRPr="009C2345">
              <w:rPr>
                <w:i/>
                <w:sz w:val="20"/>
                <w:szCs w:val="20"/>
                <w:lang w:val="fr-CA"/>
              </w:rPr>
              <w:t>Loi sur les assurances</w:t>
            </w:r>
            <w:r w:rsidRPr="009C2345">
              <w:rPr>
                <w:sz w:val="20"/>
                <w:szCs w:val="20"/>
                <w:lang w:val="fr-CA"/>
              </w:rPr>
              <w:t>. L’arbitre a conclu que le retard était excessif et inexcusable et donnait naissance à une présomption de préjudice qui n’a pas été réfutée. Le juge de première instance a annulé la décision de l’arbitre. Il a statué que la doctrine du manque de diligence ne s’appliquait pas aux demandes d’indemnisation des pertes en application de l’art. 275 de la</w:t>
            </w:r>
            <w:r w:rsidRPr="009C2345">
              <w:rPr>
                <w:i/>
                <w:sz w:val="20"/>
                <w:szCs w:val="20"/>
                <w:lang w:val="fr-CA"/>
              </w:rPr>
              <w:t xml:space="preserve"> Loi sur les assurances </w:t>
            </w:r>
            <w:r w:rsidRPr="009C2345">
              <w:rPr>
                <w:sz w:val="20"/>
                <w:szCs w:val="20"/>
                <w:lang w:val="fr-CA"/>
              </w:rPr>
              <w:t xml:space="preserve">et que même si la doctrine pouvait s’appliquer, l’arbitre ne pouvait pas raisonnablement conclure que Lombard avait établi les éléments nécessaires du moyen de défense en l’espèce. L’appel a été accueilli, si bien que rien n’empêchait Intact de réclamer l’indemnisation des pertes contre Lombard. La Cour d’appel a rejeté l’appel de Lombard. </w:t>
            </w:r>
          </w:p>
          <w:p w:rsidR="003A549D" w:rsidRPr="009C2345" w:rsidRDefault="003A549D" w:rsidP="003A549D">
            <w:pPr>
              <w:jc w:val="both"/>
              <w:rPr>
                <w:sz w:val="20"/>
                <w:szCs w:val="20"/>
                <w:lang w:val="fr-CA"/>
              </w:rPr>
            </w:pPr>
          </w:p>
        </w:tc>
      </w:tr>
      <w:tr w:rsidR="003A549D" w:rsidRPr="0082006E" w:rsidTr="00017A3C">
        <w:tc>
          <w:tcPr>
            <w:tcW w:w="2427" w:type="pct"/>
          </w:tcPr>
          <w:p w:rsidR="003A549D" w:rsidRPr="009C2345" w:rsidRDefault="003A549D" w:rsidP="003A549D">
            <w:pPr>
              <w:jc w:val="both"/>
              <w:rPr>
                <w:sz w:val="20"/>
                <w:szCs w:val="20"/>
                <w:lang w:val="fr-CA"/>
              </w:rPr>
            </w:pPr>
            <w:r w:rsidRPr="009C2345">
              <w:rPr>
                <w:sz w:val="20"/>
                <w:szCs w:val="20"/>
                <w:lang w:val="fr-CA"/>
              </w:rPr>
              <w:t>30 septembre 2013</w:t>
            </w:r>
          </w:p>
          <w:p w:rsidR="003A549D" w:rsidRPr="009C2345" w:rsidRDefault="003A549D" w:rsidP="003A549D">
            <w:pPr>
              <w:jc w:val="both"/>
              <w:rPr>
                <w:sz w:val="20"/>
                <w:szCs w:val="20"/>
                <w:lang w:val="fr-CA"/>
              </w:rPr>
            </w:pPr>
            <w:r w:rsidRPr="009C2345">
              <w:rPr>
                <w:sz w:val="20"/>
                <w:szCs w:val="20"/>
                <w:lang w:val="fr-CA"/>
              </w:rPr>
              <w:t xml:space="preserve">Cour supérieure de justice de l’Ontario </w:t>
            </w:r>
          </w:p>
          <w:p w:rsidR="003A549D" w:rsidRPr="009C2345" w:rsidRDefault="003A549D" w:rsidP="003A549D">
            <w:pPr>
              <w:jc w:val="both"/>
              <w:rPr>
                <w:sz w:val="20"/>
                <w:szCs w:val="20"/>
                <w:lang w:val="fr-CA"/>
              </w:rPr>
            </w:pPr>
            <w:r w:rsidRPr="009C2345">
              <w:rPr>
                <w:sz w:val="20"/>
                <w:szCs w:val="20"/>
                <w:lang w:val="fr-CA"/>
              </w:rPr>
              <w:t>(Juge Chiapetta)</w:t>
            </w:r>
          </w:p>
          <w:p w:rsidR="003A549D" w:rsidRPr="009C2345" w:rsidRDefault="0082006E" w:rsidP="003A549D">
            <w:pPr>
              <w:jc w:val="both"/>
              <w:rPr>
                <w:sz w:val="20"/>
                <w:szCs w:val="20"/>
                <w:lang w:val="fr-CA"/>
              </w:rPr>
            </w:pPr>
            <w:hyperlink r:id="rId87" w:history="1">
              <w:r w:rsidR="003A549D" w:rsidRPr="009C2345">
                <w:rPr>
                  <w:color w:val="0000FF" w:themeColor="hyperlink"/>
                  <w:sz w:val="20"/>
                  <w:szCs w:val="20"/>
                  <w:u w:val="single"/>
                  <w:lang w:val="fr-CA"/>
                </w:rPr>
                <w:t>2013 ONSC 5878</w:t>
              </w:r>
            </w:hyperlink>
            <w:r w:rsidR="003A549D" w:rsidRPr="009C2345">
              <w:rPr>
                <w:sz w:val="20"/>
                <w:szCs w:val="20"/>
                <w:lang w:val="fr-CA"/>
              </w:rPr>
              <w:t>; CV-12-468794</w:t>
            </w:r>
          </w:p>
          <w:p w:rsidR="003A549D" w:rsidRPr="009C2345" w:rsidRDefault="003A549D" w:rsidP="003A549D">
            <w:pPr>
              <w:jc w:val="both"/>
              <w:rPr>
                <w:sz w:val="20"/>
                <w:szCs w:val="20"/>
                <w:lang w:val="fr-CA"/>
              </w:rPr>
            </w:pPr>
          </w:p>
        </w:tc>
        <w:tc>
          <w:tcPr>
            <w:tcW w:w="243" w:type="pct"/>
          </w:tcPr>
          <w:p w:rsidR="003A549D" w:rsidRPr="009C2345" w:rsidRDefault="003A549D" w:rsidP="003A549D">
            <w:pPr>
              <w:jc w:val="both"/>
              <w:rPr>
                <w:sz w:val="20"/>
                <w:szCs w:val="20"/>
                <w:lang w:val="fr-CA"/>
              </w:rPr>
            </w:pPr>
          </w:p>
        </w:tc>
        <w:tc>
          <w:tcPr>
            <w:tcW w:w="2330" w:type="pct"/>
          </w:tcPr>
          <w:p w:rsidR="003A549D" w:rsidRPr="009C2345" w:rsidRDefault="003A549D" w:rsidP="003A549D">
            <w:pPr>
              <w:jc w:val="both"/>
              <w:rPr>
                <w:sz w:val="20"/>
                <w:szCs w:val="20"/>
                <w:lang w:val="fr-CA"/>
              </w:rPr>
            </w:pPr>
            <w:r w:rsidRPr="009C2345">
              <w:rPr>
                <w:sz w:val="20"/>
                <w:szCs w:val="20"/>
                <w:lang w:val="fr-CA"/>
              </w:rPr>
              <w:t>Jugement accueillant l’appel, annulant la décision de l’arbitre et autorisant la demande d’indemnisation des pertes d’Intact</w:t>
            </w:r>
          </w:p>
          <w:p w:rsidR="003A549D" w:rsidRPr="009C2345" w:rsidRDefault="003A549D" w:rsidP="003A549D">
            <w:pPr>
              <w:jc w:val="both"/>
              <w:rPr>
                <w:sz w:val="20"/>
                <w:szCs w:val="20"/>
                <w:lang w:val="fr-CA"/>
              </w:rPr>
            </w:pPr>
          </w:p>
        </w:tc>
      </w:tr>
      <w:tr w:rsidR="003A549D" w:rsidRPr="009C2345" w:rsidTr="00017A3C">
        <w:tc>
          <w:tcPr>
            <w:tcW w:w="2427" w:type="pct"/>
          </w:tcPr>
          <w:p w:rsidR="003A549D" w:rsidRPr="009C2345" w:rsidRDefault="003A549D" w:rsidP="003A549D">
            <w:pPr>
              <w:jc w:val="both"/>
              <w:rPr>
                <w:sz w:val="20"/>
                <w:szCs w:val="20"/>
                <w:lang w:val="fr-CA"/>
              </w:rPr>
            </w:pPr>
            <w:r w:rsidRPr="009C2345">
              <w:rPr>
                <w:sz w:val="20"/>
                <w:szCs w:val="20"/>
                <w:lang w:val="fr-CA"/>
              </w:rPr>
              <w:t>12 novembre 2015</w:t>
            </w:r>
          </w:p>
          <w:p w:rsidR="003A549D" w:rsidRPr="009C2345" w:rsidRDefault="003A549D" w:rsidP="003A549D">
            <w:pPr>
              <w:jc w:val="both"/>
              <w:rPr>
                <w:sz w:val="20"/>
                <w:szCs w:val="20"/>
                <w:lang w:val="fr-CA"/>
              </w:rPr>
            </w:pPr>
            <w:r w:rsidRPr="009C2345">
              <w:rPr>
                <w:sz w:val="20"/>
                <w:szCs w:val="20"/>
                <w:lang w:val="fr-CA"/>
              </w:rPr>
              <w:t xml:space="preserve">Cour d’appel de l’Ontario </w:t>
            </w:r>
          </w:p>
          <w:p w:rsidR="003A549D" w:rsidRPr="009C2345" w:rsidRDefault="003A549D" w:rsidP="003A549D">
            <w:pPr>
              <w:jc w:val="both"/>
              <w:rPr>
                <w:sz w:val="20"/>
                <w:szCs w:val="20"/>
                <w:lang w:val="fr-CA"/>
              </w:rPr>
            </w:pPr>
            <w:r w:rsidRPr="009C2345">
              <w:rPr>
                <w:sz w:val="20"/>
                <w:szCs w:val="20"/>
                <w:lang w:val="fr-CA"/>
              </w:rPr>
              <w:t>(Juges Hoy, van Rensburg et Benotto)</w:t>
            </w:r>
          </w:p>
          <w:p w:rsidR="003A549D" w:rsidRPr="009C2345" w:rsidRDefault="0082006E" w:rsidP="003A549D">
            <w:pPr>
              <w:jc w:val="both"/>
              <w:rPr>
                <w:sz w:val="20"/>
                <w:szCs w:val="20"/>
                <w:lang w:val="fr-CA"/>
              </w:rPr>
            </w:pPr>
            <w:hyperlink r:id="rId88" w:history="1">
              <w:r w:rsidR="003A549D" w:rsidRPr="009C2345">
                <w:rPr>
                  <w:color w:val="0000FF" w:themeColor="hyperlink"/>
                  <w:sz w:val="20"/>
                  <w:szCs w:val="20"/>
                  <w:u w:val="single"/>
                  <w:lang w:val="fr-CA"/>
                </w:rPr>
                <w:t>2015 ONCA 764</w:t>
              </w:r>
            </w:hyperlink>
            <w:r w:rsidR="003A549D" w:rsidRPr="009C2345">
              <w:rPr>
                <w:sz w:val="20"/>
                <w:szCs w:val="20"/>
                <w:lang w:val="fr-CA"/>
              </w:rPr>
              <w:t>; C58290 et C59127</w:t>
            </w:r>
          </w:p>
          <w:p w:rsidR="003A549D" w:rsidRPr="009C2345" w:rsidRDefault="003A549D" w:rsidP="003A549D">
            <w:pPr>
              <w:jc w:val="both"/>
              <w:rPr>
                <w:sz w:val="20"/>
                <w:szCs w:val="20"/>
                <w:lang w:val="fr-CA"/>
              </w:rPr>
            </w:pPr>
          </w:p>
        </w:tc>
        <w:tc>
          <w:tcPr>
            <w:tcW w:w="243" w:type="pct"/>
          </w:tcPr>
          <w:p w:rsidR="003A549D" w:rsidRPr="009C2345" w:rsidRDefault="003A549D" w:rsidP="003A549D">
            <w:pPr>
              <w:jc w:val="both"/>
              <w:rPr>
                <w:sz w:val="20"/>
                <w:szCs w:val="20"/>
                <w:lang w:val="fr-CA"/>
              </w:rPr>
            </w:pPr>
          </w:p>
        </w:tc>
        <w:tc>
          <w:tcPr>
            <w:tcW w:w="2330" w:type="pct"/>
          </w:tcPr>
          <w:p w:rsidR="003A549D" w:rsidRPr="009C2345" w:rsidRDefault="003A549D" w:rsidP="003A549D">
            <w:pPr>
              <w:jc w:val="both"/>
              <w:rPr>
                <w:sz w:val="20"/>
                <w:szCs w:val="20"/>
                <w:lang w:val="fr-CA"/>
              </w:rPr>
            </w:pPr>
            <w:r w:rsidRPr="009C2345">
              <w:rPr>
                <w:sz w:val="20"/>
                <w:szCs w:val="20"/>
                <w:lang w:val="fr-CA"/>
              </w:rPr>
              <w:t>Rejet de l’appel</w:t>
            </w:r>
          </w:p>
        </w:tc>
      </w:tr>
      <w:tr w:rsidR="003A549D" w:rsidRPr="0082006E" w:rsidTr="00017A3C">
        <w:tc>
          <w:tcPr>
            <w:tcW w:w="2427" w:type="pct"/>
          </w:tcPr>
          <w:p w:rsidR="003A549D" w:rsidRPr="009C2345" w:rsidRDefault="003A549D" w:rsidP="003A549D">
            <w:pPr>
              <w:jc w:val="both"/>
              <w:rPr>
                <w:sz w:val="20"/>
                <w:szCs w:val="20"/>
                <w:lang w:val="fr-CA"/>
              </w:rPr>
            </w:pPr>
            <w:r w:rsidRPr="009C2345">
              <w:rPr>
                <w:sz w:val="20"/>
                <w:szCs w:val="20"/>
                <w:lang w:val="fr-CA"/>
              </w:rPr>
              <w:t>11 janvier 2016</w:t>
            </w:r>
          </w:p>
          <w:p w:rsidR="003A549D" w:rsidRPr="009C2345" w:rsidRDefault="003A549D" w:rsidP="003A549D">
            <w:pPr>
              <w:jc w:val="both"/>
              <w:rPr>
                <w:sz w:val="20"/>
                <w:szCs w:val="20"/>
                <w:lang w:val="fr-CA"/>
              </w:rPr>
            </w:pPr>
            <w:r w:rsidRPr="009C2345">
              <w:rPr>
                <w:sz w:val="20"/>
                <w:szCs w:val="20"/>
                <w:lang w:val="fr-CA"/>
              </w:rPr>
              <w:t>Cour suprême du Canada</w:t>
            </w:r>
          </w:p>
        </w:tc>
        <w:tc>
          <w:tcPr>
            <w:tcW w:w="243" w:type="pct"/>
          </w:tcPr>
          <w:p w:rsidR="003A549D" w:rsidRPr="009C2345" w:rsidRDefault="003A549D" w:rsidP="003A549D">
            <w:pPr>
              <w:jc w:val="both"/>
              <w:rPr>
                <w:sz w:val="20"/>
                <w:szCs w:val="20"/>
                <w:lang w:val="fr-CA"/>
              </w:rPr>
            </w:pPr>
          </w:p>
        </w:tc>
        <w:tc>
          <w:tcPr>
            <w:tcW w:w="2330" w:type="pct"/>
          </w:tcPr>
          <w:p w:rsidR="003A549D" w:rsidRPr="009C2345" w:rsidRDefault="003A549D" w:rsidP="003A549D">
            <w:pPr>
              <w:jc w:val="both"/>
              <w:rPr>
                <w:sz w:val="20"/>
                <w:szCs w:val="20"/>
                <w:lang w:val="fr-CA"/>
              </w:rPr>
            </w:pPr>
            <w:r w:rsidRPr="009C2345">
              <w:rPr>
                <w:sz w:val="20"/>
                <w:szCs w:val="20"/>
                <w:lang w:val="fr-CA"/>
              </w:rPr>
              <w:t>Dépôt de la demande d’autorisation d’appel</w:t>
            </w:r>
          </w:p>
        </w:tc>
      </w:tr>
    </w:tbl>
    <w:p w:rsidR="006E4D45" w:rsidRPr="009C2345" w:rsidRDefault="006E4D45" w:rsidP="008D292F">
      <w:pPr>
        <w:rPr>
          <w:sz w:val="20"/>
          <w:szCs w:val="20"/>
          <w:lang w:val="fr-CA"/>
        </w:rPr>
      </w:pPr>
    </w:p>
    <w:p w:rsidR="006E4D45" w:rsidRPr="009C2345" w:rsidRDefault="0082006E" w:rsidP="008D292F">
      <w:pPr>
        <w:rPr>
          <w:sz w:val="20"/>
          <w:szCs w:val="20"/>
          <w:lang w:val="fr-CA"/>
        </w:rPr>
      </w:pPr>
      <w:r>
        <w:rPr>
          <w:sz w:val="20"/>
          <w:szCs w:val="20"/>
          <w:lang w:val="fr-CA"/>
        </w:rPr>
        <w:pict>
          <v:rect id="_x0000_i1071" style="width:2in;height:1pt" o:hrpct="0" o:hralign="center" o:hrstd="t" o:hrnoshade="t" o:hr="t" fillcolor="black [3213]" stroked="f"/>
        </w:pict>
      </w:r>
    </w:p>
    <w:p w:rsidR="006E4D45" w:rsidRPr="009C2345" w:rsidRDefault="006E4D45" w:rsidP="008D292F">
      <w:pPr>
        <w:rPr>
          <w:sz w:val="20"/>
          <w:szCs w:val="20"/>
          <w:lang w:val="fr-CA"/>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082"/>
      </w:tblGrid>
      <w:tr w:rsidR="0040694F" w:rsidRPr="0082006E" w:rsidTr="005F12E5">
        <w:trPr>
          <w:cantSplit/>
          <w:trHeight w:val="608"/>
        </w:trPr>
        <w:tc>
          <w:tcPr>
            <w:tcW w:w="1458" w:type="dxa"/>
          </w:tcPr>
          <w:p w:rsidR="0040694F" w:rsidRPr="000840CA" w:rsidRDefault="0040694F" w:rsidP="00017A3C">
            <w:pPr>
              <w:rPr>
                <w:sz w:val="20"/>
                <w:szCs w:val="20"/>
              </w:rPr>
            </w:pPr>
            <w:r w:rsidRPr="000840CA">
              <w:rPr>
                <w:rStyle w:val="SCCFileNumberChar"/>
                <w:sz w:val="20"/>
                <w:szCs w:val="20"/>
              </w:rPr>
              <w:t>36814</w:t>
            </w:r>
          </w:p>
          <w:p w:rsidR="0040694F" w:rsidRPr="000840CA" w:rsidRDefault="0040694F" w:rsidP="00017A3C">
            <w:pPr>
              <w:rPr>
                <w:b/>
                <w:sz w:val="20"/>
                <w:szCs w:val="20"/>
                <w:lang w:val="fr-CA"/>
              </w:rPr>
            </w:pPr>
          </w:p>
        </w:tc>
        <w:tc>
          <w:tcPr>
            <w:tcW w:w="8082" w:type="dxa"/>
          </w:tcPr>
          <w:p w:rsidR="0040694F" w:rsidRPr="000840CA" w:rsidRDefault="0040694F" w:rsidP="004E6EF3">
            <w:pPr>
              <w:jc w:val="both"/>
              <w:rPr>
                <w:sz w:val="20"/>
                <w:szCs w:val="20"/>
                <w:lang w:val="fr-CA"/>
              </w:rPr>
            </w:pPr>
            <w:r w:rsidRPr="000840CA">
              <w:rPr>
                <w:b/>
                <w:sz w:val="20"/>
                <w:szCs w:val="20"/>
                <w:u w:val="single"/>
                <w:lang w:val="fr-CA"/>
              </w:rPr>
              <w:t xml:space="preserve">Gandhi Jean Pierre </w:t>
            </w:r>
            <w:r w:rsidR="009638AC" w:rsidRPr="000840CA">
              <w:rPr>
                <w:b/>
                <w:sz w:val="20"/>
                <w:szCs w:val="20"/>
                <w:u w:val="single"/>
                <w:lang w:val="fr-CA"/>
              </w:rPr>
              <w:t>c</w:t>
            </w:r>
            <w:r w:rsidRPr="000840CA">
              <w:rPr>
                <w:b/>
                <w:sz w:val="20"/>
                <w:szCs w:val="20"/>
                <w:u w:val="single"/>
                <w:lang w:val="fr-CA"/>
              </w:rPr>
              <w:t>. Conseil d’arbitrage des comptes d’honoraires des avocats du Barreau du Québec</w:t>
            </w:r>
            <w:r w:rsidR="009638AC" w:rsidRPr="000840CA">
              <w:rPr>
                <w:sz w:val="20"/>
                <w:szCs w:val="20"/>
                <w:lang w:val="fr-CA"/>
              </w:rPr>
              <w:t xml:space="preserve"> (Qc</w:t>
            </w:r>
            <w:r w:rsidRPr="000840CA">
              <w:rPr>
                <w:sz w:val="20"/>
                <w:szCs w:val="20"/>
                <w:lang w:val="fr-CA"/>
              </w:rPr>
              <w:t>) (Civil</w:t>
            </w:r>
            <w:r w:rsidR="009638AC" w:rsidRPr="000840CA">
              <w:rPr>
                <w:sz w:val="20"/>
                <w:szCs w:val="20"/>
                <w:lang w:val="fr-CA"/>
              </w:rPr>
              <w:t>e</w:t>
            </w:r>
            <w:r w:rsidRPr="000840CA">
              <w:rPr>
                <w:sz w:val="20"/>
                <w:szCs w:val="20"/>
                <w:lang w:val="fr-CA"/>
              </w:rPr>
              <w:t>) (</w:t>
            </w:r>
            <w:r w:rsidR="009638AC" w:rsidRPr="000840CA">
              <w:rPr>
                <w:sz w:val="20"/>
                <w:szCs w:val="20"/>
                <w:lang w:val="fr-CA"/>
              </w:rPr>
              <w:t>Autorisation</w:t>
            </w:r>
            <w:r w:rsidRPr="000840CA">
              <w:rPr>
                <w:sz w:val="20"/>
                <w:szCs w:val="20"/>
                <w:lang w:val="fr-CA"/>
              </w:rPr>
              <w:t>)</w:t>
            </w:r>
          </w:p>
          <w:p w:rsidR="0040694F" w:rsidRPr="000840CA" w:rsidRDefault="0040694F" w:rsidP="00017A3C">
            <w:pPr>
              <w:rPr>
                <w:sz w:val="20"/>
                <w:szCs w:val="20"/>
                <w:lang w:val="fr-CA"/>
              </w:rPr>
            </w:pPr>
          </w:p>
        </w:tc>
      </w:tr>
      <w:tr w:rsidR="0040694F" w:rsidRPr="0082006E" w:rsidTr="005F12E5">
        <w:trPr>
          <w:cantSplit/>
        </w:trPr>
        <w:tc>
          <w:tcPr>
            <w:tcW w:w="1458" w:type="dxa"/>
          </w:tcPr>
          <w:p w:rsidR="0040694F" w:rsidRPr="000840CA" w:rsidRDefault="0040694F" w:rsidP="00017A3C">
            <w:pPr>
              <w:rPr>
                <w:sz w:val="20"/>
                <w:szCs w:val="20"/>
              </w:rPr>
            </w:pPr>
            <w:r w:rsidRPr="000840CA">
              <w:rPr>
                <w:sz w:val="20"/>
                <w:szCs w:val="20"/>
              </w:rPr>
              <w:t>Coram :</w:t>
            </w:r>
          </w:p>
        </w:tc>
        <w:tc>
          <w:tcPr>
            <w:tcW w:w="8082" w:type="dxa"/>
          </w:tcPr>
          <w:p w:rsidR="0040694F" w:rsidRPr="000840CA" w:rsidRDefault="009638AC" w:rsidP="00017A3C">
            <w:pPr>
              <w:rPr>
                <w:sz w:val="20"/>
                <w:szCs w:val="20"/>
                <w:u w:val="single"/>
                <w:lang w:val="fr-CA"/>
              </w:rPr>
            </w:pPr>
            <w:r w:rsidRPr="000840CA">
              <w:rPr>
                <w:rStyle w:val="SCCCoramChar"/>
                <w:sz w:val="20"/>
                <w:szCs w:val="20"/>
              </w:rPr>
              <w:t>Les juges Abella, Karakatsanis et Brown</w:t>
            </w:r>
          </w:p>
          <w:p w:rsidR="0040694F" w:rsidRPr="000840CA" w:rsidRDefault="0040694F" w:rsidP="00017A3C">
            <w:pPr>
              <w:rPr>
                <w:sz w:val="20"/>
                <w:szCs w:val="20"/>
                <w:lang w:val="fr-CA"/>
              </w:rPr>
            </w:pPr>
          </w:p>
        </w:tc>
      </w:tr>
      <w:tr w:rsidR="0040694F" w:rsidRPr="000840CA" w:rsidTr="005F12E5">
        <w:trPr>
          <w:cantSplit/>
        </w:trPr>
        <w:tc>
          <w:tcPr>
            <w:tcW w:w="9540" w:type="dxa"/>
            <w:gridSpan w:val="2"/>
          </w:tcPr>
          <w:p w:rsidR="0040694F" w:rsidRPr="000840CA" w:rsidRDefault="009638AC" w:rsidP="00017A3C">
            <w:pPr>
              <w:pStyle w:val="SCCShortJudgment"/>
              <w:ind w:firstLine="0"/>
              <w:rPr>
                <w:lang w:val="fr-CA"/>
              </w:rPr>
            </w:pPr>
            <w:r w:rsidRPr="000840CA">
              <w:rPr>
                <w:lang w:val="fr-CA"/>
              </w:rPr>
              <w:tab/>
              <w:t>La requête en prorogation du délai pour la signification et le dépôt de la demande d’autorisation d’appel est accueillie. La demande d’autorisation d’appel de l’arrêt de la Cour d’appel du Québec (Montréal), numéro 500-09-025514-159, 2015 QCCA 1706, daté du 16 octobre 2015, est rejetée sans dépens.</w:t>
            </w:r>
          </w:p>
          <w:p w:rsidR="009638AC" w:rsidRPr="000840CA" w:rsidRDefault="009638AC" w:rsidP="00017A3C">
            <w:pPr>
              <w:pStyle w:val="SCCShortJudgment"/>
              <w:ind w:firstLine="0"/>
              <w:rPr>
                <w:szCs w:val="20"/>
                <w:lang w:val="fr-CA"/>
              </w:rPr>
            </w:pPr>
          </w:p>
          <w:p w:rsidR="0040694F" w:rsidRPr="000840CA" w:rsidRDefault="009638AC" w:rsidP="00017A3C">
            <w:pPr>
              <w:pStyle w:val="SCCShortJudgment"/>
              <w:rPr>
                <w:szCs w:val="20"/>
              </w:rPr>
            </w:pPr>
            <w:r w:rsidRPr="000840CA">
              <w:t>The motion for an extension of time to serve and file the application for leave to appeal is granted. The application for leave to appeal from the judgment of the Court of Appeal of Quebec (Montréal), Number 500-09-025514-159, 2015 QCCA 1706, dated October 16, 2015, is dismissed without costs.</w:t>
            </w:r>
          </w:p>
        </w:tc>
      </w:tr>
    </w:tbl>
    <w:p w:rsidR="0040694F" w:rsidRPr="009C2345" w:rsidRDefault="0040694F" w:rsidP="0040694F">
      <w:pPr>
        <w:rPr>
          <w:sz w:val="20"/>
          <w:szCs w:val="20"/>
        </w:rPr>
      </w:pPr>
    </w:p>
    <w:p w:rsidR="0040694F" w:rsidRPr="009C2345" w:rsidRDefault="0040694F" w:rsidP="0040694F">
      <w:pPr>
        <w:rPr>
          <w:sz w:val="20"/>
          <w:szCs w:val="20"/>
          <w:u w:val="single"/>
        </w:rPr>
      </w:pPr>
      <w:r w:rsidRPr="009C2345">
        <w:rPr>
          <w:sz w:val="20"/>
          <w:szCs w:val="20"/>
          <w:u w:val="single"/>
        </w:rPr>
        <w:t>CASE SUMMARY</w:t>
      </w:r>
    </w:p>
    <w:p w:rsidR="0040694F" w:rsidRPr="009C2345" w:rsidRDefault="0040694F" w:rsidP="0040694F">
      <w:pPr>
        <w:rPr>
          <w:sz w:val="20"/>
          <w:szCs w:val="20"/>
        </w:rPr>
      </w:pPr>
    </w:p>
    <w:tbl>
      <w:tblPr>
        <w:tblW w:w="4959" w:type="pct"/>
        <w:tblLayout w:type="fixed"/>
        <w:tblCellMar>
          <w:left w:w="0" w:type="dxa"/>
          <w:bottom w:w="99" w:type="dxa"/>
          <w:right w:w="0" w:type="dxa"/>
        </w:tblCellMar>
        <w:tblLook w:val="04A0" w:firstRow="1" w:lastRow="0" w:firstColumn="1" w:lastColumn="0" w:noHBand="0" w:noVBand="1"/>
      </w:tblPr>
      <w:tblGrid>
        <w:gridCol w:w="4623"/>
        <w:gridCol w:w="464"/>
        <w:gridCol w:w="4453"/>
      </w:tblGrid>
      <w:tr w:rsidR="0040694F" w:rsidRPr="009C2345" w:rsidTr="005F12E5">
        <w:tc>
          <w:tcPr>
            <w:tcW w:w="5000" w:type="pct"/>
            <w:gridSpan w:val="3"/>
          </w:tcPr>
          <w:p w:rsidR="0040694F" w:rsidRPr="009C2345" w:rsidRDefault="0040694F" w:rsidP="0040694F">
            <w:pPr>
              <w:jc w:val="both"/>
              <w:rPr>
                <w:sz w:val="20"/>
                <w:szCs w:val="20"/>
              </w:rPr>
            </w:pPr>
            <w:r w:rsidRPr="009C2345">
              <w:rPr>
                <w:sz w:val="20"/>
                <w:szCs w:val="20"/>
              </w:rPr>
              <w:t xml:space="preserve">Administrative law – Judicial review – Appeal – Leave to appeal – Whether </w:t>
            </w:r>
            <w:r w:rsidRPr="009C2345">
              <w:rPr>
                <w:i/>
                <w:sz w:val="20"/>
                <w:szCs w:val="20"/>
              </w:rPr>
              <w:t xml:space="preserve">Conseil d’arbitrage des comptes des avocats du Barreau du Québec v. Marquis, </w:t>
            </w:r>
            <w:r w:rsidRPr="009C2345">
              <w:rPr>
                <w:sz w:val="20"/>
                <w:szCs w:val="20"/>
              </w:rPr>
              <w:t xml:space="preserve">2011 QCCA 133, was decided in manner contrary to constitutional rights – Whether </w:t>
            </w:r>
            <w:r w:rsidRPr="009C2345">
              <w:rPr>
                <w:i/>
                <w:sz w:val="20"/>
                <w:szCs w:val="20"/>
              </w:rPr>
              <w:t>Marquis</w:t>
            </w:r>
            <w:r w:rsidRPr="009C2345">
              <w:rPr>
                <w:sz w:val="20"/>
                <w:szCs w:val="20"/>
              </w:rPr>
              <w:t xml:space="preserve"> creates confusion for litigants – Whether Court of Appeal failed to consider these questions in dismissing application for leave to appeal.</w:t>
            </w:r>
          </w:p>
          <w:p w:rsidR="0040694F" w:rsidRPr="009C2345" w:rsidRDefault="0040694F" w:rsidP="0040694F">
            <w:pPr>
              <w:jc w:val="both"/>
              <w:rPr>
                <w:sz w:val="20"/>
                <w:szCs w:val="20"/>
              </w:rPr>
            </w:pPr>
          </w:p>
        </w:tc>
      </w:tr>
      <w:tr w:rsidR="0040694F" w:rsidRPr="009C2345" w:rsidTr="005F12E5">
        <w:tc>
          <w:tcPr>
            <w:tcW w:w="5000" w:type="pct"/>
            <w:gridSpan w:val="3"/>
          </w:tcPr>
          <w:p w:rsidR="0040694F" w:rsidRPr="009C2345" w:rsidRDefault="0040694F" w:rsidP="0040694F">
            <w:pPr>
              <w:jc w:val="both"/>
              <w:rPr>
                <w:sz w:val="20"/>
                <w:szCs w:val="20"/>
              </w:rPr>
            </w:pPr>
            <w:r w:rsidRPr="009C2345">
              <w:rPr>
                <w:sz w:val="20"/>
                <w:szCs w:val="20"/>
              </w:rPr>
              <w:t xml:space="preserve">The Superior Court allowed a motion to dismiss made by the respondent Conseil d’arbitrage des comptes d’honoraires des avocats du Barreau du Québec </w:t>
            </w:r>
            <w:r w:rsidRPr="009C2345">
              <w:rPr>
                <w:rFonts w:cs="Times New Roman"/>
                <w:color w:val="000000"/>
                <w:sz w:val="20"/>
                <w:szCs w:val="20"/>
              </w:rPr>
              <w:t xml:space="preserve">(“council”) on the basis of </w:t>
            </w:r>
            <w:r w:rsidRPr="009C2345">
              <w:rPr>
                <w:rFonts w:cs="Times New Roman"/>
                <w:i/>
                <w:iCs/>
                <w:color w:val="000000"/>
                <w:sz w:val="20"/>
                <w:szCs w:val="20"/>
              </w:rPr>
              <w:t>Marquis</w:t>
            </w:r>
            <w:r w:rsidRPr="009C2345">
              <w:rPr>
                <w:rFonts w:cs="Times New Roman"/>
                <w:iCs/>
                <w:color w:val="000000"/>
                <w:sz w:val="20"/>
                <w:szCs w:val="20"/>
              </w:rPr>
              <w:t>, in which it had been found that an application for annulment, rather than an application for judicial review, should have been brought against a decision made by the council</w:t>
            </w:r>
            <w:r w:rsidRPr="009C2345">
              <w:rPr>
                <w:rFonts w:cs="Times New Roman"/>
                <w:color w:val="000000"/>
                <w:sz w:val="20"/>
                <w:szCs w:val="20"/>
              </w:rPr>
              <w:t>. About $4,000 was in dispute. In the Court of Appeal, the applicant argued that the judgment on which the Superior Court had relied was unconstitutional and sought to have the Court of Appeal change its position on the application, or rather the non</w:t>
            </w:r>
            <w:r w:rsidRPr="009C2345">
              <w:rPr>
                <w:rFonts w:cs="Times New Roman"/>
                <w:color w:val="000000"/>
                <w:sz w:val="20"/>
                <w:szCs w:val="20"/>
              </w:rPr>
              <w:noBreakHyphen/>
              <w:t xml:space="preserve">application, of arts. 834 to 850 of the </w:t>
            </w:r>
            <w:r w:rsidRPr="009C2345">
              <w:rPr>
                <w:rFonts w:cs="Times New Roman"/>
                <w:i/>
                <w:color w:val="000000"/>
                <w:sz w:val="20"/>
                <w:szCs w:val="20"/>
              </w:rPr>
              <w:t>Code of Civil Procedure</w:t>
            </w:r>
            <w:r w:rsidRPr="009C2345">
              <w:rPr>
                <w:rFonts w:cs="Times New Roman"/>
                <w:color w:val="000000"/>
                <w:sz w:val="20"/>
                <w:szCs w:val="20"/>
              </w:rPr>
              <w:t xml:space="preserve"> to consensual arbitration, including arbitration of the accounts for fees of lawyers in the Barreau du Québec. In the alternative, he argued that the Superior Court had applied the </w:t>
            </w:r>
            <w:r w:rsidRPr="009C2345">
              <w:rPr>
                <w:rFonts w:cs="Times New Roman"/>
                <w:i/>
                <w:color w:val="000000"/>
                <w:sz w:val="20"/>
                <w:szCs w:val="20"/>
              </w:rPr>
              <w:t>stare decisis</w:t>
            </w:r>
            <w:r w:rsidRPr="009C2345">
              <w:rPr>
                <w:rFonts w:cs="Times New Roman"/>
                <w:color w:val="000000"/>
                <w:sz w:val="20"/>
                <w:szCs w:val="20"/>
              </w:rPr>
              <w:t xml:space="preserve"> rule too strictly in allowing the council’s motion to dismiss. Finally, he alleged that he had not really been heard by the Superior Court judge because the judge had decided that he felt bound by </w:t>
            </w:r>
            <w:r w:rsidRPr="009C2345">
              <w:rPr>
                <w:rFonts w:cs="Times New Roman"/>
                <w:i/>
                <w:color w:val="000000"/>
                <w:sz w:val="20"/>
                <w:szCs w:val="20"/>
              </w:rPr>
              <w:t>Marquis</w:t>
            </w:r>
            <w:r w:rsidRPr="009C2345">
              <w:rPr>
                <w:rFonts w:cs="Times New Roman"/>
                <w:color w:val="000000"/>
                <w:sz w:val="20"/>
                <w:szCs w:val="20"/>
              </w:rPr>
              <w:t>, and he added that his constitutional rights had therefore been infringed. The motion for leave to appeal was dismissed.</w:t>
            </w:r>
          </w:p>
        </w:tc>
      </w:tr>
      <w:tr w:rsidR="0040694F" w:rsidRPr="009C2345" w:rsidTr="005F12E5">
        <w:tc>
          <w:tcPr>
            <w:tcW w:w="5000" w:type="pct"/>
            <w:gridSpan w:val="3"/>
          </w:tcPr>
          <w:p w:rsidR="0040694F" w:rsidRPr="009C2345" w:rsidRDefault="0040694F" w:rsidP="0040694F">
            <w:pPr>
              <w:jc w:val="both"/>
              <w:rPr>
                <w:sz w:val="20"/>
                <w:szCs w:val="20"/>
              </w:rPr>
            </w:pPr>
          </w:p>
        </w:tc>
      </w:tr>
      <w:tr w:rsidR="0040694F" w:rsidRPr="009C2345" w:rsidTr="005F12E5">
        <w:tc>
          <w:tcPr>
            <w:tcW w:w="2423" w:type="pct"/>
          </w:tcPr>
          <w:p w:rsidR="0040694F" w:rsidRPr="009C2345" w:rsidRDefault="0040694F" w:rsidP="0040694F">
            <w:pPr>
              <w:jc w:val="both"/>
              <w:rPr>
                <w:sz w:val="20"/>
                <w:szCs w:val="20"/>
              </w:rPr>
            </w:pPr>
            <w:r w:rsidRPr="009C2345">
              <w:rPr>
                <w:sz w:val="20"/>
                <w:szCs w:val="20"/>
              </w:rPr>
              <w:t>July 10, 2015</w:t>
            </w:r>
          </w:p>
          <w:p w:rsidR="0040694F" w:rsidRPr="009C2345" w:rsidRDefault="0040694F" w:rsidP="0040694F">
            <w:pPr>
              <w:jc w:val="both"/>
              <w:rPr>
                <w:sz w:val="20"/>
                <w:szCs w:val="20"/>
              </w:rPr>
            </w:pPr>
            <w:r w:rsidRPr="009C2345">
              <w:rPr>
                <w:sz w:val="20"/>
                <w:szCs w:val="20"/>
              </w:rPr>
              <w:t>Quebec Superior Court</w:t>
            </w:r>
          </w:p>
          <w:p w:rsidR="0040694F" w:rsidRPr="009C2345" w:rsidRDefault="0040694F" w:rsidP="0040694F">
            <w:pPr>
              <w:jc w:val="both"/>
              <w:rPr>
                <w:sz w:val="20"/>
                <w:szCs w:val="20"/>
              </w:rPr>
            </w:pPr>
            <w:r w:rsidRPr="009C2345">
              <w:rPr>
                <w:sz w:val="20"/>
                <w:szCs w:val="20"/>
              </w:rPr>
              <w:t>(Collier J.)</w:t>
            </w:r>
          </w:p>
          <w:p w:rsidR="0040694F" w:rsidRPr="009C2345" w:rsidRDefault="0082006E" w:rsidP="0040694F">
            <w:pPr>
              <w:jc w:val="both"/>
              <w:rPr>
                <w:sz w:val="20"/>
                <w:szCs w:val="20"/>
              </w:rPr>
            </w:pPr>
            <w:hyperlink r:id="rId89" w:history="1">
              <w:r w:rsidR="0040694F" w:rsidRPr="009C2345">
                <w:rPr>
                  <w:color w:val="0000FF" w:themeColor="hyperlink"/>
                  <w:sz w:val="20"/>
                  <w:szCs w:val="20"/>
                  <w:u w:val="single"/>
                </w:rPr>
                <w:t>2015 QCCS 6465</w:t>
              </w:r>
            </w:hyperlink>
          </w:p>
          <w:p w:rsidR="0040694F" w:rsidRPr="009C2345" w:rsidRDefault="0040694F" w:rsidP="0040694F">
            <w:pPr>
              <w:jc w:val="both"/>
              <w:rPr>
                <w:sz w:val="20"/>
                <w:szCs w:val="20"/>
              </w:rPr>
            </w:pPr>
          </w:p>
        </w:tc>
        <w:tc>
          <w:tcPr>
            <w:tcW w:w="243" w:type="pct"/>
          </w:tcPr>
          <w:p w:rsidR="0040694F" w:rsidRPr="009C2345" w:rsidRDefault="0040694F" w:rsidP="0040694F">
            <w:pPr>
              <w:jc w:val="both"/>
              <w:rPr>
                <w:sz w:val="20"/>
                <w:szCs w:val="20"/>
              </w:rPr>
            </w:pPr>
          </w:p>
        </w:tc>
        <w:tc>
          <w:tcPr>
            <w:tcW w:w="2334" w:type="pct"/>
          </w:tcPr>
          <w:p w:rsidR="0040694F" w:rsidRPr="009C2345" w:rsidRDefault="0040694F" w:rsidP="0040694F">
            <w:pPr>
              <w:jc w:val="both"/>
              <w:rPr>
                <w:sz w:val="20"/>
                <w:szCs w:val="20"/>
              </w:rPr>
            </w:pPr>
            <w:r w:rsidRPr="009C2345">
              <w:rPr>
                <w:sz w:val="20"/>
                <w:szCs w:val="20"/>
              </w:rPr>
              <w:t>Defendant’s motion to dismiss allowed with costs</w:t>
            </w:r>
          </w:p>
          <w:p w:rsidR="0040694F" w:rsidRPr="009C2345" w:rsidRDefault="0040694F" w:rsidP="0040694F">
            <w:pPr>
              <w:jc w:val="both"/>
              <w:rPr>
                <w:sz w:val="20"/>
                <w:szCs w:val="20"/>
              </w:rPr>
            </w:pPr>
          </w:p>
        </w:tc>
      </w:tr>
      <w:tr w:rsidR="0040694F" w:rsidRPr="009C2345" w:rsidTr="005F12E5">
        <w:tc>
          <w:tcPr>
            <w:tcW w:w="2423" w:type="pct"/>
          </w:tcPr>
          <w:p w:rsidR="0040694F" w:rsidRPr="009C2345" w:rsidRDefault="0040694F" w:rsidP="0040694F">
            <w:pPr>
              <w:jc w:val="both"/>
              <w:rPr>
                <w:sz w:val="20"/>
                <w:szCs w:val="20"/>
              </w:rPr>
            </w:pPr>
            <w:r w:rsidRPr="009C2345">
              <w:rPr>
                <w:sz w:val="20"/>
                <w:szCs w:val="20"/>
              </w:rPr>
              <w:t>October 16, 2015</w:t>
            </w:r>
          </w:p>
          <w:p w:rsidR="0040694F" w:rsidRPr="009C2345" w:rsidRDefault="0040694F" w:rsidP="0040694F">
            <w:pPr>
              <w:jc w:val="both"/>
              <w:rPr>
                <w:sz w:val="20"/>
                <w:szCs w:val="20"/>
              </w:rPr>
            </w:pPr>
            <w:r w:rsidRPr="009C2345">
              <w:rPr>
                <w:sz w:val="20"/>
                <w:szCs w:val="20"/>
              </w:rPr>
              <w:t>Quebec Court of Appeal (Montréal)</w:t>
            </w:r>
          </w:p>
          <w:p w:rsidR="0040694F" w:rsidRPr="009C2345" w:rsidRDefault="0040694F" w:rsidP="0040694F">
            <w:pPr>
              <w:jc w:val="both"/>
              <w:rPr>
                <w:sz w:val="20"/>
                <w:szCs w:val="20"/>
              </w:rPr>
            </w:pPr>
            <w:r w:rsidRPr="009C2345">
              <w:rPr>
                <w:sz w:val="20"/>
                <w:szCs w:val="20"/>
              </w:rPr>
              <w:t>(Doyon J.A.)</w:t>
            </w:r>
          </w:p>
          <w:p w:rsidR="0040694F" w:rsidRPr="009C2345" w:rsidRDefault="0082006E" w:rsidP="0040694F">
            <w:pPr>
              <w:jc w:val="both"/>
              <w:rPr>
                <w:sz w:val="20"/>
                <w:szCs w:val="20"/>
              </w:rPr>
            </w:pPr>
            <w:hyperlink r:id="rId90" w:history="1">
              <w:r w:rsidR="0040694F" w:rsidRPr="009C2345">
                <w:rPr>
                  <w:color w:val="0000FF" w:themeColor="hyperlink"/>
                  <w:sz w:val="20"/>
                  <w:szCs w:val="20"/>
                  <w:u w:val="single"/>
                </w:rPr>
                <w:t>2015 QCCA 1706</w:t>
              </w:r>
            </w:hyperlink>
          </w:p>
          <w:p w:rsidR="0040694F" w:rsidRPr="009C2345" w:rsidRDefault="0040694F" w:rsidP="0040694F">
            <w:pPr>
              <w:jc w:val="both"/>
              <w:rPr>
                <w:sz w:val="20"/>
                <w:szCs w:val="20"/>
              </w:rPr>
            </w:pPr>
          </w:p>
        </w:tc>
        <w:tc>
          <w:tcPr>
            <w:tcW w:w="243" w:type="pct"/>
          </w:tcPr>
          <w:p w:rsidR="0040694F" w:rsidRPr="009C2345" w:rsidRDefault="0040694F" w:rsidP="0040694F">
            <w:pPr>
              <w:jc w:val="both"/>
              <w:rPr>
                <w:sz w:val="20"/>
                <w:szCs w:val="20"/>
              </w:rPr>
            </w:pPr>
          </w:p>
        </w:tc>
        <w:tc>
          <w:tcPr>
            <w:tcW w:w="2334" w:type="pct"/>
          </w:tcPr>
          <w:p w:rsidR="0040694F" w:rsidRPr="009C2345" w:rsidRDefault="0040694F" w:rsidP="0040694F">
            <w:pPr>
              <w:jc w:val="both"/>
              <w:rPr>
                <w:sz w:val="20"/>
                <w:szCs w:val="20"/>
              </w:rPr>
            </w:pPr>
            <w:r w:rsidRPr="009C2345">
              <w:rPr>
                <w:sz w:val="20"/>
                <w:szCs w:val="20"/>
              </w:rPr>
              <w:t>Motion for leave to appeal dismissed without costs</w:t>
            </w:r>
          </w:p>
          <w:p w:rsidR="0040694F" w:rsidRPr="009C2345" w:rsidRDefault="0040694F" w:rsidP="0040694F">
            <w:pPr>
              <w:jc w:val="both"/>
              <w:rPr>
                <w:sz w:val="20"/>
                <w:szCs w:val="20"/>
              </w:rPr>
            </w:pPr>
          </w:p>
        </w:tc>
      </w:tr>
      <w:tr w:rsidR="0040694F" w:rsidRPr="009C2345" w:rsidTr="005F12E5">
        <w:tc>
          <w:tcPr>
            <w:tcW w:w="2423" w:type="pct"/>
          </w:tcPr>
          <w:p w:rsidR="0040694F" w:rsidRPr="009C2345" w:rsidRDefault="0040694F" w:rsidP="0040694F">
            <w:pPr>
              <w:jc w:val="both"/>
              <w:rPr>
                <w:sz w:val="20"/>
                <w:szCs w:val="20"/>
              </w:rPr>
            </w:pPr>
            <w:r w:rsidRPr="009C2345">
              <w:rPr>
                <w:sz w:val="20"/>
                <w:szCs w:val="20"/>
              </w:rPr>
              <w:t>December 24, 2015</w:t>
            </w:r>
          </w:p>
          <w:p w:rsidR="0040694F" w:rsidRPr="009C2345" w:rsidRDefault="0040694F" w:rsidP="0040694F">
            <w:pPr>
              <w:jc w:val="both"/>
              <w:rPr>
                <w:sz w:val="20"/>
                <w:szCs w:val="20"/>
              </w:rPr>
            </w:pPr>
            <w:r w:rsidRPr="009C2345">
              <w:rPr>
                <w:sz w:val="20"/>
                <w:szCs w:val="20"/>
              </w:rPr>
              <w:t>Supreme Court of Canada</w:t>
            </w:r>
          </w:p>
        </w:tc>
        <w:tc>
          <w:tcPr>
            <w:tcW w:w="243" w:type="pct"/>
          </w:tcPr>
          <w:p w:rsidR="0040694F" w:rsidRPr="009C2345" w:rsidRDefault="0040694F" w:rsidP="0040694F">
            <w:pPr>
              <w:jc w:val="both"/>
              <w:rPr>
                <w:sz w:val="20"/>
                <w:szCs w:val="20"/>
              </w:rPr>
            </w:pPr>
          </w:p>
        </w:tc>
        <w:tc>
          <w:tcPr>
            <w:tcW w:w="2334" w:type="pct"/>
          </w:tcPr>
          <w:p w:rsidR="0040694F" w:rsidRPr="009C2345" w:rsidRDefault="0040694F" w:rsidP="0040694F">
            <w:pPr>
              <w:jc w:val="both"/>
              <w:rPr>
                <w:sz w:val="20"/>
                <w:szCs w:val="20"/>
              </w:rPr>
            </w:pPr>
            <w:r w:rsidRPr="009C2345">
              <w:rPr>
                <w:sz w:val="20"/>
                <w:szCs w:val="20"/>
              </w:rPr>
              <w:t>Application to extend time to serve and file leave application and application for leave to appeal filed</w:t>
            </w:r>
          </w:p>
        </w:tc>
      </w:tr>
    </w:tbl>
    <w:p w:rsidR="006E4D45" w:rsidRPr="009C2345" w:rsidRDefault="006E4D45" w:rsidP="008D292F">
      <w:pPr>
        <w:rPr>
          <w:sz w:val="20"/>
          <w:szCs w:val="20"/>
        </w:rPr>
      </w:pPr>
    </w:p>
    <w:p w:rsidR="006E4D45" w:rsidRPr="009C2345" w:rsidRDefault="0082006E" w:rsidP="008D292F">
      <w:pPr>
        <w:rPr>
          <w:sz w:val="20"/>
          <w:szCs w:val="20"/>
          <w:lang w:val="fr-CA"/>
        </w:rPr>
      </w:pPr>
      <w:r>
        <w:rPr>
          <w:sz w:val="20"/>
          <w:szCs w:val="20"/>
          <w:lang w:val="fr-CA"/>
        </w:rPr>
        <w:pict>
          <v:rect id="_x0000_i1072" style="width:2in;height:1pt" o:hrpct="0" o:hralign="center" o:hrstd="t" o:hrnoshade="t" o:hr="t" fillcolor="black [3213]" stroked="f"/>
        </w:pict>
      </w:r>
    </w:p>
    <w:p w:rsidR="0040694F" w:rsidRPr="009C2345" w:rsidRDefault="0040694F" w:rsidP="0040694F">
      <w:pPr>
        <w:rPr>
          <w:sz w:val="20"/>
          <w:szCs w:val="20"/>
          <w:lang w:val="fr-CA"/>
        </w:rPr>
      </w:pPr>
    </w:p>
    <w:p w:rsidR="00BD50B7" w:rsidRPr="009C2345" w:rsidRDefault="00BD50B7">
      <w:pPr>
        <w:rPr>
          <w:sz w:val="20"/>
          <w:szCs w:val="20"/>
          <w:u w:val="single"/>
          <w:lang w:val="fr-CA"/>
        </w:rPr>
      </w:pPr>
      <w:r w:rsidRPr="009C2345">
        <w:rPr>
          <w:sz w:val="20"/>
          <w:szCs w:val="20"/>
          <w:u w:val="single"/>
          <w:lang w:val="fr-CA"/>
        </w:rPr>
        <w:br w:type="page"/>
      </w:r>
    </w:p>
    <w:p w:rsidR="0040694F" w:rsidRPr="009C2345" w:rsidRDefault="0040694F" w:rsidP="0040694F">
      <w:pPr>
        <w:rPr>
          <w:sz w:val="20"/>
          <w:szCs w:val="20"/>
          <w:u w:val="single"/>
          <w:lang w:val="fr-CA"/>
        </w:rPr>
      </w:pPr>
      <w:r w:rsidRPr="009C2345">
        <w:rPr>
          <w:sz w:val="20"/>
          <w:szCs w:val="20"/>
          <w:u w:val="single"/>
          <w:lang w:val="fr-CA"/>
        </w:rPr>
        <w:t>RÉSUMÉ DE L’AFFAIRE</w:t>
      </w:r>
    </w:p>
    <w:p w:rsidR="0040694F" w:rsidRPr="009C2345" w:rsidRDefault="0040694F" w:rsidP="0040694F">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0694F" w:rsidRPr="0082006E" w:rsidTr="00017A3C">
        <w:tc>
          <w:tcPr>
            <w:tcW w:w="5000" w:type="pct"/>
            <w:gridSpan w:val="3"/>
          </w:tcPr>
          <w:p w:rsidR="0040694F" w:rsidRPr="009C2345" w:rsidRDefault="0040694F" w:rsidP="0040694F">
            <w:pPr>
              <w:jc w:val="both"/>
              <w:rPr>
                <w:sz w:val="20"/>
                <w:szCs w:val="20"/>
                <w:lang w:val="fr-CA"/>
              </w:rPr>
            </w:pPr>
            <w:r w:rsidRPr="009C2345">
              <w:rPr>
                <w:sz w:val="20"/>
                <w:szCs w:val="20"/>
                <w:lang w:val="fr-CA"/>
              </w:rPr>
              <w:t xml:space="preserve">Droit administratif – Révision judiciaire – Appel – Permission d’appeler – Est-ce que l’affaire </w:t>
            </w:r>
            <w:r w:rsidRPr="009C2345">
              <w:rPr>
                <w:i/>
                <w:sz w:val="20"/>
                <w:szCs w:val="20"/>
                <w:lang w:val="fr-CA"/>
              </w:rPr>
              <w:t xml:space="preserve">Conseil d’arbitrage des comptes des avocats du Barreau du Québec c. Marquis, </w:t>
            </w:r>
            <w:r w:rsidRPr="009C2345">
              <w:rPr>
                <w:sz w:val="20"/>
                <w:szCs w:val="20"/>
                <w:lang w:val="fr-CA"/>
              </w:rPr>
              <w:t xml:space="preserve">2011 QCCA 133, a été décidée de manière opposée aux droits constitutionnels? – Est-ce que l’affaire </w:t>
            </w:r>
            <w:r w:rsidRPr="009C2345">
              <w:rPr>
                <w:i/>
                <w:sz w:val="20"/>
                <w:szCs w:val="20"/>
                <w:lang w:val="fr-CA"/>
              </w:rPr>
              <w:t>Marquis</w:t>
            </w:r>
            <w:r w:rsidRPr="009C2345">
              <w:rPr>
                <w:sz w:val="20"/>
                <w:szCs w:val="20"/>
                <w:lang w:val="fr-CA"/>
              </w:rPr>
              <w:t xml:space="preserve"> crée une confusion chez les justiciables? – Est-ce que la Cour d’appel a omis de prendre ces questions en compte en rejetant la demande de permission d’appeler?</w:t>
            </w:r>
          </w:p>
          <w:p w:rsidR="0040694F" w:rsidRPr="009C2345" w:rsidRDefault="0040694F" w:rsidP="0040694F">
            <w:pPr>
              <w:jc w:val="both"/>
              <w:rPr>
                <w:sz w:val="20"/>
                <w:szCs w:val="20"/>
                <w:lang w:val="fr-CA"/>
              </w:rPr>
            </w:pPr>
          </w:p>
        </w:tc>
      </w:tr>
      <w:tr w:rsidR="0040694F" w:rsidRPr="009C2345" w:rsidTr="00017A3C">
        <w:tc>
          <w:tcPr>
            <w:tcW w:w="5000" w:type="pct"/>
            <w:gridSpan w:val="3"/>
          </w:tcPr>
          <w:p w:rsidR="0040694F" w:rsidRPr="009C2345" w:rsidRDefault="0040694F" w:rsidP="0040694F">
            <w:pPr>
              <w:jc w:val="both"/>
              <w:rPr>
                <w:sz w:val="20"/>
                <w:szCs w:val="20"/>
                <w:lang w:val="fr-CA"/>
              </w:rPr>
            </w:pPr>
            <w:r w:rsidRPr="009C2345">
              <w:rPr>
                <w:sz w:val="20"/>
                <w:szCs w:val="20"/>
                <w:lang w:val="fr-CA"/>
              </w:rPr>
              <w:t>La Cour supérieure accorde la requête en irrecevabilité du Conseil</w:t>
            </w:r>
            <w:r w:rsidRPr="009C2345">
              <w:rPr>
                <w:rFonts w:cs="Times New Roman"/>
                <w:color w:val="000000"/>
                <w:sz w:val="20"/>
                <w:szCs w:val="20"/>
                <w:lang w:val="fr-CA"/>
              </w:rPr>
              <w:t xml:space="preserve"> d’arbitrage des comptes des avocats du Barreau du Québec (« Conseil »)</w:t>
            </w:r>
            <w:r w:rsidRPr="009C2345">
              <w:rPr>
                <w:sz w:val="20"/>
                <w:szCs w:val="20"/>
                <w:lang w:val="fr-CA"/>
              </w:rPr>
              <w:t xml:space="preserve"> intimé </w:t>
            </w:r>
            <w:r w:rsidRPr="009C2345">
              <w:rPr>
                <w:rFonts w:cs="Times New Roman"/>
                <w:color w:val="000000"/>
                <w:sz w:val="20"/>
                <w:szCs w:val="20"/>
                <w:lang w:val="fr-CA"/>
              </w:rPr>
              <w:t xml:space="preserve">se fiant à l’arrêt </w:t>
            </w:r>
            <w:r w:rsidRPr="009C2345">
              <w:rPr>
                <w:rFonts w:cs="Times New Roman"/>
                <w:i/>
                <w:iCs/>
                <w:color w:val="000000"/>
                <w:sz w:val="20"/>
                <w:szCs w:val="20"/>
                <w:lang w:val="fr-CA"/>
              </w:rPr>
              <w:t>Marquis</w:t>
            </w:r>
            <w:r w:rsidRPr="009C2345">
              <w:rPr>
                <w:rFonts w:cs="Times New Roman"/>
                <w:color w:val="000000"/>
                <w:sz w:val="20"/>
                <w:szCs w:val="20"/>
                <w:lang w:val="fr-CA"/>
              </w:rPr>
              <w:t xml:space="preserve"> selon lequel un recours en annulation aurait dû être intenté et non pas un recours en révision judiciaire à l’endroit d’une décision rendue par le Conseil. Il s’agit d’un litige de l’ordre de 4 000 $.</w:t>
            </w:r>
            <w:r w:rsidRPr="009C2345">
              <w:rPr>
                <w:rFonts w:ascii="Verdana" w:hAnsi="Verdana"/>
                <w:color w:val="000000"/>
                <w:sz w:val="20"/>
                <w:szCs w:val="20"/>
                <w:lang w:val="fr-CA"/>
              </w:rPr>
              <w:t xml:space="preserve"> </w:t>
            </w:r>
            <w:r w:rsidRPr="009C2345">
              <w:rPr>
                <w:rFonts w:cs="Times New Roman"/>
                <w:color w:val="000000"/>
                <w:sz w:val="20"/>
                <w:szCs w:val="20"/>
                <w:lang w:val="fr-CA"/>
              </w:rPr>
              <w:t xml:space="preserve">Devant la Cour d’appel, le demandeur invoque l’inconstitutionnalité de l’arrêt sur lequel s’est appuyée la Cour supérieure et voudrait que la Cour d’appel modifie sa position en ce qui a trait à l’application, ou plutôt à la non-application, des articles 834 à 850 du </w:t>
            </w:r>
            <w:r w:rsidRPr="009C2345">
              <w:rPr>
                <w:rFonts w:cs="Times New Roman"/>
                <w:i/>
                <w:color w:val="000000"/>
                <w:sz w:val="20"/>
                <w:szCs w:val="20"/>
                <w:lang w:val="fr-CA"/>
              </w:rPr>
              <w:t>Code de procédure civile</w:t>
            </w:r>
            <w:r w:rsidRPr="009C2345">
              <w:rPr>
                <w:rFonts w:cs="Times New Roman"/>
                <w:color w:val="000000"/>
                <w:sz w:val="20"/>
                <w:szCs w:val="20"/>
                <w:lang w:val="fr-CA"/>
              </w:rPr>
              <w:t xml:space="preserve"> à l’arbitrage consensuel, notamment à l’arbitrage des comptes d’honoraires des avocats du Barreau du Québec. Subsidiairement, il invoque l’application trop rigide par la Cour supérieure de la règle du </w:t>
            </w:r>
            <w:r w:rsidRPr="009C2345">
              <w:rPr>
                <w:rFonts w:cs="Times New Roman"/>
                <w:i/>
                <w:color w:val="000000"/>
                <w:sz w:val="20"/>
                <w:szCs w:val="20"/>
                <w:lang w:val="fr-CA"/>
              </w:rPr>
              <w:t>stare decisis</w:t>
            </w:r>
            <w:r w:rsidRPr="009C2345">
              <w:rPr>
                <w:rFonts w:cs="Times New Roman"/>
                <w:color w:val="000000"/>
                <w:sz w:val="20"/>
                <w:szCs w:val="20"/>
                <w:lang w:val="fr-CA"/>
              </w:rPr>
              <w:t xml:space="preserve"> en accueillant la requête en irrecevabilité présentée par le Conseil d’arbitrage. Enfin, il allègue ne pas avoir été véritablement entendu par le juge de la Cour supérieure en raison de la décision de ce dernier de se sentir lié par l’arrêt et ajoute que ses droits constitutionnels auraient été ainsi brimés.</w:t>
            </w:r>
            <w:r w:rsidRPr="009C2345">
              <w:rPr>
                <w:rFonts w:ascii="Verdana" w:hAnsi="Verdana"/>
                <w:color w:val="000000"/>
                <w:sz w:val="20"/>
                <w:szCs w:val="20"/>
                <w:lang w:val="fr-CA"/>
              </w:rPr>
              <w:t xml:space="preserve"> L</w:t>
            </w:r>
            <w:r w:rsidRPr="009C2345">
              <w:rPr>
                <w:rFonts w:cs="Times New Roman"/>
                <w:color w:val="000000"/>
                <w:sz w:val="20"/>
                <w:szCs w:val="20"/>
                <w:lang w:val="fr-CA"/>
              </w:rPr>
              <w:t>a requête pour permission d’appeler est rejetée.</w:t>
            </w:r>
          </w:p>
        </w:tc>
      </w:tr>
      <w:tr w:rsidR="0040694F" w:rsidRPr="009C2345" w:rsidTr="00017A3C">
        <w:tc>
          <w:tcPr>
            <w:tcW w:w="5000" w:type="pct"/>
            <w:gridSpan w:val="3"/>
          </w:tcPr>
          <w:p w:rsidR="0040694F" w:rsidRPr="009C2345" w:rsidRDefault="0040694F" w:rsidP="0040694F">
            <w:pPr>
              <w:jc w:val="both"/>
              <w:rPr>
                <w:sz w:val="20"/>
                <w:szCs w:val="20"/>
                <w:lang w:val="fr-CA"/>
              </w:rPr>
            </w:pPr>
          </w:p>
        </w:tc>
      </w:tr>
      <w:tr w:rsidR="0040694F" w:rsidRPr="0082006E" w:rsidTr="00017A3C">
        <w:tc>
          <w:tcPr>
            <w:tcW w:w="2427" w:type="pct"/>
          </w:tcPr>
          <w:p w:rsidR="0040694F" w:rsidRPr="009C2345" w:rsidRDefault="0040694F" w:rsidP="0040694F">
            <w:pPr>
              <w:jc w:val="both"/>
              <w:rPr>
                <w:sz w:val="20"/>
                <w:szCs w:val="20"/>
                <w:lang w:val="fr-CA"/>
              </w:rPr>
            </w:pPr>
            <w:r w:rsidRPr="009C2345">
              <w:rPr>
                <w:sz w:val="20"/>
                <w:szCs w:val="20"/>
                <w:lang w:val="fr-CA"/>
              </w:rPr>
              <w:t>Le 10 juillet 2015</w:t>
            </w:r>
          </w:p>
          <w:p w:rsidR="0040694F" w:rsidRPr="009C2345" w:rsidRDefault="0040694F" w:rsidP="0040694F">
            <w:pPr>
              <w:jc w:val="both"/>
              <w:rPr>
                <w:sz w:val="20"/>
                <w:szCs w:val="20"/>
                <w:lang w:val="fr-CA"/>
              </w:rPr>
            </w:pPr>
            <w:r w:rsidRPr="009C2345">
              <w:rPr>
                <w:sz w:val="20"/>
                <w:szCs w:val="20"/>
                <w:lang w:val="fr-CA"/>
              </w:rPr>
              <w:t>Cour supérieure du Québec</w:t>
            </w:r>
          </w:p>
          <w:p w:rsidR="0040694F" w:rsidRPr="009C2345" w:rsidRDefault="0040694F" w:rsidP="0040694F">
            <w:pPr>
              <w:jc w:val="both"/>
              <w:rPr>
                <w:sz w:val="20"/>
                <w:szCs w:val="20"/>
                <w:lang w:val="fr-CA"/>
              </w:rPr>
            </w:pPr>
            <w:r w:rsidRPr="009C2345">
              <w:rPr>
                <w:sz w:val="20"/>
                <w:szCs w:val="20"/>
                <w:lang w:val="fr-CA"/>
              </w:rPr>
              <w:t>(Le juge Collier)</w:t>
            </w:r>
          </w:p>
          <w:p w:rsidR="0040694F" w:rsidRPr="009C2345" w:rsidRDefault="0082006E" w:rsidP="0040694F">
            <w:pPr>
              <w:jc w:val="both"/>
              <w:rPr>
                <w:sz w:val="20"/>
                <w:szCs w:val="20"/>
                <w:u w:val="single"/>
                <w:lang w:val="fr-CA"/>
              </w:rPr>
            </w:pPr>
            <w:hyperlink r:id="rId91" w:history="1">
              <w:r w:rsidR="0040694F" w:rsidRPr="009C2345">
                <w:rPr>
                  <w:color w:val="0000FF" w:themeColor="hyperlink"/>
                  <w:sz w:val="20"/>
                  <w:szCs w:val="20"/>
                  <w:u w:val="single"/>
                  <w:lang w:val="fr-CA"/>
                </w:rPr>
                <w:t>2015 QCCS 6465</w:t>
              </w:r>
            </w:hyperlink>
          </w:p>
          <w:p w:rsidR="0040694F" w:rsidRPr="009C2345" w:rsidRDefault="0040694F" w:rsidP="0040694F">
            <w:pPr>
              <w:jc w:val="both"/>
              <w:rPr>
                <w:sz w:val="20"/>
                <w:szCs w:val="20"/>
                <w:lang w:val="fr-CA"/>
              </w:rPr>
            </w:pPr>
          </w:p>
        </w:tc>
        <w:tc>
          <w:tcPr>
            <w:tcW w:w="243" w:type="pct"/>
          </w:tcPr>
          <w:p w:rsidR="0040694F" w:rsidRPr="009C2345" w:rsidRDefault="0040694F" w:rsidP="0040694F">
            <w:pPr>
              <w:jc w:val="both"/>
              <w:rPr>
                <w:sz w:val="20"/>
                <w:szCs w:val="20"/>
                <w:lang w:val="fr-CA"/>
              </w:rPr>
            </w:pPr>
          </w:p>
        </w:tc>
        <w:tc>
          <w:tcPr>
            <w:tcW w:w="2330" w:type="pct"/>
          </w:tcPr>
          <w:p w:rsidR="0040694F" w:rsidRPr="009C2345" w:rsidRDefault="0040694F" w:rsidP="0040694F">
            <w:pPr>
              <w:jc w:val="both"/>
              <w:rPr>
                <w:sz w:val="20"/>
                <w:szCs w:val="20"/>
                <w:lang w:val="fr-CA"/>
              </w:rPr>
            </w:pPr>
            <w:r w:rsidRPr="009C2345">
              <w:rPr>
                <w:sz w:val="20"/>
                <w:szCs w:val="20"/>
                <w:lang w:val="fr-CA"/>
              </w:rPr>
              <w:t>Requête en irrecevabilité du défendeur accordée avec dépens</w:t>
            </w:r>
          </w:p>
          <w:p w:rsidR="0040694F" w:rsidRPr="009C2345" w:rsidRDefault="0040694F" w:rsidP="0040694F">
            <w:pPr>
              <w:jc w:val="both"/>
              <w:rPr>
                <w:sz w:val="20"/>
                <w:szCs w:val="20"/>
                <w:lang w:val="fr-CA"/>
              </w:rPr>
            </w:pPr>
          </w:p>
        </w:tc>
      </w:tr>
      <w:tr w:rsidR="0040694F" w:rsidRPr="0082006E" w:rsidTr="00017A3C">
        <w:tc>
          <w:tcPr>
            <w:tcW w:w="2427" w:type="pct"/>
          </w:tcPr>
          <w:p w:rsidR="0040694F" w:rsidRPr="009C2345" w:rsidRDefault="0040694F" w:rsidP="0040694F">
            <w:pPr>
              <w:jc w:val="both"/>
              <w:rPr>
                <w:sz w:val="20"/>
                <w:szCs w:val="20"/>
                <w:lang w:val="fr-CA"/>
              </w:rPr>
            </w:pPr>
            <w:r w:rsidRPr="009C2345">
              <w:rPr>
                <w:sz w:val="20"/>
                <w:szCs w:val="20"/>
                <w:lang w:val="fr-CA"/>
              </w:rPr>
              <w:t>Le 16 octobre 2015</w:t>
            </w:r>
          </w:p>
          <w:p w:rsidR="0040694F" w:rsidRPr="009C2345" w:rsidRDefault="0040694F" w:rsidP="0040694F">
            <w:pPr>
              <w:jc w:val="both"/>
              <w:rPr>
                <w:sz w:val="20"/>
                <w:szCs w:val="20"/>
                <w:lang w:val="fr-CA"/>
              </w:rPr>
            </w:pPr>
            <w:r w:rsidRPr="009C2345">
              <w:rPr>
                <w:sz w:val="20"/>
                <w:szCs w:val="20"/>
                <w:lang w:val="fr-CA"/>
              </w:rPr>
              <w:t>Cour d’appel du Québec (Montréal)</w:t>
            </w:r>
          </w:p>
          <w:p w:rsidR="0040694F" w:rsidRPr="009C2345" w:rsidRDefault="0040694F" w:rsidP="0040694F">
            <w:pPr>
              <w:jc w:val="both"/>
              <w:rPr>
                <w:sz w:val="20"/>
                <w:szCs w:val="20"/>
                <w:lang w:val="fr-CA"/>
              </w:rPr>
            </w:pPr>
            <w:r w:rsidRPr="009C2345">
              <w:rPr>
                <w:sz w:val="20"/>
                <w:szCs w:val="20"/>
                <w:lang w:val="fr-CA"/>
              </w:rPr>
              <w:t>(Le juge Doyon)</w:t>
            </w:r>
          </w:p>
          <w:p w:rsidR="0040694F" w:rsidRPr="009C2345" w:rsidRDefault="0082006E" w:rsidP="0040694F">
            <w:pPr>
              <w:jc w:val="both"/>
              <w:rPr>
                <w:sz w:val="20"/>
                <w:szCs w:val="20"/>
                <w:u w:val="single"/>
                <w:lang w:val="fr-CA"/>
              </w:rPr>
            </w:pPr>
            <w:hyperlink r:id="rId92" w:history="1">
              <w:r w:rsidR="0040694F" w:rsidRPr="009C2345">
                <w:rPr>
                  <w:color w:val="0000FF" w:themeColor="hyperlink"/>
                  <w:sz w:val="20"/>
                  <w:szCs w:val="20"/>
                  <w:u w:val="single"/>
                  <w:lang w:val="fr-CA"/>
                </w:rPr>
                <w:t>2015 QCCA 1706</w:t>
              </w:r>
            </w:hyperlink>
          </w:p>
          <w:p w:rsidR="0040694F" w:rsidRPr="009C2345" w:rsidRDefault="0040694F" w:rsidP="0040694F">
            <w:pPr>
              <w:jc w:val="both"/>
              <w:rPr>
                <w:sz w:val="20"/>
                <w:szCs w:val="20"/>
                <w:lang w:val="fr-CA"/>
              </w:rPr>
            </w:pPr>
          </w:p>
        </w:tc>
        <w:tc>
          <w:tcPr>
            <w:tcW w:w="243" w:type="pct"/>
          </w:tcPr>
          <w:p w:rsidR="0040694F" w:rsidRPr="009C2345" w:rsidRDefault="0040694F" w:rsidP="0040694F">
            <w:pPr>
              <w:jc w:val="both"/>
              <w:rPr>
                <w:sz w:val="20"/>
                <w:szCs w:val="20"/>
                <w:lang w:val="fr-CA"/>
              </w:rPr>
            </w:pPr>
          </w:p>
        </w:tc>
        <w:tc>
          <w:tcPr>
            <w:tcW w:w="2330" w:type="pct"/>
          </w:tcPr>
          <w:p w:rsidR="0040694F" w:rsidRPr="009C2345" w:rsidRDefault="0040694F" w:rsidP="0040694F">
            <w:pPr>
              <w:jc w:val="both"/>
              <w:rPr>
                <w:sz w:val="20"/>
                <w:szCs w:val="20"/>
                <w:lang w:val="fr-CA"/>
              </w:rPr>
            </w:pPr>
            <w:r w:rsidRPr="009C2345">
              <w:rPr>
                <w:sz w:val="20"/>
                <w:szCs w:val="20"/>
                <w:lang w:val="fr-CA"/>
              </w:rPr>
              <w:t>Requête pour permission d’appeler rejetée sans dépens</w:t>
            </w:r>
          </w:p>
          <w:p w:rsidR="0040694F" w:rsidRPr="009C2345" w:rsidRDefault="0040694F" w:rsidP="0040694F">
            <w:pPr>
              <w:jc w:val="both"/>
              <w:rPr>
                <w:sz w:val="20"/>
                <w:szCs w:val="20"/>
                <w:lang w:val="fr-CA"/>
              </w:rPr>
            </w:pPr>
          </w:p>
        </w:tc>
      </w:tr>
      <w:tr w:rsidR="0040694F" w:rsidRPr="0082006E" w:rsidTr="00017A3C">
        <w:tc>
          <w:tcPr>
            <w:tcW w:w="2427" w:type="pct"/>
          </w:tcPr>
          <w:p w:rsidR="0040694F" w:rsidRPr="009C2345" w:rsidRDefault="0040694F" w:rsidP="0040694F">
            <w:pPr>
              <w:jc w:val="both"/>
              <w:rPr>
                <w:sz w:val="20"/>
                <w:szCs w:val="20"/>
                <w:lang w:val="fr-CA"/>
              </w:rPr>
            </w:pPr>
            <w:r w:rsidRPr="009C2345">
              <w:rPr>
                <w:sz w:val="20"/>
                <w:szCs w:val="20"/>
                <w:lang w:val="fr-CA"/>
              </w:rPr>
              <w:t>Le 24 décembre 2015</w:t>
            </w:r>
          </w:p>
          <w:p w:rsidR="0040694F" w:rsidRPr="009C2345" w:rsidRDefault="0040694F" w:rsidP="0040694F">
            <w:pPr>
              <w:jc w:val="both"/>
              <w:rPr>
                <w:sz w:val="20"/>
                <w:szCs w:val="20"/>
                <w:lang w:val="fr-CA"/>
              </w:rPr>
            </w:pPr>
            <w:r w:rsidRPr="009C2345">
              <w:rPr>
                <w:sz w:val="20"/>
                <w:szCs w:val="20"/>
                <w:lang w:val="fr-CA"/>
              </w:rPr>
              <w:t>Cour suprême du Canada</w:t>
            </w:r>
          </w:p>
        </w:tc>
        <w:tc>
          <w:tcPr>
            <w:tcW w:w="243" w:type="pct"/>
          </w:tcPr>
          <w:p w:rsidR="0040694F" w:rsidRPr="009C2345" w:rsidRDefault="0040694F" w:rsidP="0040694F">
            <w:pPr>
              <w:jc w:val="both"/>
              <w:rPr>
                <w:sz w:val="20"/>
                <w:szCs w:val="20"/>
                <w:lang w:val="fr-CA"/>
              </w:rPr>
            </w:pPr>
          </w:p>
        </w:tc>
        <w:tc>
          <w:tcPr>
            <w:tcW w:w="2330" w:type="pct"/>
          </w:tcPr>
          <w:p w:rsidR="0040694F" w:rsidRPr="009C2345" w:rsidRDefault="0040694F" w:rsidP="0040694F">
            <w:pPr>
              <w:jc w:val="both"/>
              <w:rPr>
                <w:sz w:val="20"/>
                <w:szCs w:val="20"/>
                <w:lang w:val="fr-CA"/>
              </w:rPr>
            </w:pPr>
            <w:r w:rsidRPr="009C2345">
              <w:rPr>
                <w:sz w:val="20"/>
                <w:szCs w:val="20"/>
                <w:lang w:val="fr-CA"/>
              </w:rPr>
              <w:t>Demande en prorogation de délai pour signifier et déposer demande d’autorisation et d’autorisation d’appel déposées</w:t>
            </w:r>
          </w:p>
        </w:tc>
      </w:tr>
    </w:tbl>
    <w:p w:rsidR="0040694F" w:rsidRPr="009C2345" w:rsidRDefault="0040694F" w:rsidP="008D292F">
      <w:pPr>
        <w:rPr>
          <w:sz w:val="20"/>
          <w:szCs w:val="20"/>
          <w:lang w:val="fr-CA"/>
        </w:rPr>
      </w:pPr>
    </w:p>
    <w:p w:rsidR="0040694F" w:rsidRPr="009C2345" w:rsidRDefault="0082006E" w:rsidP="008D292F">
      <w:pPr>
        <w:rPr>
          <w:sz w:val="20"/>
          <w:szCs w:val="20"/>
          <w:lang w:val="fr-CA"/>
        </w:rPr>
      </w:pPr>
      <w:r>
        <w:rPr>
          <w:sz w:val="20"/>
          <w:szCs w:val="20"/>
          <w:lang w:val="fr-CA"/>
        </w:rPr>
        <w:pict>
          <v:rect id="_x0000_i1073" style="width:2in;height:1pt" o:hrpct="0" o:hralign="center" o:hrstd="t" o:hrnoshade="t" o:hr="t" fillcolor="black [3213]" stroked="f"/>
        </w:pict>
      </w:r>
    </w:p>
    <w:p w:rsidR="0040694F" w:rsidRPr="009C2345" w:rsidRDefault="0040694F" w:rsidP="008D292F">
      <w:pPr>
        <w:rPr>
          <w:sz w:val="20"/>
          <w:szCs w:val="20"/>
          <w:lang w:val="fr-CA"/>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082"/>
      </w:tblGrid>
      <w:tr w:rsidR="00F21BA6" w:rsidRPr="0082006E" w:rsidTr="005F12E5">
        <w:trPr>
          <w:cantSplit/>
          <w:trHeight w:val="581"/>
        </w:trPr>
        <w:tc>
          <w:tcPr>
            <w:tcW w:w="1458" w:type="dxa"/>
          </w:tcPr>
          <w:p w:rsidR="00F21BA6" w:rsidRPr="00176E62" w:rsidRDefault="00F21BA6" w:rsidP="00017A3C">
            <w:pPr>
              <w:rPr>
                <w:sz w:val="20"/>
                <w:szCs w:val="20"/>
              </w:rPr>
            </w:pPr>
            <w:r w:rsidRPr="00176E62">
              <w:rPr>
                <w:rStyle w:val="SCCFileNumberChar"/>
                <w:sz w:val="20"/>
                <w:szCs w:val="20"/>
              </w:rPr>
              <w:t>36821</w:t>
            </w:r>
          </w:p>
          <w:p w:rsidR="00F21BA6" w:rsidRPr="00176E62" w:rsidRDefault="00F21BA6" w:rsidP="00017A3C">
            <w:pPr>
              <w:rPr>
                <w:b/>
                <w:sz w:val="20"/>
                <w:szCs w:val="20"/>
                <w:lang w:val="fr-CA"/>
              </w:rPr>
            </w:pPr>
          </w:p>
        </w:tc>
        <w:tc>
          <w:tcPr>
            <w:tcW w:w="8082" w:type="dxa"/>
          </w:tcPr>
          <w:p w:rsidR="00F21BA6" w:rsidRPr="00176E62" w:rsidRDefault="004F713C" w:rsidP="004E6EF3">
            <w:pPr>
              <w:jc w:val="both"/>
              <w:rPr>
                <w:sz w:val="20"/>
                <w:szCs w:val="20"/>
                <w:lang w:val="fr-CA"/>
              </w:rPr>
            </w:pPr>
            <w:r w:rsidRPr="00176E62">
              <w:rPr>
                <w:b/>
                <w:sz w:val="20"/>
                <w:szCs w:val="20"/>
                <w:u w:val="single"/>
                <w:lang w:val="fr-CA"/>
              </w:rPr>
              <w:t>Ville de Montréal-</w:t>
            </w:r>
            <w:r w:rsidR="00F21BA6" w:rsidRPr="00176E62">
              <w:rPr>
                <w:b/>
                <w:sz w:val="20"/>
                <w:szCs w:val="20"/>
                <w:u w:val="single"/>
                <w:lang w:val="fr-CA"/>
              </w:rPr>
              <w:t xml:space="preserve">Est </w:t>
            </w:r>
            <w:r w:rsidRPr="00176E62">
              <w:rPr>
                <w:b/>
                <w:sz w:val="20"/>
                <w:szCs w:val="20"/>
                <w:u w:val="single"/>
                <w:lang w:val="fr-CA"/>
              </w:rPr>
              <w:t>c</w:t>
            </w:r>
            <w:r w:rsidR="00F21BA6" w:rsidRPr="00176E62">
              <w:rPr>
                <w:b/>
                <w:sz w:val="20"/>
                <w:szCs w:val="20"/>
                <w:u w:val="single"/>
                <w:lang w:val="fr-CA"/>
              </w:rPr>
              <w:t xml:space="preserve">. Syndicat des cols bleus regroupés de Montréal, </w:t>
            </w:r>
            <w:r w:rsidRPr="00176E62">
              <w:rPr>
                <w:b/>
                <w:sz w:val="20"/>
                <w:szCs w:val="20"/>
                <w:u w:val="single"/>
                <w:lang w:val="fr-CA"/>
              </w:rPr>
              <w:t>section l</w:t>
            </w:r>
            <w:r w:rsidR="00F21BA6" w:rsidRPr="00176E62">
              <w:rPr>
                <w:b/>
                <w:sz w:val="20"/>
                <w:szCs w:val="20"/>
                <w:u w:val="single"/>
                <w:lang w:val="fr-CA"/>
              </w:rPr>
              <w:t>ocal</w:t>
            </w:r>
            <w:r w:rsidRPr="00176E62">
              <w:rPr>
                <w:b/>
                <w:sz w:val="20"/>
                <w:szCs w:val="20"/>
                <w:u w:val="single"/>
                <w:lang w:val="fr-CA"/>
              </w:rPr>
              <w:t>e</w:t>
            </w:r>
            <w:r w:rsidR="00F21BA6" w:rsidRPr="00176E62">
              <w:rPr>
                <w:b/>
                <w:sz w:val="20"/>
                <w:szCs w:val="20"/>
                <w:u w:val="single"/>
                <w:lang w:val="fr-CA"/>
              </w:rPr>
              <w:t xml:space="preserve"> 301</w:t>
            </w:r>
            <w:r w:rsidR="00F21BA6" w:rsidRPr="00176E62">
              <w:rPr>
                <w:sz w:val="20"/>
                <w:szCs w:val="20"/>
                <w:lang w:val="fr-CA"/>
              </w:rPr>
              <w:t xml:space="preserve"> (Q</w:t>
            </w:r>
            <w:r w:rsidRPr="00176E62">
              <w:rPr>
                <w:sz w:val="20"/>
                <w:szCs w:val="20"/>
                <w:lang w:val="fr-CA"/>
              </w:rPr>
              <w:t>c</w:t>
            </w:r>
            <w:r w:rsidR="00F21BA6" w:rsidRPr="00176E62">
              <w:rPr>
                <w:sz w:val="20"/>
                <w:szCs w:val="20"/>
                <w:lang w:val="fr-CA"/>
              </w:rPr>
              <w:t>) (Civil</w:t>
            </w:r>
            <w:r w:rsidRPr="00176E62">
              <w:rPr>
                <w:sz w:val="20"/>
                <w:szCs w:val="20"/>
                <w:lang w:val="fr-CA"/>
              </w:rPr>
              <w:t>e</w:t>
            </w:r>
            <w:r w:rsidR="00F21BA6" w:rsidRPr="00176E62">
              <w:rPr>
                <w:sz w:val="20"/>
                <w:szCs w:val="20"/>
                <w:lang w:val="fr-CA"/>
              </w:rPr>
              <w:t>) (</w:t>
            </w:r>
            <w:r w:rsidRPr="00176E62">
              <w:rPr>
                <w:sz w:val="20"/>
                <w:szCs w:val="20"/>
                <w:lang w:val="fr-CA"/>
              </w:rPr>
              <w:t>Autorisation</w:t>
            </w:r>
            <w:r w:rsidR="00D54F91" w:rsidRPr="00176E62">
              <w:rPr>
                <w:sz w:val="20"/>
                <w:szCs w:val="20"/>
                <w:lang w:val="fr-CA"/>
              </w:rPr>
              <w:t>)</w:t>
            </w:r>
          </w:p>
          <w:p w:rsidR="00F21BA6" w:rsidRPr="00176E62" w:rsidRDefault="00F21BA6" w:rsidP="00017A3C">
            <w:pPr>
              <w:rPr>
                <w:sz w:val="20"/>
                <w:szCs w:val="20"/>
                <w:lang w:val="fr-CA"/>
              </w:rPr>
            </w:pPr>
          </w:p>
        </w:tc>
      </w:tr>
      <w:tr w:rsidR="00F21BA6" w:rsidRPr="0082006E" w:rsidTr="005F12E5">
        <w:trPr>
          <w:cantSplit/>
        </w:trPr>
        <w:tc>
          <w:tcPr>
            <w:tcW w:w="1458" w:type="dxa"/>
          </w:tcPr>
          <w:p w:rsidR="00F21BA6" w:rsidRPr="00176E62" w:rsidRDefault="00F21BA6" w:rsidP="00017A3C">
            <w:pPr>
              <w:rPr>
                <w:sz w:val="20"/>
                <w:szCs w:val="20"/>
              </w:rPr>
            </w:pPr>
            <w:r w:rsidRPr="00176E62">
              <w:rPr>
                <w:sz w:val="20"/>
                <w:szCs w:val="20"/>
              </w:rPr>
              <w:t>Coram :</w:t>
            </w:r>
          </w:p>
        </w:tc>
        <w:tc>
          <w:tcPr>
            <w:tcW w:w="8082" w:type="dxa"/>
          </w:tcPr>
          <w:p w:rsidR="00F21BA6" w:rsidRPr="00176E62" w:rsidRDefault="00E4395B" w:rsidP="00017A3C">
            <w:pPr>
              <w:rPr>
                <w:rStyle w:val="SCCCoramChar"/>
                <w:sz w:val="20"/>
                <w:szCs w:val="20"/>
              </w:rPr>
            </w:pPr>
            <w:r w:rsidRPr="00176E62">
              <w:rPr>
                <w:rStyle w:val="SCCCoramChar"/>
                <w:sz w:val="20"/>
                <w:szCs w:val="20"/>
              </w:rPr>
              <w:t xml:space="preserve">Les juges Abella, Karakatsanis et Brown </w:t>
            </w:r>
          </w:p>
          <w:p w:rsidR="00E4395B" w:rsidRPr="00176E62" w:rsidRDefault="00E4395B" w:rsidP="00017A3C">
            <w:pPr>
              <w:rPr>
                <w:sz w:val="20"/>
                <w:szCs w:val="20"/>
                <w:lang w:val="fr-CA"/>
              </w:rPr>
            </w:pPr>
          </w:p>
        </w:tc>
      </w:tr>
      <w:tr w:rsidR="00F21BA6" w:rsidRPr="00176E62" w:rsidTr="005F12E5">
        <w:trPr>
          <w:cantSplit/>
        </w:trPr>
        <w:tc>
          <w:tcPr>
            <w:tcW w:w="9540" w:type="dxa"/>
            <w:gridSpan w:val="2"/>
          </w:tcPr>
          <w:p w:rsidR="00F21BA6" w:rsidRPr="00176E62" w:rsidRDefault="00E4395B" w:rsidP="00017A3C">
            <w:pPr>
              <w:pStyle w:val="SCCShortJudgment"/>
              <w:ind w:firstLine="0"/>
              <w:rPr>
                <w:lang w:val="fr-CA"/>
              </w:rPr>
            </w:pPr>
            <w:r w:rsidRPr="00176E62">
              <w:rPr>
                <w:lang w:val="fr-CA"/>
              </w:rPr>
              <w:tab/>
              <w:t>La demande d’autorisation d’appel de l’arrêt de la Cour d’appel du Québec (Montréal), numéro 500-09-024615-148, 2015 QCCA 1957, daté du 26 novembre 2015, est rejetée avec dépens.</w:t>
            </w:r>
          </w:p>
          <w:p w:rsidR="00E4395B" w:rsidRPr="00176E62" w:rsidRDefault="00E4395B" w:rsidP="00017A3C">
            <w:pPr>
              <w:pStyle w:val="SCCShortJudgment"/>
              <w:ind w:firstLine="0"/>
              <w:rPr>
                <w:szCs w:val="20"/>
                <w:lang w:val="fr-CA"/>
              </w:rPr>
            </w:pPr>
          </w:p>
          <w:p w:rsidR="00F21BA6" w:rsidRPr="00176E62" w:rsidRDefault="00E4395B" w:rsidP="00017A3C">
            <w:pPr>
              <w:pStyle w:val="SCCShortJudgment"/>
              <w:rPr>
                <w:szCs w:val="20"/>
              </w:rPr>
            </w:pPr>
            <w:r w:rsidRPr="00176E62">
              <w:t>The application for leave to appeal from the judgment of the Court of Appeal of Quebec (Montréal), Number 500-09-024615-148, 2015 QCCA 1957,  dated November 26, 2015, is dismissed with costs.</w:t>
            </w:r>
          </w:p>
        </w:tc>
      </w:tr>
    </w:tbl>
    <w:p w:rsidR="00F21BA6" w:rsidRPr="009C2345" w:rsidRDefault="00F21BA6" w:rsidP="00F21BA6">
      <w:pPr>
        <w:rPr>
          <w:sz w:val="20"/>
          <w:szCs w:val="20"/>
        </w:rPr>
      </w:pPr>
    </w:p>
    <w:p w:rsidR="00BD50B7" w:rsidRPr="009C2345" w:rsidRDefault="00BD50B7">
      <w:pPr>
        <w:rPr>
          <w:sz w:val="20"/>
          <w:szCs w:val="20"/>
          <w:u w:val="single"/>
        </w:rPr>
      </w:pPr>
      <w:r w:rsidRPr="009C2345">
        <w:rPr>
          <w:sz w:val="20"/>
          <w:szCs w:val="20"/>
          <w:u w:val="single"/>
        </w:rPr>
        <w:br w:type="page"/>
      </w:r>
    </w:p>
    <w:p w:rsidR="00F21BA6" w:rsidRPr="009C2345" w:rsidRDefault="00F21BA6" w:rsidP="00F21BA6">
      <w:pPr>
        <w:rPr>
          <w:sz w:val="20"/>
          <w:szCs w:val="20"/>
          <w:u w:val="single"/>
        </w:rPr>
      </w:pPr>
      <w:r w:rsidRPr="009C2345">
        <w:rPr>
          <w:sz w:val="20"/>
          <w:szCs w:val="20"/>
          <w:u w:val="single"/>
        </w:rPr>
        <w:t>CASE SUMMARY</w:t>
      </w:r>
    </w:p>
    <w:p w:rsidR="00F21BA6" w:rsidRPr="009C2345" w:rsidRDefault="00F21BA6" w:rsidP="00F21BA6">
      <w:pPr>
        <w:rPr>
          <w:sz w:val="20"/>
          <w:szCs w:val="20"/>
        </w:rPr>
      </w:pPr>
    </w:p>
    <w:tbl>
      <w:tblPr>
        <w:tblW w:w="4959" w:type="pct"/>
        <w:tblLayout w:type="fixed"/>
        <w:tblCellMar>
          <w:left w:w="0" w:type="dxa"/>
          <w:bottom w:w="99" w:type="dxa"/>
          <w:right w:w="0" w:type="dxa"/>
        </w:tblCellMar>
        <w:tblLook w:val="04A0" w:firstRow="1" w:lastRow="0" w:firstColumn="1" w:lastColumn="0" w:noHBand="0" w:noVBand="1"/>
      </w:tblPr>
      <w:tblGrid>
        <w:gridCol w:w="4623"/>
        <w:gridCol w:w="464"/>
        <w:gridCol w:w="4453"/>
      </w:tblGrid>
      <w:tr w:rsidR="00F21BA6" w:rsidRPr="009C2345" w:rsidTr="005F12E5">
        <w:tc>
          <w:tcPr>
            <w:tcW w:w="5000" w:type="pct"/>
            <w:gridSpan w:val="3"/>
          </w:tcPr>
          <w:p w:rsidR="00F21BA6" w:rsidRPr="009C2345" w:rsidRDefault="00F21BA6" w:rsidP="00F21BA6">
            <w:pPr>
              <w:jc w:val="both"/>
              <w:rPr>
                <w:sz w:val="20"/>
                <w:szCs w:val="20"/>
              </w:rPr>
            </w:pPr>
            <w:r w:rsidRPr="009C2345">
              <w:rPr>
                <w:sz w:val="20"/>
                <w:szCs w:val="20"/>
              </w:rPr>
              <w:t xml:space="preserve">Employment law – Workers’ compensation – Duty to accommodate – Arbitration – Whether arbitration tribunal has jurisdiction to deal with grievance pursuant to s. 4 of </w:t>
            </w:r>
            <w:r w:rsidRPr="009C2345">
              <w:rPr>
                <w:i/>
                <w:sz w:val="20"/>
                <w:szCs w:val="20"/>
              </w:rPr>
              <w:t>Act respecting industrial accidents and occupational diseases</w:t>
            </w:r>
            <w:r w:rsidRPr="009C2345">
              <w:rPr>
                <w:sz w:val="20"/>
                <w:szCs w:val="20"/>
              </w:rPr>
              <w:t>, CQLR, c. A</w:t>
            </w:r>
            <w:r w:rsidRPr="009C2345">
              <w:rPr>
                <w:sz w:val="20"/>
                <w:szCs w:val="20"/>
              </w:rPr>
              <w:noBreakHyphen/>
              <w:t xml:space="preserve">3.001 – Proper interpretation of concept of suitable employment – </w:t>
            </w:r>
            <w:r w:rsidRPr="009C2345">
              <w:rPr>
                <w:i/>
                <w:sz w:val="20"/>
                <w:szCs w:val="20"/>
              </w:rPr>
              <w:t>Act respecting industrial accidents and occupational diseases</w:t>
            </w:r>
            <w:r w:rsidRPr="009C2345">
              <w:rPr>
                <w:sz w:val="20"/>
                <w:szCs w:val="20"/>
              </w:rPr>
              <w:t>, CQLR, c. A</w:t>
            </w:r>
            <w:r w:rsidRPr="009C2345">
              <w:rPr>
                <w:sz w:val="20"/>
                <w:szCs w:val="20"/>
              </w:rPr>
              <w:noBreakHyphen/>
              <w:t>3.001, s. 4.</w:t>
            </w:r>
          </w:p>
        </w:tc>
      </w:tr>
      <w:tr w:rsidR="00F21BA6" w:rsidRPr="009C2345" w:rsidTr="005F12E5">
        <w:tc>
          <w:tcPr>
            <w:tcW w:w="5000" w:type="pct"/>
            <w:gridSpan w:val="3"/>
          </w:tcPr>
          <w:p w:rsidR="00F21BA6" w:rsidRPr="009C2345" w:rsidRDefault="00F21BA6" w:rsidP="00F21BA6">
            <w:pPr>
              <w:jc w:val="both"/>
              <w:rPr>
                <w:sz w:val="20"/>
                <w:szCs w:val="20"/>
              </w:rPr>
            </w:pPr>
          </w:p>
        </w:tc>
      </w:tr>
      <w:tr w:rsidR="00F21BA6" w:rsidRPr="009C2345" w:rsidTr="005F12E5">
        <w:tc>
          <w:tcPr>
            <w:tcW w:w="5000" w:type="pct"/>
            <w:gridSpan w:val="3"/>
          </w:tcPr>
          <w:p w:rsidR="00F21BA6" w:rsidRPr="009C2345" w:rsidRDefault="00F21BA6" w:rsidP="00F21BA6">
            <w:pPr>
              <w:autoSpaceDE w:val="0"/>
              <w:autoSpaceDN w:val="0"/>
              <w:adjustRightInd w:val="0"/>
              <w:jc w:val="both"/>
              <w:rPr>
                <w:sz w:val="20"/>
                <w:szCs w:val="20"/>
              </w:rPr>
            </w:pPr>
            <w:r w:rsidRPr="009C2345">
              <w:rPr>
                <w:sz w:val="20"/>
                <w:szCs w:val="20"/>
              </w:rPr>
              <w:t>On May 5, 2003, France Gagnon (“the employee”), who at the time was an employee of the City of Montréal, injured herself at work and filed a claim with the Commission de la santé et de la sécurité du travail (“CSST”). That claim was accepted by the CSST. On February 2, 2007, the employee injured herself again and filed a claim with the CSST, which was denied on May 3, 2007. The employee contested the CSST’s decision and, on March 24, 2009, the Commission des lésions professionnelles (“CLP”) ratified an agreement between her employer (the applicant or “the City”) and her union (the respondent or “the union”). The CLP subsequently confirmed a decision made by the CSST on September 14, 2009 and found that the employee’s employment injury had been consolidated since July 16, 2009 with no need for any other care or treatment, although the employee had been left with a permanent physical impairment and functional disabilities. On May 6, 2010, the CSST informed the employee that she had been found unable to resume her pre</w:t>
            </w:r>
            <w:r w:rsidRPr="009C2345">
              <w:rPr>
                <w:sz w:val="20"/>
                <w:szCs w:val="20"/>
              </w:rPr>
              <w:noBreakHyphen/>
              <w:t xml:space="preserve">injury employment, that the City had no suitable employment to offer her and that a rehabilitation process would therefore be initiated with her to identify suitable employment elsewhere in the labour market. On June 14, 2010, the City’s municipal council terminated the employee’s employment. On June 23, 2010, the union filed a grievance contesting the termination of the employee’s employment relationship. The arbitrator declined jurisdiction on the ground that, in this case, the collective agreement between the union and the City did not provide more favourably than the </w:t>
            </w:r>
            <w:r w:rsidRPr="009C2345">
              <w:rPr>
                <w:i/>
                <w:sz w:val="20"/>
                <w:szCs w:val="20"/>
              </w:rPr>
              <w:t>Act respecting industrial accidents and occupational diseases</w:t>
            </w:r>
            <w:r w:rsidRPr="009C2345">
              <w:rPr>
                <w:sz w:val="20"/>
                <w:szCs w:val="20"/>
              </w:rPr>
              <w:t>, CQLR, c. A</w:t>
            </w:r>
            <w:r w:rsidRPr="009C2345">
              <w:rPr>
                <w:sz w:val="20"/>
                <w:szCs w:val="20"/>
              </w:rPr>
              <w:noBreakHyphen/>
              <w:t>3.001 (“</w:t>
            </w:r>
            <w:r w:rsidRPr="009C2345">
              <w:rPr>
                <w:i/>
                <w:iCs/>
                <w:sz w:val="20"/>
                <w:szCs w:val="20"/>
              </w:rPr>
              <w:t>AIAOD</w:t>
            </w:r>
            <w:r w:rsidRPr="009C2345">
              <w:rPr>
                <w:iCs/>
                <w:sz w:val="20"/>
                <w:szCs w:val="20"/>
              </w:rPr>
              <w:t>”</w:t>
            </w:r>
            <w:r w:rsidRPr="009C2345">
              <w:rPr>
                <w:sz w:val="20"/>
                <w:szCs w:val="20"/>
              </w:rPr>
              <w:t xml:space="preserve">), which meant that the specialized bodies responsible for applying the </w:t>
            </w:r>
            <w:r w:rsidRPr="009C2345">
              <w:rPr>
                <w:i/>
                <w:iCs/>
                <w:sz w:val="20"/>
                <w:szCs w:val="20"/>
              </w:rPr>
              <w:t>AIAOD</w:t>
            </w:r>
            <w:r w:rsidRPr="009C2345">
              <w:rPr>
                <w:sz w:val="20"/>
                <w:szCs w:val="20"/>
              </w:rPr>
              <w:t xml:space="preserve"> had jurisdiction to resolve the dispute. The union applied for judicial review of the arbitrator’s decision.</w:t>
            </w:r>
          </w:p>
          <w:p w:rsidR="00F21BA6" w:rsidRPr="009C2345" w:rsidRDefault="00F21BA6" w:rsidP="00F21BA6">
            <w:pPr>
              <w:autoSpaceDE w:val="0"/>
              <w:autoSpaceDN w:val="0"/>
              <w:adjustRightInd w:val="0"/>
              <w:jc w:val="both"/>
              <w:rPr>
                <w:sz w:val="20"/>
                <w:szCs w:val="20"/>
              </w:rPr>
            </w:pPr>
          </w:p>
        </w:tc>
      </w:tr>
      <w:tr w:rsidR="00F21BA6" w:rsidRPr="009C2345" w:rsidTr="005F12E5">
        <w:tc>
          <w:tcPr>
            <w:tcW w:w="2423" w:type="pct"/>
          </w:tcPr>
          <w:p w:rsidR="00F21BA6" w:rsidRPr="009C2345" w:rsidRDefault="00F21BA6" w:rsidP="00F21BA6">
            <w:pPr>
              <w:jc w:val="both"/>
              <w:rPr>
                <w:sz w:val="20"/>
                <w:szCs w:val="20"/>
              </w:rPr>
            </w:pPr>
            <w:r w:rsidRPr="009C2345">
              <w:rPr>
                <w:sz w:val="20"/>
                <w:szCs w:val="20"/>
              </w:rPr>
              <w:t>July 4, 2014</w:t>
            </w:r>
          </w:p>
          <w:p w:rsidR="00F21BA6" w:rsidRPr="009C2345" w:rsidRDefault="00F21BA6" w:rsidP="00F21BA6">
            <w:pPr>
              <w:jc w:val="both"/>
              <w:rPr>
                <w:sz w:val="20"/>
                <w:szCs w:val="20"/>
              </w:rPr>
            </w:pPr>
            <w:r w:rsidRPr="009C2345">
              <w:rPr>
                <w:sz w:val="20"/>
                <w:szCs w:val="20"/>
              </w:rPr>
              <w:t>Quebec Superior Court</w:t>
            </w:r>
          </w:p>
          <w:p w:rsidR="00F21BA6" w:rsidRPr="009C2345" w:rsidRDefault="00F21BA6" w:rsidP="00F21BA6">
            <w:pPr>
              <w:jc w:val="both"/>
              <w:rPr>
                <w:sz w:val="20"/>
                <w:szCs w:val="20"/>
              </w:rPr>
            </w:pPr>
            <w:r w:rsidRPr="009C2345">
              <w:rPr>
                <w:sz w:val="20"/>
                <w:szCs w:val="20"/>
              </w:rPr>
              <w:t>(Grenier J.)</w:t>
            </w:r>
          </w:p>
          <w:p w:rsidR="00F21BA6" w:rsidRPr="009C2345" w:rsidRDefault="00F21BA6" w:rsidP="00F21BA6">
            <w:pPr>
              <w:jc w:val="both"/>
              <w:rPr>
                <w:sz w:val="20"/>
                <w:szCs w:val="20"/>
              </w:rPr>
            </w:pPr>
            <w:r w:rsidRPr="009C2345">
              <w:rPr>
                <w:sz w:val="20"/>
                <w:szCs w:val="20"/>
              </w:rPr>
              <w:t>No. 500-17-076700-130</w:t>
            </w:r>
          </w:p>
          <w:p w:rsidR="00F21BA6" w:rsidRPr="009C2345" w:rsidRDefault="0082006E" w:rsidP="00F21BA6">
            <w:pPr>
              <w:jc w:val="both"/>
              <w:rPr>
                <w:color w:val="0000FF" w:themeColor="hyperlink"/>
                <w:sz w:val="20"/>
                <w:szCs w:val="20"/>
                <w:u w:val="single"/>
              </w:rPr>
            </w:pPr>
            <w:hyperlink r:id="rId93" w:history="1">
              <w:r w:rsidR="00F21BA6" w:rsidRPr="009C2345">
                <w:rPr>
                  <w:color w:val="0000FF" w:themeColor="hyperlink"/>
                  <w:sz w:val="20"/>
                  <w:szCs w:val="20"/>
                  <w:u w:val="single"/>
                </w:rPr>
                <w:t>2014 QCCS 3233</w:t>
              </w:r>
            </w:hyperlink>
          </w:p>
          <w:p w:rsidR="00F21BA6" w:rsidRPr="009C2345" w:rsidRDefault="00F21BA6" w:rsidP="00F21BA6">
            <w:pPr>
              <w:jc w:val="both"/>
              <w:rPr>
                <w:sz w:val="20"/>
                <w:szCs w:val="20"/>
              </w:rPr>
            </w:pPr>
          </w:p>
        </w:tc>
        <w:tc>
          <w:tcPr>
            <w:tcW w:w="243" w:type="pct"/>
          </w:tcPr>
          <w:p w:rsidR="00F21BA6" w:rsidRPr="009C2345" w:rsidRDefault="00F21BA6" w:rsidP="00F21BA6">
            <w:pPr>
              <w:jc w:val="both"/>
              <w:rPr>
                <w:sz w:val="20"/>
                <w:szCs w:val="20"/>
              </w:rPr>
            </w:pPr>
          </w:p>
        </w:tc>
        <w:tc>
          <w:tcPr>
            <w:tcW w:w="2334" w:type="pct"/>
          </w:tcPr>
          <w:p w:rsidR="00F21BA6" w:rsidRPr="009C2345" w:rsidRDefault="00F21BA6" w:rsidP="00F21BA6">
            <w:pPr>
              <w:jc w:val="both"/>
              <w:rPr>
                <w:sz w:val="20"/>
                <w:szCs w:val="20"/>
              </w:rPr>
            </w:pPr>
            <w:r w:rsidRPr="009C2345">
              <w:rPr>
                <w:sz w:val="20"/>
                <w:szCs w:val="20"/>
              </w:rPr>
              <w:t>Motion for judicial review allowed</w:t>
            </w:r>
          </w:p>
          <w:p w:rsidR="00F21BA6" w:rsidRPr="009C2345" w:rsidRDefault="00F21BA6" w:rsidP="00F21BA6">
            <w:pPr>
              <w:jc w:val="both"/>
              <w:rPr>
                <w:sz w:val="20"/>
                <w:szCs w:val="20"/>
              </w:rPr>
            </w:pPr>
          </w:p>
        </w:tc>
      </w:tr>
      <w:tr w:rsidR="00F21BA6" w:rsidRPr="009C2345" w:rsidTr="005F12E5">
        <w:tc>
          <w:tcPr>
            <w:tcW w:w="2423" w:type="pct"/>
          </w:tcPr>
          <w:p w:rsidR="00F21BA6" w:rsidRPr="009C2345" w:rsidRDefault="00F21BA6" w:rsidP="00F21BA6">
            <w:pPr>
              <w:jc w:val="both"/>
              <w:rPr>
                <w:sz w:val="20"/>
                <w:szCs w:val="20"/>
              </w:rPr>
            </w:pPr>
            <w:r w:rsidRPr="009C2345">
              <w:rPr>
                <w:sz w:val="20"/>
                <w:szCs w:val="20"/>
              </w:rPr>
              <w:t>November 26, 2015</w:t>
            </w:r>
          </w:p>
          <w:p w:rsidR="00F21BA6" w:rsidRPr="009C2345" w:rsidRDefault="00F21BA6" w:rsidP="00F21BA6">
            <w:pPr>
              <w:jc w:val="both"/>
              <w:rPr>
                <w:sz w:val="20"/>
                <w:szCs w:val="20"/>
              </w:rPr>
            </w:pPr>
            <w:r w:rsidRPr="009C2345">
              <w:rPr>
                <w:sz w:val="20"/>
                <w:szCs w:val="20"/>
              </w:rPr>
              <w:t>Quebec Court of Appeal (Montréal)</w:t>
            </w:r>
          </w:p>
          <w:p w:rsidR="00F21BA6" w:rsidRPr="009C2345" w:rsidRDefault="00F21BA6" w:rsidP="00F21BA6">
            <w:pPr>
              <w:jc w:val="both"/>
              <w:rPr>
                <w:sz w:val="20"/>
                <w:szCs w:val="20"/>
              </w:rPr>
            </w:pPr>
            <w:r w:rsidRPr="009C2345">
              <w:rPr>
                <w:sz w:val="20"/>
                <w:szCs w:val="20"/>
              </w:rPr>
              <w:t>(Pelletier, Dufresne and Hogue JJ.A.)</w:t>
            </w:r>
          </w:p>
          <w:p w:rsidR="00F21BA6" w:rsidRPr="009C2345" w:rsidRDefault="00F21BA6" w:rsidP="00F21BA6">
            <w:pPr>
              <w:jc w:val="both"/>
              <w:rPr>
                <w:sz w:val="20"/>
                <w:szCs w:val="20"/>
              </w:rPr>
            </w:pPr>
            <w:r w:rsidRPr="009C2345">
              <w:rPr>
                <w:sz w:val="20"/>
                <w:szCs w:val="20"/>
              </w:rPr>
              <w:t xml:space="preserve">No. </w:t>
            </w:r>
            <w:bookmarkStart w:id="3" w:name="NoDossier"/>
            <w:r w:rsidRPr="009C2345">
              <w:rPr>
                <w:sz w:val="20"/>
                <w:szCs w:val="20"/>
              </w:rPr>
              <w:t>500-09-024615-148</w:t>
            </w:r>
            <w:bookmarkEnd w:id="3"/>
          </w:p>
          <w:p w:rsidR="00F21BA6" w:rsidRPr="009C2345" w:rsidRDefault="0082006E" w:rsidP="00F21BA6">
            <w:pPr>
              <w:jc w:val="both"/>
              <w:rPr>
                <w:color w:val="0000FF" w:themeColor="hyperlink"/>
                <w:sz w:val="20"/>
                <w:szCs w:val="20"/>
                <w:u w:val="single"/>
              </w:rPr>
            </w:pPr>
            <w:hyperlink r:id="rId94" w:history="1">
              <w:r w:rsidR="00F21BA6" w:rsidRPr="009C2345">
                <w:rPr>
                  <w:color w:val="0000FF" w:themeColor="hyperlink"/>
                  <w:sz w:val="20"/>
                  <w:szCs w:val="20"/>
                  <w:u w:val="single"/>
                </w:rPr>
                <w:t>2015 QCCA 1957</w:t>
              </w:r>
            </w:hyperlink>
          </w:p>
          <w:p w:rsidR="00F21BA6" w:rsidRPr="009C2345" w:rsidRDefault="00F21BA6" w:rsidP="00F21BA6">
            <w:pPr>
              <w:jc w:val="both"/>
              <w:rPr>
                <w:sz w:val="20"/>
                <w:szCs w:val="20"/>
              </w:rPr>
            </w:pPr>
          </w:p>
        </w:tc>
        <w:tc>
          <w:tcPr>
            <w:tcW w:w="243" w:type="pct"/>
          </w:tcPr>
          <w:p w:rsidR="00F21BA6" w:rsidRPr="009C2345" w:rsidRDefault="00F21BA6" w:rsidP="00F21BA6">
            <w:pPr>
              <w:jc w:val="both"/>
              <w:rPr>
                <w:sz w:val="20"/>
                <w:szCs w:val="20"/>
              </w:rPr>
            </w:pPr>
          </w:p>
        </w:tc>
        <w:tc>
          <w:tcPr>
            <w:tcW w:w="2334" w:type="pct"/>
          </w:tcPr>
          <w:p w:rsidR="00F21BA6" w:rsidRPr="009C2345" w:rsidRDefault="00F21BA6" w:rsidP="00F21BA6">
            <w:pPr>
              <w:jc w:val="both"/>
              <w:rPr>
                <w:sz w:val="20"/>
                <w:szCs w:val="20"/>
              </w:rPr>
            </w:pPr>
            <w:r w:rsidRPr="009C2345">
              <w:rPr>
                <w:sz w:val="20"/>
                <w:szCs w:val="20"/>
              </w:rPr>
              <w:t>Appeal allowed for sole purpose of ordering that matter be referred back to new arbitrator</w:t>
            </w:r>
          </w:p>
          <w:p w:rsidR="00F21BA6" w:rsidRPr="009C2345" w:rsidRDefault="00F21BA6" w:rsidP="00F21BA6">
            <w:pPr>
              <w:jc w:val="both"/>
              <w:rPr>
                <w:sz w:val="20"/>
                <w:szCs w:val="20"/>
              </w:rPr>
            </w:pPr>
          </w:p>
        </w:tc>
      </w:tr>
      <w:tr w:rsidR="00F21BA6" w:rsidRPr="009C2345" w:rsidTr="005F12E5">
        <w:tc>
          <w:tcPr>
            <w:tcW w:w="2423" w:type="pct"/>
          </w:tcPr>
          <w:p w:rsidR="00F21BA6" w:rsidRPr="009C2345" w:rsidRDefault="00F21BA6" w:rsidP="00F21BA6">
            <w:pPr>
              <w:jc w:val="both"/>
              <w:rPr>
                <w:sz w:val="20"/>
                <w:szCs w:val="20"/>
              </w:rPr>
            </w:pPr>
            <w:r w:rsidRPr="009C2345">
              <w:rPr>
                <w:sz w:val="20"/>
                <w:szCs w:val="20"/>
              </w:rPr>
              <w:t>January 22, 2016</w:t>
            </w:r>
          </w:p>
          <w:p w:rsidR="00F21BA6" w:rsidRPr="009C2345" w:rsidRDefault="00F21BA6" w:rsidP="00F21BA6">
            <w:pPr>
              <w:jc w:val="both"/>
              <w:rPr>
                <w:sz w:val="20"/>
                <w:szCs w:val="20"/>
              </w:rPr>
            </w:pPr>
            <w:r w:rsidRPr="009C2345">
              <w:rPr>
                <w:sz w:val="20"/>
                <w:szCs w:val="20"/>
              </w:rPr>
              <w:t>Supreme Court of Canada</w:t>
            </w:r>
          </w:p>
        </w:tc>
        <w:tc>
          <w:tcPr>
            <w:tcW w:w="243" w:type="pct"/>
          </w:tcPr>
          <w:p w:rsidR="00F21BA6" w:rsidRPr="009C2345" w:rsidRDefault="00F21BA6" w:rsidP="00F21BA6">
            <w:pPr>
              <w:jc w:val="both"/>
              <w:rPr>
                <w:sz w:val="20"/>
                <w:szCs w:val="20"/>
              </w:rPr>
            </w:pPr>
          </w:p>
        </w:tc>
        <w:tc>
          <w:tcPr>
            <w:tcW w:w="2334" w:type="pct"/>
          </w:tcPr>
          <w:p w:rsidR="00F21BA6" w:rsidRPr="009C2345" w:rsidRDefault="00F21BA6" w:rsidP="00F21BA6">
            <w:pPr>
              <w:jc w:val="both"/>
              <w:rPr>
                <w:sz w:val="20"/>
                <w:szCs w:val="20"/>
              </w:rPr>
            </w:pPr>
            <w:r w:rsidRPr="009C2345">
              <w:rPr>
                <w:sz w:val="20"/>
                <w:szCs w:val="20"/>
              </w:rPr>
              <w:t>Application for leave to appeal filed</w:t>
            </w:r>
          </w:p>
        </w:tc>
      </w:tr>
    </w:tbl>
    <w:p w:rsidR="00F21BA6" w:rsidRPr="009C2345" w:rsidRDefault="00F21BA6" w:rsidP="008D292F">
      <w:pPr>
        <w:rPr>
          <w:sz w:val="20"/>
          <w:szCs w:val="20"/>
        </w:rPr>
      </w:pPr>
    </w:p>
    <w:p w:rsidR="0040694F" w:rsidRPr="009C2345" w:rsidRDefault="0082006E" w:rsidP="008D292F">
      <w:pPr>
        <w:rPr>
          <w:sz w:val="20"/>
          <w:szCs w:val="20"/>
          <w:lang w:val="fr-CA"/>
        </w:rPr>
      </w:pPr>
      <w:r>
        <w:rPr>
          <w:sz w:val="20"/>
          <w:szCs w:val="20"/>
          <w:lang w:val="fr-CA"/>
        </w:rPr>
        <w:pict>
          <v:rect id="_x0000_i1074" style="width:2in;height:1pt" o:hrpct="0" o:hralign="center" o:hrstd="t" o:hrnoshade="t" o:hr="t" fillcolor="black [3213]" stroked="f"/>
        </w:pict>
      </w:r>
    </w:p>
    <w:p w:rsidR="0040694F" w:rsidRPr="009C2345" w:rsidRDefault="0040694F" w:rsidP="008D292F">
      <w:pPr>
        <w:rPr>
          <w:sz w:val="20"/>
          <w:szCs w:val="20"/>
          <w:lang w:val="fr-CA"/>
        </w:rPr>
      </w:pPr>
    </w:p>
    <w:p w:rsidR="00F21BA6" w:rsidRPr="009C2345" w:rsidRDefault="00F21BA6" w:rsidP="00F21BA6">
      <w:pPr>
        <w:rPr>
          <w:sz w:val="20"/>
          <w:szCs w:val="20"/>
          <w:u w:val="single"/>
          <w:lang w:val="fr-CA"/>
        </w:rPr>
      </w:pPr>
      <w:r w:rsidRPr="009C2345">
        <w:rPr>
          <w:sz w:val="20"/>
          <w:szCs w:val="20"/>
          <w:u w:val="single"/>
          <w:lang w:val="fr-CA"/>
        </w:rPr>
        <w:t>RÉSUMÉ DE L’AFFAIRE</w:t>
      </w:r>
    </w:p>
    <w:p w:rsidR="00F21BA6" w:rsidRPr="009C2345" w:rsidRDefault="00F21BA6" w:rsidP="00F21BA6">
      <w:pPr>
        <w:rPr>
          <w:sz w:val="20"/>
          <w:szCs w:val="20"/>
          <w:lang w:val="fr-CA"/>
        </w:rPr>
      </w:pPr>
    </w:p>
    <w:tbl>
      <w:tblPr>
        <w:tblW w:w="4959" w:type="pct"/>
        <w:tblLayout w:type="fixed"/>
        <w:tblCellMar>
          <w:left w:w="0" w:type="dxa"/>
          <w:bottom w:w="99" w:type="dxa"/>
          <w:right w:w="0" w:type="dxa"/>
        </w:tblCellMar>
        <w:tblLook w:val="04A0" w:firstRow="1" w:lastRow="0" w:firstColumn="1" w:lastColumn="0" w:noHBand="0" w:noVBand="1"/>
      </w:tblPr>
      <w:tblGrid>
        <w:gridCol w:w="4623"/>
        <w:gridCol w:w="464"/>
        <w:gridCol w:w="4453"/>
      </w:tblGrid>
      <w:tr w:rsidR="00F21BA6" w:rsidRPr="0082006E" w:rsidTr="005F12E5">
        <w:tc>
          <w:tcPr>
            <w:tcW w:w="5000" w:type="pct"/>
            <w:gridSpan w:val="3"/>
          </w:tcPr>
          <w:p w:rsidR="00F21BA6" w:rsidRPr="009C2345" w:rsidRDefault="00F21BA6" w:rsidP="00F21BA6">
            <w:pPr>
              <w:jc w:val="both"/>
              <w:rPr>
                <w:sz w:val="20"/>
                <w:szCs w:val="20"/>
                <w:lang w:val="fr-CA"/>
              </w:rPr>
            </w:pPr>
            <w:r w:rsidRPr="009C2345">
              <w:rPr>
                <w:sz w:val="20"/>
                <w:szCs w:val="20"/>
                <w:lang w:val="fr-CA"/>
              </w:rPr>
              <w:t xml:space="preserve">Droit de l’emploi – Accidents du travail – Obligation d’accommodement – Arbitrage – Un tribunal d’arbitrage a-t-il la compétence pour se saisir d’un grief en vertu de l’article 4 de la </w:t>
            </w:r>
            <w:r w:rsidRPr="009C2345">
              <w:rPr>
                <w:i/>
                <w:sz w:val="20"/>
                <w:szCs w:val="20"/>
                <w:lang w:val="fr-CA"/>
              </w:rPr>
              <w:t>Loi sur les accidents du travail et les maladies professionnelles</w:t>
            </w:r>
            <w:r w:rsidRPr="009C2345">
              <w:rPr>
                <w:sz w:val="20"/>
                <w:szCs w:val="20"/>
                <w:lang w:val="fr-CA"/>
              </w:rPr>
              <w:t xml:space="preserve">, RLRQ, c. A-3.001? – Quelle interprétation faut-il donner à la notion d’emploi convenable? – </w:t>
            </w:r>
            <w:r w:rsidRPr="009C2345">
              <w:rPr>
                <w:i/>
                <w:sz w:val="20"/>
                <w:szCs w:val="20"/>
                <w:lang w:val="fr-CA"/>
              </w:rPr>
              <w:t>Loi sur les accidents du travail et les maladies professionnelles</w:t>
            </w:r>
            <w:r w:rsidRPr="009C2345">
              <w:rPr>
                <w:sz w:val="20"/>
                <w:szCs w:val="20"/>
                <w:lang w:val="fr-CA"/>
              </w:rPr>
              <w:t>, RLRQ, c. A-3.001, art. 4.</w:t>
            </w:r>
          </w:p>
        </w:tc>
      </w:tr>
      <w:tr w:rsidR="00F21BA6" w:rsidRPr="0082006E" w:rsidTr="005F12E5">
        <w:tc>
          <w:tcPr>
            <w:tcW w:w="5000" w:type="pct"/>
            <w:gridSpan w:val="3"/>
          </w:tcPr>
          <w:p w:rsidR="00F21BA6" w:rsidRPr="009C2345" w:rsidRDefault="00F21BA6" w:rsidP="00F21BA6">
            <w:pPr>
              <w:jc w:val="both"/>
              <w:rPr>
                <w:sz w:val="20"/>
                <w:szCs w:val="20"/>
                <w:lang w:val="fr-CA"/>
              </w:rPr>
            </w:pPr>
          </w:p>
        </w:tc>
      </w:tr>
      <w:tr w:rsidR="00F21BA6" w:rsidRPr="0082006E" w:rsidTr="005F12E5">
        <w:tc>
          <w:tcPr>
            <w:tcW w:w="5000" w:type="pct"/>
            <w:gridSpan w:val="3"/>
          </w:tcPr>
          <w:p w:rsidR="00F21BA6" w:rsidRPr="009C2345" w:rsidRDefault="00F21BA6" w:rsidP="00F21BA6">
            <w:pPr>
              <w:autoSpaceDE w:val="0"/>
              <w:autoSpaceDN w:val="0"/>
              <w:adjustRightInd w:val="0"/>
              <w:jc w:val="both"/>
              <w:rPr>
                <w:sz w:val="20"/>
                <w:szCs w:val="20"/>
                <w:lang w:val="fr-CA"/>
              </w:rPr>
            </w:pPr>
            <w:r w:rsidRPr="009C2345">
              <w:rPr>
                <w:sz w:val="20"/>
                <w:szCs w:val="20"/>
                <w:lang w:val="fr-CA"/>
              </w:rPr>
              <w:t xml:space="preserve">Le 5 mai 2003, madame France Gagnon (la « salariée »), alors employée de la Ville de Montréal, se blesse au travail et produit une réclamation auprès de la Commission de la santé et de la sécurité du travail (la « CSST »). Cette réclamation est acceptée par la CSST. Le 2 février 2007, la salariée se blesse à nouveau et dépose une réclamation auprès de la CSST qui est refusée le 3 mai 2007. La salariée conteste la décision de la CSST et, le 24 mars 2009, la Commission des lésions professionnelles (la « CLP ») entérine une entente entre son employeur (la demanderesse ou la « Ville ») et son syndicat (l’intimé ou le « Syndicat »). Par la suite, la CLP confirme une décision de la CSST du 14 septembre 2009 et déclare que la lésion professionnelle de la salariée est consolidée depuis le 16 juillet 2009 sans nécessité d’autres soins et traitements, bien que la salariée conserve de celle-ci une atteinte permanente à son intégrité physique et des limitations fonctionnelles. Le 6 mai 2010, la CSST avise la salariée qu’elle a été jugée incapable de reprendre son emploi prélésionnel, que la Ville n’a aucun emploi convenable à lui offrir et que, par conséquent, des démarches de réadaptation seront entreprises avec elle afin d’identifier un emploi convenable ailleurs sur le marché du travail. Le 14 juin 2010, le conseil municipal de la Ville met fin à l’emploi de la salariée. Le 23 juin 2010, le Syndicat conteste la fin du lien d’emploi de la salariée par le dépôt d’un grief. L’arbitre décline sa compétence au motif qu’en l’espèce, les dispositions de la convention collective liant le Syndicat à la Ville ne sont pas plus avantageuses que les dispositions contenues à la </w:t>
            </w:r>
            <w:r w:rsidRPr="009C2345">
              <w:rPr>
                <w:i/>
                <w:sz w:val="20"/>
                <w:szCs w:val="20"/>
                <w:lang w:val="fr-CA"/>
              </w:rPr>
              <w:t>Loi sur les accidents du travail et les maladies professionnelles</w:t>
            </w:r>
            <w:r w:rsidRPr="009C2345">
              <w:rPr>
                <w:sz w:val="20"/>
                <w:szCs w:val="20"/>
                <w:lang w:val="fr-CA"/>
              </w:rPr>
              <w:t>, RLRQ, c. A-3.001 (la « </w:t>
            </w:r>
            <w:r w:rsidRPr="009C2345">
              <w:rPr>
                <w:i/>
                <w:iCs/>
                <w:sz w:val="20"/>
                <w:szCs w:val="20"/>
                <w:lang w:val="fr-CA"/>
              </w:rPr>
              <w:t>L.a.t.m.p</w:t>
            </w:r>
            <w:r w:rsidRPr="009C2345">
              <w:rPr>
                <w:sz w:val="20"/>
                <w:szCs w:val="20"/>
                <w:lang w:val="fr-CA"/>
              </w:rPr>
              <w:t>. ») et qu’en conséquence, ce sont les instances spécialisées chargées d’appliquer la</w:t>
            </w:r>
            <w:r w:rsidRPr="009C2345">
              <w:rPr>
                <w:i/>
                <w:iCs/>
                <w:sz w:val="20"/>
                <w:szCs w:val="20"/>
                <w:lang w:val="fr-CA"/>
              </w:rPr>
              <w:t xml:space="preserve"> L.a.t.m.p.</w:t>
            </w:r>
            <w:r w:rsidRPr="009C2345">
              <w:rPr>
                <w:sz w:val="20"/>
                <w:szCs w:val="20"/>
                <w:lang w:val="fr-CA"/>
              </w:rPr>
              <w:t xml:space="preserve"> qui ont compétence pour régler le différend en cause. Le Syndicat se pourvoit en révision judiciaire de la décision arbitrale.</w:t>
            </w:r>
          </w:p>
          <w:p w:rsidR="00F21BA6" w:rsidRPr="009C2345" w:rsidRDefault="00F21BA6" w:rsidP="00F21BA6">
            <w:pPr>
              <w:autoSpaceDE w:val="0"/>
              <w:autoSpaceDN w:val="0"/>
              <w:adjustRightInd w:val="0"/>
              <w:jc w:val="both"/>
              <w:rPr>
                <w:sz w:val="20"/>
                <w:szCs w:val="20"/>
                <w:lang w:val="fr-CA"/>
              </w:rPr>
            </w:pPr>
          </w:p>
        </w:tc>
      </w:tr>
      <w:tr w:rsidR="00F21BA6" w:rsidRPr="0082006E" w:rsidTr="005F12E5">
        <w:tc>
          <w:tcPr>
            <w:tcW w:w="2423" w:type="pct"/>
          </w:tcPr>
          <w:p w:rsidR="00F21BA6" w:rsidRPr="009C2345" w:rsidRDefault="00F21BA6" w:rsidP="00F21BA6">
            <w:pPr>
              <w:jc w:val="both"/>
              <w:rPr>
                <w:sz w:val="20"/>
                <w:szCs w:val="20"/>
                <w:lang w:val="fr-CA"/>
              </w:rPr>
            </w:pPr>
            <w:r w:rsidRPr="009C2345">
              <w:rPr>
                <w:sz w:val="20"/>
                <w:szCs w:val="20"/>
                <w:lang w:val="fr-CA"/>
              </w:rPr>
              <w:t>Le 4 juillet 2014</w:t>
            </w:r>
          </w:p>
          <w:p w:rsidR="00F21BA6" w:rsidRPr="009C2345" w:rsidRDefault="00F21BA6" w:rsidP="00F21BA6">
            <w:pPr>
              <w:jc w:val="both"/>
              <w:rPr>
                <w:sz w:val="20"/>
                <w:szCs w:val="20"/>
                <w:lang w:val="fr-CA"/>
              </w:rPr>
            </w:pPr>
            <w:r w:rsidRPr="009C2345">
              <w:rPr>
                <w:sz w:val="20"/>
                <w:szCs w:val="20"/>
                <w:lang w:val="fr-CA"/>
              </w:rPr>
              <w:t>Cour supérieure du Québec</w:t>
            </w:r>
          </w:p>
          <w:p w:rsidR="00F21BA6" w:rsidRPr="009C2345" w:rsidRDefault="00F21BA6" w:rsidP="00F21BA6">
            <w:pPr>
              <w:jc w:val="both"/>
              <w:rPr>
                <w:sz w:val="20"/>
                <w:szCs w:val="20"/>
                <w:lang w:val="fr-CA"/>
              </w:rPr>
            </w:pPr>
            <w:r w:rsidRPr="009C2345">
              <w:rPr>
                <w:sz w:val="20"/>
                <w:szCs w:val="20"/>
                <w:lang w:val="fr-CA"/>
              </w:rPr>
              <w:t>(La juge Grenier)</w:t>
            </w:r>
          </w:p>
          <w:p w:rsidR="00F21BA6" w:rsidRPr="009C2345" w:rsidRDefault="00F21BA6" w:rsidP="00F21BA6">
            <w:pPr>
              <w:jc w:val="both"/>
              <w:rPr>
                <w:sz w:val="20"/>
                <w:szCs w:val="20"/>
                <w:lang w:val="fr-CA"/>
              </w:rPr>
            </w:pPr>
            <w:r w:rsidRPr="009C2345">
              <w:rPr>
                <w:sz w:val="20"/>
                <w:szCs w:val="20"/>
                <w:lang w:val="fr-CA"/>
              </w:rPr>
              <w:t>No. 500-17-076700-130</w:t>
            </w:r>
          </w:p>
          <w:p w:rsidR="00F21BA6" w:rsidRPr="009C2345" w:rsidRDefault="0082006E" w:rsidP="00F21BA6">
            <w:pPr>
              <w:jc w:val="both"/>
              <w:rPr>
                <w:color w:val="0000FF" w:themeColor="hyperlink"/>
                <w:sz w:val="20"/>
                <w:szCs w:val="20"/>
                <w:u w:val="single"/>
                <w:lang w:val="fr-CA"/>
              </w:rPr>
            </w:pPr>
            <w:hyperlink r:id="rId95" w:history="1">
              <w:r w:rsidR="00F21BA6" w:rsidRPr="009C2345">
                <w:rPr>
                  <w:color w:val="0000FF" w:themeColor="hyperlink"/>
                  <w:sz w:val="20"/>
                  <w:szCs w:val="20"/>
                  <w:u w:val="single"/>
                  <w:lang w:val="fr-CA"/>
                </w:rPr>
                <w:t>2014 QCCS 3233</w:t>
              </w:r>
            </w:hyperlink>
          </w:p>
          <w:p w:rsidR="00F21BA6" w:rsidRPr="009C2345" w:rsidRDefault="00F21BA6" w:rsidP="00F21BA6">
            <w:pPr>
              <w:jc w:val="both"/>
              <w:rPr>
                <w:sz w:val="20"/>
                <w:szCs w:val="20"/>
                <w:lang w:val="fr-CA"/>
              </w:rPr>
            </w:pPr>
          </w:p>
        </w:tc>
        <w:tc>
          <w:tcPr>
            <w:tcW w:w="243" w:type="pct"/>
          </w:tcPr>
          <w:p w:rsidR="00F21BA6" w:rsidRPr="009C2345" w:rsidRDefault="00F21BA6" w:rsidP="00F21BA6">
            <w:pPr>
              <w:jc w:val="both"/>
              <w:rPr>
                <w:sz w:val="20"/>
                <w:szCs w:val="20"/>
                <w:lang w:val="fr-CA"/>
              </w:rPr>
            </w:pPr>
          </w:p>
        </w:tc>
        <w:tc>
          <w:tcPr>
            <w:tcW w:w="2334" w:type="pct"/>
          </w:tcPr>
          <w:p w:rsidR="00F21BA6" w:rsidRPr="009C2345" w:rsidRDefault="00F21BA6" w:rsidP="00F21BA6">
            <w:pPr>
              <w:jc w:val="both"/>
              <w:rPr>
                <w:sz w:val="20"/>
                <w:szCs w:val="20"/>
                <w:lang w:val="fr-CA"/>
              </w:rPr>
            </w:pPr>
            <w:r w:rsidRPr="009C2345">
              <w:rPr>
                <w:sz w:val="20"/>
                <w:szCs w:val="20"/>
                <w:lang w:val="fr-CA"/>
              </w:rPr>
              <w:t>Requête en révision judiciaire accueillie.</w:t>
            </w:r>
          </w:p>
          <w:p w:rsidR="00F21BA6" w:rsidRPr="009C2345" w:rsidRDefault="00F21BA6" w:rsidP="00F21BA6">
            <w:pPr>
              <w:jc w:val="both"/>
              <w:rPr>
                <w:sz w:val="20"/>
                <w:szCs w:val="20"/>
                <w:lang w:val="fr-CA"/>
              </w:rPr>
            </w:pPr>
          </w:p>
        </w:tc>
      </w:tr>
      <w:tr w:rsidR="00F21BA6" w:rsidRPr="0082006E" w:rsidTr="005F12E5">
        <w:tc>
          <w:tcPr>
            <w:tcW w:w="2423" w:type="pct"/>
          </w:tcPr>
          <w:p w:rsidR="00F21BA6" w:rsidRPr="009C2345" w:rsidRDefault="00F21BA6" w:rsidP="00F21BA6">
            <w:pPr>
              <w:jc w:val="both"/>
              <w:rPr>
                <w:sz w:val="20"/>
                <w:szCs w:val="20"/>
                <w:lang w:val="fr-CA"/>
              </w:rPr>
            </w:pPr>
            <w:r w:rsidRPr="009C2345">
              <w:rPr>
                <w:sz w:val="20"/>
                <w:szCs w:val="20"/>
                <w:lang w:val="fr-CA"/>
              </w:rPr>
              <w:t>Le 26 novembre 2015</w:t>
            </w:r>
          </w:p>
          <w:p w:rsidR="00F21BA6" w:rsidRPr="009C2345" w:rsidRDefault="00F21BA6" w:rsidP="00F21BA6">
            <w:pPr>
              <w:jc w:val="both"/>
              <w:rPr>
                <w:sz w:val="20"/>
                <w:szCs w:val="20"/>
                <w:lang w:val="fr-CA"/>
              </w:rPr>
            </w:pPr>
            <w:r w:rsidRPr="009C2345">
              <w:rPr>
                <w:sz w:val="20"/>
                <w:szCs w:val="20"/>
                <w:lang w:val="fr-CA"/>
              </w:rPr>
              <w:t>Cour d’appel du Québec (Montréal)</w:t>
            </w:r>
          </w:p>
          <w:p w:rsidR="00F21BA6" w:rsidRPr="009C2345" w:rsidRDefault="00F21BA6" w:rsidP="00F21BA6">
            <w:pPr>
              <w:jc w:val="both"/>
              <w:rPr>
                <w:sz w:val="20"/>
                <w:szCs w:val="20"/>
                <w:lang w:val="fr-CA"/>
              </w:rPr>
            </w:pPr>
            <w:r w:rsidRPr="009C2345">
              <w:rPr>
                <w:sz w:val="20"/>
                <w:szCs w:val="20"/>
                <w:lang w:val="fr-CA"/>
              </w:rPr>
              <w:t>(Les juges Pelletier, Dufresne et Hogue)</w:t>
            </w:r>
          </w:p>
          <w:p w:rsidR="00F21BA6" w:rsidRPr="009C2345" w:rsidRDefault="00F21BA6" w:rsidP="00F21BA6">
            <w:pPr>
              <w:jc w:val="both"/>
              <w:rPr>
                <w:sz w:val="20"/>
                <w:szCs w:val="20"/>
                <w:lang w:val="fr-CA"/>
              </w:rPr>
            </w:pPr>
            <w:r w:rsidRPr="009C2345">
              <w:rPr>
                <w:sz w:val="20"/>
                <w:szCs w:val="20"/>
                <w:lang w:val="fr-CA"/>
              </w:rPr>
              <w:t>No. 500-09-024615-148</w:t>
            </w:r>
          </w:p>
          <w:p w:rsidR="00F21BA6" w:rsidRPr="009C2345" w:rsidRDefault="0082006E" w:rsidP="00F21BA6">
            <w:pPr>
              <w:jc w:val="both"/>
              <w:rPr>
                <w:color w:val="0000FF" w:themeColor="hyperlink"/>
                <w:sz w:val="20"/>
                <w:szCs w:val="20"/>
                <w:u w:val="single"/>
                <w:lang w:val="fr-CA"/>
              </w:rPr>
            </w:pPr>
            <w:hyperlink r:id="rId96" w:history="1">
              <w:r w:rsidR="00F21BA6" w:rsidRPr="009C2345">
                <w:rPr>
                  <w:color w:val="0000FF" w:themeColor="hyperlink"/>
                  <w:sz w:val="20"/>
                  <w:szCs w:val="20"/>
                  <w:u w:val="single"/>
                  <w:lang w:val="fr-CA"/>
                </w:rPr>
                <w:t>2015 QCCA 1957</w:t>
              </w:r>
            </w:hyperlink>
          </w:p>
          <w:p w:rsidR="00F21BA6" w:rsidRPr="009C2345" w:rsidRDefault="00F21BA6" w:rsidP="00F21BA6">
            <w:pPr>
              <w:jc w:val="both"/>
              <w:rPr>
                <w:sz w:val="20"/>
                <w:szCs w:val="20"/>
                <w:lang w:val="fr-CA"/>
              </w:rPr>
            </w:pPr>
          </w:p>
        </w:tc>
        <w:tc>
          <w:tcPr>
            <w:tcW w:w="243" w:type="pct"/>
          </w:tcPr>
          <w:p w:rsidR="00F21BA6" w:rsidRPr="009C2345" w:rsidRDefault="00F21BA6" w:rsidP="00F21BA6">
            <w:pPr>
              <w:jc w:val="both"/>
              <w:rPr>
                <w:sz w:val="20"/>
                <w:szCs w:val="20"/>
                <w:lang w:val="fr-FR"/>
              </w:rPr>
            </w:pPr>
          </w:p>
        </w:tc>
        <w:tc>
          <w:tcPr>
            <w:tcW w:w="2334" w:type="pct"/>
          </w:tcPr>
          <w:p w:rsidR="00F21BA6" w:rsidRPr="009C2345" w:rsidRDefault="00F21BA6" w:rsidP="00F21BA6">
            <w:pPr>
              <w:jc w:val="both"/>
              <w:rPr>
                <w:sz w:val="20"/>
                <w:szCs w:val="20"/>
                <w:lang w:val="fr-CA"/>
              </w:rPr>
            </w:pPr>
            <w:r w:rsidRPr="009C2345">
              <w:rPr>
                <w:sz w:val="20"/>
                <w:szCs w:val="20"/>
                <w:lang w:val="fr-CA"/>
              </w:rPr>
              <w:t>Appel accueilli à la seule fin d’ordonner le retour du dossier à un nouvel arbitre.</w:t>
            </w:r>
          </w:p>
          <w:p w:rsidR="00F21BA6" w:rsidRPr="009C2345" w:rsidRDefault="00F21BA6" w:rsidP="00F21BA6">
            <w:pPr>
              <w:jc w:val="both"/>
              <w:rPr>
                <w:sz w:val="20"/>
                <w:szCs w:val="20"/>
                <w:lang w:val="fr-CA"/>
              </w:rPr>
            </w:pPr>
          </w:p>
        </w:tc>
      </w:tr>
      <w:tr w:rsidR="00F21BA6" w:rsidRPr="009C2345" w:rsidTr="005F12E5">
        <w:tc>
          <w:tcPr>
            <w:tcW w:w="2423" w:type="pct"/>
          </w:tcPr>
          <w:p w:rsidR="00F21BA6" w:rsidRPr="009C2345" w:rsidRDefault="00F21BA6" w:rsidP="00F21BA6">
            <w:pPr>
              <w:jc w:val="both"/>
              <w:rPr>
                <w:sz w:val="20"/>
                <w:szCs w:val="20"/>
                <w:lang w:val="fr-CA"/>
              </w:rPr>
            </w:pPr>
            <w:r w:rsidRPr="009C2345">
              <w:rPr>
                <w:sz w:val="20"/>
                <w:szCs w:val="20"/>
                <w:lang w:val="fr-CA"/>
              </w:rPr>
              <w:t>Le 22 janvier 2016</w:t>
            </w:r>
          </w:p>
          <w:p w:rsidR="00F21BA6" w:rsidRPr="009C2345" w:rsidRDefault="00F21BA6" w:rsidP="00F21BA6">
            <w:pPr>
              <w:jc w:val="both"/>
              <w:rPr>
                <w:sz w:val="20"/>
                <w:szCs w:val="20"/>
                <w:lang w:val="fr-CA"/>
              </w:rPr>
            </w:pPr>
            <w:r w:rsidRPr="009C2345">
              <w:rPr>
                <w:sz w:val="20"/>
                <w:szCs w:val="20"/>
                <w:lang w:val="fr-CA"/>
              </w:rPr>
              <w:t>Cour suprême du Canada</w:t>
            </w:r>
          </w:p>
        </w:tc>
        <w:tc>
          <w:tcPr>
            <w:tcW w:w="243" w:type="pct"/>
          </w:tcPr>
          <w:p w:rsidR="00F21BA6" w:rsidRPr="009C2345" w:rsidRDefault="00F21BA6" w:rsidP="00F21BA6">
            <w:pPr>
              <w:jc w:val="both"/>
              <w:rPr>
                <w:sz w:val="20"/>
                <w:szCs w:val="20"/>
                <w:lang w:val="fr-FR"/>
              </w:rPr>
            </w:pPr>
          </w:p>
        </w:tc>
        <w:tc>
          <w:tcPr>
            <w:tcW w:w="2334" w:type="pct"/>
          </w:tcPr>
          <w:p w:rsidR="00F21BA6" w:rsidRPr="009C2345" w:rsidRDefault="00F21BA6" w:rsidP="00F21BA6">
            <w:pPr>
              <w:jc w:val="both"/>
              <w:rPr>
                <w:sz w:val="20"/>
                <w:szCs w:val="20"/>
                <w:lang w:val="fr-CA"/>
              </w:rPr>
            </w:pPr>
            <w:r w:rsidRPr="009C2345">
              <w:rPr>
                <w:sz w:val="20"/>
                <w:szCs w:val="20"/>
                <w:lang w:val="fr-CA"/>
              </w:rPr>
              <w:t>Demande d’autorisation d’appel déposée.</w:t>
            </w:r>
          </w:p>
        </w:tc>
      </w:tr>
    </w:tbl>
    <w:p w:rsidR="0040694F" w:rsidRPr="009C2345" w:rsidRDefault="0040694F" w:rsidP="008D292F">
      <w:pPr>
        <w:rPr>
          <w:sz w:val="20"/>
          <w:szCs w:val="20"/>
          <w:lang w:val="fr-CA"/>
        </w:rPr>
      </w:pPr>
    </w:p>
    <w:p w:rsidR="0040694F" w:rsidRPr="009C2345" w:rsidRDefault="0082006E" w:rsidP="008D292F">
      <w:pPr>
        <w:rPr>
          <w:sz w:val="20"/>
          <w:szCs w:val="20"/>
          <w:lang w:val="fr-CA"/>
        </w:rPr>
      </w:pPr>
      <w:r>
        <w:rPr>
          <w:sz w:val="20"/>
          <w:szCs w:val="20"/>
          <w:lang w:val="fr-CA"/>
        </w:rPr>
        <w:pict>
          <v:rect id="_x0000_i1075" style="width:2in;height:1pt" o:hrpct="0" o:hralign="center" o:hrstd="t" o:hrnoshade="t" o:hr="t" fillcolor="black [3213]" stroked="f"/>
        </w:pict>
      </w:r>
    </w:p>
    <w:p w:rsidR="0040694F" w:rsidRPr="009C2345" w:rsidRDefault="0040694F" w:rsidP="008D292F">
      <w:pPr>
        <w:rPr>
          <w:sz w:val="20"/>
          <w:szCs w:val="20"/>
          <w:lang w:val="fr-CA"/>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082"/>
      </w:tblGrid>
      <w:tr w:rsidR="00F21BA6" w:rsidRPr="00176E62" w:rsidTr="005F12E5">
        <w:trPr>
          <w:cantSplit/>
          <w:trHeight w:val="581"/>
        </w:trPr>
        <w:tc>
          <w:tcPr>
            <w:tcW w:w="1458" w:type="dxa"/>
          </w:tcPr>
          <w:p w:rsidR="00F21BA6" w:rsidRPr="00176E62" w:rsidRDefault="00F21BA6" w:rsidP="00017A3C">
            <w:pPr>
              <w:rPr>
                <w:sz w:val="20"/>
                <w:szCs w:val="20"/>
              </w:rPr>
            </w:pPr>
            <w:r w:rsidRPr="00176E62">
              <w:rPr>
                <w:rStyle w:val="SCCFileNumberChar"/>
                <w:sz w:val="20"/>
                <w:szCs w:val="20"/>
              </w:rPr>
              <w:t>36825</w:t>
            </w:r>
          </w:p>
          <w:p w:rsidR="00F21BA6" w:rsidRPr="00176E62" w:rsidRDefault="00F21BA6" w:rsidP="00017A3C">
            <w:pPr>
              <w:rPr>
                <w:b/>
                <w:sz w:val="20"/>
                <w:szCs w:val="20"/>
                <w:lang w:val="fr-CA"/>
              </w:rPr>
            </w:pPr>
          </w:p>
        </w:tc>
        <w:tc>
          <w:tcPr>
            <w:tcW w:w="8082" w:type="dxa"/>
          </w:tcPr>
          <w:p w:rsidR="00F21BA6" w:rsidRPr="00176E62" w:rsidRDefault="00D54F91" w:rsidP="004E6EF3">
            <w:pPr>
              <w:jc w:val="both"/>
              <w:rPr>
                <w:sz w:val="20"/>
                <w:szCs w:val="20"/>
              </w:rPr>
            </w:pPr>
            <w:r w:rsidRPr="00176E62">
              <w:rPr>
                <w:b/>
                <w:sz w:val="20"/>
                <w:szCs w:val="20"/>
                <w:u w:val="single"/>
              </w:rPr>
              <w:t>George Lu, Everrise Group Holdings Ltd., Golden Maple Leaf (Hangzhou) Financial Consulting Co., Ltd. (</w:t>
            </w:r>
            <w:r w:rsidR="00EA414F" w:rsidRPr="00176E62">
              <w:rPr>
                <w:b/>
                <w:sz w:val="20"/>
                <w:szCs w:val="20"/>
                <w:u w:val="single"/>
              </w:rPr>
              <w:t>f</w:t>
            </w:r>
            <w:r w:rsidRPr="00176E62">
              <w:rPr>
                <w:b/>
                <w:sz w:val="20"/>
                <w:szCs w:val="20"/>
                <w:u w:val="single"/>
              </w:rPr>
              <w:t>ormerly known as Golden Maple Leaf (Hangzhou) Technology Consulting Co. Ltd), Golden Maple Leaf Technology Corporation</w:t>
            </w:r>
            <w:r w:rsidR="00EA414F" w:rsidRPr="00176E62">
              <w:rPr>
                <w:b/>
                <w:sz w:val="20"/>
                <w:szCs w:val="20"/>
                <w:u w:val="single"/>
              </w:rPr>
              <w:t xml:space="preserve"> and</w:t>
            </w:r>
            <w:r w:rsidRPr="00176E62">
              <w:rPr>
                <w:b/>
                <w:sz w:val="20"/>
                <w:szCs w:val="20"/>
                <w:u w:val="single"/>
              </w:rPr>
              <w:t xml:space="preserve"> Zhejiang Highnew Environmental Technology Co. Ltd. v. Eco-Tec Inc.</w:t>
            </w:r>
            <w:r w:rsidRPr="00176E62">
              <w:rPr>
                <w:b/>
                <w:sz w:val="20"/>
                <w:szCs w:val="20"/>
              </w:rPr>
              <w:t xml:space="preserve"> </w:t>
            </w:r>
            <w:r w:rsidRPr="00176E62">
              <w:rPr>
                <w:sz w:val="20"/>
                <w:szCs w:val="20"/>
              </w:rPr>
              <w:t>(Ont.) (Civil) (By Leave)</w:t>
            </w:r>
          </w:p>
          <w:p w:rsidR="00F21BA6" w:rsidRPr="00176E62" w:rsidRDefault="00F21BA6" w:rsidP="00017A3C">
            <w:pPr>
              <w:rPr>
                <w:sz w:val="20"/>
                <w:szCs w:val="20"/>
              </w:rPr>
            </w:pPr>
          </w:p>
        </w:tc>
      </w:tr>
      <w:tr w:rsidR="00F21BA6" w:rsidRPr="00176E62" w:rsidTr="005F12E5">
        <w:trPr>
          <w:cantSplit/>
        </w:trPr>
        <w:tc>
          <w:tcPr>
            <w:tcW w:w="1458" w:type="dxa"/>
          </w:tcPr>
          <w:p w:rsidR="00F21BA6" w:rsidRPr="00176E62" w:rsidRDefault="00F21BA6" w:rsidP="00017A3C">
            <w:pPr>
              <w:rPr>
                <w:sz w:val="20"/>
                <w:szCs w:val="20"/>
              </w:rPr>
            </w:pPr>
            <w:r w:rsidRPr="00176E62">
              <w:rPr>
                <w:sz w:val="20"/>
                <w:szCs w:val="20"/>
              </w:rPr>
              <w:t>Coram :</w:t>
            </w:r>
          </w:p>
        </w:tc>
        <w:tc>
          <w:tcPr>
            <w:tcW w:w="8082" w:type="dxa"/>
          </w:tcPr>
          <w:p w:rsidR="00F21BA6" w:rsidRPr="00176E62" w:rsidRDefault="00480D9D" w:rsidP="00017A3C">
            <w:pPr>
              <w:rPr>
                <w:rStyle w:val="SCCCoramChar"/>
                <w:sz w:val="20"/>
                <w:szCs w:val="20"/>
                <w:lang w:val="en-CA"/>
              </w:rPr>
            </w:pPr>
            <w:r w:rsidRPr="00176E62">
              <w:rPr>
                <w:rStyle w:val="SCCCoramChar"/>
                <w:sz w:val="20"/>
                <w:szCs w:val="20"/>
                <w:lang w:val="en-CA"/>
              </w:rPr>
              <w:t>Cromwell, Wagner and Côté JJ.</w:t>
            </w:r>
          </w:p>
          <w:p w:rsidR="00480D9D" w:rsidRPr="00176E62" w:rsidRDefault="00480D9D" w:rsidP="00017A3C">
            <w:pPr>
              <w:rPr>
                <w:sz w:val="20"/>
                <w:szCs w:val="20"/>
              </w:rPr>
            </w:pPr>
          </w:p>
        </w:tc>
      </w:tr>
      <w:tr w:rsidR="00F21BA6" w:rsidRPr="0082006E" w:rsidTr="005F12E5">
        <w:trPr>
          <w:cantSplit/>
        </w:trPr>
        <w:tc>
          <w:tcPr>
            <w:tcW w:w="9540" w:type="dxa"/>
            <w:gridSpan w:val="2"/>
          </w:tcPr>
          <w:p w:rsidR="00F21BA6" w:rsidRPr="00176E62" w:rsidRDefault="00480D9D" w:rsidP="00017A3C">
            <w:pPr>
              <w:pStyle w:val="SCCShortJudgment"/>
              <w:ind w:firstLine="0"/>
            </w:pPr>
            <w:r w:rsidRPr="00176E62">
              <w:tab/>
              <w:t>The application for leave to appeal from the judgment of the Court of Appeal for Ontario, Number C60540, 2015 ONCA 818, dated November 27, 2015, is dismissed with costs.</w:t>
            </w:r>
          </w:p>
          <w:p w:rsidR="00480D9D" w:rsidRPr="00176E62" w:rsidRDefault="00480D9D" w:rsidP="00017A3C">
            <w:pPr>
              <w:pStyle w:val="SCCShortJudgment"/>
              <w:ind w:firstLine="0"/>
              <w:rPr>
                <w:szCs w:val="20"/>
              </w:rPr>
            </w:pPr>
          </w:p>
          <w:p w:rsidR="00F21BA6" w:rsidRPr="00176E62" w:rsidRDefault="00480D9D" w:rsidP="00017A3C">
            <w:pPr>
              <w:pStyle w:val="SCCShortJudgment"/>
              <w:rPr>
                <w:szCs w:val="20"/>
                <w:lang w:val="fr-CA"/>
              </w:rPr>
            </w:pPr>
            <w:r w:rsidRPr="00176E62">
              <w:rPr>
                <w:lang w:val="fr-CA"/>
              </w:rPr>
              <w:t>La demande d’autorisation d’appel de l’arrêt de la Cour d’appel de l’Ontario, numéro C60540, 2015 ONCA 818, daté du 27 novembre 2015, est rejetée avec dépens.</w:t>
            </w:r>
          </w:p>
        </w:tc>
      </w:tr>
    </w:tbl>
    <w:p w:rsidR="00F21BA6" w:rsidRPr="009C2345" w:rsidRDefault="00F21BA6" w:rsidP="00F21BA6">
      <w:pPr>
        <w:rPr>
          <w:sz w:val="20"/>
          <w:szCs w:val="20"/>
          <w:lang w:val="fr-CA"/>
        </w:rPr>
      </w:pPr>
    </w:p>
    <w:p w:rsidR="00BD50B7" w:rsidRPr="009C2345" w:rsidRDefault="00BD50B7">
      <w:pPr>
        <w:rPr>
          <w:sz w:val="20"/>
          <w:szCs w:val="20"/>
          <w:u w:val="single"/>
          <w:lang w:val="fr-CA"/>
        </w:rPr>
      </w:pPr>
      <w:r w:rsidRPr="009C2345">
        <w:rPr>
          <w:sz w:val="20"/>
          <w:szCs w:val="20"/>
          <w:u w:val="single"/>
          <w:lang w:val="fr-CA"/>
        </w:rPr>
        <w:br w:type="page"/>
      </w:r>
    </w:p>
    <w:p w:rsidR="00F21BA6" w:rsidRPr="009C2345" w:rsidRDefault="00F21BA6" w:rsidP="00F21BA6">
      <w:pPr>
        <w:rPr>
          <w:sz w:val="20"/>
          <w:szCs w:val="20"/>
          <w:u w:val="single"/>
        </w:rPr>
      </w:pPr>
      <w:r w:rsidRPr="009C2345">
        <w:rPr>
          <w:sz w:val="20"/>
          <w:szCs w:val="20"/>
          <w:u w:val="single"/>
        </w:rPr>
        <w:t>CASE SUMMARY</w:t>
      </w:r>
    </w:p>
    <w:p w:rsidR="00F21BA6" w:rsidRPr="009C2345" w:rsidRDefault="00F21BA6" w:rsidP="00F21BA6">
      <w:pPr>
        <w:rPr>
          <w:sz w:val="20"/>
          <w:szCs w:val="20"/>
        </w:rPr>
      </w:pPr>
    </w:p>
    <w:tbl>
      <w:tblPr>
        <w:tblW w:w="4959" w:type="pct"/>
        <w:tblLayout w:type="fixed"/>
        <w:tblCellMar>
          <w:left w:w="0" w:type="dxa"/>
          <w:bottom w:w="99" w:type="dxa"/>
          <w:right w:w="0" w:type="dxa"/>
        </w:tblCellMar>
        <w:tblLook w:val="04A0" w:firstRow="1" w:lastRow="0" w:firstColumn="1" w:lastColumn="0" w:noHBand="0" w:noVBand="1"/>
      </w:tblPr>
      <w:tblGrid>
        <w:gridCol w:w="4555"/>
        <w:gridCol w:w="513"/>
        <w:gridCol w:w="4472"/>
      </w:tblGrid>
      <w:tr w:rsidR="00314926" w:rsidRPr="009C2345" w:rsidTr="005F12E5">
        <w:tc>
          <w:tcPr>
            <w:tcW w:w="5000" w:type="pct"/>
            <w:gridSpan w:val="3"/>
          </w:tcPr>
          <w:p w:rsidR="00314926" w:rsidRPr="009C2345" w:rsidRDefault="00314926" w:rsidP="00314926">
            <w:pPr>
              <w:autoSpaceDE w:val="0"/>
              <w:autoSpaceDN w:val="0"/>
              <w:adjustRightInd w:val="0"/>
              <w:jc w:val="both"/>
              <w:rPr>
                <w:sz w:val="20"/>
                <w:szCs w:val="20"/>
                <w:lang w:val="en-US"/>
              </w:rPr>
            </w:pPr>
            <w:r w:rsidRPr="009C2345">
              <w:rPr>
                <w:sz w:val="20"/>
                <w:szCs w:val="20"/>
              </w:rPr>
              <w:t xml:space="preserve">Private international law </w:t>
            </w:r>
            <w:r w:rsidRPr="009C2345">
              <w:rPr>
                <w:rFonts w:cs="Times New Roman"/>
                <w:sz w:val="20"/>
                <w:szCs w:val="20"/>
              </w:rPr>
              <w:t>—</w:t>
            </w:r>
            <w:r w:rsidRPr="009C2345">
              <w:rPr>
                <w:sz w:val="20"/>
                <w:szCs w:val="20"/>
              </w:rPr>
              <w:t xml:space="preserve"> Choice of forum </w:t>
            </w:r>
            <w:r w:rsidRPr="009C2345">
              <w:rPr>
                <w:rFonts w:cs="Times New Roman"/>
                <w:sz w:val="20"/>
                <w:szCs w:val="20"/>
              </w:rPr>
              <w:t>—</w:t>
            </w:r>
            <w:r w:rsidRPr="009C2345">
              <w:rPr>
                <w:sz w:val="20"/>
                <w:szCs w:val="20"/>
              </w:rPr>
              <w:t xml:space="preserve"> </w:t>
            </w:r>
            <w:r w:rsidRPr="009C2345">
              <w:rPr>
                <w:i/>
                <w:sz w:val="20"/>
                <w:szCs w:val="20"/>
              </w:rPr>
              <w:t>Forum non conveniens</w:t>
            </w:r>
            <w:r w:rsidRPr="009C2345">
              <w:rPr>
                <w:sz w:val="20"/>
                <w:szCs w:val="20"/>
              </w:rPr>
              <w:t xml:space="preserve"> </w:t>
            </w:r>
            <w:r w:rsidRPr="009C2345">
              <w:rPr>
                <w:rFonts w:cs="Times New Roman"/>
                <w:sz w:val="20"/>
                <w:szCs w:val="20"/>
              </w:rPr>
              <w:t>—</w:t>
            </w:r>
            <w:r w:rsidRPr="009C2345">
              <w:rPr>
                <w:sz w:val="20"/>
                <w:szCs w:val="20"/>
              </w:rPr>
              <w:t xml:space="preserve"> Courts </w:t>
            </w:r>
            <w:r w:rsidRPr="009C2345">
              <w:rPr>
                <w:rFonts w:cs="Times New Roman"/>
                <w:sz w:val="20"/>
                <w:szCs w:val="20"/>
              </w:rPr>
              <w:t>—</w:t>
            </w:r>
            <w:r w:rsidRPr="009C2345">
              <w:rPr>
                <w:sz w:val="20"/>
                <w:szCs w:val="20"/>
              </w:rPr>
              <w:t xml:space="preserve"> Jurisdiction </w:t>
            </w:r>
            <w:r w:rsidRPr="009C2345">
              <w:rPr>
                <w:rFonts w:cs="Times New Roman"/>
                <w:sz w:val="20"/>
                <w:szCs w:val="20"/>
              </w:rPr>
              <w:t>—</w:t>
            </w:r>
            <w:r w:rsidRPr="009C2345">
              <w:rPr>
                <w:sz w:val="20"/>
                <w:szCs w:val="20"/>
              </w:rPr>
              <w:t xml:space="preserve"> Applicants’ motion to stay proceedings in Ontario for lack of jurisdiction over dispute or, alternatively, based on doctrine of </w:t>
            </w:r>
            <w:r w:rsidRPr="009C2345">
              <w:rPr>
                <w:i/>
                <w:sz w:val="20"/>
                <w:szCs w:val="20"/>
              </w:rPr>
              <w:t>forum non conveniens</w:t>
            </w:r>
            <w:r w:rsidRPr="009C2345">
              <w:rPr>
                <w:sz w:val="20"/>
                <w:szCs w:val="20"/>
              </w:rPr>
              <w:t xml:space="preserve"> dismissed </w:t>
            </w:r>
            <w:r w:rsidRPr="009C2345">
              <w:rPr>
                <w:rFonts w:cs="Times New Roman"/>
                <w:sz w:val="20"/>
                <w:szCs w:val="20"/>
              </w:rPr>
              <w:t>—</w:t>
            </w:r>
            <w:r w:rsidRPr="009C2345">
              <w:rPr>
                <w:sz w:val="20"/>
                <w:szCs w:val="20"/>
              </w:rPr>
              <w:t xml:space="preserve"> </w:t>
            </w:r>
            <w:r w:rsidRPr="009C2345">
              <w:rPr>
                <w:sz w:val="20"/>
                <w:szCs w:val="20"/>
                <w:lang w:val="en-US"/>
              </w:rPr>
              <w:t xml:space="preserve">What consideration must a court give to a whole agreement clause in a preliminary jurisdiction motion, when there is limited evidence about the relationship between the parties? </w:t>
            </w:r>
            <w:r w:rsidRPr="009C2345">
              <w:rPr>
                <w:rFonts w:cs="Times New Roman"/>
                <w:sz w:val="20"/>
                <w:szCs w:val="20"/>
                <w:lang w:val="en-US"/>
              </w:rPr>
              <w:t>—</w:t>
            </w:r>
            <w:r w:rsidRPr="009C2345">
              <w:rPr>
                <w:sz w:val="20"/>
                <w:szCs w:val="20"/>
                <w:lang w:val="en-US"/>
              </w:rPr>
              <w:t xml:space="preserve"> If there is a forum selection clause in the agreement at issue, does the burden shift to the plaintiff in a </w:t>
            </w:r>
            <w:r w:rsidRPr="009C2345">
              <w:rPr>
                <w:i/>
                <w:iCs/>
                <w:sz w:val="20"/>
                <w:szCs w:val="20"/>
                <w:lang w:val="en-US"/>
              </w:rPr>
              <w:t xml:space="preserve">forum non conveniens </w:t>
            </w:r>
            <w:r w:rsidRPr="009C2345">
              <w:rPr>
                <w:sz w:val="20"/>
                <w:szCs w:val="20"/>
                <w:lang w:val="en-US"/>
              </w:rPr>
              <w:t>analysis to prove that the forum chosen by the defendants is not the most appropriate forum?</w:t>
            </w:r>
          </w:p>
          <w:p w:rsidR="00314926" w:rsidRPr="009C2345" w:rsidRDefault="00314926" w:rsidP="00314926">
            <w:pPr>
              <w:jc w:val="both"/>
              <w:rPr>
                <w:sz w:val="20"/>
                <w:szCs w:val="20"/>
                <w:lang w:val="en-US"/>
              </w:rPr>
            </w:pPr>
          </w:p>
        </w:tc>
      </w:tr>
      <w:tr w:rsidR="00314926" w:rsidRPr="009C2345" w:rsidTr="005F12E5">
        <w:tc>
          <w:tcPr>
            <w:tcW w:w="5000" w:type="pct"/>
            <w:gridSpan w:val="3"/>
          </w:tcPr>
          <w:p w:rsidR="00314926" w:rsidRPr="009C2345" w:rsidRDefault="00314926" w:rsidP="00314926">
            <w:pPr>
              <w:jc w:val="both"/>
              <w:rPr>
                <w:sz w:val="20"/>
                <w:szCs w:val="20"/>
              </w:rPr>
            </w:pPr>
            <w:r w:rsidRPr="009C2345">
              <w:rPr>
                <w:sz w:val="20"/>
                <w:szCs w:val="20"/>
              </w:rPr>
              <w:t>The four applicants acted as consultant, agent or distributor for the respondent Eco-Tec Inc.’s (“Eco-Tec”) products in China. Eco-Tec and the applicants signed a series of confidentiality and business agreements between 2000 and 2008. Confidentiality agreements signed in 2001 and 2003 contained provisions stating that the agreements would continue to be binding for a period of ten years after termination. A distributor agreement signed in 2008 contained a whole agreement clause, which provided that the agreement superseded all previous agreements. The agreements also contained various forum selection clauses: some in favour of Ontario, others in favour of other jurisdictions or arbitration.</w:t>
            </w:r>
          </w:p>
          <w:p w:rsidR="00314926" w:rsidRPr="009C2345" w:rsidRDefault="00314926" w:rsidP="00314926">
            <w:pPr>
              <w:jc w:val="both"/>
              <w:rPr>
                <w:sz w:val="20"/>
                <w:szCs w:val="20"/>
              </w:rPr>
            </w:pPr>
          </w:p>
          <w:p w:rsidR="00314926" w:rsidRPr="009C2345" w:rsidRDefault="00314926" w:rsidP="00314926">
            <w:pPr>
              <w:jc w:val="both"/>
              <w:rPr>
                <w:sz w:val="20"/>
                <w:szCs w:val="20"/>
              </w:rPr>
            </w:pPr>
            <w:r w:rsidRPr="009C2345">
              <w:rPr>
                <w:sz w:val="20"/>
                <w:szCs w:val="20"/>
              </w:rPr>
              <w:t xml:space="preserve">Eco-Tec terminated its relationship with the applicants in 2012 and brought an action against them in Ontario. Eco-Tec alleged that the applicants unlawfully misappropriated its confidential and proprietary information for their own benefit and manufactured/supplied products to compete with Eco-Tec in China and elsewhere. Eco-Tec sued for breach of confidence, breach of contract, breach of fiduciary duty, conspiracy, unjust enrichment and/or unlawful interference with its economic interests. The applicants moved to stay the action, alleging that the Ontario court does not have jurisdiction over the dispute or, if it does, it should decline to assume jurisdiction on the basis of </w:t>
            </w:r>
            <w:r w:rsidRPr="009C2345">
              <w:rPr>
                <w:i/>
                <w:sz w:val="20"/>
                <w:szCs w:val="20"/>
              </w:rPr>
              <w:t>forum non conveniens</w:t>
            </w:r>
            <w:r w:rsidRPr="009C2345">
              <w:rPr>
                <w:sz w:val="20"/>
                <w:szCs w:val="20"/>
              </w:rPr>
              <w:t>.</w:t>
            </w:r>
          </w:p>
          <w:p w:rsidR="00314926" w:rsidRPr="009C2345" w:rsidRDefault="00314926" w:rsidP="00314926">
            <w:pPr>
              <w:jc w:val="both"/>
              <w:rPr>
                <w:sz w:val="20"/>
                <w:szCs w:val="20"/>
              </w:rPr>
            </w:pPr>
          </w:p>
        </w:tc>
      </w:tr>
      <w:tr w:rsidR="00314926" w:rsidRPr="009C2345" w:rsidTr="005F12E5">
        <w:tblPrEx>
          <w:tblCellMar>
            <w:bottom w:w="0" w:type="dxa"/>
          </w:tblCellMar>
        </w:tblPrEx>
        <w:tc>
          <w:tcPr>
            <w:tcW w:w="2387" w:type="pct"/>
          </w:tcPr>
          <w:p w:rsidR="00314926" w:rsidRPr="009C2345" w:rsidRDefault="00314926" w:rsidP="00314926">
            <w:pPr>
              <w:jc w:val="both"/>
              <w:rPr>
                <w:sz w:val="20"/>
                <w:szCs w:val="20"/>
              </w:rPr>
            </w:pPr>
            <w:r w:rsidRPr="009C2345">
              <w:rPr>
                <w:sz w:val="20"/>
                <w:szCs w:val="20"/>
              </w:rPr>
              <w:t>April 29, 2015</w:t>
            </w:r>
          </w:p>
          <w:p w:rsidR="00314926" w:rsidRPr="009C2345" w:rsidRDefault="00314926" w:rsidP="00314926">
            <w:pPr>
              <w:jc w:val="both"/>
              <w:rPr>
                <w:sz w:val="20"/>
                <w:szCs w:val="20"/>
              </w:rPr>
            </w:pPr>
            <w:r w:rsidRPr="009C2345">
              <w:rPr>
                <w:sz w:val="20"/>
                <w:szCs w:val="20"/>
              </w:rPr>
              <w:t>Ontario Superior Court of Justice</w:t>
            </w:r>
          </w:p>
          <w:p w:rsidR="00314926" w:rsidRPr="009C2345" w:rsidRDefault="00314926" w:rsidP="00314926">
            <w:pPr>
              <w:jc w:val="both"/>
              <w:rPr>
                <w:sz w:val="20"/>
                <w:szCs w:val="20"/>
              </w:rPr>
            </w:pPr>
            <w:r w:rsidRPr="009C2345">
              <w:rPr>
                <w:sz w:val="20"/>
                <w:szCs w:val="20"/>
              </w:rPr>
              <w:t>(Ferguson J.)</w:t>
            </w:r>
          </w:p>
          <w:p w:rsidR="00314926" w:rsidRPr="009C2345" w:rsidRDefault="00314926" w:rsidP="00314926">
            <w:pPr>
              <w:jc w:val="both"/>
              <w:rPr>
                <w:sz w:val="20"/>
                <w:szCs w:val="20"/>
              </w:rPr>
            </w:pPr>
            <w:r w:rsidRPr="009C2345">
              <w:rPr>
                <w:sz w:val="20"/>
                <w:szCs w:val="20"/>
              </w:rPr>
              <w:t>2015 ONSC 2796 (unreported in CanLII)</w:t>
            </w:r>
          </w:p>
          <w:p w:rsidR="00314926" w:rsidRPr="009C2345" w:rsidRDefault="00314926" w:rsidP="00314926">
            <w:pPr>
              <w:jc w:val="both"/>
              <w:rPr>
                <w:sz w:val="20"/>
                <w:szCs w:val="20"/>
              </w:rPr>
            </w:pPr>
          </w:p>
        </w:tc>
        <w:tc>
          <w:tcPr>
            <w:tcW w:w="269" w:type="pct"/>
          </w:tcPr>
          <w:p w:rsidR="00314926" w:rsidRPr="009C2345" w:rsidRDefault="00314926" w:rsidP="00314926">
            <w:pPr>
              <w:jc w:val="both"/>
              <w:rPr>
                <w:sz w:val="20"/>
                <w:szCs w:val="20"/>
              </w:rPr>
            </w:pPr>
          </w:p>
        </w:tc>
        <w:tc>
          <w:tcPr>
            <w:tcW w:w="2344" w:type="pct"/>
          </w:tcPr>
          <w:p w:rsidR="00314926" w:rsidRPr="009C2345" w:rsidRDefault="00314926" w:rsidP="00314926">
            <w:pPr>
              <w:jc w:val="both"/>
              <w:rPr>
                <w:sz w:val="20"/>
                <w:szCs w:val="20"/>
              </w:rPr>
            </w:pPr>
            <w:r w:rsidRPr="009C2345">
              <w:rPr>
                <w:sz w:val="20"/>
                <w:szCs w:val="20"/>
              </w:rPr>
              <w:t xml:space="preserve">Motion to stay proceeding in Ontario dismissed </w:t>
            </w:r>
          </w:p>
          <w:p w:rsidR="00314926" w:rsidRPr="009C2345" w:rsidRDefault="00314926" w:rsidP="00314926">
            <w:pPr>
              <w:jc w:val="both"/>
              <w:rPr>
                <w:sz w:val="20"/>
                <w:szCs w:val="20"/>
              </w:rPr>
            </w:pPr>
          </w:p>
        </w:tc>
      </w:tr>
      <w:tr w:rsidR="00314926" w:rsidRPr="009C2345" w:rsidTr="005F12E5">
        <w:tblPrEx>
          <w:tblCellMar>
            <w:bottom w:w="0" w:type="dxa"/>
          </w:tblCellMar>
        </w:tblPrEx>
        <w:tc>
          <w:tcPr>
            <w:tcW w:w="2387" w:type="pct"/>
          </w:tcPr>
          <w:p w:rsidR="00314926" w:rsidRPr="009C2345" w:rsidRDefault="00314926" w:rsidP="00314926">
            <w:pPr>
              <w:jc w:val="both"/>
              <w:rPr>
                <w:sz w:val="20"/>
                <w:szCs w:val="20"/>
              </w:rPr>
            </w:pPr>
            <w:r w:rsidRPr="009C2345">
              <w:rPr>
                <w:sz w:val="20"/>
                <w:szCs w:val="20"/>
              </w:rPr>
              <w:t>November 27, 2015</w:t>
            </w:r>
          </w:p>
          <w:p w:rsidR="00314926" w:rsidRPr="009C2345" w:rsidRDefault="00314926" w:rsidP="00314926">
            <w:pPr>
              <w:jc w:val="both"/>
              <w:rPr>
                <w:sz w:val="20"/>
                <w:szCs w:val="20"/>
              </w:rPr>
            </w:pPr>
            <w:r w:rsidRPr="009C2345">
              <w:rPr>
                <w:sz w:val="20"/>
                <w:szCs w:val="20"/>
              </w:rPr>
              <w:t>Court of Appeal for Ontario</w:t>
            </w:r>
          </w:p>
          <w:p w:rsidR="00314926" w:rsidRPr="009C2345" w:rsidRDefault="00314926" w:rsidP="00314926">
            <w:pPr>
              <w:jc w:val="both"/>
              <w:rPr>
                <w:sz w:val="20"/>
                <w:szCs w:val="20"/>
              </w:rPr>
            </w:pPr>
            <w:r w:rsidRPr="009C2345">
              <w:rPr>
                <w:sz w:val="20"/>
                <w:szCs w:val="20"/>
              </w:rPr>
              <w:t>(Hoy A.C.J.O., Gillese and Lauwers JJ.A.)</w:t>
            </w:r>
          </w:p>
          <w:p w:rsidR="00314926" w:rsidRPr="009C2345" w:rsidRDefault="0082006E" w:rsidP="00314926">
            <w:pPr>
              <w:jc w:val="both"/>
              <w:rPr>
                <w:sz w:val="20"/>
                <w:szCs w:val="20"/>
              </w:rPr>
            </w:pPr>
            <w:hyperlink r:id="rId97" w:history="1">
              <w:r w:rsidR="00314926" w:rsidRPr="009C2345">
                <w:rPr>
                  <w:color w:val="0000FF" w:themeColor="hyperlink"/>
                  <w:sz w:val="20"/>
                  <w:szCs w:val="20"/>
                  <w:u w:val="single"/>
                </w:rPr>
                <w:t>2015 ONCA 818</w:t>
              </w:r>
            </w:hyperlink>
          </w:p>
          <w:p w:rsidR="00314926" w:rsidRPr="009C2345" w:rsidRDefault="00314926" w:rsidP="00314926">
            <w:pPr>
              <w:jc w:val="both"/>
              <w:rPr>
                <w:sz w:val="20"/>
                <w:szCs w:val="20"/>
              </w:rPr>
            </w:pPr>
          </w:p>
        </w:tc>
        <w:tc>
          <w:tcPr>
            <w:tcW w:w="269" w:type="pct"/>
          </w:tcPr>
          <w:p w:rsidR="00314926" w:rsidRPr="009C2345" w:rsidRDefault="00314926" w:rsidP="00314926">
            <w:pPr>
              <w:jc w:val="both"/>
              <w:rPr>
                <w:sz w:val="20"/>
                <w:szCs w:val="20"/>
              </w:rPr>
            </w:pPr>
          </w:p>
        </w:tc>
        <w:tc>
          <w:tcPr>
            <w:tcW w:w="2344" w:type="pct"/>
          </w:tcPr>
          <w:p w:rsidR="00314926" w:rsidRPr="009C2345" w:rsidRDefault="00314926" w:rsidP="00314926">
            <w:pPr>
              <w:jc w:val="both"/>
              <w:rPr>
                <w:sz w:val="20"/>
                <w:szCs w:val="20"/>
              </w:rPr>
            </w:pPr>
            <w:r w:rsidRPr="009C2345">
              <w:rPr>
                <w:sz w:val="20"/>
                <w:szCs w:val="20"/>
              </w:rPr>
              <w:t xml:space="preserve">Appeal dismissed </w:t>
            </w:r>
          </w:p>
          <w:p w:rsidR="00314926" w:rsidRPr="009C2345" w:rsidRDefault="00314926" w:rsidP="00314926">
            <w:pPr>
              <w:jc w:val="both"/>
              <w:rPr>
                <w:sz w:val="20"/>
                <w:szCs w:val="20"/>
              </w:rPr>
            </w:pPr>
          </w:p>
        </w:tc>
      </w:tr>
      <w:tr w:rsidR="00314926" w:rsidRPr="009C2345" w:rsidTr="005F12E5">
        <w:tblPrEx>
          <w:tblCellMar>
            <w:bottom w:w="0" w:type="dxa"/>
          </w:tblCellMar>
        </w:tblPrEx>
        <w:tc>
          <w:tcPr>
            <w:tcW w:w="2387" w:type="pct"/>
          </w:tcPr>
          <w:p w:rsidR="00314926" w:rsidRPr="009C2345" w:rsidRDefault="00314926" w:rsidP="00314926">
            <w:pPr>
              <w:jc w:val="both"/>
              <w:rPr>
                <w:sz w:val="20"/>
                <w:szCs w:val="20"/>
              </w:rPr>
            </w:pPr>
            <w:r w:rsidRPr="009C2345">
              <w:rPr>
                <w:sz w:val="20"/>
                <w:szCs w:val="20"/>
              </w:rPr>
              <w:t>January 26, 2016</w:t>
            </w:r>
          </w:p>
          <w:p w:rsidR="00314926" w:rsidRPr="009C2345" w:rsidRDefault="00314926" w:rsidP="00314926">
            <w:pPr>
              <w:jc w:val="both"/>
              <w:rPr>
                <w:sz w:val="20"/>
                <w:szCs w:val="20"/>
              </w:rPr>
            </w:pPr>
            <w:r w:rsidRPr="009C2345">
              <w:rPr>
                <w:sz w:val="20"/>
                <w:szCs w:val="20"/>
              </w:rPr>
              <w:t>Supreme Court of Canada</w:t>
            </w:r>
          </w:p>
        </w:tc>
        <w:tc>
          <w:tcPr>
            <w:tcW w:w="269" w:type="pct"/>
          </w:tcPr>
          <w:p w:rsidR="00314926" w:rsidRPr="009C2345" w:rsidRDefault="00314926" w:rsidP="00314926">
            <w:pPr>
              <w:jc w:val="both"/>
              <w:rPr>
                <w:sz w:val="20"/>
                <w:szCs w:val="20"/>
              </w:rPr>
            </w:pPr>
          </w:p>
        </w:tc>
        <w:tc>
          <w:tcPr>
            <w:tcW w:w="2344" w:type="pct"/>
          </w:tcPr>
          <w:p w:rsidR="00314926" w:rsidRPr="009C2345" w:rsidRDefault="00314926" w:rsidP="00314926">
            <w:pPr>
              <w:jc w:val="both"/>
              <w:rPr>
                <w:sz w:val="20"/>
                <w:szCs w:val="20"/>
              </w:rPr>
            </w:pPr>
            <w:r w:rsidRPr="009C2345">
              <w:rPr>
                <w:sz w:val="20"/>
                <w:szCs w:val="20"/>
              </w:rPr>
              <w:t>Application for leave to appeal filed</w:t>
            </w:r>
          </w:p>
          <w:p w:rsidR="00314926" w:rsidRPr="009C2345" w:rsidRDefault="00314926" w:rsidP="00314926">
            <w:pPr>
              <w:jc w:val="both"/>
              <w:rPr>
                <w:sz w:val="20"/>
                <w:szCs w:val="20"/>
              </w:rPr>
            </w:pPr>
          </w:p>
        </w:tc>
      </w:tr>
    </w:tbl>
    <w:p w:rsidR="00F21BA6" w:rsidRPr="009C2345" w:rsidRDefault="00F21BA6" w:rsidP="00F21BA6">
      <w:pPr>
        <w:rPr>
          <w:sz w:val="20"/>
          <w:szCs w:val="20"/>
        </w:rPr>
      </w:pPr>
    </w:p>
    <w:p w:rsidR="00F21BA6" w:rsidRPr="009C2345" w:rsidRDefault="0082006E" w:rsidP="00F21BA6">
      <w:pPr>
        <w:rPr>
          <w:sz w:val="20"/>
          <w:szCs w:val="20"/>
          <w:lang w:val="fr-CA"/>
        </w:rPr>
      </w:pPr>
      <w:r>
        <w:rPr>
          <w:sz w:val="20"/>
          <w:szCs w:val="20"/>
          <w:lang w:val="fr-CA"/>
        </w:rPr>
        <w:pict>
          <v:rect id="_x0000_i1076" style="width:2in;height:1pt" o:hrpct="0" o:hralign="center" o:hrstd="t" o:hrnoshade="t" o:hr="t" fillcolor="black [3213]" stroked="f"/>
        </w:pict>
      </w:r>
    </w:p>
    <w:p w:rsidR="00F21BA6" w:rsidRPr="009C2345" w:rsidRDefault="00F21BA6" w:rsidP="00F21BA6">
      <w:pPr>
        <w:rPr>
          <w:sz w:val="20"/>
          <w:szCs w:val="20"/>
          <w:lang w:val="fr-CA"/>
        </w:rPr>
      </w:pPr>
    </w:p>
    <w:p w:rsidR="00F21BA6" w:rsidRPr="009C2345" w:rsidRDefault="00F21BA6" w:rsidP="00F21BA6">
      <w:pPr>
        <w:rPr>
          <w:sz w:val="20"/>
          <w:szCs w:val="20"/>
          <w:u w:val="single"/>
          <w:lang w:val="fr-CA"/>
        </w:rPr>
      </w:pPr>
      <w:r w:rsidRPr="009C2345">
        <w:rPr>
          <w:sz w:val="20"/>
          <w:szCs w:val="20"/>
          <w:u w:val="single"/>
          <w:lang w:val="fr-CA"/>
        </w:rPr>
        <w:t>RÉSUMÉ DE L’AFFAIRE</w:t>
      </w:r>
    </w:p>
    <w:p w:rsidR="00F21BA6" w:rsidRPr="009C2345" w:rsidRDefault="00F21BA6" w:rsidP="00F21BA6">
      <w:pPr>
        <w:rPr>
          <w:sz w:val="20"/>
          <w:szCs w:val="20"/>
          <w:lang w:val="fr-CA"/>
        </w:rPr>
      </w:pPr>
    </w:p>
    <w:tbl>
      <w:tblPr>
        <w:tblW w:w="4959" w:type="pct"/>
        <w:tblLayout w:type="fixed"/>
        <w:tblCellMar>
          <w:left w:w="0" w:type="dxa"/>
          <w:bottom w:w="99" w:type="dxa"/>
          <w:right w:w="0" w:type="dxa"/>
        </w:tblCellMar>
        <w:tblLook w:val="04A0" w:firstRow="1" w:lastRow="0" w:firstColumn="1" w:lastColumn="0" w:noHBand="0" w:noVBand="1"/>
      </w:tblPr>
      <w:tblGrid>
        <w:gridCol w:w="4553"/>
        <w:gridCol w:w="513"/>
        <w:gridCol w:w="4474"/>
      </w:tblGrid>
      <w:tr w:rsidR="00AD78F4" w:rsidRPr="0082006E" w:rsidTr="005F12E5">
        <w:tc>
          <w:tcPr>
            <w:tcW w:w="5000" w:type="pct"/>
            <w:gridSpan w:val="3"/>
          </w:tcPr>
          <w:p w:rsidR="00AD78F4" w:rsidRPr="009C2345" w:rsidRDefault="00AD78F4" w:rsidP="00AD78F4">
            <w:pPr>
              <w:autoSpaceDE w:val="0"/>
              <w:autoSpaceDN w:val="0"/>
              <w:adjustRightInd w:val="0"/>
              <w:jc w:val="both"/>
              <w:rPr>
                <w:sz w:val="20"/>
                <w:szCs w:val="20"/>
                <w:lang w:val="fr-CA"/>
              </w:rPr>
            </w:pPr>
            <w:r w:rsidRPr="009C2345">
              <w:rPr>
                <w:sz w:val="20"/>
                <w:szCs w:val="20"/>
                <w:lang w:val="fr-CA"/>
              </w:rPr>
              <w:t xml:space="preserve">Droit international privé </w:t>
            </w:r>
            <w:r w:rsidRPr="009C2345">
              <w:rPr>
                <w:rFonts w:cs="Times New Roman"/>
                <w:sz w:val="20"/>
                <w:szCs w:val="20"/>
                <w:lang w:val="fr-CA"/>
              </w:rPr>
              <w:t>—</w:t>
            </w:r>
            <w:r w:rsidRPr="009C2345">
              <w:rPr>
                <w:sz w:val="20"/>
                <w:szCs w:val="20"/>
                <w:lang w:val="fr-CA"/>
              </w:rPr>
              <w:t xml:space="preserve"> Choix du tribunal </w:t>
            </w:r>
            <w:r w:rsidRPr="009C2345">
              <w:rPr>
                <w:rFonts w:cs="Times New Roman"/>
                <w:sz w:val="20"/>
                <w:szCs w:val="20"/>
                <w:lang w:val="fr-CA"/>
              </w:rPr>
              <w:t>—</w:t>
            </w:r>
            <w:r w:rsidRPr="009C2345">
              <w:rPr>
                <w:sz w:val="20"/>
                <w:szCs w:val="20"/>
                <w:lang w:val="fr-CA"/>
              </w:rPr>
              <w:t xml:space="preserve"> </w:t>
            </w:r>
            <w:r w:rsidRPr="009C2345">
              <w:rPr>
                <w:i/>
                <w:sz w:val="20"/>
                <w:szCs w:val="20"/>
                <w:lang w:val="fr-CA"/>
              </w:rPr>
              <w:t>Forum non conveniens</w:t>
            </w:r>
            <w:r w:rsidRPr="009C2345">
              <w:rPr>
                <w:sz w:val="20"/>
                <w:szCs w:val="20"/>
                <w:lang w:val="fr-CA"/>
              </w:rPr>
              <w:t xml:space="preserve"> </w:t>
            </w:r>
            <w:r w:rsidRPr="009C2345">
              <w:rPr>
                <w:rFonts w:cs="Times New Roman"/>
                <w:sz w:val="20"/>
                <w:szCs w:val="20"/>
                <w:lang w:val="fr-CA"/>
              </w:rPr>
              <w:t>—</w:t>
            </w:r>
            <w:r w:rsidRPr="009C2345">
              <w:rPr>
                <w:sz w:val="20"/>
                <w:szCs w:val="20"/>
                <w:lang w:val="fr-CA"/>
              </w:rPr>
              <w:t xml:space="preserve"> Tribunaux </w:t>
            </w:r>
            <w:r w:rsidRPr="009C2345">
              <w:rPr>
                <w:rFonts w:cs="Times New Roman"/>
                <w:sz w:val="20"/>
                <w:szCs w:val="20"/>
                <w:lang w:val="fr-CA"/>
              </w:rPr>
              <w:t>—</w:t>
            </w:r>
            <w:r w:rsidRPr="009C2345">
              <w:rPr>
                <w:sz w:val="20"/>
                <w:szCs w:val="20"/>
                <w:lang w:val="fr-CA"/>
              </w:rPr>
              <w:t xml:space="preserve"> Compétence </w:t>
            </w:r>
            <w:r w:rsidRPr="009C2345">
              <w:rPr>
                <w:rFonts w:cs="Times New Roman"/>
                <w:sz w:val="20"/>
                <w:szCs w:val="20"/>
                <w:lang w:val="fr-CA"/>
              </w:rPr>
              <w:t>—</w:t>
            </w:r>
            <w:r w:rsidRPr="009C2345">
              <w:rPr>
                <w:sz w:val="20"/>
                <w:szCs w:val="20"/>
                <w:lang w:val="fr-CA"/>
              </w:rPr>
              <w:t xml:space="preserve"> Rejet de la motion des demandeurs en sursis de l’instance en Ontario pour absence de compétence à l’égard du litige ou, subsidiairement, sur le fondement de la doctrine du </w:t>
            </w:r>
            <w:r w:rsidRPr="009C2345">
              <w:rPr>
                <w:i/>
                <w:sz w:val="20"/>
                <w:szCs w:val="20"/>
                <w:lang w:val="fr-CA"/>
              </w:rPr>
              <w:t>forum non conveniens</w:t>
            </w:r>
            <w:r w:rsidRPr="009C2345">
              <w:rPr>
                <w:sz w:val="20"/>
                <w:szCs w:val="20"/>
                <w:lang w:val="fr-CA"/>
              </w:rPr>
              <w:t xml:space="preserve"> </w:t>
            </w:r>
            <w:r w:rsidRPr="009C2345">
              <w:rPr>
                <w:rFonts w:cs="Times New Roman"/>
                <w:sz w:val="20"/>
                <w:szCs w:val="20"/>
                <w:lang w:val="fr-CA"/>
              </w:rPr>
              <w:t>—</w:t>
            </w:r>
            <w:r w:rsidRPr="009C2345">
              <w:rPr>
                <w:sz w:val="20"/>
                <w:szCs w:val="20"/>
                <w:lang w:val="fr-CA"/>
              </w:rPr>
              <w:t xml:space="preserve"> Quelle importance un tribunal doit-il accorder à une clause du type « intégralité de l’entente » pour trancher une motion préliminaire relative à la compétence lorsqu’il existe une preuve limitée concernant la relation entre les parties? </w:t>
            </w:r>
            <w:r w:rsidRPr="009C2345">
              <w:rPr>
                <w:rFonts w:cs="Times New Roman"/>
                <w:sz w:val="20"/>
                <w:szCs w:val="20"/>
                <w:lang w:val="fr-CA"/>
              </w:rPr>
              <w:t>—</w:t>
            </w:r>
            <w:r w:rsidRPr="009C2345">
              <w:rPr>
                <w:sz w:val="20"/>
                <w:szCs w:val="20"/>
                <w:lang w:val="fr-CA"/>
              </w:rPr>
              <w:t xml:space="preserve"> S’il existe une clause d’élection de for dans le contrat en cause, appartient-il alors au demandeur, dans une analyse relative au </w:t>
            </w:r>
            <w:r w:rsidRPr="009C2345">
              <w:rPr>
                <w:i/>
                <w:iCs/>
                <w:sz w:val="20"/>
                <w:szCs w:val="20"/>
                <w:lang w:val="fr-CA"/>
              </w:rPr>
              <w:t>forum non conveniens</w:t>
            </w:r>
            <w:r w:rsidRPr="009C2345">
              <w:rPr>
                <w:sz w:val="20"/>
                <w:szCs w:val="20"/>
                <w:lang w:val="fr-CA"/>
              </w:rPr>
              <w:t>, de prouver que le tribunal choisi par les défendeurs n’est pas le tribunal le plus approprié?</w:t>
            </w:r>
          </w:p>
          <w:p w:rsidR="00AD78F4" w:rsidRPr="009C2345" w:rsidRDefault="00AD78F4" w:rsidP="00AD78F4">
            <w:pPr>
              <w:jc w:val="both"/>
              <w:rPr>
                <w:sz w:val="20"/>
                <w:szCs w:val="20"/>
                <w:lang w:val="fr-CA"/>
              </w:rPr>
            </w:pPr>
          </w:p>
        </w:tc>
      </w:tr>
      <w:tr w:rsidR="00AD78F4" w:rsidRPr="0082006E" w:rsidTr="005F12E5">
        <w:tc>
          <w:tcPr>
            <w:tcW w:w="5000" w:type="pct"/>
            <w:gridSpan w:val="3"/>
          </w:tcPr>
          <w:p w:rsidR="00AD78F4" w:rsidRPr="009C2345" w:rsidRDefault="00AD78F4" w:rsidP="00AD78F4">
            <w:pPr>
              <w:jc w:val="both"/>
              <w:rPr>
                <w:sz w:val="20"/>
                <w:szCs w:val="20"/>
                <w:lang w:val="fr-CA"/>
              </w:rPr>
            </w:pPr>
            <w:r w:rsidRPr="009C2345">
              <w:rPr>
                <w:sz w:val="20"/>
                <w:szCs w:val="20"/>
                <w:lang w:val="fr-CA"/>
              </w:rPr>
              <w:t>Les quatre demandeurs agissaient respectivement comme consultant, mandataire ou distributeur relativement aux produits de l’intimée Eco-Tec Inc. (« Eco-Tec ») en Chine. Eco-Tec et les demandeurs ont signé une série d’ententes de confidentialité et de contrats commerciaux entre 2000 et 2008. Les ententes de confidentialité signées en 2000 et en 2003 renfermaient des dispositions stipulant que les ententes continueraient de lier les parties pendant dix ans après la résiliation. Un contrat de distribution signé en 2008 renfermait une clause d’intégralité de l’entente stipulant que le contrat remplaçait toutes les ententes antérieures. Les contrats renfermaient également diverses clauses d’élection de for, certaines en faveur de l’Ontario, d’autres en faveur d’autres ressorts ou de l’arbitrage.</w:t>
            </w:r>
          </w:p>
          <w:p w:rsidR="00AD78F4" w:rsidRPr="009C2345" w:rsidRDefault="00AD78F4" w:rsidP="00AD78F4">
            <w:pPr>
              <w:jc w:val="both"/>
              <w:rPr>
                <w:sz w:val="20"/>
                <w:szCs w:val="20"/>
                <w:lang w:val="fr-CA"/>
              </w:rPr>
            </w:pPr>
          </w:p>
          <w:p w:rsidR="00AD78F4" w:rsidRPr="009C2345" w:rsidRDefault="00AD78F4" w:rsidP="00AD78F4">
            <w:pPr>
              <w:jc w:val="both"/>
              <w:rPr>
                <w:sz w:val="20"/>
                <w:szCs w:val="20"/>
                <w:lang w:val="fr-CA"/>
              </w:rPr>
            </w:pPr>
            <w:r w:rsidRPr="009C2345">
              <w:rPr>
                <w:sz w:val="20"/>
                <w:szCs w:val="20"/>
                <w:lang w:val="fr-CA"/>
              </w:rPr>
              <w:t xml:space="preserve">Eco-Tec a mis fin à sa relation avec les demandeurs en 2012 et a intenté une action contre eux en Ontario. Eco-Tec a allégué que les demandeurs avaient illégalement détourné ses renseignements confidentiels et exclusifs à leur avantage et qu’ils avaient fabriqué ou fourni des produits pour concurrencer Eco-Tec en Chine et ailleurs. Eco-Tec a poursuivi pour abus de confiance, rupture de contrat, violation de l’obligation fiduciaire, complot, enrichissement injustifié ou atteinte illégale à ses intérêts financiers. Les demandeurs ont présenté une motion en sursis de l’action, alléguant que le tribunal ontarien n’avait pas compétence à l’égard du litige ou, s’il avait compétence, qu’il devrait décliner de l’exercer pour cause de </w:t>
            </w:r>
            <w:r w:rsidRPr="009C2345">
              <w:rPr>
                <w:i/>
                <w:sz w:val="20"/>
                <w:szCs w:val="20"/>
                <w:lang w:val="fr-CA"/>
              </w:rPr>
              <w:t>forum non conveniens</w:t>
            </w:r>
            <w:r w:rsidRPr="009C2345">
              <w:rPr>
                <w:sz w:val="20"/>
                <w:szCs w:val="20"/>
                <w:lang w:val="fr-CA"/>
              </w:rPr>
              <w:t>.</w:t>
            </w:r>
          </w:p>
          <w:p w:rsidR="00AD78F4" w:rsidRPr="009C2345" w:rsidRDefault="00AD78F4" w:rsidP="00AD78F4">
            <w:pPr>
              <w:jc w:val="both"/>
              <w:rPr>
                <w:sz w:val="20"/>
                <w:szCs w:val="20"/>
                <w:lang w:val="fr-CA"/>
              </w:rPr>
            </w:pPr>
          </w:p>
        </w:tc>
      </w:tr>
      <w:tr w:rsidR="00AD78F4" w:rsidRPr="0082006E" w:rsidTr="005F12E5">
        <w:tblPrEx>
          <w:tblCellMar>
            <w:bottom w:w="0" w:type="dxa"/>
          </w:tblCellMar>
        </w:tblPrEx>
        <w:tc>
          <w:tcPr>
            <w:tcW w:w="2386" w:type="pct"/>
          </w:tcPr>
          <w:p w:rsidR="00AD78F4" w:rsidRPr="009C2345" w:rsidRDefault="00AD78F4" w:rsidP="00AD78F4">
            <w:pPr>
              <w:jc w:val="both"/>
              <w:rPr>
                <w:sz w:val="20"/>
                <w:szCs w:val="20"/>
                <w:lang w:val="fr-CA"/>
              </w:rPr>
            </w:pPr>
            <w:r w:rsidRPr="009C2345">
              <w:rPr>
                <w:sz w:val="20"/>
                <w:szCs w:val="20"/>
                <w:lang w:val="fr-CA"/>
              </w:rPr>
              <w:t>29 avril 2015</w:t>
            </w:r>
          </w:p>
          <w:p w:rsidR="00AD78F4" w:rsidRPr="009C2345" w:rsidRDefault="00AD78F4" w:rsidP="00AD78F4">
            <w:pPr>
              <w:jc w:val="both"/>
              <w:rPr>
                <w:sz w:val="20"/>
                <w:szCs w:val="20"/>
                <w:lang w:val="fr-CA"/>
              </w:rPr>
            </w:pPr>
            <w:r w:rsidRPr="009C2345">
              <w:rPr>
                <w:sz w:val="20"/>
                <w:szCs w:val="20"/>
                <w:lang w:val="fr-CA"/>
              </w:rPr>
              <w:t>Cour supérieure de justice de l’Ontario</w:t>
            </w:r>
          </w:p>
          <w:p w:rsidR="00AD78F4" w:rsidRPr="009C2345" w:rsidRDefault="00AD78F4" w:rsidP="00AD78F4">
            <w:pPr>
              <w:jc w:val="both"/>
              <w:rPr>
                <w:sz w:val="20"/>
                <w:szCs w:val="20"/>
                <w:lang w:val="fr-CA"/>
              </w:rPr>
            </w:pPr>
            <w:r w:rsidRPr="009C2345">
              <w:rPr>
                <w:sz w:val="20"/>
                <w:szCs w:val="20"/>
                <w:lang w:val="fr-CA"/>
              </w:rPr>
              <w:t>(Juge Ferguson)</w:t>
            </w:r>
          </w:p>
          <w:p w:rsidR="00AD78F4" w:rsidRPr="009C2345" w:rsidRDefault="00AD78F4" w:rsidP="00AD78F4">
            <w:pPr>
              <w:jc w:val="both"/>
              <w:rPr>
                <w:sz w:val="20"/>
                <w:szCs w:val="20"/>
                <w:lang w:val="fr-CA"/>
              </w:rPr>
            </w:pPr>
            <w:r w:rsidRPr="009C2345">
              <w:rPr>
                <w:sz w:val="20"/>
                <w:szCs w:val="20"/>
                <w:lang w:val="fr-CA"/>
              </w:rPr>
              <w:t>2015 ONSC 2796 (non publié dans CanLII)</w:t>
            </w:r>
          </w:p>
          <w:p w:rsidR="00AD78F4" w:rsidRPr="009C2345" w:rsidRDefault="00AD78F4" w:rsidP="00AD78F4">
            <w:pPr>
              <w:jc w:val="both"/>
              <w:rPr>
                <w:sz w:val="20"/>
                <w:szCs w:val="20"/>
                <w:lang w:val="fr-CA"/>
              </w:rPr>
            </w:pPr>
          </w:p>
        </w:tc>
        <w:tc>
          <w:tcPr>
            <w:tcW w:w="269" w:type="pct"/>
          </w:tcPr>
          <w:p w:rsidR="00AD78F4" w:rsidRPr="009C2345" w:rsidRDefault="00AD78F4" w:rsidP="00AD78F4">
            <w:pPr>
              <w:jc w:val="both"/>
              <w:rPr>
                <w:sz w:val="20"/>
                <w:szCs w:val="20"/>
                <w:lang w:val="fr-CA"/>
              </w:rPr>
            </w:pPr>
          </w:p>
        </w:tc>
        <w:tc>
          <w:tcPr>
            <w:tcW w:w="2344" w:type="pct"/>
          </w:tcPr>
          <w:p w:rsidR="00AD78F4" w:rsidRPr="009C2345" w:rsidRDefault="00AD78F4" w:rsidP="00AD78F4">
            <w:pPr>
              <w:jc w:val="both"/>
              <w:rPr>
                <w:sz w:val="20"/>
                <w:szCs w:val="20"/>
                <w:lang w:val="fr-CA"/>
              </w:rPr>
            </w:pPr>
            <w:r w:rsidRPr="009C2345">
              <w:rPr>
                <w:sz w:val="20"/>
                <w:szCs w:val="20"/>
                <w:lang w:val="fr-CA"/>
              </w:rPr>
              <w:t>Rejet de la motion en vue de sursoir à l’instance en Ontario</w:t>
            </w:r>
          </w:p>
          <w:p w:rsidR="00AD78F4" w:rsidRPr="009C2345" w:rsidRDefault="00AD78F4" w:rsidP="00AD78F4">
            <w:pPr>
              <w:jc w:val="both"/>
              <w:rPr>
                <w:sz w:val="20"/>
                <w:szCs w:val="20"/>
                <w:lang w:val="fr-CA"/>
              </w:rPr>
            </w:pPr>
          </w:p>
        </w:tc>
      </w:tr>
      <w:tr w:rsidR="00AD78F4" w:rsidRPr="009C2345" w:rsidTr="005F12E5">
        <w:tblPrEx>
          <w:tblCellMar>
            <w:bottom w:w="0" w:type="dxa"/>
          </w:tblCellMar>
        </w:tblPrEx>
        <w:tc>
          <w:tcPr>
            <w:tcW w:w="2386" w:type="pct"/>
          </w:tcPr>
          <w:p w:rsidR="00AD78F4" w:rsidRPr="009C2345" w:rsidRDefault="00AD78F4" w:rsidP="00AD78F4">
            <w:pPr>
              <w:jc w:val="both"/>
              <w:rPr>
                <w:sz w:val="20"/>
                <w:szCs w:val="20"/>
                <w:lang w:val="fr-CA"/>
              </w:rPr>
            </w:pPr>
            <w:r w:rsidRPr="009C2345">
              <w:rPr>
                <w:sz w:val="20"/>
                <w:szCs w:val="20"/>
                <w:lang w:val="fr-CA"/>
              </w:rPr>
              <w:t>27 novembre 2015</w:t>
            </w:r>
          </w:p>
          <w:p w:rsidR="00AD78F4" w:rsidRPr="009C2345" w:rsidRDefault="00AD78F4" w:rsidP="00AD78F4">
            <w:pPr>
              <w:jc w:val="both"/>
              <w:rPr>
                <w:sz w:val="20"/>
                <w:szCs w:val="20"/>
                <w:lang w:val="fr-CA"/>
              </w:rPr>
            </w:pPr>
            <w:r w:rsidRPr="009C2345">
              <w:rPr>
                <w:sz w:val="20"/>
                <w:szCs w:val="20"/>
                <w:lang w:val="fr-CA"/>
              </w:rPr>
              <w:t>Cour d’appel de l’Ontario</w:t>
            </w:r>
          </w:p>
          <w:p w:rsidR="00AD78F4" w:rsidRPr="009C2345" w:rsidRDefault="00AD78F4" w:rsidP="00AD78F4">
            <w:pPr>
              <w:jc w:val="both"/>
              <w:rPr>
                <w:sz w:val="20"/>
                <w:szCs w:val="20"/>
                <w:lang w:val="fr-CA"/>
              </w:rPr>
            </w:pPr>
            <w:r w:rsidRPr="009C2345">
              <w:rPr>
                <w:sz w:val="20"/>
                <w:szCs w:val="20"/>
                <w:lang w:val="fr-CA"/>
              </w:rPr>
              <w:t>(Juge en chef adjoint Hoy, juges Gillese et Lauwers)</w:t>
            </w:r>
          </w:p>
          <w:p w:rsidR="00AD78F4" w:rsidRPr="009C2345" w:rsidRDefault="0082006E" w:rsidP="00AD78F4">
            <w:pPr>
              <w:jc w:val="both"/>
              <w:rPr>
                <w:sz w:val="20"/>
                <w:szCs w:val="20"/>
                <w:u w:val="single"/>
                <w:lang w:val="fr-CA"/>
              </w:rPr>
            </w:pPr>
            <w:hyperlink r:id="rId98" w:history="1">
              <w:r w:rsidR="00AD78F4" w:rsidRPr="009C2345">
                <w:rPr>
                  <w:color w:val="0000FF" w:themeColor="hyperlink"/>
                  <w:sz w:val="20"/>
                  <w:szCs w:val="20"/>
                  <w:u w:val="single"/>
                  <w:lang w:val="fr-CA"/>
                </w:rPr>
                <w:t>2015 ONCA 818</w:t>
              </w:r>
            </w:hyperlink>
          </w:p>
          <w:p w:rsidR="00AD78F4" w:rsidRPr="009C2345" w:rsidRDefault="00AD78F4" w:rsidP="00AD78F4">
            <w:pPr>
              <w:jc w:val="both"/>
              <w:rPr>
                <w:sz w:val="20"/>
                <w:szCs w:val="20"/>
                <w:lang w:val="fr-CA"/>
              </w:rPr>
            </w:pPr>
          </w:p>
        </w:tc>
        <w:tc>
          <w:tcPr>
            <w:tcW w:w="269" w:type="pct"/>
          </w:tcPr>
          <w:p w:rsidR="00AD78F4" w:rsidRPr="009C2345" w:rsidRDefault="00AD78F4" w:rsidP="00AD78F4">
            <w:pPr>
              <w:jc w:val="both"/>
              <w:rPr>
                <w:sz w:val="20"/>
                <w:szCs w:val="20"/>
                <w:lang w:val="fr-CA"/>
              </w:rPr>
            </w:pPr>
          </w:p>
        </w:tc>
        <w:tc>
          <w:tcPr>
            <w:tcW w:w="2344" w:type="pct"/>
          </w:tcPr>
          <w:p w:rsidR="00AD78F4" w:rsidRPr="009C2345" w:rsidRDefault="00AD78F4" w:rsidP="00AD78F4">
            <w:pPr>
              <w:jc w:val="both"/>
              <w:rPr>
                <w:sz w:val="20"/>
                <w:szCs w:val="20"/>
                <w:lang w:val="fr-CA"/>
              </w:rPr>
            </w:pPr>
            <w:r w:rsidRPr="009C2345">
              <w:rPr>
                <w:sz w:val="20"/>
                <w:szCs w:val="20"/>
                <w:lang w:val="fr-CA"/>
              </w:rPr>
              <w:t>Rejet de l’appel</w:t>
            </w:r>
          </w:p>
          <w:p w:rsidR="00AD78F4" w:rsidRPr="009C2345" w:rsidRDefault="00AD78F4" w:rsidP="00AD78F4">
            <w:pPr>
              <w:jc w:val="both"/>
              <w:rPr>
                <w:sz w:val="20"/>
                <w:szCs w:val="20"/>
                <w:lang w:val="fr-CA"/>
              </w:rPr>
            </w:pPr>
          </w:p>
        </w:tc>
      </w:tr>
      <w:tr w:rsidR="00AD78F4" w:rsidRPr="0082006E" w:rsidTr="005F12E5">
        <w:tblPrEx>
          <w:tblCellMar>
            <w:bottom w:w="0" w:type="dxa"/>
          </w:tblCellMar>
        </w:tblPrEx>
        <w:tc>
          <w:tcPr>
            <w:tcW w:w="2386" w:type="pct"/>
          </w:tcPr>
          <w:p w:rsidR="00AD78F4" w:rsidRPr="009C2345" w:rsidRDefault="00AD78F4" w:rsidP="00AD78F4">
            <w:pPr>
              <w:jc w:val="both"/>
              <w:rPr>
                <w:sz w:val="20"/>
                <w:szCs w:val="20"/>
                <w:lang w:val="fr-CA"/>
              </w:rPr>
            </w:pPr>
            <w:r w:rsidRPr="009C2345">
              <w:rPr>
                <w:sz w:val="20"/>
                <w:szCs w:val="20"/>
                <w:lang w:val="fr-CA"/>
              </w:rPr>
              <w:t>26 janvier 2016</w:t>
            </w:r>
          </w:p>
          <w:p w:rsidR="00AD78F4" w:rsidRPr="009C2345" w:rsidRDefault="00AD78F4" w:rsidP="00AD78F4">
            <w:pPr>
              <w:jc w:val="both"/>
              <w:rPr>
                <w:sz w:val="20"/>
                <w:szCs w:val="20"/>
                <w:lang w:val="fr-CA"/>
              </w:rPr>
            </w:pPr>
            <w:r w:rsidRPr="009C2345">
              <w:rPr>
                <w:sz w:val="20"/>
                <w:szCs w:val="20"/>
                <w:lang w:val="fr-CA"/>
              </w:rPr>
              <w:t>Cour suprême du Canada</w:t>
            </w:r>
          </w:p>
        </w:tc>
        <w:tc>
          <w:tcPr>
            <w:tcW w:w="269" w:type="pct"/>
          </w:tcPr>
          <w:p w:rsidR="00AD78F4" w:rsidRPr="009C2345" w:rsidRDefault="00AD78F4" w:rsidP="00AD78F4">
            <w:pPr>
              <w:jc w:val="both"/>
              <w:rPr>
                <w:sz w:val="20"/>
                <w:szCs w:val="20"/>
                <w:lang w:val="fr-CA"/>
              </w:rPr>
            </w:pPr>
          </w:p>
        </w:tc>
        <w:tc>
          <w:tcPr>
            <w:tcW w:w="2344" w:type="pct"/>
          </w:tcPr>
          <w:p w:rsidR="00AD78F4" w:rsidRPr="009C2345" w:rsidRDefault="00AD78F4" w:rsidP="00AD78F4">
            <w:pPr>
              <w:jc w:val="both"/>
              <w:rPr>
                <w:sz w:val="20"/>
                <w:szCs w:val="20"/>
                <w:lang w:val="fr-CA"/>
              </w:rPr>
            </w:pPr>
            <w:r w:rsidRPr="009C2345">
              <w:rPr>
                <w:sz w:val="20"/>
                <w:szCs w:val="20"/>
                <w:lang w:val="fr-CA"/>
              </w:rPr>
              <w:t>Dépôt de la demande d’autorisation d’appel</w:t>
            </w:r>
          </w:p>
          <w:p w:rsidR="00AD78F4" w:rsidRPr="009C2345" w:rsidRDefault="00AD78F4" w:rsidP="00AD78F4">
            <w:pPr>
              <w:jc w:val="both"/>
              <w:rPr>
                <w:sz w:val="20"/>
                <w:szCs w:val="20"/>
                <w:lang w:val="fr-CA"/>
              </w:rPr>
            </w:pPr>
          </w:p>
        </w:tc>
      </w:tr>
    </w:tbl>
    <w:p w:rsidR="0040694F" w:rsidRPr="009C2345" w:rsidRDefault="0040694F" w:rsidP="008D292F">
      <w:pPr>
        <w:rPr>
          <w:sz w:val="20"/>
          <w:szCs w:val="20"/>
          <w:lang w:val="fr-CA"/>
        </w:rPr>
      </w:pPr>
    </w:p>
    <w:p w:rsidR="0040694F" w:rsidRPr="009C2345" w:rsidRDefault="0082006E" w:rsidP="008D292F">
      <w:pPr>
        <w:rPr>
          <w:sz w:val="20"/>
          <w:szCs w:val="20"/>
          <w:lang w:val="fr-CA"/>
        </w:rPr>
      </w:pPr>
      <w:r>
        <w:rPr>
          <w:sz w:val="20"/>
          <w:szCs w:val="20"/>
          <w:lang w:val="fr-CA"/>
        </w:rPr>
        <w:pict>
          <v:rect id="_x0000_i1077" style="width:2in;height:1pt" o:hrpct="0" o:hralign="center" o:hrstd="t" o:hrnoshade="t" o:hr="t" fillcolor="black [3213]" stroked="f"/>
        </w:pict>
      </w:r>
    </w:p>
    <w:p w:rsidR="006E4D45" w:rsidRPr="009C2345" w:rsidRDefault="006E4D45" w:rsidP="008D292F">
      <w:pPr>
        <w:rPr>
          <w:sz w:val="20"/>
          <w:szCs w:val="20"/>
          <w:lang w:val="fr-CA"/>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082"/>
      </w:tblGrid>
      <w:tr w:rsidR="00AD78F4" w:rsidRPr="004B134A" w:rsidTr="005F12E5">
        <w:trPr>
          <w:cantSplit/>
          <w:trHeight w:val="572"/>
        </w:trPr>
        <w:tc>
          <w:tcPr>
            <w:tcW w:w="1458" w:type="dxa"/>
          </w:tcPr>
          <w:p w:rsidR="00AD78F4" w:rsidRPr="004B134A" w:rsidRDefault="00AD78F4" w:rsidP="00017A3C">
            <w:pPr>
              <w:rPr>
                <w:sz w:val="20"/>
                <w:szCs w:val="20"/>
              </w:rPr>
            </w:pPr>
            <w:r w:rsidRPr="004B134A">
              <w:rPr>
                <w:rStyle w:val="SCCFileNumberChar"/>
                <w:sz w:val="20"/>
                <w:szCs w:val="20"/>
              </w:rPr>
              <w:t>36850</w:t>
            </w:r>
          </w:p>
          <w:p w:rsidR="00AD78F4" w:rsidRPr="004B134A" w:rsidRDefault="00AD78F4" w:rsidP="00017A3C">
            <w:pPr>
              <w:rPr>
                <w:b/>
                <w:sz w:val="20"/>
                <w:szCs w:val="20"/>
                <w:lang w:val="fr-CA"/>
              </w:rPr>
            </w:pPr>
          </w:p>
        </w:tc>
        <w:tc>
          <w:tcPr>
            <w:tcW w:w="8082" w:type="dxa"/>
          </w:tcPr>
          <w:p w:rsidR="00AD78F4" w:rsidRPr="004B134A" w:rsidRDefault="00975C9B" w:rsidP="004E6EF3">
            <w:pPr>
              <w:jc w:val="both"/>
              <w:rPr>
                <w:sz w:val="20"/>
                <w:szCs w:val="20"/>
              </w:rPr>
            </w:pPr>
            <w:r w:rsidRPr="004B134A">
              <w:rPr>
                <w:b/>
                <w:sz w:val="20"/>
                <w:szCs w:val="20"/>
                <w:u w:val="single"/>
              </w:rPr>
              <w:t>D.D. v. Children’s Aid Society of Toronto</w:t>
            </w:r>
            <w:r w:rsidR="00EA414F" w:rsidRPr="004B134A">
              <w:rPr>
                <w:b/>
                <w:sz w:val="20"/>
                <w:szCs w:val="20"/>
                <w:u w:val="single"/>
              </w:rPr>
              <w:t xml:space="preserve"> and </w:t>
            </w:r>
            <w:r w:rsidRPr="004B134A">
              <w:rPr>
                <w:b/>
                <w:sz w:val="20"/>
                <w:szCs w:val="20"/>
                <w:u w:val="single"/>
              </w:rPr>
              <w:t>Office of the Children’s Lawyer</w:t>
            </w:r>
            <w:r w:rsidRPr="004B134A">
              <w:rPr>
                <w:sz w:val="20"/>
                <w:szCs w:val="20"/>
              </w:rPr>
              <w:t xml:space="preserve"> (Ont.) (Civil) (By Leave)</w:t>
            </w:r>
          </w:p>
          <w:p w:rsidR="00AD78F4" w:rsidRPr="004B134A" w:rsidRDefault="00AD78F4" w:rsidP="00017A3C">
            <w:pPr>
              <w:rPr>
                <w:sz w:val="20"/>
                <w:szCs w:val="20"/>
              </w:rPr>
            </w:pPr>
          </w:p>
        </w:tc>
      </w:tr>
      <w:tr w:rsidR="00AD78F4" w:rsidRPr="004B134A" w:rsidTr="005F12E5">
        <w:trPr>
          <w:cantSplit/>
        </w:trPr>
        <w:tc>
          <w:tcPr>
            <w:tcW w:w="1458" w:type="dxa"/>
          </w:tcPr>
          <w:p w:rsidR="00AD78F4" w:rsidRPr="004B134A" w:rsidRDefault="00AD78F4" w:rsidP="00017A3C">
            <w:pPr>
              <w:rPr>
                <w:sz w:val="20"/>
                <w:szCs w:val="20"/>
              </w:rPr>
            </w:pPr>
            <w:r w:rsidRPr="004B134A">
              <w:rPr>
                <w:sz w:val="20"/>
                <w:szCs w:val="20"/>
              </w:rPr>
              <w:t>Coram :</w:t>
            </w:r>
          </w:p>
        </w:tc>
        <w:tc>
          <w:tcPr>
            <w:tcW w:w="8082" w:type="dxa"/>
          </w:tcPr>
          <w:p w:rsidR="00AD78F4" w:rsidRPr="004B134A" w:rsidRDefault="00B53685" w:rsidP="00017A3C">
            <w:pPr>
              <w:rPr>
                <w:rStyle w:val="SCCCoramChar"/>
                <w:sz w:val="20"/>
                <w:szCs w:val="20"/>
                <w:lang w:val="en-CA"/>
              </w:rPr>
            </w:pPr>
            <w:r w:rsidRPr="004B134A">
              <w:rPr>
                <w:rStyle w:val="SCCCoramChar"/>
                <w:sz w:val="20"/>
                <w:szCs w:val="20"/>
                <w:lang w:val="en-CA"/>
              </w:rPr>
              <w:t>Abella, Karakatsanis and Brown JJ.</w:t>
            </w:r>
          </w:p>
          <w:p w:rsidR="00B53685" w:rsidRPr="004B134A" w:rsidRDefault="00B53685" w:rsidP="00017A3C">
            <w:pPr>
              <w:rPr>
                <w:sz w:val="20"/>
                <w:szCs w:val="20"/>
              </w:rPr>
            </w:pPr>
          </w:p>
        </w:tc>
      </w:tr>
      <w:tr w:rsidR="00AD78F4" w:rsidRPr="0082006E" w:rsidTr="005F12E5">
        <w:trPr>
          <w:cantSplit/>
        </w:trPr>
        <w:tc>
          <w:tcPr>
            <w:tcW w:w="9540" w:type="dxa"/>
            <w:gridSpan w:val="2"/>
          </w:tcPr>
          <w:p w:rsidR="00AD78F4" w:rsidRPr="004B134A" w:rsidRDefault="00B53685" w:rsidP="00017A3C">
            <w:pPr>
              <w:pStyle w:val="SCCShortJudgment"/>
              <w:ind w:firstLine="0"/>
            </w:pPr>
            <w:r w:rsidRPr="004B134A">
              <w:tab/>
              <w:t>The application for leave to appeal from the judgment of the</w:t>
            </w:r>
            <w:bookmarkStart w:id="4" w:name="BM_1_"/>
            <w:bookmarkEnd w:id="4"/>
            <w:r w:rsidRPr="004B134A">
              <w:t xml:space="preserve"> Court of Appeal for Ontario, Number C60836, 2015 ONCA 903, dated December 21, 2015, is  dismissed with no order as to costs.</w:t>
            </w:r>
          </w:p>
          <w:p w:rsidR="00B53685" w:rsidRPr="004B134A" w:rsidRDefault="00B53685" w:rsidP="00017A3C">
            <w:pPr>
              <w:pStyle w:val="SCCShortJudgment"/>
              <w:ind w:firstLine="0"/>
              <w:rPr>
                <w:szCs w:val="20"/>
              </w:rPr>
            </w:pPr>
          </w:p>
          <w:p w:rsidR="00AD78F4" w:rsidRPr="004B134A" w:rsidRDefault="00B53685" w:rsidP="00017A3C">
            <w:pPr>
              <w:pStyle w:val="SCCShortJudgment"/>
              <w:rPr>
                <w:szCs w:val="20"/>
                <w:lang w:val="fr-CA"/>
              </w:rPr>
            </w:pPr>
            <w:r w:rsidRPr="004B134A">
              <w:rPr>
                <w:lang w:val="fr-CA"/>
              </w:rPr>
              <w:t xml:space="preserve">La demande d’autorisation d’appel de l’arrêt de la </w:t>
            </w:r>
            <w:r w:rsidRPr="004B134A">
              <w:rPr>
                <w:lang w:val="fr-FR"/>
              </w:rPr>
              <w:t>Cour d’appel de l’Ontario</w:t>
            </w:r>
            <w:r w:rsidRPr="004B134A">
              <w:rPr>
                <w:lang w:val="fr-CA"/>
              </w:rPr>
              <w:t xml:space="preserve">, numéro </w:t>
            </w:r>
            <w:r w:rsidRPr="004B134A">
              <w:rPr>
                <w:lang w:val="fr-FR"/>
              </w:rPr>
              <w:t>C60836, 2015 ONCA 903</w:t>
            </w:r>
            <w:r w:rsidRPr="004B134A">
              <w:rPr>
                <w:lang w:val="fr-CA"/>
              </w:rPr>
              <w:t xml:space="preserve">, daté du </w:t>
            </w:r>
            <w:r w:rsidRPr="004B134A">
              <w:rPr>
                <w:lang w:val="fr-FR"/>
              </w:rPr>
              <w:t>21 décembre 2015</w:t>
            </w:r>
            <w:r w:rsidRPr="004B134A">
              <w:rPr>
                <w:lang w:val="fr-CA"/>
              </w:rPr>
              <w:t>, est rejetée sans ordonnance quant aux dépens.</w:t>
            </w:r>
          </w:p>
        </w:tc>
      </w:tr>
    </w:tbl>
    <w:p w:rsidR="00AD78F4" w:rsidRPr="009C2345" w:rsidRDefault="00AD78F4" w:rsidP="00AD78F4">
      <w:pPr>
        <w:rPr>
          <w:sz w:val="20"/>
          <w:szCs w:val="20"/>
          <w:lang w:val="fr-CA"/>
        </w:rPr>
      </w:pPr>
    </w:p>
    <w:p w:rsidR="00AD78F4" w:rsidRPr="009C2345" w:rsidRDefault="00AD78F4" w:rsidP="00AD78F4">
      <w:pPr>
        <w:rPr>
          <w:sz w:val="20"/>
          <w:szCs w:val="20"/>
          <w:u w:val="single"/>
        </w:rPr>
      </w:pPr>
      <w:r w:rsidRPr="009C2345">
        <w:rPr>
          <w:sz w:val="20"/>
          <w:szCs w:val="20"/>
          <w:u w:val="single"/>
        </w:rPr>
        <w:t>CASE SUMMARY</w:t>
      </w:r>
    </w:p>
    <w:p w:rsidR="00AD78F4" w:rsidRPr="009C2345" w:rsidRDefault="00AD78F4" w:rsidP="00AD78F4">
      <w:pPr>
        <w:rPr>
          <w:sz w:val="20"/>
          <w:szCs w:val="20"/>
        </w:rPr>
      </w:pPr>
    </w:p>
    <w:tbl>
      <w:tblPr>
        <w:tblW w:w="4959" w:type="pct"/>
        <w:tblLayout w:type="fixed"/>
        <w:tblCellMar>
          <w:left w:w="0" w:type="dxa"/>
          <w:bottom w:w="99" w:type="dxa"/>
          <w:right w:w="0" w:type="dxa"/>
        </w:tblCellMar>
        <w:tblLook w:val="04A0" w:firstRow="1" w:lastRow="0" w:firstColumn="1" w:lastColumn="0" w:noHBand="0" w:noVBand="1"/>
      </w:tblPr>
      <w:tblGrid>
        <w:gridCol w:w="4623"/>
        <w:gridCol w:w="464"/>
        <w:gridCol w:w="4453"/>
      </w:tblGrid>
      <w:tr w:rsidR="00E2385B" w:rsidRPr="009C2345" w:rsidTr="005F12E5">
        <w:tc>
          <w:tcPr>
            <w:tcW w:w="5000" w:type="pct"/>
            <w:gridSpan w:val="3"/>
          </w:tcPr>
          <w:p w:rsidR="00E2385B" w:rsidRPr="009C2345" w:rsidRDefault="00E2385B" w:rsidP="00E2385B">
            <w:pPr>
              <w:jc w:val="both"/>
              <w:rPr>
                <w:smallCaps/>
                <w:sz w:val="20"/>
                <w:szCs w:val="20"/>
              </w:rPr>
            </w:pPr>
            <w:r w:rsidRPr="009C2345">
              <w:rPr>
                <w:smallCaps/>
                <w:sz w:val="20"/>
                <w:szCs w:val="20"/>
              </w:rPr>
              <w:t>(Publication ban in case) (Publication ban on party) (Court file contains information that is not available for inspection by the public)</w:t>
            </w:r>
          </w:p>
          <w:p w:rsidR="00E2385B" w:rsidRPr="009C2345" w:rsidRDefault="00E2385B" w:rsidP="00E2385B">
            <w:pPr>
              <w:jc w:val="both"/>
              <w:rPr>
                <w:sz w:val="20"/>
                <w:szCs w:val="20"/>
              </w:rPr>
            </w:pPr>
          </w:p>
          <w:p w:rsidR="00E2385B" w:rsidRPr="009C2345" w:rsidRDefault="00E2385B" w:rsidP="00E2385B">
            <w:pPr>
              <w:jc w:val="both"/>
              <w:rPr>
                <w:sz w:val="20"/>
                <w:szCs w:val="20"/>
              </w:rPr>
            </w:pPr>
            <w:r w:rsidRPr="009C2345">
              <w:rPr>
                <w:sz w:val="20"/>
                <w:szCs w:val="20"/>
              </w:rPr>
              <w:t xml:space="preserve">Status of persons – Child protection – Judgments and orders – Summary judgment – Child in need of protection in care for more than three years – Respondents moving for summary judgment for Crown ward, no access order – Did failure of motion judge to use expanded powers under Rule 20 of the </w:t>
            </w:r>
            <w:r w:rsidRPr="009C2345">
              <w:rPr>
                <w:i/>
                <w:sz w:val="20"/>
                <w:szCs w:val="20"/>
              </w:rPr>
              <w:t>Rules of Civil Procedure</w:t>
            </w:r>
            <w:r w:rsidRPr="009C2345">
              <w:rPr>
                <w:sz w:val="20"/>
                <w:szCs w:val="20"/>
              </w:rPr>
              <w:t xml:space="preserve"> violate applicant’s right to procedural fairness, natural justice, and access to justice? – Whether there should be an automatic presumption in favour of the expanded rules under Rule 16 of the </w:t>
            </w:r>
            <w:r w:rsidRPr="009C2345">
              <w:rPr>
                <w:i/>
                <w:sz w:val="20"/>
                <w:szCs w:val="20"/>
              </w:rPr>
              <w:t>Family Law Rules</w:t>
            </w:r>
            <w:r w:rsidRPr="009C2345">
              <w:rPr>
                <w:sz w:val="20"/>
                <w:szCs w:val="20"/>
              </w:rPr>
              <w:t xml:space="preserve"> where parent seeks return of child returned and has filed substantive responding materials in a motion for summary judgment?</w:t>
            </w:r>
          </w:p>
        </w:tc>
      </w:tr>
      <w:tr w:rsidR="00E2385B" w:rsidRPr="009C2345" w:rsidTr="005F12E5">
        <w:tc>
          <w:tcPr>
            <w:tcW w:w="5000" w:type="pct"/>
            <w:gridSpan w:val="3"/>
          </w:tcPr>
          <w:p w:rsidR="00E2385B" w:rsidRPr="009C2345" w:rsidRDefault="00E2385B" w:rsidP="00E2385B">
            <w:pPr>
              <w:jc w:val="both"/>
              <w:rPr>
                <w:sz w:val="20"/>
                <w:szCs w:val="20"/>
              </w:rPr>
            </w:pPr>
          </w:p>
        </w:tc>
      </w:tr>
      <w:tr w:rsidR="00E2385B" w:rsidRPr="009C2345" w:rsidTr="005F12E5">
        <w:tc>
          <w:tcPr>
            <w:tcW w:w="5000" w:type="pct"/>
            <w:gridSpan w:val="3"/>
          </w:tcPr>
          <w:p w:rsidR="00E2385B" w:rsidRPr="009C2345" w:rsidRDefault="00E2385B" w:rsidP="00E2385B">
            <w:pPr>
              <w:jc w:val="both"/>
              <w:rPr>
                <w:sz w:val="20"/>
                <w:szCs w:val="20"/>
              </w:rPr>
            </w:pPr>
            <w:r w:rsidRPr="009C2345">
              <w:rPr>
                <w:sz w:val="20"/>
                <w:szCs w:val="20"/>
              </w:rPr>
              <w:t xml:space="preserve">The applicant’s ten year old son has been in the care of the Children’s Aid Society of Toronto since July, 2011 when she voluntarily placed him there under a Temporary Care Agreement. In December, 2012, the mother and the Society consented to a finding that the child was in need of protection pursuant to s. 37(2)(b)(i) of the </w:t>
            </w:r>
            <w:r w:rsidRPr="009C2345">
              <w:rPr>
                <w:i/>
                <w:sz w:val="20"/>
                <w:szCs w:val="20"/>
              </w:rPr>
              <w:t>Child and Family Services Act</w:t>
            </w:r>
            <w:r w:rsidRPr="009C2345">
              <w:rPr>
                <w:sz w:val="20"/>
                <w:szCs w:val="20"/>
              </w:rPr>
              <w:t xml:space="preserve">, R.S.O. 1990, c. C.11. Access visits continued at the discretion of the Society but in accordance with the child’s express wishes, those visits only took place at the Society’s office and not in the mother’s home. The child stated that he did not wish to live with his mother and later that he did not want any further access. He was observed as displaying troubling behaviour following visits with her. Based on the child’s reports of abuse, access was terminated in February, 2014. The Society applied to make the child a Crown ward without access and brought a motion for summary judgment. </w:t>
            </w:r>
          </w:p>
          <w:p w:rsidR="00E2385B" w:rsidRPr="009C2345" w:rsidRDefault="00E2385B" w:rsidP="00E2385B">
            <w:pPr>
              <w:jc w:val="both"/>
              <w:rPr>
                <w:sz w:val="20"/>
                <w:szCs w:val="20"/>
              </w:rPr>
            </w:pPr>
          </w:p>
        </w:tc>
      </w:tr>
      <w:tr w:rsidR="00E2385B" w:rsidRPr="009C2345" w:rsidTr="005F12E5">
        <w:tc>
          <w:tcPr>
            <w:tcW w:w="2423" w:type="pct"/>
          </w:tcPr>
          <w:p w:rsidR="00E2385B" w:rsidRPr="009C2345" w:rsidRDefault="00E2385B" w:rsidP="00E2385B">
            <w:pPr>
              <w:jc w:val="both"/>
              <w:rPr>
                <w:sz w:val="20"/>
                <w:szCs w:val="20"/>
              </w:rPr>
            </w:pPr>
            <w:r w:rsidRPr="009C2345">
              <w:rPr>
                <w:sz w:val="20"/>
                <w:szCs w:val="20"/>
              </w:rPr>
              <w:t>December 17, 2014</w:t>
            </w:r>
          </w:p>
          <w:p w:rsidR="00E2385B" w:rsidRPr="009C2345" w:rsidRDefault="00E2385B" w:rsidP="00E2385B">
            <w:pPr>
              <w:jc w:val="both"/>
              <w:rPr>
                <w:sz w:val="20"/>
                <w:szCs w:val="20"/>
              </w:rPr>
            </w:pPr>
            <w:r w:rsidRPr="009C2345">
              <w:rPr>
                <w:sz w:val="20"/>
                <w:szCs w:val="20"/>
              </w:rPr>
              <w:t>Ontario Superior Court of Justice</w:t>
            </w:r>
          </w:p>
          <w:p w:rsidR="00E2385B" w:rsidRPr="009C2345" w:rsidRDefault="00E2385B" w:rsidP="00E2385B">
            <w:pPr>
              <w:jc w:val="both"/>
              <w:rPr>
                <w:sz w:val="20"/>
                <w:szCs w:val="20"/>
              </w:rPr>
            </w:pPr>
            <w:r w:rsidRPr="009C2345">
              <w:rPr>
                <w:sz w:val="20"/>
                <w:szCs w:val="20"/>
              </w:rPr>
              <w:t>(Curtis J.)</w:t>
            </w:r>
          </w:p>
          <w:p w:rsidR="00E2385B" w:rsidRPr="009C2345" w:rsidRDefault="00E2385B" w:rsidP="00E2385B">
            <w:pPr>
              <w:jc w:val="both"/>
              <w:rPr>
                <w:sz w:val="20"/>
                <w:szCs w:val="20"/>
              </w:rPr>
            </w:pPr>
            <w:r w:rsidRPr="009C2345">
              <w:rPr>
                <w:sz w:val="20"/>
                <w:szCs w:val="20"/>
              </w:rPr>
              <w:t>Unreported</w:t>
            </w:r>
          </w:p>
          <w:p w:rsidR="00E2385B" w:rsidRPr="009C2345" w:rsidRDefault="00E2385B" w:rsidP="00E2385B">
            <w:pPr>
              <w:jc w:val="both"/>
              <w:rPr>
                <w:sz w:val="20"/>
                <w:szCs w:val="20"/>
              </w:rPr>
            </w:pPr>
          </w:p>
        </w:tc>
        <w:tc>
          <w:tcPr>
            <w:tcW w:w="243" w:type="pct"/>
          </w:tcPr>
          <w:p w:rsidR="00E2385B" w:rsidRPr="009C2345" w:rsidRDefault="00E2385B" w:rsidP="00E2385B">
            <w:pPr>
              <w:jc w:val="both"/>
              <w:rPr>
                <w:sz w:val="20"/>
                <w:szCs w:val="20"/>
              </w:rPr>
            </w:pPr>
          </w:p>
        </w:tc>
        <w:tc>
          <w:tcPr>
            <w:tcW w:w="2334" w:type="pct"/>
          </w:tcPr>
          <w:p w:rsidR="00E2385B" w:rsidRPr="009C2345" w:rsidRDefault="00E2385B" w:rsidP="00E2385B">
            <w:pPr>
              <w:jc w:val="both"/>
              <w:rPr>
                <w:sz w:val="20"/>
                <w:szCs w:val="20"/>
              </w:rPr>
            </w:pPr>
            <w:r w:rsidRPr="009C2345">
              <w:rPr>
                <w:sz w:val="20"/>
                <w:szCs w:val="20"/>
              </w:rPr>
              <w:t>Society’s motion for summary judgment granted; no genuine issue for trial.</w:t>
            </w:r>
          </w:p>
        </w:tc>
      </w:tr>
      <w:tr w:rsidR="00E2385B" w:rsidRPr="009C2345" w:rsidTr="005F12E5">
        <w:tc>
          <w:tcPr>
            <w:tcW w:w="2423" w:type="pct"/>
          </w:tcPr>
          <w:p w:rsidR="00E2385B" w:rsidRPr="009C2345" w:rsidRDefault="00E2385B" w:rsidP="00E2385B">
            <w:pPr>
              <w:jc w:val="both"/>
              <w:rPr>
                <w:sz w:val="20"/>
                <w:szCs w:val="20"/>
              </w:rPr>
            </w:pPr>
            <w:r w:rsidRPr="009C2345">
              <w:rPr>
                <w:sz w:val="20"/>
                <w:szCs w:val="20"/>
              </w:rPr>
              <w:t>June 30, 2015</w:t>
            </w:r>
          </w:p>
          <w:p w:rsidR="00E2385B" w:rsidRPr="009C2345" w:rsidRDefault="00E2385B" w:rsidP="00E2385B">
            <w:pPr>
              <w:jc w:val="both"/>
              <w:rPr>
                <w:sz w:val="20"/>
                <w:szCs w:val="20"/>
              </w:rPr>
            </w:pPr>
            <w:r w:rsidRPr="009C2345">
              <w:rPr>
                <w:sz w:val="20"/>
                <w:szCs w:val="20"/>
              </w:rPr>
              <w:t>Ontario Superior Court of Justice</w:t>
            </w:r>
          </w:p>
          <w:p w:rsidR="00E2385B" w:rsidRPr="009C2345" w:rsidRDefault="00E2385B" w:rsidP="00E2385B">
            <w:pPr>
              <w:jc w:val="both"/>
              <w:rPr>
                <w:sz w:val="20"/>
                <w:szCs w:val="20"/>
              </w:rPr>
            </w:pPr>
            <w:r w:rsidRPr="009C2345">
              <w:rPr>
                <w:sz w:val="20"/>
                <w:szCs w:val="20"/>
              </w:rPr>
              <w:t>(Horkins J.)</w:t>
            </w:r>
          </w:p>
          <w:p w:rsidR="00E2385B" w:rsidRPr="009C2345" w:rsidRDefault="0082006E" w:rsidP="00E2385B">
            <w:pPr>
              <w:jc w:val="both"/>
              <w:rPr>
                <w:sz w:val="20"/>
                <w:szCs w:val="20"/>
                <w:u w:val="single"/>
              </w:rPr>
            </w:pPr>
            <w:hyperlink r:id="rId99" w:history="1">
              <w:r w:rsidR="00E2385B" w:rsidRPr="009C2345">
                <w:rPr>
                  <w:color w:val="0000FF" w:themeColor="hyperlink"/>
                  <w:sz w:val="20"/>
                  <w:szCs w:val="20"/>
                  <w:u w:val="single"/>
                </w:rPr>
                <w:t>2015 ONSC 4197</w:t>
              </w:r>
            </w:hyperlink>
          </w:p>
          <w:p w:rsidR="00E2385B" w:rsidRPr="009C2345" w:rsidRDefault="00E2385B" w:rsidP="00E2385B">
            <w:pPr>
              <w:jc w:val="both"/>
              <w:rPr>
                <w:sz w:val="20"/>
                <w:szCs w:val="20"/>
              </w:rPr>
            </w:pPr>
          </w:p>
        </w:tc>
        <w:tc>
          <w:tcPr>
            <w:tcW w:w="243" w:type="pct"/>
          </w:tcPr>
          <w:p w:rsidR="00E2385B" w:rsidRPr="009C2345" w:rsidRDefault="00E2385B" w:rsidP="00E2385B">
            <w:pPr>
              <w:jc w:val="both"/>
              <w:rPr>
                <w:sz w:val="20"/>
                <w:szCs w:val="20"/>
              </w:rPr>
            </w:pPr>
          </w:p>
        </w:tc>
        <w:tc>
          <w:tcPr>
            <w:tcW w:w="2334" w:type="pct"/>
          </w:tcPr>
          <w:p w:rsidR="00E2385B" w:rsidRPr="009C2345" w:rsidRDefault="00E2385B" w:rsidP="00E2385B">
            <w:pPr>
              <w:jc w:val="both"/>
              <w:rPr>
                <w:sz w:val="20"/>
                <w:szCs w:val="20"/>
              </w:rPr>
            </w:pPr>
            <w:r w:rsidRPr="009C2345">
              <w:rPr>
                <w:sz w:val="20"/>
                <w:szCs w:val="20"/>
              </w:rPr>
              <w:t>Applicant’s appeal on issue of access dismissed.</w:t>
            </w:r>
          </w:p>
          <w:p w:rsidR="00E2385B" w:rsidRPr="009C2345" w:rsidRDefault="00E2385B" w:rsidP="00E2385B">
            <w:pPr>
              <w:jc w:val="both"/>
              <w:rPr>
                <w:sz w:val="20"/>
                <w:szCs w:val="20"/>
              </w:rPr>
            </w:pPr>
          </w:p>
          <w:p w:rsidR="00E2385B" w:rsidRPr="009C2345" w:rsidRDefault="00E2385B" w:rsidP="00E2385B">
            <w:pPr>
              <w:jc w:val="both"/>
              <w:rPr>
                <w:sz w:val="20"/>
                <w:szCs w:val="20"/>
              </w:rPr>
            </w:pPr>
          </w:p>
        </w:tc>
      </w:tr>
      <w:tr w:rsidR="00E2385B" w:rsidRPr="009C2345" w:rsidTr="005F12E5">
        <w:tc>
          <w:tcPr>
            <w:tcW w:w="2423" w:type="pct"/>
          </w:tcPr>
          <w:p w:rsidR="00E2385B" w:rsidRPr="009C2345" w:rsidRDefault="00E2385B" w:rsidP="00E2385B">
            <w:pPr>
              <w:jc w:val="both"/>
              <w:rPr>
                <w:sz w:val="20"/>
                <w:szCs w:val="20"/>
              </w:rPr>
            </w:pPr>
            <w:r w:rsidRPr="009C2345">
              <w:rPr>
                <w:sz w:val="20"/>
                <w:szCs w:val="20"/>
              </w:rPr>
              <w:t>December 21, 2015</w:t>
            </w:r>
          </w:p>
          <w:p w:rsidR="00E2385B" w:rsidRPr="009C2345" w:rsidRDefault="00E2385B" w:rsidP="00E2385B">
            <w:pPr>
              <w:jc w:val="both"/>
              <w:rPr>
                <w:sz w:val="20"/>
                <w:szCs w:val="20"/>
              </w:rPr>
            </w:pPr>
            <w:r w:rsidRPr="009C2345">
              <w:rPr>
                <w:sz w:val="20"/>
                <w:szCs w:val="20"/>
              </w:rPr>
              <w:t>Court of Appeal for Ontario</w:t>
            </w:r>
          </w:p>
          <w:p w:rsidR="00E2385B" w:rsidRPr="009C2345" w:rsidRDefault="00E2385B" w:rsidP="00E2385B">
            <w:pPr>
              <w:jc w:val="both"/>
              <w:rPr>
                <w:sz w:val="20"/>
                <w:szCs w:val="20"/>
              </w:rPr>
            </w:pPr>
            <w:r w:rsidRPr="009C2345">
              <w:rPr>
                <w:sz w:val="20"/>
                <w:szCs w:val="20"/>
              </w:rPr>
              <w:t>(Laskin, Pardu and Roberts JJ.A.)</w:t>
            </w:r>
          </w:p>
          <w:p w:rsidR="00E2385B" w:rsidRPr="009C2345" w:rsidRDefault="0082006E" w:rsidP="00E2385B">
            <w:pPr>
              <w:jc w:val="both"/>
              <w:rPr>
                <w:sz w:val="20"/>
                <w:szCs w:val="20"/>
                <w:u w:val="single"/>
              </w:rPr>
            </w:pPr>
            <w:hyperlink r:id="rId100" w:history="1">
              <w:r w:rsidR="00E2385B" w:rsidRPr="009C2345">
                <w:rPr>
                  <w:color w:val="0000FF" w:themeColor="hyperlink"/>
                  <w:sz w:val="20"/>
                  <w:szCs w:val="20"/>
                  <w:u w:val="single"/>
                </w:rPr>
                <w:t>2015 ONCA 903</w:t>
              </w:r>
            </w:hyperlink>
          </w:p>
          <w:p w:rsidR="00E2385B" w:rsidRPr="009C2345" w:rsidRDefault="00E2385B" w:rsidP="00E2385B">
            <w:pPr>
              <w:jc w:val="both"/>
              <w:rPr>
                <w:sz w:val="20"/>
                <w:szCs w:val="20"/>
                <w:lang w:val="fr-FR"/>
              </w:rPr>
            </w:pPr>
          </w:p>
        </w:tc>
        <w:tc>
          <w:tcPr>
            <w:tcW w:w="243" w:type="pct"/>
          </w:tcPr>
          <w:p w:rsidR="00E2385B" w:rsidRPr="009C2345" w:rsidRDefault="00E2385B" w:rsidP="00E2385B">
            <w:pPr>
              <w:jc w:val="both"/>
              <w:rPr>
                <w:sz w:val="20"/>
                <w:szCs w:val="20"/>
                <w:lang w:val="fr-FR"/>
              </w:rPr>
            </w:pPr>
          </w:p>
        </w:tc>
        <w:tc>
          <w:tcPr>
            <w:tcW w:w="2334" w:type="pct"/>
          </w:tcPr>
          <w:p w:rsidR="00E2385B" w:rsidRPr="009C2345" w:rsidRDefault="00E2385B" w:rsidP="00E2385B">
            <w:pPr>
              <w:jc w:val="both"/>
              <w:rPr>
                <w:sz w:val="20"/>
                <w:szCs w:val="20"/>
              </w:rPr>
            </w:pPr>
            <w:r w:rsidRPr="009C2345">
              <w:rPr>
                <w:sz w:val="20"/>
                <w:szCs w:val="20"/>
              </w:rPr>
              <w:t>Applicant’s appeal dismissed.</w:t>
            </w:r>
          </w:p>
          <w:p w:rsidR="00E2385B" w:rsidRPr="009C2345" w:rsidRDefault="00E2385B" w:rsidP="00E2385B">
            <w:pPr>
              <w:jc w:val="both"/>
              <w:rPr>
                <w:sz w:val="20"/>
                <w:szCs w:val="20"/>
              </w:rPr>
            </w:pPr>
          </w:p>
        </w:tc>
      </w:tr>
      <w:tr w:rsidR="00E2385B" w:rsidRPr="009C2345" w:rsidTr="005F12E5">
        <w:tc>
          <w:tcPr>
            <w:tcW w:w="2423" w:type="pct"/>
          </w:tcPr>
          <w:p w:rsidR="00E2385B" w:rsidRPr="009C2345" w:rsidRDefault="00E2385B" w:rsidP="00E2385B">
            <w:pPr>
              <w:jc w:val="both"/>
              <w:rPr>
                <w:sz w:val="20"/>
                <w:szCs w:val="20"/>
              </w:rPr>
            </w:pPr>
            <w:r w:rsidRPr="009C2345">
              <w:rPr>
                <w:sz w:val="20"/>
                <w:szCs w:val="20"/>
              </w:rPr>
              <w:t>February 12, 2016</w:t>
            </w:r>
          </w:p>
          <w:p w:rsidR="00E2385B" w:rsidRPr="009C2345" w:rsidRDefault="00E2385B" w:rsidP="00E2385B">
            <w:pPr>
              <w:jc w:val="both"/>
              <w:rPr>
                <w:sz w:val="20"/>
                <w:szCs w:val="20"/>
              </w:rPr>
            </w:pPr>
            <w:r w:rsidRPr="009C2345">
              <w:rPr>
                <w:sz w:val="20"/>
                <w:szCs w:val="20"/>
              </w:rPr>
              <w:t>Supreme Court of Canada</w:t>
            </w:r>
          </w:p>
        </w:tc>
        <w:tc>
          <w:tcPr>
            <w:tcW w:w="243" w:type="pct"/>
          </w:tcPr>
          <w:p w:rsidR="00E2385B" w:rsidRPr="009C2345" w:rsidRDefault="00E2385B" w:rsidP="00E2385B">
            <w:pPr>
              <w:jc w:val="both"/>
              <w:rPr>
                <w:sz w:val="20"/>
                <w:szCs w:val="20"/>
              </w:rPr>
            </w:pPr>
          </w:p>
        </w:tc>
        <w:tc>
          <w:tcPr>
            <w:tcW w:w="2334" w:type="pct"/>
          </w:tcPr>
          <w:p w:rsidR="00E2385B" w:rsidRPr="009C2345" w:rsidRDefault="00E2385B" w:rsidP="00E2385B">
            <w:pPr>
              <w:jc w:val="both"/>
              <w:rPr>
                <w:sz w:val="20"/>
                <w:szCs w:val="20"/>
              </w:rPr>
            </w:pPr>
            <w:r w:rsidRPr="009C2345">
              <w:rPr>
                <w:sz w:val="20"/>
                <w:szCs w:val="20"/>
              </w:rPr>
              <w:t>Application for leave to appeal filed.</w:t>
            </w:r>
          </w:p>
          <w:p w:rsidR="00E2385B" w:rsidRPr="009C2345" w:rsidRDefault="00E2385B" w:rsidP="00E2385B">
            <w:pPr>
              <w:jc w:val="both"/>
              <w:rPr>
                <w:sz w:val="20"/>
                <w:szCs w:val="20"/>
              </w:rPr>
            </w:pPr>
          </w:p>
        </w:tc>
      </w:tr>
    </w:tbl>
    <w:p w:rsidR="006E4D45" w:rsidRPr="009C2345" w:rsidRDefault="006E4D45" w:rsidP="008D292F">
      <w:pPr>
        <w:rPr>
          <w:sz w:val="20"/>
          <w:szCs w:val="20"/>
        </w:rPr>
      </w:pPr>
    </w:p>
    <w:p w:rsidR="004813A5" w:rsidRPr="009C2345" w:rsidRDefault="0082006E" w:rsidP="004813A5">
      <w:pPr>
        <w:rPr>
          <w:sz w:val="20"/>
          <w:szCs w:val="20"/>
          <w:lang w:val="fr-CA"/>
        </w:rPr>
      </w:pPr>
      <w:r>
        <w:rPr>
          <w:sz w:val="20"/>
          <w:szCs w:val="20"/>
          <w:lang w:val="fr-CA"/>
        </w:rPr>
        <w:pict>
          <v:rect id="_x0000_i1078" style="width:2in;height:1pt" o:hrpct="0" o:hralign="center" o:hrstd="t" o:hrnoshade="t" o:hr="t" fillcolor="black [3213]" stroked="f"/>
        </w:pict>
      </w:r>
    </w:p>
    <w:p w:rsidR="004813A5" w:rsidRPr="009C2345" w:rsidRDefault="004813A5" w:rsidP="004813A5">
      <w:pPr>
        <w:rPr>
          <w:sz w:val="20"/>
          <w:szCs w:val="20"/>
          <w:lang w:val="fr-CA"/>
        </w:rPr>
      </w:pPr>
    </w:p>
    <w:p w:rsidR="004813A5" w:rsidRPr="009C2345" w:rsidRDefault="004813A5" w:rsidP="004813A5">
      <w:pPr>
        <w:rPr>
          <w:sz w:val="20"/>
          <w:szCs w:val="20"/>
          <w:u w:val="single"/>
          <w:lang w:val="fr-CA"/>
        </w:rPr>
      </w:pPr>
      <w:r w:rsidRPr="009C2345">
        <w:rPr>
          <w:sz w:val="20"/>
          <w:szCs w:val="20"/>
          <w:u w:val="single"/>
          <w:lang w:val="fr-CA"/>
        </w:rPr>
        <w:t>RÉSUMÉ DE L’AFFAIRE</w:t>
      </w:r>
    </w:p>
    <w:p w:rsidR="004813A5" w:rsidRPr="009C2345" w:rsidRDefault="004813A5" w:rsidP="004813A5">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D0915" w:rsidRPr="0082006E" w:rsidTr="00017A3C">
        <w:tc>
          <w:tcPr>
            <w:tcW w:w="5000" w:type="pct"/>
            <w:gridSpan w:val="3"/>
          </w:tcPr>
          <w:p w:rsidR="003D0915" w:rsidRPr="009C2345" w:rsidRDefault="003D0915" w:rsidP="003D0915">
            <w:pPr>
              <w:jc w:val="both"/>
              <w:rPr>
                <w:smallCaps/>
                <w:sz w:val="20"/>
                <w:szCs w:val="20"/>
                <w:lang w:val="fr-CA"/>
              </w:rPr>
            </w:pPr>
            <w:r w:rsidRPr="009C2345">
              <w:rPr>
                <w:smallCaps/>
                <w:sz w:val="20"/>
                <w:szCs w:val="20"/>
                <w:lang w:val="fr-CA"/>
              </w:rPr>
              <w:t>(Ordonnance de non-publication dans le dossier) (Ordonnance de non-publication visant une partie) (Le dossier de la Cour renferme des données que le public n’est pas autorisé à consulter)</w:t>
            </w:r>
          </w:p>
          <w:p w:rsidR="003D0915" w:rsidRPr="009C2345" w:rsidRDefault="003D0915" w:rsidP="003D0915">
            <w:pPr>
              <w:jc w:val="both"/>
              <w:rPr>
                <w:sz w:val="20"/>
                <w:szCs w:val="20"/>
                <w:lang w:val="fr-CA"/>
              </w:rPr>
            </w:pPr>
          </w:p>
          <w:p w:rsidR="003D0915" w:rsidRPr="009C2345" w:rsidRDefault="003D0915" w:rsidP="003D0915">
            <w:pPr>
              <w:jc w:val="both"/>
              <w:rPr>
                <w:sz w:val="20"/>
                <w:szCs w:val="20"/>
                <w:lang w:val="fr-CA"/>
              </w:rPr>
            </w:pPr>
            <w:r w:rsidRPr="009C2345">
              <w:rPr>
                <w:sz w:val="20"/>
                <w:szCs w:val="20"/>
                <w:lang w:val="fr-CA"/>
              </w:rPr>
              <w:t xml:space="preserve">Droits des personnes – Protection de l’enfant – Jugements et ordonnances – Jugement sommaire – Un enfant ayant besoin de protection reçoit des soins depuis plus de trois ans – Les intimés ont présenté une motion pour qu’il devienne pupille de la Couronne, sans droit de visite – Le fait que la juge saisie de la motion n’ait pas exercé les pouvoirs étendus que lui confère la Règle 20 des </w:t>
            </w:r>
            <w:r w:rsidRPr="009C2345">
              <w:rPr>
                <w:i/>
                <w:sz w:val="20"/>
                <w:szCs w:val="20"/>
                <w:lang w:val="fr-CA"/>
              </w:rPr>
              <w:t>Règles de procédure civile</w:t>
            </w:r>
            <w:r w:rsidRPr="009C2345">
              <w:rPr>
                <w:sz w:val="20"/>
                <w:szCs w:val="20"/>
                <w:lang w:val="fr-CA"/>
              </w:rPr>
              <w:t xml:space="preserve"> viole-t-il le droit de la demanderesse à l’équité procédurale, à la justice naturelle et à l’accès à la justice? – Devrait-il exister une présomption automatique en faveur des règles étendues prévues à la règle 16 des </w:t>
            </w:r>
            <w:r w:rsidRPr="009C2345">
              <w:rPr>
                <w:i/>
                <w:sz w:val="20"/>
                <w:szCs w:val="20"/>
                <w:lang w:val="fr-CA"/>
              </w:rPr>
              <w:t>Règles en matière de droit de la famille</w:t>
            </w:r>
            <w:r w:rsidRPr="009C2345">
              <w:rPr>
                <w:sz w:val="20"/>
                <w:szCs w:val="20"/>
                <w:lang w:val="fr-CA"/>
              </w:rPr>
              <w:t xml:space="preserve"> lorsqu’un parent demande le retour de l’enfant et a déposé des documents portant sur des questions de fond en réponse à une motion en vue d’obtenir un jugement sommaire?</w:t>
            </w:r>
          </w:p>
        </w:tc>
      </w:tr>
      <w:tr w:rsidR="003D0915" w:rsidRPr="0082006E" w:rsidTr="00017A3C">
        <w:tc>
          <w:tcPr>
            <w:tcW w:w="5000" w:type="pct"/>
            <w:gridSpan w:val="3"/>
          </w:tcPr>
          <w:p w:rsidR="003D0915" w:rsidRPr="009C2345" w:rsidRDefault="003D0915" w:rsidP="003D0915">
            <w:pPr>
              <w:jc w:val="both"/>
              <w:rPr>
                <w:sz w:val="20"/>
                <w:szCs w:val="20"/>
                <w:lang w:val="fr-CA"/>
              </w:rPr>
            </w:pPr>
          </w:p>
        </w:tc>
      </w:tr>
      <w:tr w:rsidR="003D0915" w:rsidRPr="0082006E" w:rsidTr="00017A3C">
        <w:tc>
          <w:tcPr>
            <w:tcW w:w="5000" w:type="pct"/>
            <w:gridSpan w:val="3"/>
          </w:tcPr>
          <w:p w:rsidR="003D0915" w:rsidRPr="009C2345" w:rsidRDefault="003D0915" w:rsidP="003D0915">
            <w:pPr>
              <w:jc w:val="both"/>
              <w:rPr>
                <w:sz w:val="20"/>
                <w:szCs w:val="20"/>
                <w:lang w:val="fr-CA"/>
              </w:rPr>
            </w:pPr>
            <w:r w:rsidRPr="009C2345">
              <w:rPr>
                <w:sz w:val="20"/>
                <w:szCs w:val="20"/>
                <w:lang w:val="fr-CA"/>
              </w:rPr>
              <w:t xml:space="preserve">Le fils de la demanderesse, âgé de dix ans, reçoit des soins de la société d’aide à l’enfance de Toronto depuis juillet 2011, c’est-à-dire depuis que sa mère l’a volontairement rendu à la société en exécution d’une entente relative à des soins temporaires. En décembre 2012, la mère et la société ont acquiescé à une conclusion selon laquelle l’enfant avait besoin de protection au sens du sous-al. 37(2)b)(i) de la </w:t>
            </w:r>
            <w:r w:rsidRPr="009C2345">
              <w:rPr>
                <w:i/>
                <w:sz w:val="20"/>
                <w:szCs w:val="20"/>
                <w:lang w:val="fr-CA"/>
              </w:rPr>
              <w:t>Loi sur les services à l’enfance et à la famille</w:t>
            </w:r>
            <w:r w:rsidRPr="009C2345">
              <w:rPr>
                <w:sz w:val="20"/>
                <w:szCs w:val="20"/>
                <w:lang w:val="fr-CA"/>
              </w:rPr>
              <w:t xml:space="preserve">, L.R.O. 1990, ch. C.11. Des visites se sont poursuivies à la discrétion de la société, mais, conformément aux vœux exprès de l’enfant, ces visites n’ont eu lieu qu’au bureau de la société et non chez la mère. L’enfant a affirmé qu’il ne voulait pas vivre avec sa mère, puis, qu’il ne voulait plus d’autres visites. On a observé chez lui des comportements troublants après les visites de sa mère. Sur le fondement de déclarations de l’enfant comme quoi il avait été l’objet de mauvais traitements, il a été mis fin aux visites en février 2014. La société a présenté une demande pour que l’enfant devienne pupille de la Couronne sans droit de visite et a présenté une motion en vue d’obtenir un jugement sommaire. </w:t>
            </w:r>
          </w:p>
          <w:p w:rsidR="003D0915" w:rsidRPr="009C2345" w:rsidRDefault="003D0915" w:rsidP="003D0915">
            <w:pPr>
              <w:jc w:val="both"/>
              <w:rPr>
                <w:sz w:val="20"/>
                <w:szCs w:val="20"/>
                <w:lang w:val="fr-CA"/>
              </w:rPr>
            </w:pPr>
          </w:p>
        </w:tc>
      </w:tr>
      <w:tr w:rsidR="003D0915" w:rsidRPr="0082006E" w:rsidTr="00017A3C">
        <w:tc>
          <w:tcPr>
            <w:tcW w:w="2427" w:type="pct"/>
          </w:tcPr>
          <w:p w:rsidR="003D0915" w:rsidRPr="009C2345" w:rsidRDefault="003D0915" w:rsidP="003D0915">
            <w:pPr>
              <w:jc w:val="both"/>
              <w:rPr>
                <w:sz w:val="20"/>
                <w:szCs w:val="20"/>
                <w:lang w:val="fr-CA"/>
              </w:rPr>
            </w:pPr>
            <w:r w:rsidRPr="009C2345">
              <w:rPr>
                <w:sz w:val="20"/>
                <w:szCs w:val="20"/>
                <w:lang w:val="fr-CA"/>
              </w:rPr>
              <w:t>17 décembre 2014</w:t>
            </w:r>
          </w:p>
          <w:p w:rsidR="003D0915" w:rsidRPr="009C2345" w:rsidRDefault="003D0915" w:rsidP="003D0915">
            <w:pPr>
              <w:jc w:val="both"/>
              <w:rPr>
                <w:sz w:val="20"/>
                <w:szCs w:val="20"/>
                <w:lang w:val="fr-CA"/>
              </w:rPr>
            </w:pPr>
            <w:r w:rsidRPr="009C2345">
              <w:rPr>
                <w:sz w:val="20"/>
                <w:szCs w:val="20"/>
                <w:lang w:val="fr-CA"/>
              </w:rPr>
              <w:t xml:space="preserve">Cour supérieure de justice de l’Ontario </w:t>
            </w:r>
          </w:p>
          <w:p w:rsidR="003D0915" w:rsidRPr="009C2345" w:rsidRDefault="003D0915" w:rsidP="003D0915">
            <w:pPr>
              <w:jc w:val="both"/>
              <w:rPr>
                <w:sz w:val="20"/>
                <w:szCs w:val="20"/>
                <w:lang w:val="fr-CA"/>
              </w:rPr>
            </w:pPr>
            <w:r w:rsidRPr="009C2345">
              <w:rPr>
                <w:sz w:val="20"/>
                <w:szCs w:val="20"/>
                <w:lang w:val="fr-CA"/>
              </w:rPr>
              <w:t>(Juge Curtis)</w:t>
            </w:r>
          </w:p>
          <w:p w:rsidR="003D0915" w:rsidRPr="009C2345" w:rsidRDefault="003D0915" w:rsidP="003D0915">
            <w:pPr>
              <w:jc w:val="both"/>
              <w:rPr>
                <w:sz w:val="20"/>
                <w:szCs w:val="20"/>
                <w:lang w:val="fr-CA"/>
              </w:rPr>
            </w:pPr>
            <w:r w:rsidRPr="009C2345">
              <w:rPr>
                <w:sz w:val="20"/>
                <w:szCs w:val="20"/>
                <w:lang w:val="fr-CA"/>
              </w:rPr>
              <w:t>Non publié</w:t>
            </w:r>
          </w:p>
          <w:p w:rsidR="003D0915" w:rsidRPr="009C2345" w:rsidRDefault="003D0915" w:rsidP="003D0915">
            <w:pPr>
              <w:jc w:val="both"/>
              <w:rPr>
                <w:sz w:val="20"/>
                <w:szCs w:val="20"/>
                <w:lang w:val="fr-CA"/>
              </w:rPr>
            </w:pPr>
          </w:p>
        </w:tc>
        <w:tc>
          <w:tcPr>
            <w:tcW w:w="243" w:type="pct"/>
          </w:tcPr>
          <w:p w:rsidR="003D0915" w:rsidRPr="009C2345" w:rsidRDefault="003D0915" w:rsidP="003D0915">
            <w:pPr>
              <w:jc w:val="both"/>
              <w:rPr>
                <w:sz w:val="20"/>
                <w:szCs w:val="20"/>
                <w:lang w:val="fr-CA"/>
              </w:rPr>
            </w:pPr>
          </w:p>
        </w:tc>
        <w:tc>
          <w:tcPr>
            <w:tcW w:w="2330" w:type="pct"/>
          </w:tcPr>
          <w:p w:rsidR="003D0915" w:rsidRPr="009C2345" w:rsidRDefault="003D0915" w:rsidP="003D0915">
            <w:pPr>
              <w:jc w:val="both"/>
              <w:rPr>
                <w:sz w:val="20"/>
                <w:szCs w:val="20"/>
                <w:lang w:val="fr-CA"/>
              </w:rPr>
            </w:pPr>
            <w:r w:rsidRPr="009C2345">
              <w:rPr>
                <w:sz w:val="20"/>
                <w:szCs w:val="20"/>
                <w:lang w:val="fr-CA"/>
              </w:rPr>
              <w:t>Jugement accueillant la motion de la société en vue d’obtenir un jugement sommaire faute de véritable question litigieuse.</w:t>
            </w:r>
          </w:p>
        </w:tc>
      </w:tr>
      <w:tr w:rsidR="003D0915" w:rsidRPr="0082006E" w:rsidTr="00017A3C">
        <w:tc>
          <w:tcPr>
            <w:tcW w:w="2427" w:type="pct"/>
          </w:tcPr>
          <w:p w:rsidR="003D0915" w:rsidRPr="009C2345" w:rsidRDefault="003D0915" w:rsidP="003D0915">
            <w:pPr>
              <w:jc w:val="both"/>
              <w:rPr>
                <w:sz w:val="20"/>
                <w:szCs w:val="20"/>
                <w:lang w:val="fr-CA"/>
              </w:rPr>
            </w:pPr>
            <w:r w:rsidRPr="009C2345">
              <w:rPr>
                <w:sz w:val="20"/>
                <w:szCs w:val="20"/>
                <w:lang w:val="fr-CA"/>
              </w:rPr>
              <w:t>30 juin 2015</w:t>
            </w:r>
          </w:p>
          <w:p w:rsidR="003D0915" w:rsidRPr="009C2345" w:rsidRDefault="003D0915" w:rsidP="003D0915">
            <w:pPr>
              <w:jc w:val="both"/>
              <w:rPr>
                <w:sz w:val="20"/>
                <w:szCs w:val="20"/>
                <w:lang w:val="fr-CA"/>
              </w:rPr>
            </w:pPr>
            <w:r w:rsidRPr="009C2345">
              <w:rPr>
                <w:sz w:val="20"/>
                <w:szCs w:val="20"/>
                <w:lang w:val="fr-CA"/>
              </w:rPr>
              <w:t xml:space="preserve">Cour supérieure de justice de l’Ontario </w:t>
            </w:r>
          </w:p>
          <w:p w:rsidR="003D0915" w:rsidRPr="009C2345" w:rsidRDefault="003D0915" w:rsidP="003D0915">
            <w:pPr>
              <w:jc w:val="both"/>
              <w:rPr>
                <w:sz w:val="20"/>
                <w:szCs w:val="20"/>
                <w:lang w:val="fr-CA"/>
              </w:rPr>
            </w:pPr>
            <w:r w:rsidRPr="009C2345">
              <w:rPr>
                <w:sz w:val="20"/>
                <w:szCs w:val="20"/>
                <w:lang w:val="fr-CA"/>
              </w:rPr>
              <w:t>(Juge Horkins)</w:t>
            </w:r>
          </w:p>
          <w:p w:rsidR="003D0915" w:rsidRPr="009C2345" w:rsidRDefault="0082006E" w:rsidP="003D0915">
            <w:pPr>
              <w:jc w:val="both"/>
              <w:rPr>
                <w:sz w:val="20"/>
                <w:szCs w:val="20"/>
                <w:u w:val="single"/>
                <w:lang w:val="fr-CA"/>
              </w:rPr>
            </w:pPr>
            <w:hyperlink r:id="rId101" w:history="1">
              <w:r w:rsidR="003D0915" w:rsidRPr="009C2345">
                <w:rPr>
                  <w:color w:val="0000FF" w:themeColor="hyperlink"/>
                  <w:sz w:val="20"/>
                  <w:szCs w:val="20"/>
                  <w:u w:val="single"/>
                  <w:lang w:val="fr-CA"/>
                </w:rPr>
                <w:t>2015 ONSC 4197</w:t>
              </w:r>
            </w:hyperlink>
          </w:p>
          <w:p w:rsidR="003D0915" w:rsidRPr="009C2345" w:rsidRDefault="003D0915" w:rsidP="003D0915">
            <w:pPr>
              <w:jc w:val="both"/>
              <w:rPr>
                <w:sz w:val="20"/>
                <w:szCs w:val="20"/>
                <w:lang w:val="fr-CA"/>
              </w:rPr>
            </w:pPr>
          </w:p>
        </w:tc>
        <w:tc>
          <w:tcPr>
            <w:tcW w:w="243" w:type="pct"/>
          </w:tcPr>
          <w:p w:rsidR="003D0915" w:rsidRPr="009C2345" w:rsidRDefault="003D0915" w:rsidP="003D0915">
            <w:pPr>
              <w:jc w:val="both"/>
              <w:rPr>
                <w:sz w:val="20"/>
                <w:szCs w:val="20"/>
                <w:lang w:val="fr-CA"/>
              </w:rPr>
            </w:pPr>
          </w:p>
        </w:tc>
        <w:tc>
          <w:tcPr>
            <w:tcW w:w="2330" w:type="pct"/>
          </w:tcPr>
          <w:p w:rsidR="003D0915" w:rsidRPr="009C2345" w:rsidRDefault="003D0915" w:rsidP="003D0915">
            <w:pPr>
              <w:jc w:val="both"/>
              <w:rPr>
                <w:sz w:val="20"/>
                <w:szCs w:val="20"/>
                <w:lang w:val="fr-CA"/>
              </w:rPr>
            </w:pPr>
            <w:r w:rsidRPr="009C2345">
              <w:rPr>
                <w:sz w:val="20"/>
                <w:szCs w:val="20"/>
                <w:lang w:val="fr-CA"/>
              </w:rPr>
              <w:t>Rejet de l’appel de la demanderesse sur la question des visites.</w:t>
            </w:r>
          </w:p>
          <w:p w:rsidR="003D0915" w:rsidRPr="009C2345" w:rsidRDefault="003D0915" w:rsidP="003D0915">
            <w:pPr>
              <w:jc w:val="both"/>
              <w:rPr>
                <w:sz w:val="20"/>
                <w:szCs w:val="20"/>
                <w:lang w:val="fr-CA"/>
              </w:rPr>
            </w:pPr>
          </w:p>
          <w:p w:rsidR="003D0915" w:rsidRPr="009C2345" w:rsidRDefault="003D0915" w:rsidP="003D0915">
            <w:pPr>
              <w:jc w:val="both"/>
              <w:rPr>
                <w:sz w:val="20"/>
                <w:szCs w:val="20"/>
                <w:lang w:val="fr-CA"/>
              </w:rPr>
            </w:pPr>
          </w:p>
        </w:tc>
      </w:tr>
      <w:tr w:rsidR="003D0915" w:rsidRPr="0082006E" w:rsidTr="00017A3C">
        <w:tc>
          <w:tcPr>
            <w:tcW w:w="2427" w:type="pct"/>
          </w:tcPr>
          <w:p w:rsidR="003D0915" w:rsidRPr="009C2345" w:rsidRDefault="003D0915" w:rsidP="003D0915">
            <w:pPr>
              <w:jc w:val="both"/>
              <w:rPr>
                <w:sz w:val="20"/>
                <w:szCs w:val="20"/>
                <w:lang w:val="fr-CA"/>
              </w:rPr>
            </w:pPr>
            <w:r w:rsidRPr="009C2345">
              <w:rPr>
                <w:sz w:val="20"/>
                <w:szCs w:val="20"/>
                <w:lang w:val="fr-CA"/>
              </w:rPr>
              <w:t>21 décembre 2015</w:t>
            </w:r>
          </w:p>
          <w:p w:rsidR="003D0915" w:rsidRPr="009C2345" w:rsidRDefault="003D0915" w:rsidP="003D0915">
            <w:pPr>
              <w:jc w:val="both"/>
              <w:rPr>
                <w:sz w:val="20"/>
                <w:szCs w:val="20"/>
                <w:lang w:val="fr-CA"/>
              </w:rPr>
            </w:pPr>
            <w:r w:rsidRPr="009C2345">
              <w:rPr>
                <w:sz w:val="20"/>
                <w:szCs w:val="20"/>
                <w:lang w:val="fr-CA"/>
              </w:rPr>
              <w:t>Cour d’appel de l'Ontario</w:t>
            </w:r>
          </w:p>
          <w:p w:rsidR="003D0915" w:rsidRPr="009C2345" w:rsidRDefault="003D0915" w:rsidP="003D0915">
            <w:pPr>
              <w:jc w:val="both"/>
              <w:rPr>
                <w:sz w:val="20"/>
                <w:szCs w:val="20"/>
                <w:lang w:val="fr-CA"/>
              </w:rPr>
            </w:pPr>
            <w:r w:rsidRPr="009C2345">
              <w:rPr>
                <w:sz w:val="20"/>
                <w:szCs w:val="20"/>
                <w:lang w:val="fr-CA"/>
              </w:rPr>
              <w:t>(Juges Laskin, Pardu et Roberts)</w:t>
            </w:r>
          </w:p>
          <w:p w:rsidR="003D0915" w:rsidRPr="009C2345" w:rsidRDefault="0082006E" w:rsidP="003D0915">
            <w:pPr>
              <w:jc w:val="both"/>
              <w:rPr>
                <w:sz w:val="20"/>
                <w:szCs w:val="20"/>
                <w:u w:val="single"/>
                <w:lang w:val="fr-CA"/>
              </w:rPr>
            </w:pPr>
            <w:hyperlink r:id="rId102" w:history="1">
              <w:r w:rsidR="003D0915" w:rsidRPr="009C2345">
                <w:rPr>
                  <w:color w:val="0000FF" w:themeColor="hyperlink"/>
                  <w:sz w:val="20"/>
                  <w:szCs w:val="20"/>
                  <w:u w:val="single"/>
                  <w:lang w:val="fr-CA"/>
                </w:rPr>
                <w:t>2015 ONCA 903</w:t>
              </w:r>
            </w:hyperlink>
          </w:p>
          <w:p w:rsidR="003D0915" w:rsidRPr="009C2345" w:rsidRDefault="003D0915" w:rsidP="003D0915">
            <w:pPr>
              <w:jc w:val="both"/>
              <w:rPr>
                <w:sz w:val="20"/>
                <w:szCs w:val="20"/>
                <w:lang w:val="fr-CA"/>
              </w:rPr>
            </w:pPr>
          </w:p>
        </w:tc>
        <w:tc>
          <w:tcPr>
            <w:tcW w:w="243" w:type="pct"/>
          </w:tcPr>
          <w:p w:rsidR="003D0915" w:rsidRPr="009C2345" w:rsidRDefault="003D0915" w:rsidP="003D0915">
            <w:pPr>
              <w:jc w:val="both"/>
              <w:rPr>
                <w:sz w:val="20"/>
                <w:szCs w:val="20"/>
                <w:lang w:val="fr-CA"/>
              </w:rPr>
            </w:pPr>
          </w:p>
        </w:tc>
        <w:tc>
          <w:tcPr>
            <w:tcW w:w="2330" w:type="pct"/>
          </w:tcPr>
          <w:p w:rsidR="003D0915" w:rsidRPr="009C2345" w:rsidRDefault="003D0915" w:rsidP="003D0915">
            <w:pPr>
              <w:jc w:val="both"/>
              <w:rPr>
                <w:sz w:val="20"/>
                <w:szCs w:val="20"/>
                <w:lang w:val="fr-CA"/>
              </w:rPr>
            </w:pPr>
            <w:r w:rsidRPr="009C2345">
              <w:rPr>
                <w:sz w:val="20"/>
                <w:szCs w:val="20"/>
                <w:lang w:val="fr-CA"/>
              </w:rPr>
              <w:t>Rejet de l’appel de la demanderesse.</w:t>
            </w:r>
          </w:p>
          <w:p w:rsidR="003D0915" w:rsidRPr="009C2345" w:rsidRDefault="003D0915" w:rsidP="003D0915">
            <w:pPr>
              <w:jc w:val="both"/>
              <w:rPr>
                <w:sz w:val="20"/>
                <w:szCs w:val="20"/>
                <w:lang w:val="fr-CA"/>
              </w:rPr>
            </w:pPr>
          </w:p>
        </w:tc>
      </w:tr>
      <w:tr w:rsidR="003D0915" w:rsidRPr="0082006E" w:rsidTr="00017A3C">
        <w:tc>
          <w:tcPr>
            <w:tcW w:w="2427" w:type="pct"/>
          </w:tcPr>
          <w:p w:rsidR="003D0915" w:rsidRPr="009C2345" w:rsidRDefault="003D0915" w:rsidP="003D0915">
            <w:pPr>
              <w:jc w:val="both"/>
              <w:rPr>
                <w:sz w:val="20"/>
                <w:szCs w:val="20"/>
                <w:lang w:val="fr-CA"/>
              </w:rPr>
            </w:pPr>
            <w:r w:rsidRPr="009C2345">
              <w:rPr>
                <w:sz w:val="20"/>
                <w:szCs w:val="20"/>
                <w:lang w:val="fr-CA"/>
              </w:rPr>
              <w:t>12 février 2016</w:t>
            </w:r>
          </w:p>
          <w:p w:rsidR="003D0915" w:rsidRPr="009C2345" w:rsidRDefault="003D0915" w:rsidP="003D0915">
            <w:pPr>
              <w:jc w:val="both"/>
              <w:rPr>
                <w:sz w:val="20"/>
                <w:szCs w:val="20"/>
                <w:lang w:val="fr-CA"/>
              </w:rPr>
            </w:pPr>
            <w:r w:rsidRPr="009C2345">
              <w:rPr>
                <w:sz w:val="20"/>
                <w:szCs w:val="20"/>
                <w:lang w:val="fr-CA"/>
              </w:rPr>
              <w:t>Cour suprême du Canada</w:t>
            </w:r>
          </w:p>
        </w:tc>
        <w:tc>
          <w:tcPr>
            <w:tcW w:w="243" w:type="pct"/>
          </w:tcPr>
          <w:p w:rsidR="003D0915" w:rsidRPr="009C2345" w:rsidRDefault="003D0915" w:rsidP="003D0915">
            <w:pPr>
              <w:jc w:val="both"/>
              <w:rPr>
                <w:sz w:val="20"/>
                <w:szCs w:val="20"/>
                <w:lang w:val="fr-CA"/>
              </w:rPr>
            </w:pPr>
          </w:p>
        </w:tc>
        <w:tc>
          <w:tcPr>
            <w:tcW w:w="2330" w:type="pct"/>
          </w:tcPr>
          <w:p w:rsidR="003D0915" w:rsidRPr="009C2345" w:rsidRDefault="003D0915" w:rsidP="003D0915">
            <w:pPr>
              <w:jc w:val="both"/>
              <w:rPr>
                <w:sz w:val="20"/>
                <w:szCs w:val="20"/>
                <w:lang w:val="fr-CA"/>
              </w:rPr>
            </w:pPr>
            <w:r w:rsidRPr="009C2345">
              <w:rPr>
                <w:sz w:val="20"/>
                <w:szCs w:val="20"/>
                <w:lang w:val="fr-CA"/>
              </w:rPr>
              <w:t>Dépôt de la demande d’autorisation d’appel.</w:t>
            </w:r>
          </w:p>
          <w:p w:rsidR="003D0915" w:rsidRPr="009C2345" w:rsidRDefault="003D0915" w:rsidP="003D0915">
            <w:pPr>
              <w:jc w:val="both"/>
              <w:rPr>
                <w:sz w:val="20"/>
                <w:szCs w:val="20"/>
                <w:lang w:val="fr-CA"/>
              </w:rPr>
            </w:pPr>
          </w:p>
        </w:tc>
      </w:tr>
    </w:tbl>
    <w:p w:rsidR="006E4D45" w:rsidRPr="009C2345" w:rsidRDefault="006E4D45" w:rsidP="008D292F">
      <w:pPr>
        <w:rPr>
          <w:sz w:val="20"/>
          <w:szCs w:val="20"/>
          <w:lang w:val="fr-CA"/>
        </w:rPr>
      </w:pPr>
    </w:p>
    <w:p w:rsidR="00AD78F4" w:rsidRPr="009C2345" w:rsidRDefault="0082006E" w:rsidP="008D292F">
      <w:pPr>
        <w:rPr>
          <w:sz w:val="20"/>
          <w:szCs w:val="20"/>
          <w:lang w:val="fr-CA"/>
        </w:rPr>
      </w:pPr>
      <w:r>
        <w:rPr>
          <w:sz w:val="20"/>
          <w:szCs w:val="20"/>
          <w:lang w:val="fr-CA"/>
        </w:rPr>
        <w:pict>
          <v:rect id="_x0000_i1079" style="width:2in;height:1pt" o:hrpct="0" o:hralign="center" o:hrstd="t" o:hrnoshade="t" o:hr="t" fillcolor="black [3213]" stroked="f"/>
        </w:pict>
      </w:r>
    </w:p>
    <w:p w:rsidR="00616675" w:rsidRPr="009C2345" w:rsidRDefault="00616675" w:rsidP="008D292F">
      <w:pPr>
        <w:rPr>
          <w:sz w:val="20"/>
          <w:szCs w:val="20"/>
          <w:lang w:val="fr-CA"/>
        </w:rPr>
      </w:pPr>
    </w:p>
    <w:p w:rsidR="00890FEB" w:rsidRPr="009C2345" w:rsidRDefault="00890FEB" w:rsidP="008D292F">
      <w:pPr>
        <w:rPr>
          <w:sz w:val="20"/>
          <w:szCs w:val="20"/>
          <w:lang w:val="fr-CA"/>
        </w:rPr>
      </w:pPr>
    </w:p>
    <w:p w:rsidR="00890FEB" w:rsidRPr="009C2345" w:rsidRDefault="00890FEB" w:rsidP="008D292F">
      <w:pPr>
        <w:rPr>
          <w:b/>
          <w:sz w:val="20"/>
          <w:szCs w:val="20"/>
          <w:lang w:val="fr-CA"/>
        </w:rPr>
        <w:sectPr w:rsidR="00890FEB" w:rsidRPr="009C2345" w:rsidSect="008D292F">
          <w:headerReference w:type="even" r:id="rId103"/>
          <w:headerReference w:type="default" r:id="rId104"/>
          <w:footerReference w:type="even" r:id="rId105"/>
          <w:footerReference w:type="default" r:id="rId106"/>
          <w:headerReference w:type="first" r:id="rId107"/>
          <w:footerReference w:type="first" r:id="rId10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9C2345" w:rsidTr="00BA6468">
        <w:tc>
          <w:tcPr>
            <w:tcW w:w="4230" w:type="dxa"/>
            <w:shd w:val="clear" w:color="auto" w:fill="auto"/>
            <w:tcMar>
              <w:left w:w="0" w:type="dxa"/>
              <w:right w:w="0" w:type="dxa"/>
            </w:tcMar>
          </w:tcPr>
          <w:p w:rsidR="00890FEB" w:rsidRPr="009C2345" w:rsidRDefault="00890FEB" w:rsidP="00EB2B90">
            <w:pPr>
              <w:keepNext/>
              <w:keepLines/>
              <w:tabs>
                <w:tab w:val="left" w:pos="-1440"/>
                <w:tab w:val="left" w:pos="-720"/>
              </w:tabs>
              <w:jc w:val="both"/>
              <w:rPr>
                <w:szCs w:val="24"/>
              </w:rPr>
            </w:pPr>
            <w:r w:rsidRPr="009C2345">
              <w:rPr>
                <w:b/>
                <w:szCs w:val="24"/>
              </w:rPr>
              <w:t>MOTIONS</w:t>
            </w:r>
          </w:p>
        </w:tc>
        <w:tc>
          <w:tcPr>
            <w:tcW w:w="1170" w:type="dxa"/>
            <w:shd w:val="clear" w:color="auto" w:fill="auto"/>
            <w:tcMar>
              <w:left w:w="0" w:type="dxa"/>
              <w:right w:w="0" w:type="dxa"/>
            </w:tcMar>
          </w:tcPr>
          <w:p w:rsidR="00890FEB" w:rsidRPr="009C2345" w:rsidRDefault="00890FEB" w:rsidP="00890FEB">
            <w:pPr>
              <w:keepNext/>
              <w:keepLines/>
              <w:tabs>
                <w:tab w:val="left" w:pos="-1440"/>
                <w:tab w:val="left" w:pos="-720"/>
              </w:tabs>
              <w:jc w:val="center"/>
              <w:rPr>
                <w:szCs w:val="24"/>
              </w:rPr>
            </w:pPr>
          </w:p>
          <w:p w:rsidR="00890FEB" w:rsidRPr="009C2345"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9C2345" w:rsidRDefault="00890FEB" w:rsidP="00831CA9">
            <w:pPr>
              <w:keepNext/>
              <w:keepLines/>
              <w:tabs>
                <w:tab w:val="left" w:pos="-1440"/>
                <w:tab w:val="left" w:pos="-720"/>
              </w:tabs>
              <w:rPr>
                <w:szCs w:val="24"/>
                <w:lang w:val="fr-CA"/>
              </w:rPr>
            </w:pPr>
            <w:r w:rsidRPr="009C2345">
              <w:rPr>
                <w:b/>
                <w:szCs w:val="24"/>
                <w:lang w:val="fr-CA"/>
              </w:rPr>
              <w:t>REQUÊTES</w:t>
            </w:r>
          </w:p>
        </w:tc>
      </w:tr>
    </w:tbl>
    <w:p w:rsidR="00890FEB" w:rsidRPr="009C2345" w:rsidRDefault="00890FEB" w:rsidP="00890FEB">
      <w:pPr>
        <w:rPr>
          <w:sz w:val="20"/>
          <w:szCs w:val="20"/>
        </w:rPr>
      </w:pPr>
    </w:p>
    <w:p w:rsidR="002621A6" w:rsidRPr="009C2345" w:rsidRDefault="002621A6" w:rsidP="002621A6">
      <w:pPr>
        <w:tabs>
          <w:tab w:val="left" w:pos="-1440"/>
          <w:tab w:val="left" w:pos="-720"/>
        </w:tabs>
        <w:jc w:val="both"/>
        <w:rPr>
          <w:sz w:val="20"/>
          <w:szCs w:val="20"/>
          <w:lang w:val="fr-CA"/>
        </w:rPr>
      </w:pPr>
      <w:r w:rsidRPr="009C2345">
        <w:rPr>
          <w:sz w:val="20"/>
          <w:szCs w:val="20"/>
          <w:lang w:val="fr-CA"/>
        </w:rPr>
        <w:t>25.04.2016</w:t>
      </w:r>
    </w:p>
    <w:p w:rsidR="002621A6" w:rsidRPr="009C2345" w:rsidRDefault="002621A6" w:rsidP="002621A6">
      <w:pPr>
        <w:tabs>
          <w:tab w:val="left" w:pos="-1440"/>
          <w:tab w:val="left" w:pos="-720"/>
        </w:tabs>
        <w:jc w:val="both"/>
        <w:rPr>
          <w:sz w:val="20"/>
          <w:szCs w:val="20"/>
          <w:lang w:val="fr-CA"/>
        </w:rPr>
      </w:pPr>
    </w:p>
    <w:p w:rsidR="002621A6" w:rsidRPr="009C2345" w:rsidRDefault="002621A6" w:rsidP="002621A6">
      <w:pPr>
        <w:tabs>
          <w:tab w:val="left" w:pos="-1440"/>
          <w:tab w:val="left" w:pos="-720"/>
        </w:tabs>
        <w:jc w:val="both"/>
        <w:rPr>
          <w:sz w:val="20"/>
          <w:szCs w:val="20"/>
        </w:rPr>
      </w:pPr>
      <w:r w:rsidRPr="009C2345">
        <w:rPr>
          <w:sz w:val="20"/>
          <w:szCs w:val="20"/>
        </w:rPr>
        <w:t>Before / Devant :   THE COURT / LA COUR</w:t>
      </w:r>
    </w:p>
    <w:p w:rsidR="002621A6" w:rsidRPr="009C2345" w:rsidRDefault="002621A6" w:rsidP="002621A6">
      <w:pPr>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8"/>
        <w:gridCol w:w="967"/>
        <w:gridCol w:w="4234"/>
      </w:tblGrid>
      <w:tr w:rsidR="002621A6" w:rsidRPr="0082006E" w:rsidTr="007F2557">
        <w:trPr>
          <w:trHeight w:val="151"/>
        </w:trPr>
        <w:tc>
          <w:tcPr>
            <w:tcW w:w="4518" w:type="dxa"/>
          </w:tcPr>
          <w:p w:rsidR="002621A6" w:rsidRPr="009C2345" w:rsidRDefault="002621A6" w:rsidP="007F2557">
            <w:pPr>
              <w:tabs>
                <w:tab w:val="left" w:pos="-1440"/>
                <w:tab w:val="left" w:pos="-720"/>
              </w:tabs>
              <w:jc w:val="both"/>
              <w:rPr>
                <w:sz w:val="20"/>
                <w:szCs w:val="20"/>
              </w:rPr>
            </w:pPr>
            <w:r w:rsidRPr="009C2345">
              <w:rPr>
                <w:b/>
                <w:bCs/>
                <w:sz w:val="20"/>
                <w:szCs w:val="20"/>
              </w:rPr>
              <w:t>Motion for a stay of execution</w:t>
            </w:r>
            <w:r w:rsidRPr="009C2345">
              <w:rPr>
                <w:sz w:val="20"/>
                <w:szCs w:val="20"/>
              </w:rPr>
              <w:t xml:space="preserve"> </w:t>
            </w:r>
            <w:r w:rsidRPr="009C2345">
              <w:rPr>
                <w:sz w:val="20"/>
                <w:szCs w:val="20"/>
              </w:rPr>
              <w:fldChar w:fldCharType="begin"/>
            </w:r>
            <w:r w:rsidRPr="009C2345">
              <w:rPr>
                <w:sz w:val="20"/>
                <w:szCs w:val="20"/>
              </w:rPr>
              <w:instrText xml:space="preserve"> SEQ CHAPTER \h \r 1</w:instrText>
            </w:r>
            <w:r w:rsidRPr="009C2345">
              <w:rPr>
                <w:sz w:val="20"/>
                <w:szCs w:val="20"/>
              </w:rPr>
              <w:fldChar w:fldCharType="end"/>
            </w:r>
          </w:p>
        </w:tc>
        <w:tc>
          <w:tcPr>
            <w:tcW w:w="990" w:type="dxa"/>
          </w:tcPr>
          <w:p w:rsidR="002621A6" w:rsidRPr="009C2345" w:rsidRDefault="002621A6" w:rsidP="007F2557">
            <w:pPr>
              <w:jc w:val="both"/>
              <w:rPr>
                <w:sz w:val="20"/>
                <w:szCs w:val="20"/>
              </w:rPr>
            </w:pPr>
          </w:p>
          <w:p w:rsidR="002621A6" w:rsidRPr="009C2345" w:rsidRDefault="002621A6" w:rsidP="007F2557">
            <w:pPr>
              <w:jc w:val="both"/>
              <w:rPr>
                <w:sz w:val="20"/>
                <w:szCs w:val="20"/>
              </w:rPr>
            </w:pPr>
          </w:p>
        </w:tc>
        <w:tc>
          <w:tcPr>
            <w:tcW w:w="4327" w:type="dxa"/>
          </w:tcPr>
          <w:p w:rsidR="002621A6" w:rsidRPr="009C2345" w:rsidRDefault="002621A6" w:rsidP="007F2557">
            <w:pPr>
              <w:jc w:val="both"/>
              <w:rPr>
                <w:b/>
                <w:sz w:val="20"/>
                <w:szCs w:val="20"/>
                <w:lang w:val="fr-CA"/>
              </w:rPr>
            </w:pPr>
            <w:r w:rsidRPr="009C2345">
              <w:rPr>
                <w:b/>
                <w:bCs/>
                <w:sz w:val="20"/>
                <w:szCs w:val="20"/>
                <w:lang w:val="fr-CA"/>
              </w:rPr>
              <w:t>Requête en vue d’obtenir un sursis à l’exécution</w:t>
            </w:r>
            <w:r w:rsidRPr="009C2345">
              <w:rPr>
                <w:b/>
                <w:sz w:val="20"/>
                <w:szCs w:val="20"/>
                <w:lang w:val="fr-CA"/>
              </w:rPr>
              <w:t xml:space="preserve"> </w:t>
            </w:r>
            <w:r w:rsidRPr="009C2345">
              <w:rPr>
                <w:b/>
                <w:sz w:val="20"/>
                <w:szCs w:val="20"/>
              </w:rPr>
              <w:fldChar w:fldCharType="begin"/>
            </w:r>
            <w:r w:rsidRPr="009C2345">
              <w:rPr>
                <w:b/>
                <w:sz w:val="20"/>
                <w:szCs w:val="20"/>
                <w:lang w:val="fr-CA"/>
              </w:rPr>
              <w:instrText xml:space="preserve"> SEQ CHAPTER \h \r 1</w:instrText>
            </w:r>
            <w:r w:rsidRPr="009C2345">
              <w:rPr>
                <w:b/>
                <w:sz w:val="20"/>
                <w:szCs w:val="20"/>
              </w:rPr>
              <w:fldChar w:fldCharType="end"/>
            </w:r>
            <w:r w:rsidRPr="009C2345">
              <w:rPr>
                <w:b/>
                <w:sz w:val="20"/>
                <w:szCs w:val="20"/>
              </w:rPr>
              <w:fldChar w:fldCharType="begin"/>
            </w:r>
            <w:r w:rsidRPr="009C2345">
              <w:rPr>
                <w:b/>
                <w:sz w:val="20"/>
                <w:szCs w:val="20"/>
                <w:lang w:val="fr-CA"/>
              </w:rPr>
              <w:instrText xml:space="preserve"> SEQ CHAPTER \h \r 1</w:instrText>
            </w:r>
            <w:r w:rsidRPr="009C2345">
              <w:rPr>
                <w:b/>
                <w:sz w:val="20"/>
                <w:szCs w:val="20"/>
              </w:rPr>
              <w:fldChar w:fldCharType="end"/>
            </w:r>
          </w:p>
        </w:tc>
      </w:tr>
      <w:tr w:rsidR="002621A6" w:rsidRPr="009C2345" w:rsidTr="007F2557">
        <w:trPr>
          <w:trHeight w:val="150"/>
        </w:trPr>
        <w:tc>
          <w:tcPr>
            <w:tcW w:w="4518" w:type="dxa"/>
          </w:tcPr>
          <w:p w:rsidR="002621A6" w:rsidRPr="009C2345" w:rsidRDefault="002621A6" w:rsidP="007F2557">
            <w:pPr>
              <w:tabs>
                <w:tab w:val="left" w:pos="-1440"/>
                <w:tab w:val="left" w:pos="-720"/>
              </w:tabs>
              <w:jc w:val="both"/>
              <w:rPr>
                <w:sz w:val="20"/>
                <w:szCs w:val="20"/>
              </w:rPr>
            </w:pPr>
            <w:r w:rsidRPr="009C2345">
              <w:rPr>
                <w:sz w:val="20"/>
                <w:szCs w:val="20"/>
              </w:rPr>
              <w:t xml:space="preserve">Her Majesty the Queen </w:t>
            </w:r>
          </w:p>
          <w:p w:rsidR="002621A6" w:rsidRPr="009C2345" w:rsidRDefault="002621A6" w:rsidP="007F2557">
            <w:pPr>
              <w:tabs>
                <w:tab w:val="left" w:pos="-1440"/>
                <w:tab w:val="left" w:pos="-720"/>
              </w:tabs>
              <w:jc w:val="both"/>
              <w:rPr>
                <w:sz w:val="20"/>
                <w:szCs w:val="20"/>
              </w:rPr>
            </w:pPr>
          </w:p>
          <w:p w:rsidR="002621A6" w:rsidRPr="009C2345" w:rsidRDefault="002621A6" w:rsidP="007F2557">
            <w:pPr>
              <w:tabs>
                <w:tab w:val="left" w:pos="-1440"/>
                <w:tab w:val="left" w:pos="-720"/>
              </w:tabs>
              <w:jc w:val="both"/>
              <w:rPr>
                <w:sz w:val="20"/>
                <w:szCs w:val="20"/>
              </w:rPr>
            </w:pPr>
            <w:r w:rsidRPr="009C2345">
              <w:rPr>
                <w:sz w:val="20"/>
                <w:szCs w:val="20"/>
              </w:rPr>
              <w:tab/>
              <w:t>v. (36466)</w:t>
            </w:r>
          </w:p>
          <w:p w:rsidR="002621A6" w:rsidRPr="009C2345" w:rsidRDefault="002621A6" w:rsidP="007F2557">
            <w:pPr>
              <w:tabs>
                <w:tab w:val="left" w:pos="-1440"/>
                <w:tab w:val="left" w:pos="-720"/>
              </w:tabs>
              <w:jc w:val="both"/>
              <w:rPr>
                <w:sz w:val="20"/>
                <w:szCs w:val="20"/>
              </w:rPr>
            </w:pPr>
          </w:p>
          <w:p w:rsidR="002621A6" w:rsidRPr="009C2345" w:rsidRDefault="002621A6" w:rsidP="007F2557">
            <w:pPr>
              <w:tabs>
                <w:tab w:val="left" w:pos="-1440"/>
                <w:tab w:val="left" w:pos="-720"/>
              </w:tabs>
              <w:jc w:val="both"/>
              <w:rPr>
                <w:sz w:val="20"/>
                <w:szCs w:val="20"/>
              </w:rPr>
            </w:pPr>
            <w:r w:rsidRPr="009C2345">
              <w:rPr>
                <w:sz w:val="20"/>
                <w:szCs w:val="20"/>
              </w:rPr>
              <w:t xml:space="preserve">Ordinary Seaman Cawthorne (Crim.) (F.C.) </w:t>
            </w:r>
          </w:p>
          <w:p w:rsidR="002621A6" w:rsidRPr="009C2345" w:rsidRDefault="002621A6" w:rsidP="007F2557">
            <w:pPr>
              <w:tabs>
                <w:tab w:val="left" w:pos="-1440"/>
                <w:tab w:val="left" w:pos="-720"/>
              </w:tabs>
              <w:jc w:val="both"/>
              <w:rPr>
                <w:sz w:val="20"/>
                <w:szCs w:val="20"/>
              </w:rPr>
            </w:pPr>
          </w:p>
          <w:p w:rsidR="002621A6" w:rsidRPr="009C2345" w:rsidRDefault="002621A6" w:rsidP="007F2557">
            <w:pPr>
              <w:tabs>
                <w:tab w:val="left" w:pos="-1440"/>
                <w:tab w:val="left" w:pos="-720"/>
              </w:tabs>
              <w:jc w:val="both"/>
              <w:rPr>
                <w:sz w:val="20"/>
                <w:szCs w:val="20"/>
              </w:rPr>
            </w:pPr>
            <w:r w:rsidRPr="009C2345">
              <w:rPr>
                <w:sz w:val="20"/>
                <w:szCs w:val="20"/>
              </w:rPr>
              <w:t xml:space="preserve">- and – </w:t>
            </w:r>
          </w:p>
          <w:p w:rsidR="002621A6" w:rsidRPr="009C2345" w:rsidRDefault="002621A6" w:rsidP="007F2557">
            <w:pPr>
              <w:tabs>
                <w:tab w:val="left" w:pos="-1440"/>
                <w:tab w:val="left" w:pos="-720"/>
              </w:tabs>
              <w:jc w:val="both"/>
              <w:rPr>
                <w:sz w:val="20"/>
                <w:szCs w:val="20"/>
              </w:rPr>
            </w:pPr>
          </w:p>
          <w:p w:rsidR="002621A6" w:rsidRPr="009C2345" w:rsidRDefault="002621A6" w:rsidP="007F2557">
            <w:pPr>
              <w:tabs>
                <w:tab w:val="left" w:pos="-1440"/>
                <w:tab w:val="left" w:pos="-720"/>
              </w:tabs>
              <w:jc w:val="both"/>
              <w:rPr>
                <w:sz w:val="20"/>
                <w:szCs w:val="20"/>
              </w:rPr>
            </w:pPr>
            <w:r w:rsidRPr="009C2345">
              <w:rPr>
                <w:sz w:val="20"/>
                <w:szCs w:val="20"/>
              </w:rPr>
              <w:t>Her Majesty the Queen et al.</w:t>
            </w:r>
          </w:p>
          <w:p w:rsidR="002621A6" w:rsidRPr="009C2345" w:rsidRDefault="002621A6" w:rsidP="007F2557">
            <w:pPr>
              <w:tabs>
                <w:tab w:val="left" w:pos="-1440"/>
                <w:tab w:val="left" w:pos="-720"/>
              </w:tabs>
              <w:jc w:val="both"/>
              <w:rPr>
                <w:sz w:val="20"/>
                <w:szCs w:val="20"/>
              </w:rPr>
            </w:pPr>
          </w:p>
          <w:p w:rsidR="002621A6" w:rsidRPr="009C2345" w:rsidRDefault="002621A6" w:rsidP="007F2557">
            <w:pPr>
              <w:tabs>
                <w:tab w:val="left" w:pos="-1440"/>
                <w:tab w:val="left" w:pos="-720"/>
              </w:tabs>
              <w:jc w:val="both"/>
              <w:rPr>
                <w:sz w:val="20"/>
                <w:szCs w:val="20"/>
                <w:lang w:val="fr-CA"/>
              </w:rPr>
            </w:pPr>
            <w:r w:rsidRPr="009C2345">
              <w:rPr>
                <w:sz w:val="20"/>
                <w:szCs w:val="20"/>
              </w:rPr>
              <w:tab/>
            </w:r>
            <w:r w:rsidRPr="009C2345">
              <w:rPr>
                <w:sz w:val="20"/>
                <w:szCs w:val="20"/>
                <w:lang w:val="fr-CA"/>
              </w:rPr>
              <w:t>v. (36844)</w:t>
            </w:r>
          </w:p>
          <w:p w:rsidR="002621A6" w:rsidRPr="009C2345" w:rsidRDefault="002621A6" w:rsidP="007F2557">
            <w:pPr>
              <w:tabs>
                <w:tab w:val="left" w:pos="-1440"/>
                <w:tab w:val="left" w:pos="-720"/>
              </w:tabs>
              <w:jc w:val="both"/>
              <w:rPr>
                <w:sz w:val="20"/>
                <w:szCs w:val="20"/>
                <w:lang w:val="fr-CA"/>
              </w:rPr>
            </w:pPr>
          </w:p>
          <w:p w:rsidR="002621A6" w:rsidRPr="009C2345" w:rsidRDefault="002621A6" w:rsidP="007F2557">
            <w:pPr>
              <w:tabs>
                <w:tab w:val="left" w:pos="-1440"/>
                <w:tab w:val="left" w:pos="-720"/>
              </w:tabs>
              <w:jc w:val="both"/>
              <w:rPr>
                <w:sz w:val="20"/>
                <w:szCs w:val="20"/>
                <w:lang w:val="fr-CA"/>
              </w:rPr>
            </w:pPr>
            <w:r w:rsidRPr="009C2345">
              <w:rPr>
                <w:sz w:val="20"/>
                <w:szCs w:val="20"/>
                <w:lang w:val="fr-CA"/>
              </w:rPr>
              <w:t xml:space="preserve">Warrant Officer J.G. A. Gagnon et al. (Crim.) (F.C.) </w:t>
            </w:r>
          </w:p>
        </w:tc>
        <w:tc>
          <w:tcPr>
            <w:tcW w:w="990" w:type="dxa"/>
          </w:tcPr>
          <w:p w:rsidR="002621A6" w:rsidRPr="009C2345" w:rsidRDefault="002621A6" w:rsidP="007F2557">
            <w:pPr>
              <w:jc w:val="both"/>
              <w:rPr>
                <w:sz w:val="20"/>
                <w:szCs w:val="20"/>
                <w:lang w:val="fr-CA"/>
              </w:rPr>
            </w:pPr>
          </w:p>
        </w:tc>
        <w:tc>
          <w:tcPr>
            <w:tcW w:w="4327" w:type="dxa"/>
          </w:tcPr>
          <w:p w:rsidR="002621A6" w:rsidRPr="009C2345" w:rsidRDefault="002621A6" w:rsidP="007F2557">
            <w:pPr>
              <w:jc w:val="both"/>
              <w:rPr>
                <w:sz w:val="20"/>
                <w:szCs w:val="20"/>
                <w:lang w:val="fr-CA"/>
              </w:rPr>
            </w:pPr>
          </w:p>
        </w:tc>
      </w:tr>
    </w:tbl>
    <w:p w:rsidR="002621A6" w:rsidRPr="009C2345" w:rsidRDefault="002621A6" w:rsidP="002621A6">
      <w:pPr>
        <w:tabs>
          <w:tab w:val="left" w:pos="-1440"/>
          <w:tab w:val="left" w:pos="-720"/>
        </w:tabs>
        <w:jc w:val="both"/>
        <w:rPr>
          <w:sz w:val="20"/>
          <w:szCs w:val="20"/>
          <w:lang w:val="fr-CA"/>
        </w:rPr>
      </w:pPr>
    </w:p>
    <w:p w:rsidR="002621A6" w:rsidRPr="009C2345" w:rsidRDefault="002621A6" w:rsidP="002621A6">
      <w:pPr>
        <w:tabs>
          <w:tab w:val="left" w:pos="-1440"/>
          <w:tab w:val="left" w:pos="-720"/>
        </w:tabs>
        <w:jc w:val="both"/>
        <w:rPr>
          <w:sz w:val="20"/>
          <w:szCs w:val="20"/>
          <w:lang w:val="fr-CA"/>
        </w:rPr>
      </w:pPr>
      <w:r w:rsidRPr="009C2345">
        <w:rPr>
          <w:b/>
          <w:sz w:val="20"/>
          <w:szCs w:val="20"/>
          <w:lang w:val="fr-CA"/>
        </w:rPr>
        <w:t>GRANTED / ACCORDÉE</w:t>
      </w:r>
    </w:p>
    <w:p w:rsidR="002621A6" w:rsidRPr="009C2345" w:rsidRDefault="002621A6" w:rsidP="002621A6">
      <w:pPr>
        <w:tabs>
          <w:tab w:val="left" w:pos="-1440"/>
          <w:tab w:val="left" w:pos="-720"/>
        </w:tabs>
        <w:jc w:val="both"/>
        <w:rPr>
          <w:sz w:val="20"/>
          <w:szCs w:val="20"/>
          <w:lang w:val="fr-CA"/>
        </w:rPr>
      </w:pPr>
    </w:p>
    <w:p w:rsidR="002621A6" w:rsidRPr="009C2345" w:rsidRDefault="002621A6" w:rsidP="002621A6">
      <w:pPr>
        <w:rPr>
          <w:sz w:val="20"/>
          <w:szCs w:val="20"/>
          <w:lang w:val="fr-CA"/>
        </w:rPr>
      </w:pPr>
      <w:r w:rsidRPr="009C2345">
        <w:rPr>
          <w:b/>
          <w:sz w:val="20"/>
          <w:szCs w:val="20"/>
          <w:lang w:val="fr-CA"/>
        </w:rPr>
        <w:t>CONSIDÉRANT</w:t>
      </w:r>
      <w:r w:rsidRPr="009C2345">
        <w:rPr>
          <w:sz w:val="20"/>
          <w:szCs w:val="20"/>
          <w:lang w:val="fr-CA"/>
        </w:rPr>
        <w:t xml:space="preserve"> que l’appelante </w:t>
      </w:r>
      <w:r w:rsidRPr="009C2345">
        <w:rPr>
          <w:sz w:val="20"/>
          <w:szCs w:val="20"/>
          <w:lang w:val="fr-FR"/>
        </w:rPr>
        <w:t>dans le dossier 36844</w:t>
      </w:r>
      <w:r w:rsidRPr="009C2345">
        <w:rPr>
          <w:sz w:val="20"/>
          <w:szCs w:val="20"/>
          <w:lang w:val="fr-CA"/>
        </w:rPr>
        <w:t xml:space="preserve"> a déposé une requête </w:t>
      </w:r>
      <w:r w:rsidRPr="009C2345">
        <w:rPr>
          <w:sz w:val="20"/>
          <w:szCs w:val="20"/>
          <w:lang w:val="fr-CA" w:eastAsia="fr-FR"/>
        </w:rPr>
        <w:t xml:space="preserve">en vue d’obtenir un sursis d’exécution </w:t>
      </w:r>
      <w:r w:rsidRPr="009C2345">
        <w:rPr>
          <w:sz w:val="20"/>
          <w:szCs w:val="20"/>
          <w:lang w:val="fr-CA"/>
        </w:rPr>
        <w:t>de la déclaration d’invalidité prononcée par la Cour d’appel de la Cour martiale du Canada le 21 décembre 2015 et suspendue pour une période de six mois;</w:t>
      </w:r>
    </w:p>
    <w:p w:rsidR="002621A6" w:rsidRPr="009C2345" w:rsidRDefault="002621A6" w:rsidP="002621A6">
      <w:pPr>
        <w:rPr>
          <w:sz w:val="20"/>
          <w:szCs w:val="20"/>
          <w:lang w:val="fr-CA"/>
        </w:rPr>
      </w:pPr>
    </w:p>
    <w:p w:rsidR="002621A6" w:rsidRPr="009C2345" w:rsidRDefault="002621A6" w:rsidP="002621A6">
      <w:pPr>
        <w:rPr>
          <w:sz w:val="20"/>
          <w:szCs w:val="20"/>
          <w:lang w:val="fr-CA"/>
        </w:rPr>
      </w:pPr>
      <w:r w:rsidRPr="009C2345">
        <w:rPr>
          <w:b/>
          <w:sz w:val="20"/>
          <w:szCs w:val="20"/>
          <w:lang w:val="fr-CA"/>
        </w:rPr>
        <w:t>CONSIDÉRANT</w:t>
      </w:r>
      <w:r w:rsidRPr="009C2345">
        <w:rPr>
          <w:sz w:val="20"/>
          <w:szCs w:val="20"/>
          <w:lang w:val="fr-CA"/>
        </w:rPr>
        <w:t xml:space="preserve"> que le 22 mars 2016, la requête a été renvoyée à la formation de juges de la Cour chargée de statuer sur le fond du pourvoi;</w:t>
      </w:r>
    </w:p>
    <w:p w:rsidR="002621A6" w:rsidRPr="009C2345" w:rsidRDefault="002621A6" w:rsidP="002621A6">
      <w:pPr>
        <w:spacing w:line="232" w:lineRule="auto"/>
        <w:rPr>
          <w:sz w:val="20"/>
          <w:szCs w:val="20"/>
          <w:lang w:val="fr-CA"/>
        </w:rPr>
      </w:pPr>
    </w:p>
    <w:p w:rsidR="002621A6" w:rsidRPr="009C2345" w:rsidRDefault="002621A6" w:rsidP="002621A6">
      <w:pPr>
        <w:spacing w:line="232" w:lineRule="auto"/>
        <w:rPr>
          <w:b/>
          <w:bCs/>
          <w:sz w:val="20"/>
          <w:szCs w:val="20"/>
          <w:lang w:val="fr-CA"/>
        </w:rPr>
      </w:pPr>
      <w:r w:rsidRPr="009C2345">
        <w:rPr>
          <w:b/>
          <w:bCs/>
          <w:sz w:val="20"/>
          <w:szCs w:val="20"/>
          <w:lang w:val="fr-CA"/>
        </w:rPr>
        <w:t>L’APPEL</w:t>
      </w:r>
      <w:r w:rsidRPr="009C2345">
        <w:rPr>
          <w:bCs/>
          <w:sz w:val="20"/>
          <w:szCs w:val="20"/>
          <w:lang w:val="fr-CA"/>
        </w:rPr>
        <w:t xml:space="preserve"> ayant été entendu;</w:t>
      </w:r>
    </w:p>
    <w:p w:rsidR="002621A6" w:rsidRPr="009C2345" w:rsidRDefault="002621A6" w:rsidP="002621A6">
      <w:pPr>
        <w:rPr>
          <w:sz w:val="20"/>
          <w:szCs w:val="20"/>
          <w:lang w:val="fr-CA"/>
        </w:rPr>
      </w:pPr>
    </w:p>
    <w:p w:rsidR="002621A6" w:rsidRPr="009C2345" w:rsidRDefault="002621A6" w:rsidP="002621A6">
      <w:pPr>
        <w:spacing w:line="233" w:lineRule="auto"/>
        <w:rPr>
          <w:sz w:val="20"/>
          <w:szCs w:val="20"/>
          <w:lang w:val="fr-CA"/>
        </w:rPr>
      </w:pPr>
      <w:r w:rsidRPr="009C2345">
        <w:rPr>
          <w:b/>
          <w:bCs/>
          <w:sz w:val="20"/>
          <w:szCs w:val="20"/>
          <w:lang w:val="fr-CA"/>
        </w:rPr>
        <w:t>IL EST ORDONNÉ CE QUI SUIT :</w:t>
      </w:r>
    </w:p>
    <w:p w:rsidR="002621A6" w:rsidRPr="009C2345" w:rsidRDefault="002621A6" w:rsidP="002621A6">
      <w:pPr>
        <w:rPr>
          <w:sz w:val="20"/>
          <w:szCs w:val="20"/>
          <w:lang w:val="fr-CA"/>
        </w:rPr>
      </w:pPr>
    </w:p>
    <w:p w:rsidR="002621A6" w:rsidRPr="009C2345" w:rsidRDefault="002621A6" w:rsidP="002621A6">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lang w:val="fr-CA"/>
        </w:rPr>
      </w:pPr>
      <w:r w:rsidRPr="009C2345">
        <w:rPr>
          <w:rFonts w:cs="Times New Roman"/>
          <w:sz w:val="20"/>
          <w:szCs w:val="20"/>
          <w:lang w:val="fr-CA"/>
        </w:rPr>
        <w:t>La requête est accueillie; et</w:t>
      </w:r>
    </w:p>
    <w:p w:rsidR="002621A6" w:rsidRPr="009C2345" w:rsidRDefault="002621A6" w:rsidP="002621A6">
      <w:pPr>
        <w:rPr>
          <w:sz w:val="20"/>
          <w:szCs w:val="20"/>
          <w:lang w:val="fr-CA"/>
        </w:rPr>
      </w:pPr>
    </w:p>
    <w:p w:rsidR="002621A6" w:rsidRPr="009C2345" w:rsidRDefault="002621A6" w:rsidP="002621A6">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lang w:val="fr-CA"/>
        </w:rPr>
      </w:pPr>
      <w:r w:rsidRPr="009C2345">
        <w:rPr>
          <w:rFonts w:cs="Times New Roman"/>
          <w:sz w:val="20"/>
          <w:szCs w:val="20"/>
          <w:lang w:val="fr-CA"/>
        </w:rPr>
        <w:t>La déclaration d’invalidité demeurera suspendue jusqu’à la décision de cette Cour concernant l’appel.</w:t>
      </w:r>
    </w:p>
    <w:p w:rsidR="002621A6" w:rsidRPr="009C2345" w:rsidRDefault="002621A6" w:rsidP="002621A6">
      <w:pPr>
        <w:rPr>
          <w:sz w:val="20"/>
          <w:szCs w:val="20"/>
          <w:lang w:val="fr-CA"/>
        </w:rPr>
      </w:pPr>
    </w:p>
    <w:p w:rsidR="002621A6" w:rsidRPr="009C2345" w:rsidRDefault="002621A6" w:rsidP="002621A6">
      <w:pPr>
        <w:rPr>
          <w:sz w:val="20"/>
          <w:szCs w:val="20"/>
          <w:lang w:val="fr-CA"/>
        </w:rPr>
      </w:pPr>
    </w:p>
    <w:p w:rsidR="002621A6" w:rsidRPr="009C2345" w:rsidRDefault="002621A6" w:rsidP="002621A6">
      <w:pPr>
        <w:rPr>
          <w:b/>
          <w:sz w:val="20"/>
          <w:szCs w:val="20"/>
        </w:rPr>
      </w:pPr>
      <w:r w:rsidRPr="009C2345">
        <w:rPr>
          <w:b/>
          <w:bCs/>
          <w:sz w:val="20"/>
          <w:szCs w:val="20"/>
        </w:rPr>
        <w:t xml:space="preserve">WHEREAS </w:t>
      </w:r>
      <w:r w:rsidRPr="009C2345">
        <w:rPr>
          <w:bCs/>
          <w:sz w:val="20"/>
          <w:szCs w:val="20"/>
        </w:rPr>
        <w:t xml:space="preserve">the appellant in case 36844 filed a motion for a stay of execution of the declaration of invalidity ordered by the Court Martial Appeal Court of Canada on December 21, </w:t>
      </w:r>
      <w:r w:rsidRPr="009C2345">
        <w:rPr>
          <w:sz w:val="20"/>
          <w:szCs w:val="20"/>
        </w:rPr>
        <w:t>2015 and suspended for a period of six months;</w:t>
      </w:r>
    </w:p>
    <w:p w:rsidR="002621A6" w:rsidRPr="009C2345" w:rsidRDefault="002621A6" w:rsidP="002621A6">
      <w:pPr>
        <w:spacing w:line="232" w:lineRule="auto"/>
        <w:rPr>
          <w:b/>
          <w:bCs/>
          <w:sz w:val="20"/>
          <w:szCs w:val="20"/>
        </w:rPr>
      </w:pPr>
    </w:p>
    <w:p w:rsidR="002621A6" w:rsidRPr="009C2345" w:rsidRDefault="002621A6" w:rsidP="002621A6">
      <w:pPr>
        <w:rPr>
          <w:sz w:val="20"/>
          <w:szCs w:val="20"/>
        </w:rPr>
      </w:pPr>
      <w:r w:rsidRPr="009C2345">
        <w:rPr>
          <w:b/>
          <w:sz w:val="20"/>
          <w:szCs w:val="20"/>
        </w:rPr>
        <w:t>AND WHEREAS</w:t>
      </w:r>
      <w:r w:rsidRPr="009C2345">
        <w:rPr>
          <w:sz w:val="20"/>
          <w:szCs w:val="20"/>
        </w:rPr>
        <w:t xml:space="preserve"> the motion was referred to the panel of the Court that would deal with the appeal on its merits;</w:t>
      </w:r>
    </w:p>
    <w:p w:rsidR="002621A6" w:rsidRPr="009C2345" w:rsidRDefault="002621A6" w:rsidP="002621A6">
      <w:pPr>
        <w:spacing w:line="232" w:lineRule="auto"/>
        <w:rPr>
          <w:b/>
          <w:bCs/>
          <w:sz w:val="20"/>
          <w:szCs w:val="20"/>
        </w:rPr>
      </w:pPr>
    </w:p>
    <w:p w:rsidR="002621A6" w:rsidRPr="009C2345" w:rsidRDefault="002621A6" w:rsidP="002621A6">
      <w:pPr>
        <w:spacing w:line="232" w:lineRule="auto"/>
        <w:rPr>
          <w:b/>
          <w:bCs/>
          <w:sz w:val="20"/>
          <w:szCs w:val="20"/>
        </w:rPr>
      </w:pPr>
      <w:r w:rsidRPr="009C2345">
        <w:rPr>
          <w:b/>
          <w:bCs/>
          <w:sz w:val="20"/>
          <w:szCs w:val="20"/>
        </w:rPr>
        <w:t xml:space="preserve">AND THE APPEAL </w:t>
      </w:r>
      <w:r w:rsidRPr="009C2345">
        <w:rPr>
          <w:bCs/>
          <w:sz w:val="20"/>
          <w:szCs w:val="20"/>
        </w:rPr>
        <w:t>having been heard;</w:t>
      </w:r>
    </w:p>
    <w:p w:rsidR="002621A6" w:rsidRPr="009C2345" w:rsidRDefault="002621A6" w:rsidP="002621A6">
      <w:pPr>
        <w:spacing w:line="232" w:lineRule="auto"/>
        <w:rPr>
          <w:b/>
          <w:bCs/>
          <w:sz w:val="20"/>
          <w:szCs w:val="20"/>
        </w:rPr>
      </w:pPr>
    </w:p>
    <w:p w:rsidR="002621A6" w:rsidRPr="009C2345" w:rsidRDefault="002621A6" w:rsidP="002621A6">
      <w:pPr>
        <w:spacing w:line="233" w:lineRule="auto"/>
        <w:rPr>
          <w:b/>
          <w:bCs/>
          <w:sz w:val="20"/>
          <w:szCs w:val="20"/>
        </w:rPr>
      </w:pPr>
      <w:r w:rsidRPr="009C2345">
        <w:rPr>
          <w:b/>
          <w:bCs/>
          <w:sz w:val="20"/>
          <w:szCs w:val="20"/>
        </w:rPr>
        <w:t xml:space="preserve">IT IS HEREBY ORDERED THAT: </w:t>
      </w:r>
    </w:p>
    <w:p w:rsidR="002621A6" w:rsidRPr="009C2345" w:rsidRDefault="002621A6" w:rsidP="002621A6">
      <w:pPr>
        <w:spacing w:line="233" w:lineRule="auto"/>
        <w:rPr>
          <w:b/>
          <w:bCs/>
          <w:sz w:val="20"/>
          <w:szCs w:val="20"/>
        </w:rPr>
      </w:pPr>
    </w:p>
    <w:p w:rsidR="002621A6" w:rsidRPr="009C2345" w:rsidRDefault="002621A6" w:rsidP="002621A6">
      <w:pPr>
        <w:pStyle w:val="ListParagraph"/>
        <w:widowControl w:val="0"/>
        <w:numPr>
          <w:ilvl w:val="0"/>
          <w:numId w:val="7"/>
        </w:numPr>
        <w:autoSpaceDE w:val="0"/>
        <w:autoSpaceDN w:val="0"/>
        <w:adjustRightInd w:val="0"/>
        <w:spacing w:line="233" w:lineRule="auto"/>
        <w:rPr>
          <w:rFonts w:cs="Times New Roman"/>
          <w:bCs/>
          <w:sz w:val="20"/>
          <w:szCs w:val="20"/>
        </w:rPr>
      </w:pPr>
      <w:r w:rsidRPr="009C2345">
        <w:rPr>
          <w:rFonts w:cs="Times New Roman"/>
          <w:bCs/>
          <w:sz w:val="20"/>
          <w:szCs w:val="20"/>
        </w:rPr>
        <w:t xml:space="preserve">The motion is granted; and </w:t>
      </w:r>
    </w:p>
    <w:p w:rsidR="002621A6" w:rsidRPr="009C2345" w:rsidRDefault="002621A6" w:rsidP="002621A6">
      <w:pPr>
        <w:spacing w:line="233" w:lineRule="auto"/>
        <w:rPr>
          <w:bCs/>
          <w:sz w:val="20"/>
          <w:szCs w:val="20"/>
        </w:rPr>
      </w:pPr>
    </w:p>
    <w:p w:rsidR="002621A6" w:rsidRPr="009C2345" w:rsidRDefault="002621A6" w:rsidP="002621A6">
      <w:pPr>
        <w:pStyle w:val="ListParagraph"/>
        <w:widowControl w:val="0"/>
        <w:numPr>
          <w:ilvl w:val="0"/>
          <w:numId w:val="7"/>
        </w:numPr>
        <w:autoSpaceDE w:val="0"/>
        <w:autoSpaceDN w:val="0"/>
        <w:adjustRightInd w:val="0"/>
        <w:spacing w:line="233" w:lineRule="auto"/>
        <w:rPr>
          <w:rFonts w:cs="Times New Roman"/>
          <w:bCs/>
          <w:sz w:val="20"/>
          <w:szCs w:val="20"/>
        </w:rPr>
      </w:pPr>
      <w:r w:rsidRPr="009C2345">
        <w:rPr>
          <w:rFonts w:cs="Times New Roman"/>
          <w:bCs/>
          <w:sz w:val="20"/>
          <w:szCs w:val="20"/>
        </w:rPr>
        <w:t>The declaration of invalidity will remain suspended until this Court’s decision on the appeal.</w:t>
      </w:r>
    </w:p>
    <w:p w:rsidR="002621A6" w:rsidRPr="009C2345" w:rsidRDefault="002621A6" w:rsidP="002621A6">
      <w:pPr>
        <w:tabs>
          <w:tab w:val="left" w:pos="-1440"/>
          <w:tab w:val="left" w:pos="-720"/>
        </w:tabs>
        <w:jc w:val="both"/>
        <w:rPr>
          <w:sz w:val="20"/>
          <w:szCs w:val="20"/>
        </w:rPr>
      </w:pPr>
    </w:p>
    <w:p w:rsidR="002621A6" w:rsidRPr="009C2345" w:rsidRDefault="0082006E" w:rsidP="002621A6">
      <w:pPr>
        <w:tabs>
          <w:tab w:val="left" w:pos="-1440"/>
          <w:tab w:val="left" w:pos="-720"/>
        </w:tabs>
        <w:jc w:val="both"/>
        <w:rPr>
          <w:sz w:val="20"/>
          <w:szCs w:val="20"/>
        </w:rPr>
      </w:pPr>
      <w:r>
        <w:rPr>
          <w:sz w:val="20"/>
          <w:szCs w:val="20"/>
          <w:lang w:val="fr-CA"/>
        </w:rPr>
        <w:pict>
          <v:rect id="_x0000_i1082" style="width:2in;height:1pt" o:hrpct="0" o:hralign="center" o:hrstd="t" o:hrnoshade="t" o:hr="t" fillcolor="black [3213]" stroked="f"/>
        </w:pict>
      </w:r>
    </w:p>
    <w:p w:rsidR="002621A6" w:rsidRPr="009C2345" w:rsidRDefault="002621A6" w:rsidP="002621A6">
      <w:pPr>
        <w:tabs>
          <w:tab w:val="left" w:pos="-1440"/>
          <w:tab w:val="left" w:pos="-720"/>
        </w:tabs>
        <w:jc w:val="both"/>
        <w:rPr>
          <w:sz w:val="20"/>
          <w:szCs w:val="20"/>
        </w:rPr>
      </w:pPr>
    </w:p>
    <w:p w:rsidR="002621A6" w:rsidRPr="009C2345" w:rsidRDefault="002621A6" w:rsidP="002621A6">
      <w:pPr>
        <w:rPr>
          <w:sz w:val="20"/>
          <w:szCs w:val="20"/>
          <w:lang w:val="fr-CA"/>
        </w:rPr>
      </w:pPr>
      <w:r w:rsidRPr="009C2345">
        <w:rPr>
          <w:sz w:val="20"/>
          <w:szCs w:val="20"/>
          <w:lang w:val="fr-CA"/>
        </w:rPr>
        <w:br w:type="page"/>
      </w:r>
    </w:p>
    <w:p w:rsidR="002621A6" w:rsidRPr="009C2345" w:rsidRDefault="002621A6" w:rsidP="002621A6">
      <w:pPr>
        <w:tabs>
          <w:tab w:val="left" w:pos="-1440"/>
          <w:tab w:val="left" w:pos="-720"/>
        </w:tabs>
        <w:jc w:val="both"/>
        <w:rPr>
          <w:sz w:val="20"/>
          <w:szCs w:val="20"/>
          <w:lang w:val="fr-CA"/>
        </w:rPr>
      </w:pPr>
      <w:r w:rsidRPr="009C2345">
        <w:rPr>
          <w:sz w:val="20"/>
          <w:szCs w:val="20"/>
          <w:lang w:val="fr-CA"/>
        </w:rPr>
        <w:t>28.04.2016</w:t>
      </w:r>
    </w:p>
    <w:p w:rsidR="002621A6" w:rsidRPr="009C2345" w:rsidRDefault="002621A6" w:rsidP="002621A6">
      <w:pPr>
        <w:tabs>
          <w:tab w:val="left" w:pos="-1440"/>
          <w:tab w:val="left" w:pos="-720"/>
        </w:tabs>
        <w:jc w:val="both"/>
        <w:rPr>
          <w:sz w:val="20"/>
          <w:szCs w:val="20"/>
          <w:lang w:val="fr-CA"/>
        </w:rPr>
      </w:pPr>
    </w:p>
    <w:p w:rsidR="002621A6" w:rsidRPr="009C2345" w:rsidRDefault="002621A6" w:rsidP="002621A6">
      <w:pPr>
        <w:tabs>
          <w:tab w:val="left" w:pos="-1440"/>
          <w:tab w:val="left" w:pos="-720"/>
        </w:tabs>
        <w:jc w:val="both"/>
        <w:rPr>
          <w:sz w:val="20"/>
          <w:szCs w:val="20"/>
          <w:lang w:val="fr-CA"/>
        </w:rPr>
      </w:pPr>
      <w:r w:rsidRPr="009C2345">
        <w:rPr>
          <w:sz w:val="20"/>
          <w:szCs w:val="20"/>
          <w:lang w:val="fr-CA"/>
        </w:rPr>
        <w:t>Before / Devant :   THE CHIEF JUSTICE / LA JUGE EN CHEF</w:t>
      </w:r>
    </w:p>
    <w:p w:rsidR="002621A6" w:rsidRPr="009C2345" w:rsidRDefault="002621A6" w:rsidP="002621A6">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39"/>
        <w:gridCol w:w="4239"/>
      </w:tblGrid>
      <w:tr w:rsidR="002621A6" w:rsidRPr="0082006E" w:rsidTr="007F2557">
        <w:tc>
          <w:tcPr>
            <w:tcW w:w="4338" w:type="dxa"/>
          </w:tcPr>
          <w:p w:rsidR="002621A6" w:rsidRPr="009C2345" w:rsidRDefault="002621A6" w:rsidP="007F2557">
            <w:pPr>
              <w:tabs>
                <w:tab w:val="left" w:pos="-1440"/>
                <w:tab w:val="left" w:pos="-720"/>
              </w:tabs>
              <w:jc w:val="both"/>
              <w:rPr>
                <w:b/>
                <w:sz w:val="20"/>
                <w:szCs w:val="20"/>
              </w:rPr>
            </w:pPr>
            <w:r w:rsidRPr="009C2345">
              <w:rPr>
                <w:sz w:val="20"/>
                <w:szCs w:val="20"/>
              </w:rPr>
              <w:fldChar w:fldCharType="begin"/>
            </w:r>
            <w:r w:rsidRPr="009C2345">
              <w:rPr>
                <w:sz w:val="20"/>
                <w:szCs w:val="20"/>
              </w:rPr>
              <w:instrText xml:space="preserve"> SEQ CHAPTER \h \r 1</w:instrText>
            </w:r>
            <w:r w:rsidRPr="009C2345">
              <w:rPr>
                <w:sz w:val="20"/>
                <w:szCs w:val="20"/>
              </w:rPr>
              <w:fldChar w:fldCharType="end"/>
            </w:r>
            <w:r w:rsidRPr="009C2345">
              <w:rPr>
                <w:b/>
                <w:bCs/>
                <w:sz w:val="20"/>
                <w:szCs w:val="20"/>
              </w:rPr>
              <w:t>Motion to state constitutional question</w:t>
            </w:r>
          </w:p>
        </w:tc>
        <w:tc>
          <w:tcPr>
            <w:tcW w:w="1170" w:type="dxa"/>
          </w:tcPr>
          <w:p w:rsidR="002621A6" w:rsidRPr="009C2345" w:rsidRDefault="002621A6" w:rsidP="007F2557">
            <w:pPr>
              <w:tabs>
                <w:tab w:val="left" w:pos="-1440"/>
                <w:tab w:val="left" w:pos="-720"/>
              </w:tabs>
              <w:jc w:val="both"/>
              <w:rPr>
                <w:sz w:val="20"/>
                <w:szCs w:val="20"/>
              </w:rPr>
            </w:pPr>
          </w:p>
          <w:p w:rsidR="002621A6" w:rsidRPr="009C2345" w:rsidRDefault="002621A6" w:rsidP="007F2557">
            <w:pPr>
              <w:tabs>
                <w:tab w:val="left" w:pos="-1440"/>
                <w:tab w:val="left" w:pos="-720"/>
              </w:tabs>
              <w:jc w:val="both"/>
              <w:rPr>
                <w:sz w:val="20"/>
                <w:szCs w:val="20"/>
              </w:rPr>
            </w:pPr>
          </w:p>
          <w:p w:rsidR="002621A6" w:rsidRPr="009C2345" w:rsidRDefault="002621A6" w:rsidP="007F2557">
            <w:pPr>
              <w:tabs>
                <w:tab w:val="left" w:pos="-1440"/>
                <w:tab w:val="left" w:pos="-720"/>
              </w:tabs>
              <w:jc w:val="both"/>
              <w:rPr>
                <w:sz w:val="20"/>
                <w:szCs w:val="20"/>
              </w:rPr>
            </w:pPr>
          </w:p>
        </w:tc>
        <w:tc>
          <w:tcPr>
            <w:tcW w:w="4327" w:type="dxa"/>
          </w:tcPr>
          <w:p w:rsidR="002621A6" w:rsidRPr="009C2345" w:rsidRDefault="002621A6" w:rsidP="007F2557">
            <w:pPr>
              <w:tabs>
                <w:tab w:val="left" w:pos="-1440"/>
                <w:tab w:val="left" w:pos="-720"/>
              </w:tabs>
              <w:jc w:val="both"/>
              <w:rPr>
                <w:sz w:val="20"/>
                <w:szCs w:val="20"/>
                <w:lang w:val="fr-CA"/>
              </w:rPr>
            </w:pPr>
            <w:r w:rsidRPr="009C2345">
              <w:rPr>
                <w:sz w:val="20"/>
                <w:szCs w:val="20"/>
              </w:rPr>
              <w:fldChar w:fldCharType="begin"/>
            </w:r>
            <w:r w:rsidRPr="009C2345">
              <w:rPr>
                <w:sz w:val="20"/>
                <w:szCs w:val="20"/>
                <w:lang w:val="fr-CA"/>
              </w:rPr>
              <w:instrText xml:space="preserve"> SEQ CHAPTER \h \r 1</w:instrText>
            </w:r>
            <w:r w:rsidRPr="009C2345">
              <w:rPr>
                <w:sz w:val="20"/>
                <w:szCs w:val="20"/>
              </w:rPr>
              <w:fldChar w:fldCharType="end"/>
            </w:r>
            <w:r w:rsidRPr="009C2345">
              <w:rPr>
                <w:b/>
                <w:bCs/>
                <w:sz w:val="20"/>
                <w:szCs w:val="20"/>
                <w:lang w:val="fr-CA"/>
              </w:rPr>
              <w:t>Requête en formulation d’une question constitutionnelle</w:t>
            </w:r>
            <w:r w:rsidRPr="009C2345">
              <w:rPr>
                <w:sz w:val="20"/>
                <w:szCs w:val="20"/>
              </w:rPr>
              <w:fldChar w:fldCharType="begin"/>
            </w:r>
            <w:r w:rsidRPr="009C2345">
              <w:rPr>
                <w:sz w:val="20"/>
                <w:szCs w:val="20"/>
                <w:lang w:val="fr-CA"/>
              </w:rPr>
              <w:instrText xml:space="preserve"> SEQ CHAPTER \h \r 1</w:instrText>
            </w:r>
            <w:r w:rsidRPr="009C2345">
              <w:rPr>
                <w:sz w:val="20"/>
                <w:szCs w:val="20"/>
              </w:rPr>
              <w:fldChar w:fldCharType="end"/>
            </w:r>
            <w:r w:rsidRPr="009C2345">
              <w:rPr>
                <w:sz w:val="20"/>
                <w:szCs w:val="20"/>
              </w:rPr>
              <w:fldChar w:fldCharType="begin"/>
            </w:r>
            <w:r w:rsidRPr="009C2345">
              <w:rPr>
                <w:sz w:val="20"/>
                <w:szCs w:val="20"/>
                <w:lang w:val="fr-CA"/>
              </w:rPr>
              <w:instrText xml:space="preserve"> SEQ CHAPTER \h \r 1</w:instrText>
            </w:r>
            <w:r w:rsidRPr="009C2345">
              <w:rPr>
                <w:sz w:val="20"/>
                <w:szCs w:val="20"/>
              </w:rPr>
              <w:fldChar w:fldCharType="end"/>
            </w:r>
            <w:r w:rsidRPr="009C2345">
              <w:rPr>
                <w:sz w:val="20"/>
                <w:szCs w:val="20"/>
              </w:rPr>
              <w:fldChar w:fldCharType="begin"/>
            </w:r>
            <w:r w:rsidRPr="009C2345">
              <w:rPr>
                <w:sz w:val="20"/>
                <w:szCs w:val="20"/>
                <w:lang w:val="fr-CA"/>
              </w:rPr>
              <w:instrText xml:space="preserve"> SEQ CHAPTER \h \r 1</w:instrText>
            </w:r>
            <w:r w:rsidRPr="009C2345">
              <w:rPr>
                <w:sz w:val="20"/>
                <w:szCs w:val="20"/>
              </w:rPr>
              <w:fldChar w:fldCharType="end"/>
            </w:r>
          </w:p>
        </w:tc>
      </w:tr>
      <w:tr w:rsidR="002621A6" w:rsidRPr="009C2345" w:rsidTr="007F2557">
        <w:tc>
          <w:tcPr>
            <w:tcW w:w="4338" w:type="dxa"/>
          </w:tcPr>
          <w:p w:rsidR="002621A6" w:rsidRPr="009C2345" w:rsidRDefault="002621A6" w:rsidP="007F2557">
            <w:pPr>
              <w:tabs>
                <w:tab w:val="left" w:pos="-1440"/>
                <w:tab w:val="left" w:pos="-720"/>
              </w:tabs>
              <w:jc w:val="both"/>
              <w:rPr>
                <w:sz w:val="20"/>
                <w:szCs w:val="20"/>
              </w:rPr>
            </w:pPr>
            <w:r w:rsidRPr="009C2345">
              <w:rPr>
                <w:sz w:val="20"/>
                <w:szCs w:val="20"/>
              </w:rPr>
              <w:t>Chippewas of the Thames First Nation</w:t>
            </w:r>
          </w:p>
          <w:p w:rsidR="002621A6" w:rsidRPr="009C2345" w:rsidRDefault="002621A6" w:rsidP="007F2557">
            <w:pPr>
              <w:tabs>
                <w:tab w:val="left" w:pos="-1440"/>
                <w:tab w:val="left" w:pos="-720"/>
              </w:tabs>
              <w:jc w:val="both"/>
              <w:rPr>
                <w:sz w:val="20"/>
                <w:szCs w:val="20"/>
              </w:rPr>
            </w:pPr>
          </w:p>
          <w:p w:rsidR="002621A6" w:rsidRPr="009C2345" w:rsidRDefault="002621A6" w:rsidP="007F2557">
            <w:pPr>
              <w:tabs>
                <w:tab w:val="left" w:pos="-1440"/>
                <w:tab w:val="left" w:pos="-720"/>
              </w:tabs>
              <w:jc w:val="both"/>
              <w:rPr>
                <w:sz w:val="20"/>
                <w:szCs w:val="20"/>
                <w:lang w:val="fr-CA"/>
              </w:rPr>
            </w:pPr>
            <w:r w:rsidRPr="009C2345">
              <w:rPr>
                <w:sz w:val="20"/>
                <w:szCs w:val="20"/>
              </w:rPr>
              <w:tab/>
            </w:r>
            <w:r w:rsidRPr="009C2345">
              <w:rPr>
                <w:sz w:val="20"/>
                <w:szCs w:val="20"/>
                <w:lang w:val="fr-CA"/>
              </w:rPr>
              <w:t>v. (36776)</w:t>
            </w:r>
          </w:p>
          <w:p w:rsidR="002621A6" w:rsidRPr="009C2345" w:rsidRDefault="002621A6" w:rsidP="007F2557">
            <w:pPr>
              <w:tabs>
                <w:tab w:val="left" w:pos="-1440"/>
                <w:tab w:val="left" w:pos="-720"/>
              </w:tabs>
              <w:jc w:val="both"/>
              <w:rPr>
                <w:sz w:val="20"/>
                <w:szCs w:val="20"/>
                <w:lang w:val="fr-CA"/>
              </w:rPr>
            </w:pPr>
          </w:p>
          <w:p w:rsidR="002621A6" w:rsidRPr="009C2345" w:rsidRDefault="002621A6" w:rsidP="007F2557">
            <w:pPr>
              <w:tabs>
                <w:tab w:val="left" w:pos="-1440"/>
                <w:tab w:val="left" w:pos="-720"/>
              </w:tabs>
              <w:jc w:val="both"/>
              <w:rPr>
                <w:sz w:val="20"/>
                <w:szCs w:val="20"/>
                <w:lang w:val="fr-CA"/>
              </w:rPr>
            </w:pPr>
            <w:r w:rsidRPr="009C2345">
              <w:rPr>
                <w:sz w:val="20"/>
                <w:szCs w:val="20"/>
                <w:lang w:val="fr-CA"/>
              </w:rPr>
              <w:t>Enbridge Pipelines Inc. et al. (F.C.)</w:t>
            </w:r>
          </w:p>
          <w:p w:rsidR="002621A6" w:rsidRPr="009C2345" w:rsidRDefault="002621A6" w:rsidP="007F2557">
            <w:pPr>
              <w:tabs>
                <w:tab w:val="left" w:pos="-1440"/>
                <w:tab w:val="left" w:pos="-720"/>
              </w:tabs>
              <w:jc w:val="both"/>
              <w:rPr>
                <w:sz w:val="20"/>
                <w:szCs w:val="20"/>
                <w:lang w:val="fr-CA"/>
              </w:rPr>
            </w:pPr>
          </w:p>
        </w:tc>
        <w:tc>
          <w:tcPr>
            <w:tcW w:w="1170" w:type="dxa"/>
          </w:tcPr>
          <w:p w:rsidR="002621A6" w:rsidRPr="009C2345" w:rsidRDefault="002621A6" w:rsidP="007F2557">
            <w:pPr>
              <w:tabs>
                <w:tab w:val="left" w:pos="-1440"/>
                <w:tab w:val="left" w:pos="-720"/>
              </w:tabs>
              <w:jc w:val="both"/>
              <w:rPr>
                <w:sz w:val="20"/>
                <w:szCs w:val="20"/>
                <w:lang w:val="fr-CA"/>
              </w:rPr>
            </w:pPr>
          </w:p>
        </w:tc>
        <w:tc>
          <w:tcPr>
            <w:tcW w:w="4327" w:type="dxa"/>
          </w:tcPr>
          <w:p w:rsidR="002621A6" w:rsidRPr="009C2345" w:rsidRDefault="002621A6" w:rsidP="007F2557">
            <w:pPr>
              <w:tabs>
                <w:tab w:val="left" w:pos="-1440"/>
                <w:tab w:val="left" w:pos="-720"/>
              </w:tabs>
              <w:jc w:val="both"/>
              <w:rPr>
                <w:sz w:val="20"/>
                <w:szCs w:val="20"/>
                <w:lang w:val="fr-CA"/>
              </w:rPr>
            </w:pPr>
          </w:p>
        </w:tc>
      </w:tr>
    </w:tbl>
    <w:p w:rsidR="002621A6" w:rsidRPr="009C2345" w:rsidRDefault="002621A6" w:rsidP="002621A6">
      <w:pPr>
        <w:tabs>
          <w:tab w:val="left" w:pos="-1440"/>
          <w:tab w:val="left" w:pos="-720"/>
        </w:tabs>
        <w:jc w:val="both"/>
        <w:rPr>
          <w:sz w:val="20"/>
          <w:szCs w:val="20"/>
          <w:lang w:val="fr-CA"/>
        </w:rPr>
      </w:pPr>
    </w:p>
    <w:p w:rsidR="002621A6" w:rsidRPr="009C2345" w:rsidRDefault="002621A6" w:rsidP="002621A6">
      <w:pPr>
        <w:tabs>
          <w:tab w:val="left" w:pos="-1440"/>
          <w:tab w:val="left" w:pos="-720"/>
        </w:tabs>
        <w:jc w:val="both"/>
        <w:rPr>
          <w:sz w:val="20"/>
          <w:szCs w:val="20"/>
        </w:rPr>
      </w:pPr>
      <w:r w:rsidRPr="009C2345">
        <w:rPr>
          <w:b/>
          <w:sz w:val="20"/>
          <w:szCs w:val="20"/>
        </w:rPr>
        <w:t xml:space="preserve">DISMISSED / REJETÉE </w:t>
      </w:r>
    </w:p>
    <w:p w:rsidR="002621A6" w:rsidRPr="009C2345" w:rsidRDefault="002621A6" w:rsidP="002621A6">
      <w:pPr>
        <w:tabs>
          <w:tab w:val="left" w:pos="-1440"/>
          <w:tab w:val="left" w:pos="-720"/>
        </w:tabs>
        <w:jc w:val="both"/>
        <w:rPr>
          <w:b/>
          <w:sz w:val="20"/>
          <w:szCs w:val="20"/>
        </w:rPr>
      </w:pPr>
    </w:p>
    <w:p w:rsidR="002621A6" w:rsidRPr="009C2345" w:rsidRDefault="002621A6" w:rsidP="002621A6">
      <w:pPr>
        <w:rPr>
          <w:b/>
          <w:sz w:val="20"/>
          <w:szCs w:val="20"/>
        </w:rPr>
      </w:pPr>
      <w:r w:rsidRPr="009C2345">
        <w:rPr>
          <w:b/>
          <w:sz w:val="20"/>
          <w:szCs w:val="20"/>
        </w:rPr>
        <w:t xml:space="preserve">UPON APPLICATION </w:t>
      </w:r>
      <w:r w:rsidRPr="009C2345">
        <w:rPr>
          <w:sz w:val="20"/>
          <w:szCs w:val="20"/>
        </w:rPr>
        <w:t>by the appellant for an order stating constitutional questions in the above appeal;</w:t>
      </w:r>
    </w:p>
    <w:p w:rsidR="002621A6" w:rsidRPr="009C2345" w:rsidRDefault="002621A6" w:rsidP="002621A6">
      <w:pPr>
        <w:rPr>
          <w:b/>
          <w:sz w:val="20"/>
          <w:szCs w:val="20"/>
        </w:rPr>
      </w:pPr>
    </w:p>
    <w:p w:rsidR="002621A6" w:rsidRPr="009C2345" w:rsidRDefault="002621A6" w:rsidP="002621A6">
      <w:pPr>
        <w:rPr>
          <w:b/>
          <w:sz w:val="20"/>
          <w:szCs w:val="20"/>
        </w:rPr>
      </w:pPr>
      <w:r w:rsidRPr="009C2345">
        <w:rPr>
          <w:b/>
          <w:sz w:val="20"/>
          <w:szCs w:val="20"/>
        </w:rPr>
        <w:t xml:space="preserve">AND THE MATERIAL FILED </w:t>
      </w:r>
      <w:r w:rsidRPr="009C2345">
        <w:rPr>
          <w:sz w:val="20"/>
          <w:szCs w:val="20"/>
        </w:rPr>
        <w:t>having been read;</w:t>
      </w:r>
      <w:r w:rsidRPr="009C2345">
        <w:rPr>
          <w:b/>
          <w:sz w:val="20"/>
          <w:szCs w:val="20"/>
        </w:rPr>
        <w:t xml:space="preserve"> </w:t>
      </w:r>
    </w:p>
    <w:p w:rsidR="002621A6" w:rsidRPr="009C2345" w:rsidRDefault="002621A6" w:rsidP="002621A6">
      <w:pPr>
        <w:rPr>
          <w:b/>
          <w:sz w:val="20"/>
          <w:szCs w:val="20"/>
        </w:rPr>
      </w:pPr>
    </w:p>
    <w:p w:rsidR="002621A6" w:rsidRPr="009C2345" w:rsidRDefault="002621A6" w:rsidP="002621A6">
      <w:pPr>
        <w:rPr>
          <w:sz w:val="20"/>
          <w:szCs w:val="20"/>
        </w:rPr>
      </w:pPr>
      <w:r w:rsidRPr="009C2345">
        <w:rPr>
          <w:b/>
          <w:sz w:val="20"/>
          <w:szCs w:val="20"/>
        </w:rPr>
        <w:t>IT IS HEREBY ORDERED THAT:</w:t>
      </w:r>
    </w:p>
    <w:p w:rsidR="002621A6" w:rsidRPr="009C2345" w:rsidRDefault="002621A6" w:rsidP="002621A6">
      <w:pPr>
        <w:pStyle w:val="ListParagraph"/>
        <w:tabs>
          <w:tab w:val="left" w:pos="1080"/>
        </w:tabs>
        <w:ind w:left="1065"/>
        <w:rPr>
          <w:rFonts w:cs="Times New Roman"/>
          <w:bCs/>
          <w:sz w:val="20"/>
          <w:szCs w:val="20"/>
        </w:rPr>
      </w:pPr>
    </w:p>
    <w:p w:rsidR="002621A6" w:rsidRPr="009C2345" w:rsidRDefault="002621A6" w:rsidP="002621A6">
      <w:pPr>
        <w:rPr>
          <w:bCs/>
          <w:sz w:val="20"/>
          <w:szCs w:val="20"/>
        </w:rPr>
      </w:pPr>
      <w:r w:rsidRPr="009C2345">
        <w:rPr>
          <w:bCs/>
          <w:sz w:val="20"/>
          <w:szCs w:val="20"/>
        </w:rPr>
        <w:t>The motion is dismissed with costs to Enbridge Pipelines Inc.</w:t>
      </w:r>
    </w:p>
    <w:p w:rsidR="002621A6" w:rsidRPr="009C2345" w:rsidRDefault="002621A6" w:rsidP="002621A6">
      <w:pPr>
        <w:pStyle w:val="ListParagraph"/>
        <w:rPr>
          <w:rFonts w:cs="Times New Roman"/>
          <w:bCs/>
          <w:sz w:val="20"/>
          <w:szCs w:val="20"/>
        </w:rPr>
      </w:pPr>
    </w:p>
    <w:p w:rsidR="002621A6" w:rsidRPr="009C2345" w:rsidRDefault="002621A6" w:rsidP="002621A6">
      <w:pPr>
        <w:pStyle w:val="ListParagraph"/>
        <w:rPr>
          <w:rFonts w:cs="Times New Roman"/>
          <w:bCs/>
          <w:sz w:val="20"/>
          <w:szCs w:val="20"/>
        </w:rPr>
      </w:pPr>
    </w:p>
    <w:p w:rsidR="002621A6" w:rsidRPr="009C2345" w:rsidRDefault="002621A6" w:rsidP="002621A6">
      <w:pPr>
        <w:rPr>
          <w:bCs/>
          <w:sz w:val="20"/>
          <w:szCs w:val="20"/>
          <w:lang w:val="fr-CA"/>
        </w:rPr>
      </w:pPr>
      <w:r w:rsidRPr="009C2345">
        <w:rPr>
          <w:b/>
          <w:bCs/>
          <w:sz w:val="20"/>
          <w:szCs w:val="20"/>
          <w:lang w:val="fr-CA"/>
        </w:rPr>
        <w:t>À LA SUITE DE LA DEMANDE</w:t>
      </w:r>
      <w:r w:rsidRPr="009C2345">
        <w:rPr>
          <w:bCs/>
          <w:sz w:val="20"/>
          <w:szCs w:val="20"/>
          <w:lang w:val="fr-CA"/>
        </w:rPr>
        <w:t xml:space="preserve"> de l’appelante</w:t>
      </w:r>
      <w:r w:rsidRPr="009C2345">
        <w:rPr>
          <w:sz w:val="20"/>
          <w:szCs w:val="20"/>
          <w:lang w:val="fr-CA"/>
        </w:rPr>
        <w:t xml:space="preserve"> visant à obtenir la formulation de questions constitutionnelles dans l’appel susmentionné;</w:t>
      </w:r>
    </w:p>
    <w:p w:rsidR="002621A6" w:rsidRPr="009C2345" w:rsidRDefault="002621A6" w:rsidP="002621A6">
      <w:pPr>
        <w:rPr>
          <w:bCs/>
          <w:sz w:val="20"/>
          <w:szCs w:val="20"/>
          <w:lang w:val="fr-CA"/>
        </w:rPr>
      </w:pPr>
    </w:p>
    <w:p w:rsidR="002621A6" w:rsidRPr="009C2345" w:rsidRDefault="002621A6" w:rsidP="002621A6">
      <w:pPr>
        <w:rPr>
          <w:sz w:val="20"/>
          <w:szCs w:val="20"/>
          <w:lang w:val="fr-CA"/>
        </w:rPr>
      </w:pPr>
      <w:r w:rsidRPr="009C2345">
        <w:rPr>
          <w:b/>
          <w:bCs/>
          <w:sz w:val="20"/>
          <w:szCs w:val="20"/>
          <w:lang w:val="fr-CA"/>
        </w:rPr>
        <w:t xml:space="preserve">ET </w:t>
      </w:r>
      <w:r w:rsidRPr="009C2345">
        <w:rPr>
          <w:b/>
          <w:sz w:val="20"/>
          <w:szCs w:val="20"/>
          <w:lang w:val="fr-CA"/>
        </w:rPr>
        <w:t>APRÈS EXAMEN</w:t>
      </w:r>
      <w:r w:rsidRPr="009C2345">
        <w:rPr>
          <w:sz w:val="20"/>
          <w:szCs w:val="20"/>
          <w:lang w:val="fr-CA"/>
        </w:rPr>
        <w:t xml:space="preserve"> des documents déposés; </w:t>
      </w:r>
    </w:p>
    <w:p w:rsidR="002621A6" w:rsidRPr="009C2345" w:rsidRDefault="002621A6" w:rsidP="002621A6">
      <w:pPr>
        <w:rPr>
          <w:bCs/>
          <w:sz w:val="20"/>
          <w:szCs w:val="20"/>
          <w:lang w:val="fr-CA"/>
        </w:rPr>
      </w:pPr>
    </w:p>
    <w:p w:rsidR="002621A6" w:rsidRPr="009C2345" w:rsidRDefault="002621A6" w:rsidP="002621A6">
      <w:pPr>
        <w:rPr>
          <w:b/>
          <w:bCs/>
          <w:sz w:val="20"/>
          <w:szCs w:val="20"/>
          <w:lang w:val="fr-CA"/>
        </w:rPr>
      </w:pPr>
      <w:r w:rsidRPr="009C2345">
        <w:rPr>
          <w:b/>
          <w:bCs/>
          <w:sz w:val="20"/>
          <w:szCs w:val="20"/>
          <w:lang w:val="fr-CA"/>
        </w:rPr>
        <w:t>IL EST ORDONNÉ CE QUI SUIT :</w:t>
      </w:r>
    </w:p>
    <w:p w:rsidR="002621A6" w:rsidRPr="009C2345" w:rsidRDefault="002621A6" w:rsidP="002621A6">
      <w:pPr>
        <w:rPr>
          <w:bCs/>
          <w:sz w:val="20"/>
          <w:szCs w:val="20"/>
          <w:lang w:val="fr-CA"/>
        </w:rPr>
      </w:pPr>
    </w:p>
    <w:p w:rsidR="002621A6" w:rsidRPr="009C2345" w:rsidRDefault="002621A6" w:rsidP="002621A6">
      <w:pPr>
        <w:rPr>
          <w:rFonts w:eastAsia="PMingLiU"/>
          <w:sz w:val="20"/>
          <w:szCs w:val="20"/>
          <w:lang w:val="fr-CA"/>
        </w:rPr>
      </w:pPr>
      <w:r w:rsidRPr="009C2345">
        <w:rPr>
          <w:rFonts w:eastAsia="PMingLiU"/>
          <w:sz w:val="20"/>
          <w:szCs w:val="20"/>
          <w:lang w:val="fr-CA"/>
        </w:rPr>
        <w:t>La requête est rejetée avec dépens en faveur de Pipelines Enbridge inc.</w:t>
      </w:r>
    </w:p>
    <w:p w:rsidR="002621A6" w:rsidRPr="009C2345" w:rsidRDefault="002621A6" w:rsidP="002621A6">
      <w:pPr>
        <w:rPr>
          <w:rFonts w:eastAsia="PMingLiU"/>
          <w:sz w:val="20"/>
          <w:szCs w:val="20"/>
          <w:lang w:val="fr-CA"/>
        </w:rPr>
      </w:pPr>
    </w:p>
    <w:p w:rsidR="002621A6" w:rsidRPr="009C2345" w:rsidRDefault="0082006E" w:rsidP="002621A6">
      <w:pPr>
        <w:tabs>
          <w:tab w:val="left" w:pos="-1440"/>
          <w:tab w:val="left" w:pos="-720"/>
        </w:tabs>
        <w:jc w:val="both"/>
        <w:rPr>
          <w:sz w:val="20"/>
          <w:szCs w:val="20"/>
          <w:lang w:val="fr-CA"/>
        </w:rPr>
      </w:pPr>
      <w:r>
        <w:rPr>
          <w:sz w:val="20"/>
          <w:szCs w:val="20"/>
          <w:lang w:val="fr-CA"/>
        </w:rPr>
        <w:pict>
          <v:rect id="_x0000_i1083" style="width:2in;height:1pt" o:hrpct="0" o:hralign="center" o:hrstd="t" o:hrnoshade="t" o:hr="t" fillcolor="black [3213]" stroked="f"/>
        </w:pict>
      </w:r>
    </w:p>
    <w:p w:rsidR="00CA2DEA" w:rsidRPr="009C2345" w:rsidRDefault="00CA2DEA" w:rsidP="00CA2DEA">
      <w:pPr>
        <w:widowControl w:val="0"/>
        <w:rPr>
          <w:rFonts w:eastAsia="Times New Roman" w:cs="Times New Roman"/>
          <w:sz w:val="20"/>
          <w:szCs w:val="20"/>
          <w:lang w:val="en-US" w:eastAsia="en-CA"/>
        </w:rPr>
      </w:pPr>
    </w:p>
    <w:p w:rsidR="00CA2DEA" w:rsidRPr="009C2345" w:rsidRDefault="00CA2DEA" w:rsidP="00CA2DEA">
      <w:pPr>
        <w:widowControl w:val="0"/>
        <w:rPr>
          <w:rFonts w:eastAsia="Times New Roman" w:cs="Times New Roman"/>
          <w:sz w:val="20"/>
          <w:szCs w:val="20"/>
          <w:lang w:val="en-US" w:eastAsia="en-CA"/>
        </w:rPr>
      </w:pPr>
    </w:p>
    <w:p w:rsidR="00CA2DEA" w:rsidRPr="009C2345" w:rsidRDefault="00CA2DEA" w:rsidP="0010587F">
      <w:pPr>
        <w:tabs>
          <w:tab w:val="left" w:pos="-1440"/>
          <w:tab w:val="left" w:pos="-720"/>
        </w:tabs>
        <w:jc w:val="both"/>
        <w:rPr>
          <w:sz w:val="20"/>
          <w:szCs w:val="20"/>
          <w:lang w:val="fr-CA"/>
        </w:rPr>
      </w:pPr>
    </w:p>
    <w:p w:rsidR="00890FEB" w:rsidRPr="009C2345" w:rsidRDefault="00890FEB" w:rsidP="00831CA9">
      <w:pPr>
        <w:jc w:val="both"/>
        <w:rPr>
          <w:sz w:val="20"/>
          <w:szCs w:val="20"/>
          <w:lang w:val="fr-CA"/>
        </w:rPr>
      </w:pPr>
    </w:p>
    <w:p w:rsidR="00831CA9" w:rsidRPr="009C2345" w:rsidRDefault="00831CA9" w:rsidP="00831CA9">
      <w:pPr>
        <w:jc w:val="both"/>
        <w:rPr>
          <w:sz w:val="20"/>
          <w:szCs w:val="20"/>
          <w:lang w:val="fr-CA"/>
        </w:rPr>
        <w:sectPr w:rsidR="00831CA9" w:rsidRPr="009C2345" w:rsidSect="00831CA9">
          <w:headerReference w:type="even" r:id="rId109"/>
          <w:headerReference w:type="default" r:id="rId110"/>
          <w:footerReference w:type="even" r:id="rId111"/>
          <w:footerReference w:type="default" r:id="rId112"/>
          <w:headerReference w:type="first" r:id="rId113"/>
          <w:footerReference w:type="first" r:id="rId11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82006E" w:rsidTr="0085476B">
        <w:trPr>
          <w:cantSplit/>
        </w:trPr>
        <w:tc>
          <w:tcPr>
            <w:tcW w:w="4410" w:type="dxa"/>
            <w:tcMar>
              <w:left w:w="0" w:type="dxa"/>
              <w:right w:w="0" w:type="dxa"/>
            </w:tcMar>
          </w:tcPr>
          <w:p w:rsidR="00C1697B" w:rsidRPr="009C2345" w:rsidRDefault="00732DB7" w:rsidP="00697C62">
            <w:pPr>
              <w:keepNext/>
              <w:keepLines/>
              <w:widowControl w:val="0"/>
              <w:jc w:val="both"/>
              <w:rPr>
                <w:b/>
                <w:szCs w:val="24"/>
              </w:rPr>
            </w:pPr>
            <w:r w:rsidRPr="009C2345">
              <w:rPr>
                <w:b/>
                <w:szCs w:val="24"/>
              </w:rPr>
              <w:t>APPEALS HEARD SINCE LAST ISSUE AND DISPOSITION</w:t>
            </w:r>
          </w:p>
          <w:p w:rsidR="00732DB7" w:rsidRPr="009C2345" w:rsidRDefault="00732DB7" w:rsidP="00C1697B">
            <w:pPr>
              <w:tabs>
                <w:tab w:val="left" w:pos="1116"/>
              </w:tabs>
              <w:rPr>
                <w:szCs w:val="24"/>
              </w:rPr>
            </w:pPr>
          </w:p>
        </w:tc>
        <w:tc>
          <w:tcPr>
            <w:tcW w:w="720" w:type="dxa"/>
            <w:tcMar>
              <w:left w:w="0" w:type="dxa"/>
              <w:right w:w="0" w:type="dxa"/>
            </w:tcMar>
          </w:tcPr>
          <w:p w:rsidR="00732DB7" w:rsidRPr="009C2345" w:rsidRDefault="00732DB7" w:rsidP="00732DB7">
            <w:pPr>
              <w:keepNext/>
              <w:keepLines/>
              <w:widowControl w:val="0"/>
              <w:jc w:val="center"/>
              <w:rPr>
                <w:b/>
                <w:szCs w:val="24"/>
              </w:rPr>
            </w:pPr>
          </w:p>
          <w:p w:rsidR="00732DB7" w:rsidRPr="009C2345" w:rsidRDefault="00732DB7" w:rsidP="00732DB7">
            <w:pPr>
              <w:keepNext/>
              <w:keepLines/>
              <w:widowControl w:val="0"/>
              <w:jc w:val="center"/>
              <w:rPr>
                <w:b/>
                <w:szCs w:val="24"/>
              </w:rPr>
            </w:pPr>
          </w:p>
          <w:p w:rsidR="00732DB7" w:rsidRPr="009C2345" w:rsidRDefault="00732DB7" w:rsidP="00732DB7">
            <w:pPr>
              <w:keepNext/>
              <w:keepLines/>
              <w:widowControl w:val="0"/>
              <w:jc w:val="center"/>
              <w:rPr>
                <w:b/>
                <w:szCs w:val="24"/>
              </w:rPr>
            </w:pPr>
          </w:p>
        </w:tc>
        <w:tc>
          <w:tcPr>
            <w:tcW w:w="4350" w:type="dxa"/>
            <w:tcMar>
              <w:left w:w="0" w:type="dxa"/>
              <w:right w:w="0" w:type="dxa"/>
            </w:tcMar>
          </w:tcPr>
          <w:p w:rsidR="00732DB7" w:rsidRPr="009C2345" w:rsidRDefault="00732DB7" w:rsidP="00697C62">
            <w:pPr>
              <w:keepNext/>
              <w:keepLines/>
              <w:widowControl w:val="0"/>
              <w:jc w:val="both"/>
              <w:rPr>
                <w:b/>
                <w:szCs w:val="24"/>
                <w:lang w:val="fr-CA"/>
              </w:rPr>
            </w:pPr>
            <w:r w:rsidRPr="009C2345">
              <w:rPr>
                <w:b/>
                <w:szCs w:val="24"/>
                <w:lang w:val="fr-CA"/>
              </w:rPr>
              <w:t>APPELS ENTENDUS DEPUIS LA DERNIÈRE PARUTION ET RÉSULTAT</w:t>
            </w:r>
          </w:p>
        </w:tc>
      </w:tr>
    </w:tbl>
    <w:p w:rsidR="00732DB7" w:rsidRPr="009C2345" w:rsidRDefault="00732DB7" w:rsidP="00732DB7">
      <w:pPr>
        <w:widowControl w:val="0"/>
        <w:rPr>
          <w:sz w:val="20"/>
          <w:szCs w:val="20"/>
          <w:lang w:val="fr-CA"/>
        </w:rPr>
      </w:pPr>
    </w:p>
    <w:p w:rsidR="007C47C2" w:rsidRPr="009C2345" w:rsidRDefault="007C47C2" w:rsidP="007C47C2">
      <w:pPr>
        <w:widowControl w:val="0"/>
        <w:rPr>
          <w:sz w:val="20"/>
          <w:szCs w:val="20"/>
        </w:rPr>
      </w:pPr>
      <w:r w:rsidRPr="009C2345">
        <w:rPr>
          <w:sz w:val="20"/>
          <w:szCs w:val="20"/>
        </w:rPr>
        <w:t>2</w:t>
      </w:r>
      <w:r w:rsidR="00E605CB" w:rsidRPr="009C2345">
        <w:rPr>
          <w:sz w:val="20"/>
          <w:szCs w:val="20"/>
        </w:rPr>
        <w:t>9</w:t>
      </w:r>
      <w:r w:rsidRPr="009C2345">
        <w:rPr>
          <w:sz w:val="20"/>
          <w:szCs w:val="20"/>
        </w:rPr>
        <w:t>.0</w:t>
      </w:r>
      <w:r w:rsidR="00E605CB" w:rsidRPr="009C2345">
        <w:rPr>
          <w:sz w:val="20"/>
          <w:szCs w:val="20"/>
        </w:rPr>
        <w:t>4</w:t>
      </w:r>
      <w:r w:rsidRPr="009C2345">
        <w:rPr>
          <w:sz w:val="20"/>
          <w:szCs w:val="20"/>
        </w:rPr>
        <w:t>.201</w:t>
      </w:r>
      <w:r w:rsidR="00E605CB" w:rsidRPr="009C2345">
        <w:rPr>
          <w:sz w:val="20"/>
          <w:szCs w:val="20"/>
        </w:rPr>
        <w:t>6</w:t>
      </w:r>
    </w:p>
    <w:p w:rsidR="007C47C2" w:rsidRPr="009C2345" w:rsidRDefault="007C47C2" w:rsidP="007C47C2">
      <w:pPr>
        <w:widowControl w:val="0"/>
        <w:rPr>
          <w:sz w:val="20"/>
          <w:szCs w:val="20"/>
        </w:rPr>
      </w:pPr>
    </w:p>
    <w:p w:rsidR="007C47C2" w:rsidRPr="009C2345" w:rsidRDefault="007C47C2" w:rsidP="007C47C2">
      <w:pPr>
        <w:widowControl w:val="0"/>
        <w:ind w:left="720" w:hanging="720"/>
        <w:rPr>
          <w:sz w:val="20"/>
          <w:szCs w:val="20"/>
          <w:u w:val="single"/>
        </w:rPr>
      </w:pPr>
      <w:r w:rsidRPr="009C2345">
        <w:rPr>
          <w:sz w:val="20"/>
          <w:szCs w:val="20"/>
        </w:rPr>
        <w:t xml:space="preserve">Coram: </w:t>
      </w:r>
      <w:r w:rsidRPr="009C2345">
        <w:rPr>
          <w:sz w:val="20"/>
          <w:szCs w:val="20"/>
        </w:rPr>
        <w:tab/>
      </w:r>
      <w:r w:rsidR="00E605CB" w:rsidRPr="009C2345">
        <w:rPr>
          <w:sz w:val="20"/>
          <w:szCs w:val="20"/>
          <w:u w:val="single"/>
        </w:rPr>
        <w:t>McLachlin C.J. and</w:t>
      </w:r>
      <w:r w:rsidRPr="009C2345">
        <w:rPr>
          <w:sz w:val="20"/>
          <w:szCs w:val="20"/>
          <w:u w:val="single"/>
        </w:rPr>
        <w:t xml:space="preserve"> Abella, Moldaver, </w:t>
      </w:r>
      <w:r w:rsidR="00E605CB" w:rsidRPr="009C2345">
        <w:rPr>
          <w:sz w:val="20"/>
          <w:szCs w:val="20"/>
          <w:u w:val="single"/>
        </w:rPr>
        <w:t>Côté</w:t>
      </w:r>
      <w:r w:rsidRPr="009C2345">
        <w:rPr>
          <w:sz w:val="20"/>
          <w:szCs w:val="20"/>
          <w:u w:val="single"/>
        </w:rPr>
        <w:t xml:space="preserve"> </w:t>
      </w:r>
      <w:r w:rsidR="00E605CB" w:rsidRPr="009C2345">
        <w:rPr>
          <w:sz w:val="20"/>
          <w:szCs w:val="20"/>
          <w:u w:val="single"/>
        </w:rPr>
        <w:t>and</w:t>
      </w:r>
      <w:r w:rsidRPr="009C2345">
        <w:rPr>
          <w:sz w:val="20"/>
          <w:szCs w:val="20"/>
          <w:u w:val="single"/>
        </w:rPr>
        <w:t xml:space="preserve"> </w:t>
      </w:r>
      <w:r w:rsidR="00E605CB" w:rsidRPr="009C2345">
        <w:rPr>
          <w:sz w:val="20"/>
          <w:szCs w:val="20"/>
          <w:u w:val="single"/>
        </w:rPr>
        <w:t>Brown JJ.</w:t>
      </w:r>
    </w:p>
    <w:p w:rsidR="007C47C2" w:rsidRPr="009C2345" w:rsidRDefault="007C47C2" w:rsidP="007C47C2">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9C2345" w:rsidTr="00EE4378">
        <w:tc>
          <w:tcPr>
            <w:tcW w:w="4380" w:type="dxa"/>
            <w:tcMar>
              <w:left w:w="0" w:type="dxa"/>
              <w:right w:w="0" w:type="dxa"/>
            </w:tcMar>
          </w:tcPr>
          <w:p w:rsidR="007C47C2" w:rsidRPr="009C2345" w:rsidRDefault="00E605CB" w:rsidP="00EE4378">
            <w:pPr>
              <w:widowControl w:val="0"/>
              <w:rPr>
                <w:b/>
                <w:sz w:val="20"/>
                <w:szCs w:val="20"/>
              </w:rPr>
            </w:pPr>
            <w:r w:rsidRPr="009C2345">
              <w:rPr>
                <w:b/>
                <w:sz w:val="20"/>
                <w:szCs w:val="20"/>
              </w:rPr>
              <w:t>John Thomas Shaoulle</w:t>
            </w:r>
          </w:p>
          <w:p w:rsidR="007C47C2" w:rsidRPr="009C2345" w:rsidRDefault="007C47C2" w:rsidP="00EE4378">
            <w:pPr>
              <w:widowControl w:val="0"/>
              <w:rPr>
                <w:b/>
                <w:sz w:val="20"/>
                <w:szCs w:val="20"/>
              </w:rPr>
            </w:pPr>
          </w:p>
          <w:p w:rsidR="007C47C2" w:rsidRPr="009C2345" w:rsidRDefault="007C47C2" w:rsidP="00EE4378">
            <w:pPr>
              <w:widowControl w:val="0"/>
              <w:rPr>
                <w:b/>
                <w:sz w:val="20"/>
                <w:szCs w:val="20"/>
              </w:rPr>
            </w:pPr>
            <w:r w:rsidRPr="009C2345">
              <w:rPr>
                <w:b/>
                <w:sz w:val="20"/>
                <w:szCs w:val="20"/>
              </w:rPr>
              <w:tab/>
              <w:t xml:space="preserve">c. </w:t>
            </w:r>
            <w:r w:rsidRPr="009C2345">
              <w:rPr>
                <w:sz w:val="20"/>
                <w:szCs w:val="20"/>
              </w:rPr>
              <w:t>(</w:t>
            </w:r>
            <w:hyperlink r:id="rId115" w:history="1">
              <w:r w:rsidRPr="009C2345">
                <w:rPr>
                  <w:rStyle w:val="Hyperlink"/>
                  <w:sz w:val="20"/>
                  <w:szCs w:val="20"/>
                </w:rPr>
                <w:t>3</w:t>
              </w:r>
              <w:r w:rsidR="00E605CB" w:rsidRPr="009C2345">
                <w:rPr>
                  <w:rStyle w:val="Hyperlink"/>
                  <w:sz w:val="20"/>
                  <w:szCs w:val="20"/>
                </w:rPr>
                <w:t>6704</w:t>
              </w:r>
            </w:hyperlink>
            <w:r w:rsidRPr="009C2345">
              <w:rPr>
                <w:sz w:val="20"/>
                <w:szCs w:val="20"/>
              </w:rPr>
              <w:t>)</w:t>
            </w:r>
          </w:p>
          <w:p w:rsidR="007C47C2" w:rsidRPr="009C2345" w:rsidRDefault="007C47C2" w:rsidP="00EE4378">
            <w:pPr>
              <w:widowControl w:val="0"/>
              <w:rPr>
                <w:b/>
                <w:sz w:val="20"/>
                <w:szCs w:val="20"/>
              </w:rPr>
            </w:pPr>
          </w:p>
          <w:p w:rsidR="00E605CB" w:rsidRPr="009C2345" w:rsidRDefault="00E605CB" w:rsidP="00E605CB">
            <w:pPr>
              <w:widowControl w:val="0"/>
              <w:rPr>
                <w:b/>
                <w:sz w:val="20"/>
                <w:szCs w:val="20"/>
                <w:lang w:val="fr-CA"/>
              </w:rPr>
            </w:pPr>
            <w:r w:rsidRPr="009C2345">
              <w:rPr>
                <w:b/>
                <w:sz w:val="20"/>
                <w:szCs w:val="20"/>
              </w:rPr>
              <w:t>Her Majesty the Queen</w:t>
            </w:r>
            <w:r w:rsidR="007C47C2" w:rsidRPr="009C2345">
              <w:rPr>
                <w:b/>
                <w:sz w:val="20"/>
                <w:szCs w:val="20"/>
              </w:rPr>
              <w:t xml:space="preserve"> (</w:t>
            </w:r>
            <w:r w:rsidRPr="009C2345">
              <w:rPr>
                <w:b/>
                <w:sz w:val="20"/>
                <w:szCs w:val="20"/>
              </w:rPr>
              <w:t>Sask.</w:t>
            </w:r>
            <w:r w:rsidR="007C47C2" w:rsidRPr="009C2345">
              <w:rPr>
                <w:b/>
                <w:sz w:val="20"/>
                <w:szCs w:val="20"/>
              </w:rPr>
              <w:t xml:space="preserve">) </w:t>
            </w:r>
            <w:r w:rsidR="007C47C2" w:rsidRPr="009C2345">
              <w:rPr>
                <w:b/>
                <w:sz w:val="20"/>
                <w:szCs w:val="20"/>
                <w:lang w:val="fr-CA"/>
              </w:rPr>
              <w:t>(C</w:t>
            </w:r>
            <w:r w:rsidRPr="009C2345">
              <w:rPr>
                <w:b/>
                <w:sz w:val="20"/>
                <w:szCs w:val="20"/>
                <w:lang w:val="fr-CA"/>
              </w:rPr>
              <w:t>r</w:t>
            </w:r>
            <w:r w:rsidR="007C47C2" w:rsidRPr="009C2345">
              <w:rPr>
                <w:b/>
                <w:sz w:val="20"/>
                <w:szCs w:val="20"/>
                <w:lang w:val="fr-CA"/>
              </w:rPr>
              <w:t>i</w:t>
            </w:r>
            <w:r w:rsidRPr="009C2345">
              <w:rPr>
                <w:b/>
                <w:sz w:val="20"/>
                <w:szCs w:val="20"/>
                <w:lang w:val="fr-CA"/>
              </w:rPr>
              <w:t>m.</w:t>
            </w:r>
            <w:r w:rsidR="007C47C2" w:rsidRPr="009C2345">
              <w:rPr>
                <w:b/>
                <w:sz w:val="20"/>
                <w:szCs w:val="20"/>
                <w:lang w:val="fr-CA"/>
              </w:rPr>
              <w:t>)</w:t>
            </w:r>
          </w:p>
          <w:p w:rsidR="007C47C2" w:rsidRPr="009C2345" w:rsidRDefault="007C47C2" w:rsidP="00E605CB">
            <w:pPr>
              <w:widowControl w:val="0"/>
              <w:rPr>
                <w:sz w:val="20"/>
                <w:szCs w:val="20"/>
                <w:lang w:val="fr-CA"/>
              </w:rPr>
            </w:pPr>
            <w:r w:rsidRPr="009C2345">
              <w:rPr>
                <w:b/>
                <w:sz w:val="20"/>
                <w:szCs w:val="20"/>
                <w:lang w:val="fr-CA"/>
              </w:rPr>
              <w:t>(</w:t>
            </w:r>
            <w:r w:rsidR="00E605CB" w:rsidRPr="009C2345">
              <w:rPr>
                <w:b/>
                <w:sz w:val="20"/>
                <w:szCs w:val="20"/>
                <w:lang w:val="fr-CA"/>
              </w:rPr>
              <w:t>As of Right</w:t>
            </w:r>
            <w:r w:rsidRPr="009C2345">
              <w:rPr>
                <w:b/>
                <w:sz w:val="20"/>
                <w:szCs w:val="20"/>
                <w:lang w:val="fr-CA"/>
              </w:rPr>
              <w:t>)</w:t>
            </w:r>
            <w:r w:rsidRPr="009C2345">
              <w:rPr>
                <w:sz w:val="20"/>
                <w:szCs w:val="20"/>
                <w:lang w:val="fr-CA"/>
              </w:rPr>
              <w:t xml:space="preserve"> </w:t>
            </w:r>
          </w:p>
        </w:tc>
        <w:tc>
          <w:tcPr>
            <w:tcW w:w="720" w:type="dxa"/>
            <w:tcMar>
              <w:left w:w="0" w:type="dxa"/>
              <w:right w:w="0" w:type="dxa"/>
            </w:tcMar>
          </w:tcPr>
          <w:p w:rsidR="007C47C2" w:rsidRPr="009C2345" w:rsidRDefault="007C47C2" w:rsidP="00EE4378">
            <w:pPr>
              <w:widowControl w:val="0"/>
              <w:jc w:val="center"/>
              <w:rPr>
                <w:sz w:val="20"/>
                <w:szCs w:val="20"/>
                <w:lang w:val="fr-CA"/>
              </w:rPr>
            </w:pPr>
          </w:p>
        </w:tc>
        <w:tc>
          <w:tcPr>
            <w:tcW w:w="4380" w:type="dxa"/>
            <w:tcMar>
              <w:left w:w="0" w:type="dxa"/>
              <w:right w:w="0" w:type="dxa"/>
            </w:tcMar>
          </w:tcPr>
          <w:p w:rsidR="007C47C2" w:rsidRPr="009C2345" w:rsidRDefault="001A213C" w:rsidP="00EE4378">
            <w:pPr>
              <w:rPr>
                <w:sz w:val="20"/>
                <w:szCs w:val="20"/>
              </w:rPr>
            </w:pPr>
            <w:r w:rsidRPr="009C2345">
              <w:rPr>
                <w:sz w:val="20"/>
                <w:szCs w:val="20"/>
              </w:rPr>
              <w:t>Brian Pfefferle and Amy L. Kolenick for the appelant</w:t>
            </w:r>
            <w:r w:rsidR="007C47C2" w:rsidRPr="009C2345">
              <w:rPr>
                <w:sz w:val="20"/>
                <w:szCs w:val="20"/>
              </w:rPr>
              <w:t>.</w:t>
            </w:r>
          </w:p>
          <w:p w:rsidR="007C47C2" w:rsidRPr="009C2345" w:rsidRDefault="007C47C2" w:rsidP="00EE4378">
            <w:pPr>
              <w:rPr>
                <w:sz w:val="20"/>
                <w:szCs w:val="20"/>
              </w:rPr>
            </w:pPr>
          </w:p>
          <w:p w:rsidR="007C47C2" w:rsidRPr="009C2345" w:rsidRDefault="001A213C" w:rsidP="00EE4378">
            <w:pPr>
              <w:widowControl w:val="0"/>
              <w:jc w:val="both"/>
              <w:rPr>
                <w:sz w:val="20"/>
                <w:szCs w:val="20"/>
              </w:rPr>
            </w:pPr>
            <w:r w:rsidRPr="009C2345">
              <w:rPr>
                <w:sz w:val="20"/>
                <w:szCs w:val="20"/>
              </w:rPr>
              <w:t>W. Dean Sinclair, Q.C. for the respondent</w:t>
            </w:r>
            <w:r w:rsidR="007C47C2" w:rsidRPr="009C2345">
              <w:rPr>
                <w:sz w:val="20"/>
                <w:szCs w:val="20"/>
              </w:rPr>
              <w:t>.</w:t>
            </w:r>
          </w:p>
        </w:tc>
      </w:tr>
    </w:tbl>
    <w:p w:rsidR="007C47C2" w:rsidRPr="009C2345" w:rsidRDefault="007C47C2" w:rsidP="007C47C2">
      <w:pPr>
        <w:widowControl w:val="0"/>
        <w:rPr>
          <w:sz w:val="20"/>
          <w:szCs w:val="20"/>
        </w:rPr>
      </w:pPr>
    </w:p>
    <w:p w:rsidR="00EE708D" w:rsidRPr="009C2345" w:rsidRDefault="00EE708D" w:rsidP="00EE708D">
      <w:pPr>
        <w:rPr>
          <w:rFonts w:eastAsia="Calibri" w:cs="Times New Roman"/>
          <w:b/>
          <w:bCs/>
          <w:sz w:val="20"/>
          <w:szCs w:val="20"/>
          <w:lang w:val="fr-CA"/>
        </w:rPr>
      </w:pPr>
      <w:r w:rsidRPr="009C2345">
        <w:rPr>
          <w:rFonts w:eastAsia="Calibri" w:cs="Times New Roman"/>
          <w:b/>
          <w:bCs/>
          <w:sz w:val="20"/>
          <w:szCs w:val="20"/>
          <w:lang w:val="fr-CA"/>
        </w:rPr>
        <w:t xml:space="preserve">2016 </w:t>
      </w:r>
      <w:r w:rsidRPr="009C2345">
        <w:rPr>
          <w:rFonts w:eastAsia="Calibri" w:cs="Times New Roman"/>
          <w:b/>
          <w:bCs/>
          <w:sz w:val="20"/>
          <w:szCs w:val="20"/>
        </w:rPr>
        <w:t>SCC 16</w:t>
      </w:r>
      <w:r w:rsidRPr="009C2345">
        <w:rPr>
          <w:rFonts w:eastAsia="Calibri" w:cs="Times New Roman"/>
          <w:b/>
          <w:bCs/>
          <w:sz w:val="20"/>
          <w:szCs w:val="20"/>
          <w:lang w:val="fr-CA"/>
        </w:rPr>
        <w:t xml:space="preserve"> / 2016 CSC 16</w:t>
      </w:r>
    </w:p>
    <w:p w:rsidR="00BD50B7" w:rsidRPr="009C2345" w:rsidRDefault="00BD50B7" w:rsidP="007C47C2">
      <w:pPr>
        <w:widowControl w:val="0"/>
        <w:rPr>
          <w:sz w:val="20"/>
          <w:szCs w:val="20"/>
          <w:lang w:val="fr-CA"/>
        </w:rPr>
      </w:pPr>
    </w:p>
    <w:p w:rsidR="007C47C2" w:rsidRPr="009C2345" w:rsidRDefault="00E605CB" w:rsidP="007C47C2">
      <w:pPr>
        <w:widowControl w:val="0"/>
        <w:rPr>
          <w:sz w:val="20"/>
          <w:szCs w:val="20"/>
        </w:rPr>
      </w:pPr>
      <w:r w:rsidRPr="009C2345">
        <w:rPr>
          <w:b/>
          <w:sz w:val="20"/>
          <w:szCs w:val="20"/>
        </w:rPr>
        <w:t>DISMISSED</w:t>
      </w:r>
      <w:r w:rsidR="007C47C2" w:rsidRPr="009C2345">
        <w:rPr>
          <w:b/>
          <w:sz w:val="20"/>
          <w:szCs w:val="20"/>
        </w:rPr>
        <w:t xml:space="preserve"> / </w:t>
      </w:r>
      <w:r w:rsidRPr="009C2345">
        <w:rPr>
          <w:b/>
          <w:sz w:val="20"/>
          <w:szCs w:val="20"/>
        </w:rPr>
        <w:t>REJET</w:t>
      </w:r>
      <w:r w:rsidR="007C47C2" w:rsidRPr="009C2345">
        <w:rPr>
          <w:b/>
          <w:sz w:val="20"/>
          <w:szCs w:val="20"/>
          <w:lang w:val="fr-CA"/>
        </w:rPr>
        <w:t>É</w:t>
      </w:r>
    </w:p>
    <w:p w:rsidR="007C47C2" w:rsidRPr="009C2345" w:rsidRDefault="007C47C2" w:rsidP="007C47C2"/>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312FB5" w:rsidRPr="0082006E" w:rsidTr="00017A3C">
        <w:tc>
          <w:tcPr>
            <w:tcW w:w="4380" w:type="dxa"/>
            <w:tcMar>
              <w:left w:w="0" w:type="dxa"/>
              <w:right w:w="0" w:type="dxa"/>
            </w:tcMar>
          </w:tcPr>
          <w:p w:rsidR="00312FB5" w:rsidRPr="009C2345" w:rsidRDefault="00312FB5" w:rsidP="00017A3C">
            <w:pPr>
              <w:widowControl w:val="0"/>
              <w:jc w:val="both"/>
              <w:rPr>
                <w:b/>
                <w:sz w:val="20"/>
                <w:szCs w:val="20"/>
                <w:u w:val="single"/>
              </w:rPr>
            </w:pPr>
            <w:r w:rsidRPr="009C2345">
              <w:rPr>
                <w:b/>
                <w:sz w:val="20"/>
                <w:szCs w:val="20"/>
                <w:u w:val="single"/>
              </w:rPr>
              <w:t>JUDGMENT:</w:t>
            </w:r>
          </w:p>
          <w:p w:rsidR="00312FB5" w:rsidRPr="009C2345" w:rsidRDefault="00312FB5" w:rsidP="00017A3C">
            <w:pPr>
              <w:widowControl w:val="0"/>
              <w:jc w:val="both"/>
              <w:rPr>
                <w:b/>
                <w:sz w:val="20"/>
                <w:szCs w:val="20"/>
              </w:rPr>
            </w:pPr>
          </w:p>
          <w:p w:rsidR="00312FB5" w:rsidRPr="009C2345" w:rsidRDefault="00312FB5" w:rsidP="00312FB5">
            <w:pPr>
              <w:jc w:val="both"/>
              <w:rPr>
                <w:sz w:val="20"/>
                <w:szCs w:val="20"/>
              </w:rPr>
            </w:pPr>
            <w:r w:rsidRPr="009C2345">
              <w:rPr>
                <w:sz w:val="20"/>
                <w:szCs w:val="20"/>
              </w:rPr>
              <w:t>The appeal from the judgment of the Court of Appeal for Saskatchewan, Number CACR2384, 2015 SKCA 101, dated September 30, 2015, was heard on April 29, 2016, and the Court on that day delivered the following judgment orally:</w:t>
            </w:r>
          </w:p>
          <w:p w:rsidR="00312FB5" w:rsidRPr="009C2345" w:rsidRDefault="00312FB5" w:rsidP="00312FB5">
            <w:pPr>
              <w:rPr>
                <w:sz w:val="20"/>
                <w:szCs w:val="20"/>
              </w:rPr>
            </w:pPr>
          </w:p>
          <w:p w:rsidR="00312FB5" w:rsidRPr="009C2345" w:rsidRDefault="00312FB5" w:rsidP="00312FB5">
            <w:pPr>
              <w:jc w:val="both"/>
              <w:rPr>
                <w:sz w:val="20"/>
                <w:szCs w:val="20"/>
              </w:rPr>
            </w:pPr>
          </w:p>
          <w:p w:rsidR="00312FB5" w:rsidRPr="009C2345" w:rsidRDefault="00312FB5" w:rsidP="00312FB5">
            <w:pPr>
              <w:jc w:val="both"/>
              <w:rPr>
                <w:b/>
                <w:sz w:val="20"/>
                <w:szCs w:val="20"/>
              </w:rPr>
            </w:pPr>
            <w:r w:rsidRPr="009C2345">
              <w:rPr>
                <w:smallCaps/>
                <w:sz w:val="20"/>
                <w:szCs w:val="20"/>
                <w:lang w:val="en-US"/>
              </w:rPr>
              <w:t xml:space="preserve">The Chief Justice </w:t>
            </w:r>
            <w:r w:rsidRPr="009C2345">
              <w:rPr>
                <w:sz w:val="20"/>
                <w:szCs w:val="20"/>
                <w:lang w:val="en-US"/>
              </w:rPr>
              <w:t xml:space="preserve">— </w:t>
            </w:r>
            <w:r w:rsidRPr="009C2345">
              <w:rPr>
                <w:sz w:val="20"/>
                <w:szCs w:val="20"/>
              </w:rPr>
              <w:t>T</w:t>
            </w:r>
            <w:r w:rsidRPr="009C2345">
              <w:rPr>
                <w:sz w:val="20"/>
                <w:szCs w:val="20"/>
                <w:lang w:val="en-US"/>
              </w:rPr>
              <w:t>he appeal is dismissed for the reasons of the majority of the Court of Appeal</w:t>
            </w:r>
            <w:r w:rsidRPr="009C2345">
              <w:rPr>
                <w:sz w:val="20"/>
                <w:szCs w:val="20"/>
              </w:rPr>
              <w:t>.</w:t>
            </w:r>
          </w:p>
        </w:tc>
        <w:tc>
          <w:tcPr>
            <w:tcW w:w="720" w:type="dxa"/>
            <w:tcMar>
              <w:left w:w="0" w:type="dxa"/>
              <w:right w:w="0" w:type="dxa"/>
            </w:tcMar>
          </w:tcPr>
          <w:p w:rsidR="00312FB5" w:rsidRPr="009C2345" w:rsidRDefault="00312FB5" w:rsidP="00017A3C">
            <w:pPr>
              <w:widowControl w:val="0"/>
              <w:jc w:val="center"/>
              <w:rPr>
                <w:sz w:val="20"/>
                <w:szCs w:val="20"/>
              </w:rPr>
            </w:pPr>
          </w:p>
        </w:tc>
        <w:tc>
          <w:tcPr>
            <w:tcW w:w="4380" w:type="dxa"/>
            <w:tcMar>
              <w:left w:w="0" w:type="dxa"/>
              <w:right w:w="0" w:type="dxa"/>
            </w:tcMar>
          </w:tcPr>
          <w:p w:rsidR="00312FB5" w:rsidRPr="009C2345" w:rsidRDefault="00312FB5" w:rsidP="00017A3C">
            <w:pPr>
              <w:widowControl w:val="0"/>
              <w:jc w:val="both"/>
              <w:rPr>
                <w:b/>
                <w:sz w:val="20"/>
                <w:szCs w:val="20"/>
                <w:u w:val="single"/>
                <w:lang w:val="fr-CA"/>
              </w:rPr>
            </w:pPr>
            <w:r w:rsidRPr="009C2345">
              <w:rPr>
                <w:b/>
                <w:sz w:val="20"/>
                <w:szCs w:val="20"/>
                <w:u w:val="single"/>
                <w:lang w:val="fr-CA"/>
              </w:rPr>
              <w:t>JUGEMENT :</w:t>
            </w:r>
          </w:p>
          <w:p w:rsidR="00312FB5" w:rsidRPr="009C2345" w:rsidRDefault="00312FB5" w:rsidP="00017A3C">
            <w:pPr>
              <w:widowControl w:val="0"/>
              <w:jc w:val="both"/>
              <w:rPr>
                <w:sz w:val="20"/>
                <w:szCs w:val="20"/>
                <w:lang w:val="fr-CA"/>
              </w:rPr>
            </w:pPr>
          </w:p>
          <w:p w:rsidR="00312FB5" w:rsidRPr="009C2345" w:rsidRDefault="00312FB5" w:rsidP="00312FB5">
            <w:pPr>
              <w:jc w:val="both"/>
              <w:rPr>
                <w:sz w:val="20"/>
                <w:szCs w:val="20"/>
                <w:lang w:val="fr-CA"/>
              </w:rPr>
            </w:pPr>
            <w:r w:rsidRPr="009C2345">
              <w:rPr>
                <w:sz w:val="20"/>
                <w:szCs w:val="20"/>
                <w:lang w:val="fr-CA"/>
              </w:rPr>
              <w:t>L’appel interjeté contre l’arrêt de la Cour d’appel de la Saskatchewan, numéro CACR2384, 2015 SKCA 101, daté du 30 septembre 2015, a été entendu le 29 avril 2016, et la Cour a prononcé oralement le même jour le jugement suivant :</w:t>
            </w:r>
          </w:p>
          <w:p w:rsidR="00312FB5" w:rsidRPr="009C2345" w:rsidRDefault="00312FB5" w:rsidP="00312FB5">
            <w:pPr>
              <w:rPr>
                <w:sz w:val="20"/>
                <w:szCs w:val="20"/>
                <w:lang w:val="fr-CA"/>
              </w:rPr>
            </w:pPr>
          </w:p>
          <w:p w:rsidR="00312FB5" w:rsidRPr="009C2345" w:rsidRDefault="00312FB5" w:rsidP="00312FB5">
            <w:pPr>
              <w:jc w:val="both"/>
              <w:rPr>
                <w:rFonts w:cs="Times New Roman"/>
                <w:sz w:val="20"/>
                <w:szCs w:val="20"/>
                <w:lang w:val="fr-CA"/>
              </w:rPr>
            </w:pPr>
            <w:r w:rsidRPr="009C2345">
              <w:rPr>
                <w:smallCaps/>
                <w:sz w:val="20"/>
                <w:szCs w:val="20"/>
                <w:lang w:val="fr-CA"/>
              </w:rPr>
              <w:t>[traduction</w:t>
            </w:r>
            <w:r w:rsidRPr="009C2345">
              <w:rPr>
                <w:sz w:val="20"/>
                <w:szCs w:val="20"/>
                <w:lang w:val="fr-CA"/>
              </w:rPr>
              <w:t>]</w:t>
            </w:r>
          </w:p>
          <w:p w:rsidR="00312FB5" w:rsidRPr="009C2345" w:rsidRDefault="00312FB5" w:rsidP="00312FB5">
            <w:pPr>
              <w:jc w:val="both"/>
              <w:rPr>
                <w:sz w:val="20"/>
                <w:szCs w:val="20"/>
                <w:lang w:val="fr-CA"/>
              </w:rPr>
            </w:pPr>
            <w:r w:rsidRPr="009C2345">
              <w:rPr>
                <w:rFonts w:cs="Times New Roman"/>
                <w:smallCaps/>
                <w:sz w:val="20"/>
                <w:szCs w:val="20"/>
                <w:lang w:val="fr-CA"/>
              </w:rPr>
              <w:t>La Juge en Chef</w:t>
            </w:r>
            <w:r w:rsidRPr="009C2345">
              <w:rPr>
                <w:rFonts w:cs="Times New Roman"/>
                <w:sz w:val="20"/>
                <w:szCs w:val="20"/>
                <w:lang w:val="fr-CA"/>
              </w:rPr>
              <w:t xml:space="preserve"> — L’appel est rejeté, pour les motifs exposés par les juges majoritaires de la Cour d’appel</w:t>
            </w:r>
            <w:r w:rsidRPr="009C2345">
              <w:rPr>
                <w:sz w:val="20"/>
                <w:szCs w:val="20"/>
                <w:lang w:val="fr-CA"/>
              </w:rPr>
              <w:t>.</w:t>
            </w:r>
          </w:p>
        </w:tc>
      </w:tr>
    </w:tbl>
    <w:p w:rsidR="00312FB5" w:rsidRPr="009C2345" w:rsidRDefault="00312FB5" w:rsidP="007C47C2">
      <w:pPr>
        <w:rPr>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82006E" w:rsidTr="00EE4378">
        <w:tc>
          <w:tcPr>
            <w:tcW w:w="4380" w:type="dxa"/>
            <w:tcMar>
              <w:left w:w="0" w:type="dxa"/>
              <w:right w:w="0" w:type="dxa"/>
            </w:tcMar>
          </w:tcPr>
          <w:p w:rsidR="007C47C2" w:rsidRPr="009C2345" w:rsidRDefault="007C47C2" w:rsidP="00EE4378">
            <w:pPr>
              <w:widowControl w:val="0"/>
              <w:jc w:val="both"/>
              <w:rPr>
                <w:b/>
                <w:sz w:val="20"/>
                <w:szCs w:val="20"/>
                <w:u w:val="single"/>
              </w:rPr>
            </w:pPr>
            <w:r w:rsidRPr="009C2345">
              <w:rPr>
                <w:b/>
                <w:sz w:val="20"/>
                <w:szCs w:val="20"/>
                <w:u w:val="single"/>
              </w:rPr>
              <w:t>Nature of the case:</w:t>
            </w:r>
          </w:p>
          <w:p w:rsidR="007C47C2" w:rsidRPr="009C2345" w:rsidRDefault="007C47C2" w:rsidP="00EE4378">
            <w:pPr>
              <w:widowControl w:val="0"/>
              <w:jc w:val="both"/>
              <w:rPr>
                <w:b/>
                <w:sz w:val="20"/>
                <w:szCs w:val="20"/>
              </w:rPr>
            </w:pPr>
          </w:p>
          <w:p w:rsidR="007C47C2" w:rsidRPr="009C2345" w:rsidRDefault="005D10B6" w:rsidP="00EE4378">
            <w:pPr>
              <w:widowControl w:val="0"/>
              <w:jc w:val="both"/>
              <w:rPr>
                <w:b/>
                <w:sz w:val="20"/>
                <w:szCs w:val="20"/>
              </w:rPr>
            </w:pPr>
            <w:r w:rsidRPr="009C2345">
              <w:rPr>
                <w:sz w:val="20"/>
                <w:szCs w:val="20"/>
              </w:rPr>
              <w:t>Criminal law - Appeals - Unreasonable verdict - Accused convicted of first degree murder -Whether the verdict appealed against was one that a properly instructed trier of fact acting judicially could reasonably have rendered.</w:t>
            </w:r>
          </w:p>
        </w:tc>
        <w:tc>
          <w:tcPr>
            <w:tcW w:w="720" w:type="dxa"/>
            <w:tcMar>
              <w:left w:w="0" w:type="dxa"/>
              <w:right w:w="0" w:type="dxa"/>
            </w:tcMar>
          </w:tcPr>
          <w:p w:rsidR="007C47C2" w:rsidRPr="009C2345" w:rsidRDefault="007C47C2" w:rsidP="00EE4378">
            <w:pPr>
              <w:widowControl w:val="0"/>
              <w:jc w:val="center"/>
              <w:rPr>
                <w:sz w:val="20"/>
                <w:szCs w:val="20"/>
              </w:rPr>
            </w:pPr>
          </w:p>
        </w:tc>
        <w:tc>
          <w:tcPr>
            <w:tcW w:w="4380" w:type="dxa"/>
            <w:tcMar>
              <w:left w:w="0" w:type="dxa"/>
              <w:right w:w="0" w:type="dxa"/>
            </w:tcMar>
          </w:tcPr>
          <w:p w:rsidR="007C47C2" w:rsidRPr="009C2345" w:rsidRDefault="007C47C2" w:rsidP="00EE4378">
            <w:pPr>
              <w:widowControl w:val="0"/>
              <w:jc w:val="both"/>
              <w:rPr>
                <w:b/>
                <w:sz w:val="20"/>
                <w:szCs w:val="20"/>
                <w:u w:val="single"/>
                <w:lang w:val="fr-CA"/>
              </w:rPr>
            </w:pPr>
            <w:r w:rsidRPr="009C2345">
              <w:rPr>
                <w:b/>
                <w:sz w:val="20"/>
                <w:szCs w:val="20"/>
                <w:u w:val="single"/>
                <w:lang w:val="fr-CA"/>
              </w:rPr>
              <w:t>Nature de la cause :</w:t>
            </w:r>
          </w:p>
          <w:p w:rsidR="007C47C2" w:rsidRPr="009C2345" w:rsidRDefault="007C47C2" w:rsidP="00EE4378">
            <w:pPr>
              <w:widowControl w:val="0"/>
              <w:jc w:val="both"/>
              <w:rPr>
                <w:sz w:val="20"/>
                <w:szCs w:val="20"/>
                <w:lang w:val="fr-CA"/>
              </w:rPr>
            </w:pPr>
          </w:p>
          <w:p w:rsidR="007C47C2" w:rsidRPr="009C2345" w:rsidRDefault="005D10B6" w:rsidP="00EE4378">
            <w:pPr>
              <w:widowControl w:val="0"/>
              <w:jc w:val="both"/>
              <w:rPr>
                <w:sz w:val="20"/>
                <w:szCs w:val="20"/>
                <w:lang w:val="fr-CA"/>
              </w:rPr>
            </w:pPr>
            <w:r w:rsidRPr="009C2345">
              <w:rPr>
                <w:sz w:val="20"/>
                <w:szCs w:val="20"/>
                <w:lang w:val="fr-CA"/>
              </w:rPr>
              <w:t>Droit criminel - Appels - Verdict déraisonnable - Accusé déclaré coupable de meurtre au premier degré - Le verdict porté en appel en était-il un qu’un juge des faits ayant reçu les directives appropriées et agissant d'une manière judiciaire aurait pu rendre?</w:t>
            </w:r>
          </w:p>
        </w:tc>
      </w:tr>
    </w:tbl>
    <w:p w:rsidR="007C47C2" w:rsidRPr="009C2345" w:rsidRDefault="007C47C2" w:rsidP="007C47C2">
      <w:pPr>
        <w:widowControl w:val="0"/>
        <w:rPr>
          <w:sz w:val="20"/>
          <w:szCs w:val="20"/>
          <w:lang w:val="fr-CA"/>
        </w:rPr>
      </w:pPr>
    </w:p>
    <w:p w:rsidR="002A27D1" w:rsidRPr="009C2345" w:rsidRDefault="0082006E" w:rsidP="002A27D1">
      <w:pPr>
        <w:widowControl w:val="0"/>
        <w:rPr>
          <w:sz w:val="20"/>
          <w:szCs w:val="20"/>
        </w:rPr>
      </w:pPr>
      <w:r>
        <w:rPr>
          <w:sz w:val="20"/>
          <w:szCs w:val="20"/>
          <w:lang w:val="fr-CA"/>
        </w:rPr>
        <w:pict>
          <v:rect id="_x0000_i1086" style="width:2in;height:1pt" o:hrpct="0" o:hralign="center" o:hrstd="t" o:hrnoshade="t" o:hr="t" fillcolor="black [3213]" stroked="f"/>
        </w:pict>
      </w:r>
    </w:p>
    <w:p w:rsidR="002A27D1" w:rsidRPr="009C2345" w:rsidRDefault="002A27D1" w:rsidP="002A27D1">
      <w:pPr>
        <w:widowControl w:val="0"/>
        <w:rPr>
          <w:sz w:val="20"/>
          <w:szCs w:val="20"/>
        </w:rPr>
      </w:pPr>
    </w:p>
    <w:p w:rsidR="007C47C2" w:rsidRPr="009C2345" w:rsidRDefault="007C47C2" w:rsidP="007C47C2">
      <w:pPr>
        <w:widowControl w:val="0"/>
        <w:rPr>
          <w:sz w:val="20"/>
          <w:szCs w:val="20"/>
          <w:lang w:val="fr-CA"/>
        </w:rPr>
      </w:pPr>
      <w:r w:rsidRPr="009C2345">
        <w:rPr>
          <w:sz w:val="20"/>
          <w:szCs w:val="20"/>
          <w:lang w:val="fr-CA"/>
        </w:rPr>
        <w:t>2</w:t>
      </w:r>
      <w:r w:rsidR="00E605CB" w:rsidRPr="009C2345">
        <w:rPr>
          <w:sz w:val="20"/>
          <w:szCs w:val="20"/>
          <w:lang w:val="fr-CA"/>
        </w:rPr>
        <w:t>9</w:t>
      </w:r>
      <w:r w:rsidRPr="009C2345">
        <w:rPr>
          <w:sz w:val="20"/>
          <w:szCs w:val="20"/>
          <w:lang w:val="fr-CA"/>
        </w:rPr>
        <w:t>.0</w:t>
      </w:r>
      <w:r w:rsidR="00E605CB" w:rsidRPr="009C2345">
        <w:rPr>
          <w:sz w:val="20"/>
          <w:szCs w:val="20"/>
          <w:lang w:val="fr-CA"/>
        </w:rPr>
        <w:t>4</w:t>
      </w:r>
      <w:r w:rsidRPr="009C2345">
        <w:rPr>
          <w:sz w:val="20"/>
          <w:szCs w:val="20"/>
          <w:lang w:val="fr-CA"/>
        </w:rPr>
        <w:t>.201</w:t>
      </w:r>
      <w:r w:rsidR="00E605CB" w:rsidRPr="009C2345">
        <w:rPr>
          <w:sz w:val="20"/>
          <w:szCs w:val="20"/>
          <w:lang w:val="fr-CA"/>
        </w:rPr>
        <w:t>6</w:t>
      </w:r>
    </w:p>
    <w:p w:rsidR="007C47C2" w:rsidRPr="009C2345" w:rsidRDefault="007C47C2" w:rsidP="007C47C2">
      <w:pPr>
        <w:widowControl w:val="0"/>
        <w:rPr>
          <w:sz w:val="20"/>
          <w:szCs w:val="20"/>
          <w:lang w:val="fr-CA"/>
        </w:rPr>
      </w:pPr>
    </w:p>
    <w:p w:rsidR="007C47C2" w:rsidRPr="009C2345" w:rsidRDefault="007C47C2" w:rsidP="007C47C2">
      <w:pPr>
        <w:widowControl w:val="0"/>
        <w:ind w:left="720" w:hanging="720"/>
        <w:rPr>
          <w:sz w:val="20"/>
          <w:szCs w:val="20"/>
          <w:lang w:val="fr-CA"/>
        </w:rPr>
      </w:pPr>
      <w:r w:rsidRPr="009C2345">
        <w:rPr>
          <w:sz w:val="20"/>
          <w:szCs w:val="20"/>
          <w:lang w:val="fr-CA"/>
        </w:rPr>
        <w:t xml:space="preserve">Coram: </w:t>
      </w:r>
      <w:r w:rsidRPr="009C2345">
        <w:rPr>
          <w:sz w:val="20"/>
          <w:szCs w:val="20"/>
          <w:lang w:val="fr-CA"/>
        </w:rPr>
        <w:tab/>
      </w:r>
      <w:r w:rsidRPr="009C2345">
        <w:rPr>
          <w:sz w:val="20"/>
          <w:szCs w:val="20"/>
          <w:u w:val="single"/>
          <w:lang w:val="fr-CA"/>
        </w:rPr>
        <w:t>L</w:t>
      </w:r>
      <w:r w:rsidR="00E605CB" w:rsidRPr="009C2345">
        <w:rPr>
          <w:sz w:val="20"/>
          <w:szCs w:val="20"/>
          <w:u w:val="single"/>
          <w:lang w:val="fr-CA"/>
        </w:rPr>
        <w:t>a juge en chef McLachlin et les juges</w:t>
      </w:r>
      <w:r w:rsidRPr="009C2345">
        <w:rPr>
          <w:sz w:val="20"/>
          <w:szCs w:val="20"/>
          <w:u w:val="single"/>
          <w:lang w:val="fr-CA"/>
        </w:rPr>
        <w:t xml:space="preserve"> Cromwell, </w:t>
      </w:r>
      <w:r w:rsidR="00513477" w:rsidRPr="009C2345">
        <w:rPr>
          <w:sz w:val="20"/>
          <w:szCs w:val="20"/>
          <w:u w:val="single"/>
          <w:lang w:val="fr-CA"/>
        </w:rPr>
        <w:t>Wagner, Gascon et Brown</w:t>
      </w:r>
      <w:r w:rsidRPr="009C2345">
        <w:rPr>
          <w:sz w:val="20"/>
          <w:szCs w:val="20"/>
          <w:lang w:val="fr-CA"/>
        </w:rPr>
        <w:t xml:space="preserve"> </w:t>
      </w:r>
    </w:p>
    <w:p w:rsidR="007C47C2" w:rsidRPr="009C2345" w:rsidRDefault="007C47C2" w:rsidP="007C47C2">
      <w:pPr>
        <w:widowControl w:val="0"/>
        <w:rPr>
          <w:b/>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82006E" w:rsidTr="00EE4378">
        <w:tc>
          <w:tcPr>
            <w:tcW w:w="4380" w:type="dxa"/>
            <w:tcMar>
              <w:left w:w="0" w:type="dxa"/>
              <w:right w:w="0" w:type="dxa"/>
            </w:tcMar>
          </w:tcPr>
          <w:p w:rsidR="007C47C2" w:rsidRPr="009C2345" w:rsidRDefault="00EE708D" w:rsidP="00EE4378">
            <w:pPr>
              <w:widowControl w:val="0"/>
              <w:jc w:val="both"/>
              <w:rPr>
                <w:b/>
                <w:sz w:val="20"/>
                <w:szCs w:val="20"/>
                <w:lang w:val="fr-CA"/>
              </w:rPr>
            </w:pPr>
            <w:r w:rsidRPr="009C2345">
              <w:rPr>
                <w:b/>
                <w:sz w:val="20"/>
                <w:szCs w:val="20"/>
                <w:lang w:val="fr-CA"/>
              </w:rPr>
              <w:t>Pierre-Olivier Laliberté</w:t>
            </w:r>
          </w:p>
          <w:p w:rsidR="007C47C2" w:rsidRPr="009C2345" w:rsidRDefault="007C47C2" w:rsidP="00EE4378">
            <w:pPr>
              <w:widowControl w:val="0"/>
              <w:jc w:val="both"/>
              <w:rPr>
                <w:b/>
                <w:sz w:val="20"/>
                <w:szCs w:val="20"/>
                <w:lang w:val="fr-CA"/>
              </w:rPr>
            </w:pPr>
          </w:p>
          <w:p w:rsidR="007C47C2" w:rsidRPr="009C2345" w:rsidRDefault="007C47C2" w:rsidP="00EE4378">
            <w:pPr>
              <w:widowControl w:val="0"/>
              <w:tabs>
                <w:tab w:val="left" w:pos="736"/>
              </w:tabs>
              <w:jc w:val="both"/>
              <w:rPr>
                <w:b/>
                <w:sz w:val="20"/>
                <w:szCs w:val="20"/>
                <w:lang w:val="fr-CA"/>
              </w:rPr>
            </w:pPr>
            <w:r w:rsidRPr="009C2345">
              <w:rPr>
                <w:b/>
                <w:sz w:val="20"/>
                <w:szCs w:val="20"/>
                <w:lang w:val="fr-CA"/>
              </w:rPr>
              <w:tab/>
            </w:r>
            <w:r w:rsidR="00EE708D" w:rsidRPr="009C2345">
              <w:rPr>
                <w:b/>
                <w:sz w:val="20"/>
                <w:szCs w:val="20"/>
                <w:lang w:val="fr-CA"/>
              </w:rPr>
              <w:t>c</w:t>
            </w:r>
            <w:r w:rsidRPr="009C2345">
              <w:rPr>
                <w:b/>
                <w:sz w:val="20"/>
                <w:szCs w:val="20"/>
                <w:lang w:val="fr-CA"/>
              </w:rPr>
              <w:t xml:space="preserve">. </w:t>
            </w:r>
            <w:r w:rsidRPr="009C2345">
              <w:rPr>
                <w:sz w:val="20"/>
                <w:szCs w:val="20"/>
                <w:lang w:val="fr-CA"/>
              </w:rPr>
              <w:t>(</w:t>
            </w:r>
            <w:hyperlink r:id="rId116" w:history="1">
              <w:r w:rsidRPr="009C2345">
                <w:rPr>
                  <w:rStyle w:val="Hyperlink"/>
                  <w:sz w:val="20"/>
                  <w:szCs w:val="20"/>
                  <w:lang w:val="fr-CA"/>
                </w:rPr>
                <w:t>3</w:t>
              </w:r>
              <w:r w:rsidR="00EE708D" w:rsidRPr="009C2345">
                <w:rPr>
                  <w:rStyle w:val="Hyperlink"/>
                  <w:sz w:val="20"/>
                  <w:szCs w:val="20"/>
                  <w:lang w:val="fr-CA"/>
                </w:rPr>
                <w:t>6712</w:t>
              </w:r>
            </w:hyperlink>
            <w:r w:rsidRPr="009C2345">
              <w:rPr>
                <w:sz w:val="20"/>
                <w:szCs w:val="20"/>
                <w:lang w:val="fr-CA"/>
              </w:rPr>
              <w:t>)</w:t>
            </w:r>
          </w:p>
          <w:p w:rsidR="007C47C2" w:rsidRPr="009C2345" w:rsidRDefault="007C47C2" w:rsidP="00EE4378">
            <w:pPr>
              <w:widowControl w:val="0"/>
              <w:jc w:val="both"/>
              <w:rPr>
                <w:b/>
                <w:sz w:val="20"/>
                <w:szCs w:val="20"/>
                <w:lang w:val="fr-CA"/>
              </w:rPr>
            </w:pPr>
          </w:p>
          <w:p w:rsidR="007C47C2" w:rsidRPr="009C2345" w:rsidRDefault="00EE708D" w:rsidP="00EE708D">
            <w:pPr>
              <w:widowControl w:val="0"/>
              <w:jc w:val="both"/>
              <w:rPr>
                <w:sz w:val="20"/>
                <w:szCs w:val="20"/>
              </w:rPr>
            </w:pPr>
            <w:r w:rsidRPr="009C2345">
              <w:rPr>
                <w:b/>
                <w:sz w:val="20"/>
                <w:szCs w:val="20"/>
                <w:lang w:val="fr-CA"/>
              </w:rPr>
              <w:t>Sa Majesté la Reine</w:t>
            </w:r>
            <w:r w:rsidR="007C47C2" w:rsidRPr="009C2345">
              <w:rPr>
                <w:b/>
                <w:sz w:val="20"/>
                <w:szCs w:val="20"/>
                <w:lang w:val="fr-CA"/>
              </w:rPr>
              <w:t xml:space="preserve"> (</w:t>
            </w:r>
            <w:r w:rsidRPr="009C2345">
              <w:rPr>
                <w:b/>
                <w:sz w:val="20"/>
                <w:szCs w:val="20"/>
                <w:lang w:val="fr-CA"/>
              </w:rPr>
              <w:t>Qc</w:t>
            </w:r>
            <w:r w:rsidR="007C47C2" w:rsidRPr="009C2345">
              <w:rPr>
                <w:b/>
                <w:sz w:val="20"/>
                <w:szCs w:val="20"/>
                <w:lang w:val="fr-CA"/>
              </w:rPr>
              <w:t>) (Crim</w:t>
            </w:r>
            <w:r w:rsidRPr="009C2345">
              <w:rPr>
                <w:b/>
                <w:sz w:val="20"/>
                <w:szCs w:val="20"/>
                <w:lang w:val="fr-CA"/>
              </w:rPr>
              <w:t>.</w:t>
            </w:r>
            <w:r w:rsidR="007C47C2" w:rsidRPr="009C2345">
              <w:rPr>
                <w:b/>
                <w:sz w:val="20"/>
                <w:szCs w:val="20"/>
                <w:lang w:val="fr-CA"/>
              </w:rPr>
              <w:t>)</w:t>
            </w:r>
            <w:r w:rsidRPr="009C2345">
              <w:rPr>
                <w:b/>
                <w:sz w:val="20"/>
                <w:szCs w:val="20"/>
                <w:lang w:val="fr-CA"/>
              </w:rPr>
              <w:t xml:space="preserve"> </w:t>
            </w:r>
            <w:r w:rsidR="007C47C2" w:rsidRPr="009C2345">
              <w:rPr>
                <w:b/>
                <w:sz w:val="20"/>
                <w:szCs w:val="20"/>
              </w:rPr>
              <w:t>(</w:t>
            </w:r>
            <w:r w:rsidRPr="009C2345">
              <w:rPr>
                <w:b/>
                <w:sz w:val="20"/>
                <w:szCs w:val="20"/>
              </w:rPr>
              <w:t>De plein droit</w:t>
            </w:r>
            <w:r w:rsidR="007C47C2" w:rsidRPr="009C2345">
              <w:rPr>
                <w:b/>
                <w:sz w:val="20"/>
                <w:szCs w:val="20"/>
              </w:rPr>
              <w:t>)</w:t>
            </w:r>
          </w:p>
        </w:tc>
        <w:tc>
          <w:tcPr>
            <w:tcW w:w="720" w:type="dxa"/>
            <w:tcMar>
              <w:left w:w="0" w:type="dxa"/>
              <w:right w:w="0" w:type="dxa"/>
            </w:tcMar>
          </w:tcPr>
          <w:p w:rsidR="007C47C2" w:rsidRPr="009C2345" w:rsidRDefault="007C47C2" w:rsidP="00EE4378">
            <w:pPr>
              <w:widowControl w:val="0"/>
              <w:jc w:val="center"/>
              <w:rPr>
                <w:sz w:val="20"/>
                <w:szCs w:val="20"/>
              </w:rPr>
            </w:pPr>
          </w:p>
        </w:tc>
        <w:tc>
          <w:tcPr>
            <w:tcW w:w="4380" w:type="dxa"/>
            <w:tcMar>
              <w:left w:w="0" w:type="dxa"/>
              <w:right w:w="0" w:type="dxa"/>
            </w:tcMar>
          </w:tcPr>
          <w:p w:rsidR="007C47C2" w:rsidRPr="009C2345" w:rsidRDefault="006B62EA" w:rsidP="00EE4378">
            <w:pPr>
              <w:jc w:val="both"/>
              <w:rPr>
                <w:sz w:val="20"/>
                <w:szCs w:val="20"/>
                <w:lang w:val="fr-CA"/>
              </w:rPr>
            </w:pPr>
            <w:r w:rsidRPr="009C2345">
              <w:rPr>
                <w:sz w:val="20"/>
                <w:szCs w:val="20"/>
                <w:lang w:val="fr-CA"/>
              </w:rPr>
              <w:t>Ariane Gagnon-Rocque et Carl Thibault pour l’appelant</w:t>
            </w:r>
            <w:r w:rsidR="007C47C2" w:rsidRPr="009C2345">
              <w:rPr>
                <w:sz w:val="20"/>
                <w:szCs w:val="20"/>
                <w:lang w:val="fr-CA"/>
              </w:rPr>
              <w:t>.</w:t>
            </w:r>
          </w:p>
          <w:p w:rsidR="007C47C2" w:rsidRPr="009C2345" w:rsidRDefault="007C47C2" w:rsidP="00EE4378">
            <w:pPr>
              <w:jc w:val="both"/>
              <w:rPr>
                <w:sz w:val="20"/>
                <w:szCs w:val="20"/>
                <w:lang w:val="fr-CA"/>
              </w:rPr>
            </w:pPr>
          </w:p>
          <w:p w:rsidR="007C47C2" w:rsidRPr="009C2345" w:rsidRDefault="006B62EA" w:rsidP="00EE4378">
            <w:pPr>
              <w:widowControl w:val="0"/>
              <w:jc w:val="both"/>
              <w:rPr>
                <w:sz w:val="20"/>
                <w:szCs w:val="20"/>
                <w:lang w:val="fr-CA"/>
              </w:rPr>
            </w:pPr>
            <w:r w:rsidRPr="009C2345">
              <w:rPr>
                <w:sz w:val="20"/>
                <w:szCs w:val="20"/>
                <w:lang w:val="fr-CA"/>
              </w:rPr>
              <w:t>Régis Boisvert et Justin Tremblay pour l’intimée</w:t>
            </w:r>
            <w:r w:rsidR="007C47C2" w:rsidRPr="009C2345">
              <w:rPr>
                <w:sz w:val="20"/>
                <w:szCs w:val="20"/>
                <w:lang w:val="fr-CA"/>
              </w:rPr>
              <w:t>.</w:t>
            </w:r>
          </w:p>
        </w:tc>
      </w:tr>
    </w:tbl>
    <w:p w:rsidR="007C47C2" w:rsidRPr="009C2345" w:rsidRDefault="007C47C2" w:rsidP="007C47C2">
      <w:pPr>
        <w:widowControl w:val="0"/>
        <w:rPr>
          <w:lang w:val="fr-CA"/>
        </w:rPr>
      </w:pPr>
    </w:p>
    <w:p w:rsidR="007C47C2" w:rsidRPr="009C2345" w:rsidRDefault="007C47C2" w:rsidP="007C47C2">
      <w:pPr>
        <w:rPr>
          <w:rFonts w:eastAsia="Calibri" w:cs="Times New Roman"/>
          <w:b/>
          <w:bCs/>
          <w:sz w:val="20"/>
          <w:szCs w:val="20"/>
          <w:lang w:val="fr-CA"/>
        </w:rPr>
      </w:pPr>
      <w:r w:rsidRPr="009C2345">
        <w:rPr>
          <w:rFonts w:eastAsia="Calibri" w:cs="Times New Roman"/>
          <w:b/>
          <w:bCs/>
          <w:sz w:val="20"/>
          <w:szCs w:val="20"/>
          <w:lang w:val="fr-CA"/>
        </w:rPr>
        <w:t>201</w:t>
      </w:r>
      <w:r w:rsidR="00EE708D" w:rsidRPr="009C2345">
        <w:rPr>
          <w:rFonts w:eastAsia="Calibri" w:cs="Times New Roman"/>
          <w:b/>
          <w:bCs/>
          <w:sz w:val="20"/>
          <w:szCs w:val="20"/>
          <w:lang w:val="fr-CA"/>
        </w:rPr>
        <w:t>6</w:t>
      </w:r>
      <w:r w:rsidRPr="009C2345">
        <w:rPr>
          <w:rFonts w:eastAsia="Calibri" w:cs="Times New Roman"/>
          <w:b/>
          <w:bCs/>
          <w:sz w:val="20"/>
          <w:szCs w:val="20"/>
          <w:lang w:val="fr-CA"/>
        </w:rPr>
        <w:t xml:space="preserve"> </w:t>
      </w:r>
      <w:r w:rsidRPr="009C2345">
        <w:rPr>
          <w:rFonts w:eastAsia="Calibri" w:cs="Times New Roman"/>
          <w:b/>
          <w:bCs/>
          <w:sz w:val="20"/>
          <w:szCs w:val="20"/>
        </w:rPr>
        <w:t xml:space="preserve">SCC </w:t>
      </w:r>
      <w:r w:rsidR="00EE708D" w:rsidRPr="009C2345">
        <w:rPr>
          <w:rFonts w:eastAsia="Calibri" w:cs="Times New Roman"/>
          <w:b/>
          <w:bCs/>
          <w:sz w:val="20"/>
          <w:szCs w:val="20"/>
        </w:rPr>
        <w:t>17</w:t>
      </w:r>
      <w:r w:rsidRPr="009C2345">
        <w:rPr>
          <w:rFonts w:eastAsia="Calibri" w:cs="Times New Roman"/>
          <w:b/>
          <w:bCs/>
          <w:sz w:val="20"/>
          <w:szCs w:val="20"/>
          <w:lang w:val="fr-CA"/>
        </w:rPr>
        <w:t xml:space="preserve"> / 201</w:t>
      </w:r>
      <w:r w:rsidR="00EE708D" w:rsidRPr="009C2345">
        <w:rPr>
          <w:rFonts w:eastAsia="Calibri" w:cs="Times New Roman"/>
          <w:b/>
          <w:bCs/>
          <w:sz w:val="20"/>
          <w:szCs w:val="20"/>
          <w:lang w:val="fr-CA"/>
        </w:rPr>
        <w:t>6</w:t>
      </w:r>
      <w:r w:rsidRPr="009C2345">
        <w:rPr>
          <w:rFonts w:eastAsia="Calibri" w:cs="Times New Roman"/>
          <w:b/>
          <w:bCs/>
          <w:sz w:val="20"/>
          <w:szCs w:val="20"/>
          <w:lang w:val="fr-CA"/>
        </w:rPr>
        <w:t xml:space="preserve"> CSC </w:t>
      </w:r>
      <w:r w:rsidR="00EE708D" w:rsidRPr="009C2345">
        <w:rPr>
          <w:rFonts w:eastAsia="Calibri" w:cs="Times New Roman"/>
          <w:b/>
          <w:bCs/>
          <w:sz w:val="20"/>
          <w:szCs w:val="20"/>
          <w:lang w:val="fr-CA"/>
        </w:rPr>
        <w:t>17</w:t>
      </w:r>
    </w:p>
    <w:p w:rsidR="007C47C2" w:rsidRPr="009C2345" w:rsidRDefault="007C47C2" w:rsidP="007C47C2">
      <w:pPr>
        <w:widowControl w:val="0"/>
        <w:rPr>
          <w:sz w:val="20"/>
          <w:szCs w:val="20"/>
        </w:rPr>
      </w:pPr>
    </w:p>
    <w:p w:rsidR="007C47C2" w:rsidRPr="009C2345" w:rsidRDefault="00EE708D" w:rsidP="007C47C2">
      <w:pPr>
        <w:widowControl w:val="0"/>
        <w:rPr>
          <w:sz w:val="20"/>
          <w:szCs w:val="20"/>
        </w:rPr>
      </w:pPr>
      <w:r w:rsidRPr="009C2345">
        <w:rPr>
          <w:b/>
          <w:sz w:val="20"/>
          <w:szCs w:val="20"/>
        </w:rPr>
        <w:t>DISMISSED</w:t>
      </w:r>
      <w:r w:rsidR="007C47C2" w:rsidRPr="009C2345">
        <w:rPr>
          <w:b/>
          <w:sz w:val="20"/>
          <w:szCs w:val="20"/>
        </w:rPr>
        <w:t xml:space="preserve"> / </w:t>
      </w:r>
      <w:r w:rsidRPr="009C2345">
        <w:rPr>
          <w:b/>
          <w:sz w:val="20"/>
          <w:szCs w:val="20"/>
        </w:rPr>
        <w:t>REJETÉ</w:t>
      </w:r>
    </w:p>
    <w:p w:rsidR="00815867" w:rsidRPr="009C2345" w:rsidRDefault="00815867">
      <w:pPr>
        <w:rPr>
          <w:sz w:val="20"/>
          <w:szCs w:val="20"/>
        </w:rPr>
      </w:pPr>
      <w:r w:rsidRPr="009C2345">
        <w:rPr>
          <w:sz w:val="20"/>
          <w:szCs w:val="20"/>
        </w:rPr>
        <w:br w:type="page"/>
      </w: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9C2345" w:rsidTr="00EE4378">
        <w:tc>
          <w:tcPr>
            <w:tcW w:w="4380" w:type="dxa"/>
            <w:tcMar>
              <w:left w:w="0" w:type="dxa"/>
              <w:right w:w="0" w:type="dxa"/>
            </w:tcMar>
          </w:tcPr>
          <w:p w:rsidR="007C47C2" w:rsidRPr="009C2345" w:rsidRDefault="007C47C2" w:rsidP="00EE4378">
            <w:pPr>
              <w:widowControl w:val="0"/>
              <w:jc w:val="both"/>
              <w:rPr>
                <w:b/>
                <w:sz w:val="20"/>
                <w:szCs w:val="20"/>
                <w:u w:val="single"/>
                <w:lang w:val="fr-CA"/>
              </w:rPr>
            </w:pPr>
            <w:r w:rsidRPr="009C2345">
              <w:rPr>
                <w:b/>
                <w:sz w:val="20"/>
                <w:szCs w:val="20"/>
                <w:u w:val="single"/>
                <w:lang w:val="fr-CA"/>
              </w:rPr>
              <w:t>JUG</w:t>
            </w:r>
            <w:r w:rsidR="00041976" w:rsidRPr="009C2345">
              <w:rPr>
                <w:b/>
                <w:sz w:val="20"/>
                <w:szCs w:val="20"/>
                <w:u w:val="single"/>
                <w:lang w:val="fr-CA"/>
              </w:rPr>
              <w:t>E</w:t>
            </w:r>
            <w:r w:rsidRPr="009C2345">
              <w:rPr>
                <w:b/>
                <w:sz w:val="20"/>
                <w:szCs w:val="20"/>
                <w:u w:val="single"/>
                <w:lang w:val="fr-CA"/>
              </w:rPr>
              <w:t>MENT</w:t>
            </w:r>
            <w:r w:rsidR="00041976" w:rsidRPr="009C2345">
              <w:rPr>
                <w:b/>
                <w:sz w:val="20"/>
                <w:szCs w:val="20"/>
                <w:u w:val="single"/>
                <w:lang w:val="fr-CA"/>
              </w:rPr>
              <w:t xml:space="preserve"> </w:t>
            </w:r>
            <w:r w:rsidRPr="009C2345">
              <w:rPr>
                <w:b/>
                <w:sz w:val="20"/>
                <w:szCs w:val="20"/>
                <w:u w:val="single"/>
                <w:lang w:val="fr-CA"/>
              </w:rPr>
              <w:t>:</w:t>
            </w:r>
          </w:p>
          <w:p w:rsidR="007C47C2" w:rsidRPr="009C2345" w:rsidRDefault="007C47C2" w:rsidP="00EE4378">
            <w:pPr>
              <w:widowControl w:val="0"/>
              <w:jc w:val="both"/>
              <w:rPr>
                <w:sz w:val="20"/>
                <w:szCs w:val="20"/>
                <w:lang w:val="fr-CA"/>
              </w:rPr>
            </w:pPr>
          </w:p>
          <w:p w:rsidR="003076F6" w:rsidRPr="009C2345" w:rsidRDefault="003076F6" w:rsidP="003076F6">
            <w:pPr>
              <w:jc w:val="both"/>
              <w:rPr>
                <w:rFonts w:cs="Times New Roman"/>
                <w:sz w:val="20"/>
                <w:szCs w:val="20"/>
                <w:lang w:val="fr-CA"/>
              </w:rPr>
            </w:pPr>
            <w:r w:rsidRPr="009C2345">
              <w:rPr>
                <w:rFonts w:cs="Times New Roman"/>
                <w:sz w:val="20"/>
                <w:szCs w:val="20"/>
                <w:lang w:val="fr-CA"/>
              </w:rPr>
              <w:t>L’appel interjeté contre l’arrêt de la Cour d’appel du Québec (Québec), numéro 200-10-002951-130, 2015 QCCA 1633, daté du 7 octobre 2015, a été entendu le 29 avril 2016 et la Cour a prononcé oralement le même jour le jugement suivant :</w:t>
            </w:r>
          </w:p>
          <w:p w:rsidR="003076F6" w:rsidRPr="009C2345" w:rsidRDefault="003076F6" w:rsidP="003076F6">
            <w:pPr>
              <w:jc w:val="both"/>
              <w:rPr>
                <w:rFonts w:cs="Times New Roman"/>
                <w:sz w:val="20"/>
                <w:szCs w:val="20"/>
                <w:lang w:val="fr-CA"/>
              </w:rPr>
            </w:pPr>
          </w:p>
          <w:p w:rsidR="003076F6" w:rsidRPr="009C2345" w:rsidRDefault="003076F6" w:rsidP="003076F6">
            <w:pPr>
              <w:jc w:val="both"/>
              <w:rPr>
                <w:rFonts w:cs="Times New Roman"/>
                <w:smallCaps/>
                <w:sz w:val="20"/>
                <w:szCs w:val="20"/>
                <w:lang w:val="fr-CA"/>
              </w:rPr>
            </w:pPr>
          </w:p>
          <w:p w:rsidR="003076F6" w:rsidRPr="009C2345" w:rsidRDefault="003076F6" w:rsidP="003076F6">
            <w:pPr>
              <w:jc w:val="both"/>
              <w:rPr>
                <w:rFonts w:cs="Times New Roman"/>
                <w:sz w:val="20"/>
                <w:szCs w:val="20"/>
                <w:lang w:val="fr-FR"/>
              </w:rPr>
            </w:pPr>
            <w:r w:rsidRPr="009C2345">
              <w:rPr>
                <w:rFonts w:cs="Times New Roman"/>
                <w:smallCaps/>
                <w:sz w:val="20"/>
                <w:szCs w:val="20"/>
                <w:lang w:val="fr-CA"/>
              </w:rPr>
              <w:t>Le Juge Wagner</w:t>
            </w:r>
            <w:r w:rsidRPr="009C2345">
              <w:rPr>
                <w:rFonts w:cs="Times New Roman"/>
                <w:sz w:val="20"/>
                <w:szCs w:val="20"/>
                <w:lang w:val="fr-CA"/>
              </w:rPr>
              <w:t xml:space="preserve"> — Cet appel de plein droit s’appuie sur la dissidence du juge Hilton de la Cour d’appel du Québec. Selon ce dernier, le juge du procès a erré en ne permettant pas la production au dossier des déclarations extrajudiciaires de l’une des victimes et en donnant au jury une directive de fabrication d’un alibi, dont le contenu était également erroné, en l’absence </w:t>
            </w:r>
            <w:r w:rsidRPr="009C2345">
              <w:rPr>
                <w:rFonts w:cs="Times New Roman"/>
                <w:sz w:val="20"/>
                <w:szCs w:val="20"/>
                <w:lang w:val="fr-FR"/>
              </w:rPr>
              <w:t>des éléments de preuve suffisants pour relier l’appelant à la fabrication d’un alibi. Selon le juge dissident, le caractère inapproprié et erroné de la directive du juge de première instance était si grave que la disposition réparatrice du sous-al. 686(1)</w:t>
            </w:r>
            <w:r w:rsidRPr="009C2345">
              <w:rPr>
                <w:rFonts w:cs="Times New Roman"/>
                <w:i/>
                <w:iCs/>
                <w:sz w:val="20"/>
                <w:szCs w:val="20"/>
                <w:lang w:val="fr-FR"/>
              </w:rPr>
              <w:t>b</w:t>
            </w:r>
            <w:r w:rsidRPr="009C2345">
              <w:rPr>
                <w:rFonts w:cs="Times New Roman"/>
                <w:sz w:val="20"/>
                <w:szCs w:val="20"/>
                <w:lang w:val="fr-FR"/>
              </w:rPr>
              <w:t xml:space="preserve">)(iii) du </w:t>
            </w:r>
            <w:r w:rsidRPr="009C2345">
              <w:rPr>
                <w:rFonts w:cs="Times New Roman"/>
                <w:i/>
                <w:iCs/>
                <w:sz w:val="20"/>
                <w:szCs w:val="20"/>
                <w:lang w:val="fr-FR"/>
              </w:rPr>
              <w:t>Code criminel</w:t>
            </w:r>
            <w:r w:rsidRPr="009C2345">
              <w:rPr>
                <w:rFonts w:cs="Times New Roman"/>
                <w:iCs/>
                <w:sz w:val="20"/>
                <w:szCs w:val="20"/>
                <w:lang w:val="fr-FR"/>
              </w:rPr>
              <w:t>, L.R.C. 1985, c. C-46,</w:t>
            </w:r>
            <w:r w:rsidRPr="009C2345">
              <w:rPr>
                <w:rFonts w:cs="Times New Roman"/>
                <w:iCs/>
                <w:caps/>
                <w:sz w:val="20"/>
                <w:szCs w:val="20"/>
                <w:lang w:val="fr-FR"/>
              </w:rPr>
              <w:t xml:space="preserve"> </w:t>
            </w:r>
            <w:r w:rsidRPr="009C2345">
              <w:rPr>
                <w:rFonts w:cs="Times New Roman"/>
                <w:sz w:val="20"/>
                <w:szCs w:val="20"/>
                <w:lang w:val="fr-FR"/>
              </w:rPr>
              <w:t xml:space="preserve">était inapplicable. </w:t>
            </w:r>
          </w:p>
          <w:p w:rsidR="003076F6" w:rsidRPr="009C2345" w:rsidRDefault="003076F6" w:rsidP="003076F6">
            <w:pPr>
              <w:jc w:val="both"/>
              <w:rPr>
                <w:rFonts w:cs="Times New Roman"/>
                <w:sz w:val="20"/>
                <w:szCs w:val="20"/>
                <w:lang w:val="fr-FR"/>
              </w:rPr>
            </w:pPr>
          </w:p>
          <w:p w:rsidR="003076F6" w:rsidRPr="009C2345" w:rsidRDefault="003076F6" w:rsidP="003076F6">
            <w:pPr>
              <w:jc w:val="both"/>
              <w:rPr>
                <w:rFonts w:cs="Times New Roman"/>
                <w:sz w:val="20"/>
                <w:szCs w:val="20"/>
                <w:lang w:val="fr-FR"/>
              </w:rPr>
            </w:pPr>
            <w:r w:rsidRPr="009C2345">
              <w:rPr>
                <w:rFonts w:cs="Times New Roman"/>
                <w:sz w:val="20"/>
                <w:szCs w:val="20"/>
                <w:lang w:val="fr-FR"/>
              </w:rPr>
              <w:t>Les juges majoritaires partagent son avis sur le sort réservé aux déclarations extrajudiciaires de l’une des victimes et sur le contenu erroné de la directive portant sur la fabrication d’un alibi. Cependant, ils sont d’avis qu’il fallait respecter la décision du juge du procès de donner une directive sur le sujet. D’avis que la preuve à charge était accablante, ils ont appliqué la disposition réparatrice prévue au sous-al. 686(1)</w:t>
            </w:r>
            <w:r w:rsidRPr="009C2345">
              <w:rPr>
                <w:rFonts w:cs="Times New Roman"/>
                <w:i/>
                <w:sz w:val="20"/>
                <w:szCs w:val="20"/>
                <w:lang w:val="fr-FR"/>
              </w:rPr>
              <w:t>b</w:t>
            </w:r>
            <w:r w:rsidRPr="009C2345">
              <w:rPr>
                <w:rFonts w:cs="Times New Roman"/>
                <w:sz w:val="20"/>
                <w:szCs w:val="20"/>
                <w:lang w:val="fr-FR"/>
              </w:rPr>
              <w:t xml:space="preserve">)(iii) du </w:t>
            </w:r>
            <w:r w:rsidRPr="009C2345">
              <w:rPr>
                <w:rFonts w:cs="Times New Roman"/>
                <w:i/>
                <w:iCs/>
                <w:sz w:val="20"/>
                <w:szCs w:val="20"/>
                <w:lang w:val="fr-FR"/>
              </w:rPr>
              <w:t>Code criminel</w:t>
            </w:r>
            <w:r w:rsidRPr="009C2345">
              <w:rPr>
                <w:rFonts w:cs="Times New Roman"/>
                <w:iCs/>
                <w:sz w:val="20"/>
                <w:szCs w:val="20"/>
                <w:lang w:val="fr-FR"/>
              </w:rPr>
              <w:t>.</w:t>
            </w:r>
            <w:r w:rsidRPr="009C2345">
              <w:rPr>
                <w:rFonts w:cs="Times New Roman"/>
                <w:sz w:val="20"/>
                <w:szCs w:val="20"/>
                <w:lang w:val="fr-FR"/>
              </w:rPr>
              <w:t xml:space="preserve"> </w:t>
            </w:r>
          </w:p>
          <w:p w:rsidR="003076F6" w:rsidRPr="009C2345" w:rsidRDefault="003076F6" w:rsidP="003076F6">
            <w:pPr>
              <w:jc w:val="both"/>
              <w:rPr>
                <w:rFonts w:cs="Times New Roman"/>
                <w:sz w:val="20"/>
                <w:szCs w:val="20"/>
                <w:lang w:val="fr-FR"/>
              </w:rPr>
            </w:pPr>
          </w:p>
          <w:p w:rsidR="003076F6" w:rsidRPr="009C2345" w:rsidRDefault="003076F6" w:rsidP="003076F6">
            <w:pPr>
              <w:jc w:val="both"/>
              <w:rPr>
                <w:rFonts w:cs="Times New Roman"/>
                <w:sz w:val="20"/>
                <w:szCs w:val="20"/>
                <w:lang w:val="fr-CA"/>
              </w:rPr>
            </w:pPr>
          </w:p>
          <w:p w:rsidR="003076F6" w:rsidRPr="009C2345" w:rsidRDefault="003076F6" w:rsidP="003076F6">
            <w:pPr>
              <w:jc w:val="both"/>
              <w:rPr>
                <w:rFonts w:cs="Times New Roman"/>
                <w:sz w:val="20"/>
                <w:szCs w:val="20"/>
                <w:lang w:val="fr-CA"/>
              </w:rPr>
            </w:pPr>
            <w:r w:rsidRPr="009C2345">
              <w:rPr>
                <w:rFonts w:cs="Times New Roman"/>
                <w:sz w:val="20"/>
                <w:szCs w:val="20"/>
                <w:lang w:val="fr-CA"/>
              </w:rPr>
              <w:t xml:space="preserve">Nous sommes d’accord avec les juges majoritaires et le juge dissident que la directive sur la fabrication d’un alibi donnée par le juge de première instance était erronée. Le juge du procès doit préciser dans sa directive que la fabrication d’un alibi permet d’inférer une </w:t>
            </w:r>
            <w:r w:rsidRPr="009C2345">
              <w:rPr>
                <w:rFonts w:cs="Times New Roman"/>
                <w:i/>
                <w:sz w:val="20"/>
                <w:szCs w:val="20"/>
                <w:lang w:val="fr-CA"/>
              </w:rPr>
              <w:t>conscience</w:t>
            </w:r>
            <w:r w:rsidRPr="009C2345">
              <w:rPr>
                <w:rFonts w:cs="Times New Roman"/>
                <w:sz w:val="20"/>
                <w:szCs w:val="20"/>
                <w:lang w:val="fr-CA"/>
              </w:rPr>
              <w:t xml:space="preserve"> de culpabilité, sans plus. La directive en l’espèce ne satisfaisait pas à cette exigence.</w:t>
            </w:r>
          </w:p>
          <w:p w:rsidR="003076F6" w:rsidRPr="009C2345" w:rsidRDefault="003076F6" w:rsidP="003076F6">
            <w:pPr>
              <w:jc w:val="both"/>
              <w:rPr>
                <w:rFonts w:cs="Times New Roman"/>
                <w:sz w:val="20"/>
                <w:szCs w:val="20"/>
                <w:lang w:val="fr-CA"/>
              </w:rPr>
            </w:pPr>
          </w:p>
          <w:p w:rsidR="003076F6" w:rsidRPr="009C2345" w:rsidRDefault="003076F6" w:rsidP="003076F6">
            <w:pPr>
              <w:jc w:val="both"/>
              <w:rPr>
                <w:rFonts w:cs="Times New Roman"/>
                <w:sz w:val="20"/>
                <w:szCs w:val="20"/>
                <w:lang w:val="fr-CA"/>
              </w:rPr>
            </w:pPr>
            <w:r w:rsidRPr="009C2345">
              <w:rPr>
                <w:rFonts w:cs="Times New Roman"/>
                <w:sz w:val="20"/>
                <w:szCs w:val="20"/>
                <w:lang w:val="fr-CA"/>
              </w:rPr>
              <w:t>De plus, il doit y avoir d’autres éléments de preuve indépendants de la conclusion que l’alibi est faux qui permettent à un jury raisonnable de conclure que l’alibi a été fabriqué délibérément et que l’accusé a participé à cette tentative d’induire le jury en erreur :</w:t>
            </w:r>
            <w:r w:rsidRPr="009C2345">
              <w:rPr>
                <w:rFonts w:cs="Times New Roman"/>
                <w:i/>
                <w:sz w:val="20"/>
                <w:szCs w:val="20"/>
                <w:lang w:val="fr-CA"/>
              </w:rPr>
              <w:t xml:space="preserve"> R. c. O’Connor </w:t>
            </w:r>
            <w:r w:rsidRPr="009C2345">
              <w:rPr>
                <w:rFonts w:cs="Times New Roman"/>
                <w:sz w:val="20"/>
                <w:szCs w:val="20"/>
                <w:lang w:val="fr-CA"/>
              </w:rPr>
              <w:t>(2002), 62 O.R (3d) 263 (C.A.);</w:t>
            </w:r>
            <w:r w:rsidRPr="009C2345">
              <w:rPr>
                <w:rFonts w:cs="Times New Roman"/>
                <w:i/>
                <w:sz w:val="20"/>
                <w:szCs w:val="20"/>
                <w:lang w:val="fr-CA"/>
              </w:rPr>
              <w:t xml:space="preserve"> R. c. Hibbert</w:t>
            </w:r>
            <w:r w:rsidRPr="009C2345">
              <w:rPr>
                <w:rFonts w:cs="Times New Roman"/>
                <w:sz w:val="20"/>
                <w:szCs w:val="20"/>
                <w:lang w:val="fr-CA"/>
              </w:rPr>
              <w:t xml:space="preserve">, 2002 CSC 39, [2002] 2 R.C.S. 445; </w:t>
            </w:r>
            <w:r w:rsidRPr="009C2345">
              <w:rPr>
                <w:rFonts w:cs="Times New Roman"/>
                <w:i/>
                <w:sz w:val="20"/>
                <w:szCs w:val="20"/>
                <w:lang w:val="fr-CA"/>
              </w:rPr>
              <w:t>R. c. Tessier</w:t>
            </w:r>
            <w:r w:rsidRPr="009C2345">
              <w:rPr>
                <w:rFonts w:cs="Times New Roman"/>
                <w:sz w:val="20"/>
                <w:szCs w:val="20"/>
                <w:lang w:val="fr-CA"/>
              </w:rPr>
              <w:t xml:space="preserve"> (1997), 113 C.C.C. (3d) 538 (C.A. C.-B.) (la juge Ryan).</w:t>
            </w:r>
          </w:p>
          <w:p w:rsidR="003076F6" w:rsidRPr="009C2345" w:rsidRDefault="003076F6" w:rsidP="003076F6">
            <w:pPr>
              <w:jc w:val="both"/>
              <w:rPr>
                <w:rFonts w:cs="Times New Roman"/>
                <w:sz w:val="20"/>
                <w:szCs w:val="20"/>
                <w:lang w:val="fr-CA"/>
              </w:rPr>
            </w:pPr>
          </w:p>
          <w:p w:rsidR="007F2557" w:rsidRPr="009C2345" w:rsidRDefault="007F2557" w:rsidP="003076F6">
            <w:pPr>
              <w:jc w:val="both"/>
              <w:rPr>
                <w:rFonts w:cs="Times New Roman"/>
                <w:sz w:val="20"/>
                <w:szCs w:val="20"/>
                <w:lang w:val="fr-CA"/>
              </w:rPr>
            </w:pPr>
          </w:p>
          <w:p w:rsidR="003076F6" w:rsidRPr="009C2345" w:rsidRDefault="003076F6" w:rsidP="003076F6">
            <w:pPr>
              <w:jc w:val="both"/>
              <w:rPr>
                <w:rFonts w:cs="Times New Roman"/>
                <w:sz w:val="20"/>
                <w:szCs w:val="20"/>
                <w:lang w:val="fr-CA"/>
              </w:rPr>
            </w:pPr>
            <w:r w:rsidRPr="009C2345">
              <w:rPr>
                <w:rFonts w:cs="Times New Roman"/>
                <w:sz w:val="20"/>
                <w:szCs w:val="20"/>
                <w:lang w:val="fr-CA"/>
              </w:rPr>
              <w:t xml:space="preserve">Cependant, nous sommes d’avis qu’en dépit des erreurs du juge du procès, la preuve en l’espèce est à ce point accablante que le juge des faits conclurait forcément à la culpabilité de l’accusé : </w:t>
            </w:r>
            <w:r w:rsidRPr="009C2345">
              <w:rPr>
                <w:rFonts w:cs="Times New Roman"/>
                <w:i/>
                <w:sz w:val="20"/>
                <w:szCs w:val="20"/>
                <w:lang w:val="fr-CA"/>
              </w:rPr>
              <w:t>R. c. Trochym</w:t>
            </w:r>
            <w:r w:rsidRPr="009C2345">
              <w:rPr>
                <w:rFonts w:cs="Times New Roman"/>
                <w:sz w:val="20"/>
                <w:szCs w:val="20"/>
                <w:lang w:val="fr-CA"/>
              </w:rPr>
              <w:t>, 2007 CSC 6, [2007] 1 R.C.S. 239.</w:t>
            </w:r>
          </w:p>
          <w:p w:rsidR="003076F6" w:rsidRPr="009C2345" w:rsidRDefault="003076F6" w:rsidP="003076F6">
            <w:pPr>
              <w:jc w:val="both"/>
              <w:rPr>
                <w:rFonts w:cs="Times New Roman"/>
                <w:sz w:val="20"/>
                <w:szCs w:val="20"/>
                <w:lang w:val="fr-CA"/>
              </w:rPr>
            </w:pPr>
          </w:p>
          <w:p w:rsidR="007C47C2" w:rsidRPr="009C2345" w:rsidRDefault="003076F6" w:rsidP="003076F6">
            <w:pPr>
              <w:jc w:val="both"/>
              <w:rPr>
                <w:b/>
                <w:sz w:val="20"/>
                <w:szCs w:val="20"/>
                <w:lang w:val="fr-CA"/>
              </w:rPr>
            </w:pPr>
            <w:r w:rsidRPr="009C2345">
              <w:rPr>
                <w:rFonts w:cs="Times New Roman"/>
                <w:sz w:val="20"/>
                <w:szCs w:val="20"/>
                <w:lang w:val="fr-CA"/>
              </w:rPr>
              <w:t>Pour ces motifs, le pourvoi est rejeté.</w:t>
            </w:r>
          </w:p>
        </w:tc>
        <w:tc>
          <w:tcPr>
            <w:tcW w:w="720" w:type="dxa"/>
            <w:tcMar>
              <w:left w:w="0" w:type="dxa"/>
              <w:right w:w="0" w:type="dxa"/>
            </w:tcMar>
          </w:tcPr>
          <w:p w:rsidR="007C47C2" w:rsidRPr="009C2345" w:rsidRDefault="007C47C2" w:rsidP="00EE4378">
            <w:pPr>
              <w:widowControl w:val="0"/>
              <w:jc w:val="center"/>
              <w:rPr>
                <w:sz w:val="20"/>
                <w:szCs w:val="20"/>
                <w:lang w:val="fr-CA"/>
              </w:rPr>
            </w:pPr>
          </w:p>
        </w:tc>
        <w:tc>
          <w:tcPr>
            <w:tcW w:w="4380" w:type="dxa"/>
            <w:tcMar>
              <w:left w:w="0" w:type="dxa"/>
              <w:right w:w="0" w:type="dxa"/>
            </w:tcMar>
          </w:tcPr>
          <w:p w:rsidR="007C47C2" w:rsidRPr="009C2345" w:rsidRDefault="007C47C2" w:rsidP="00EE4378">
            <w:pPr>
              <w:widowControl w:val="0"/>
              <w:jc w:val="both"/>
              <w:rPr>
                <w:b/>
                <w:sz w:val="20"/>
                <w:szCs w:val="20"/>
                <w:u w:val="single"/>
              </w:rPr>
            </w:pPr>
            <w:r w:rsidRPr="009C2345">
              <w:rPr>
                <w:b/>
                <w:sz w:val="20"/>
                <w:szCs w:val="20"/>
                <w:u w:val="single"/>
              </w:rPr>
              <w:t>JU</w:t>
            </w:r>
            <w:r w:rsidR="00041976" w:rsidRPr="009C2345">
              <w:rPr>
                <w:b/>
                <w:sz w:val="20"/>
                <w:szCs w:val="20"/>
                <w:u w:val="single"/>
              </w:rPr>
              <w:t>D</w:t>
            </w:r>
            <w:r w:rsidRPr="009C2345">
              <w:rPr>
                <w:b/>
                <w:sz w:val="20"/>
                <w:szCs w:val="20"/>
                <w:u w:val="single"/>
              </w:rPr>
              <w:t>GMENT:</w:t>
            </w:r>
          </w:p>
          <w:p w:rsidR="007C47C2" w:rsidRPr="009C2345" w:rsidRDefault="007C47C2" w:rsidP="00EE4378">
            <w:pPr>
              <w:widowControl w:val="0"/>
              <w:jc w:val="both"/>
              <w:rPr>
                <w:sz w:val="20"/>
                <w:szCs w:val="20"/>
              </w:rPr>
            </w:pPr>
          </w:p>
          <w:p w:rsidR="003076F6" w:rsidRPr="009C2345" w:rsidRDefault="003076F6" w:rsidP="003076F6">
            <w:pPr>
              <w:jc w:val="both"/>
              <w:rPr>
                <w:rFonts w:cs="Times New Roman"/>
                <w:sz w:val="20"/>
                <w:szCs w:val="20"/>
              </w:rPr>
            </w:pPr>
            <w:r w:rsidRPr="009C2345">
              <w:rPr>
                <w:rFonts w:cs="Times New Roman"/>
                <w:sz w:val="20"/>
                <w:szCs w:val="20"/>
                <w:lang w:val="en-US"/>
              </w:rPr>
              <w:t>The appeal from the judgment of the Court of Appeal of Quebec (Québec), Number 200-10-002951-130, 2015 QCCA 1633, da</w:t>
            </w:r>
            <w:r w:rsidRPr="009C2345">
              <w:rPr>
                <w:rFonts w:cs="Times New Roman"/>
                <w:sz w:val="20"/>
                <w:szCs w:val="20"/>
              </w:rPr>
              <w:t xml:space="preserve">ted October 7, 2015, was heard on April 29, 2016 and the Court on that day delivered the following judgment orally: </w:t>
            </w:r>
          </w:p>
          <w:p w:rsidR="003076F6" w:rsidRPr="009C2345" w:rsidRDefault="003076F6" w:rsidP="003076F6">
            <w:pPr>
              <w:jc w:val="both"/>
              <w:rPr>
                <w:rFonts w:cs="Times New Roman"/>
                <w:sz w:val="20"/>
                <w:szCs w:val="20"/>
              </w:rPr>
            </w:pPr>
          </w:p>
          <w:p w:rsidR="003076F6" w:rsidRPr="009C2345" w:rsidRDefault="003076F6" w:rsidP="003076F6">
            <w:pPr>
              <w:jc w:val="both"/>
              <w:rPr>
                <w:rFonts w:cs="Times New Roman"/>
                <w:sz w:val="20"/>
                <w:szCs w:val="20"/>
              </w:rPr>
            </w:pPr>
            <w:r w:rsidRPr="009C2345">
              <w:rPr>
                <w:rFonts w:cs="Times New Roman"/>
                <w:sz w:val="20"/>
                <w:szCs w:val="20"/>
              </w:rPr>
              <w:t>[</w:t>
            </w:r>
            <w:r w:rsidRPr="009C2345">
              <w:rPr>
                <w:rFonts w:cs="Times New Roman"/>
                <w:smallCaps/>
                <w:sz w:val="20"/>
                <w:szCs w:val="20"/>
              </w:rPr>
              <w:t>TRANSLATION</w:t>
            </w:r>
            <w:r w:rsidRPr="009C2345">
              <w:rPr>
                <w:rFonts w:cs="Times New Roman"/>
                <w:sz w:val="20"/>
                <w:szCs w:val="20"/>
              </w:rPr>
              <w:t>]</w:t>
            </w:r>
          </w:p>
          <w:p w:rsidR="003076F6" w:rsidRPr="009C2345" w:rsidRDefault="003076F6" w:rsidP="003076F6">
            <w:pPr>
              <w:jc w:val="both"/>
              <w:rPr>
                <w:rFonts w:cs="Times New Roman"/>
                <w:sz w:val="20"/>
                <w:szCs w:val="20"/>
              </w:rPr>
            </w:pPr>
            <w:r w:rsidRPr="009C2345">
              <w:rPr>
                <w:rFonts w:cs="Times New Roman"/>
                <w:smallCaps/>
                <w:sz w:val="20"/>
                <w:szCs w:val="20"/>
              </w:rPr>
              <w:t>Wagner J.</w:t>
            </w:r>
            <w:r w:rsidRPr="009C2345">
              <w:rPr>
                <w:rFonts w:cs="Times New Roman"/>
                <w:sz w:val="20"/>
                <w:szCs w:val="20"/>
              </w:rPr>
              <w:t xml:space="preserve"> — This appeal as of right is based on the dissent of Hilton J.A. in the Quebec Court of Appeal. In Hilton J.A.’s view, the trial judge erred in not admitting in evidence out-of-court statements made by one of the victims and in giving the jury an instruction, the content of which was also erroneous, with respect to the fabrication of an alibi even though sufficient evidence had not been adduced to link the appellant to the fabrication of an alibi. The dissenting judge found that the trial judge’s instruction was so inappropriate and so seriously in error that the curative proviso of s. 686(1)(</w:t>
            </w:r>
            <w:r w:rsidRPr="009C2345">
              <w:rPr>
                <w:rFonts w:cs="Times New Roman"/>
                <w:i/>
                <w:iCs/>
                <w:sz w:val="20"/>
                <w:szCs w:val="20"/>
              </w:rPr>
              <w:t>b</w:t>
            </w:r>
            <w:r w:rsidRPr="009C2345">
              <w:rPr>
                <w:rFonts w:cs="Times New Roman"/>
                <w:sz w:val="20"/>
                <w:szCs w:val="20"/>
              </w:rPr>
              <w:t xml:space="preserve">)(iii) of the </w:t>
            </w:r>
            <w:r w:rsidRPr="009C2345">
              <w:rPr>
                <w:rFonts w:cs="Times New Roman"/>
                <w:i/>
                <w:iCs/>
                <w:sz w:val="20"/>
                <w:szCs w:val="20"/>
              </w:rPr>
              <w:t>Criminal Code</w:t>
            </w:r>
            <w:r w:rsidRPr="009C2345">
              <w:rPr>
                <w:rFonts w:cs="Times New Roman"/>
                <w:iCs/>
                <w:sz w:val="20"/>
                <w:szCs w:val="20"/>
              </w:rPr>
              <w:t xml:space="preserve">, R.S.C. 1985, c. C-46, </w:t>
            </w:r>
            <w:r w:rsidRPr="009C2345">
              <w:rPr>
                <w:rFonts w:cs="Times New Roman"/>
                <w:sz w:val="20"/>
                <w:szCs w:val="20"/>
              </w:rPr>
              <w:t>was inapplicable.</w:t>
            </w:r>
          </w:p>
          <w:p w:rsidR="003076F6" w:rsidRPr="009C2345" w:rsidRDefault="003076F6" w:rsidP="003076F6">
            <w:pPr>
              <w:jc w:val="both"/>
              <w:rPr>
                <w:rFonts w:cs="Times New Roman"/>
                <w:sz w:val="20"/>
                <w:szCs w:val="20"/>
              </w:rPr>
            </w:pPr>
          </w:p>
          <w:p w:rsidR="003076F6" w:rsidRPr="009C2345" w:rsidRDefault="003076F6" w:rsidP="003076F6">
            <w:pPr>
              <w:jc w:val="both"/>
              <w:rPr>
                <w:rFonts w:cs="Times New Roman"/>
                <w:sz w:val="20"/>
                <w:szCs w:val="20"/>
              </w:rPr>
            </w:pPr>
            <w:r w:rsidRPr="009C2345">
              <w:rPr>
                <w:rFonts w:cs="Times New Roman"/>
                <w:sz w:val="20"/>
                <w:szCs w:val="20"/>
              </w:rPr>
              <w:t>The majority agreed with Hilton J.A.’s conclusion regarding the out-of-court statements of one of the victims and also agreed that the content of the instruction with respect to the fabrication of an alibi was erroneous. However, they found that deference was owed to the trial judge’s decision to give an instruction in that regard. Concluding that the case against the accused was overwhelming, they applied the curative proviso of s. 686(1)(</w:t>
            </w:r>
            <w:r w:rsidRPr="009C2345">
              <w:rPr>
                <w:rFonts w:cs="Times New Roman"/>
                <w:i/>
                <w:sz w:val="20"/>
                <w:szCs w:val="20"/>
              </w:rPr>
              <w:t>b</w:t>
            </w:r>
            <w:r w:rsidRPr="009C2345">
              <w:rPr>
                <w:rFonts w:cs="Times New Roman"/>
                <w:sz w:val="20"/>
                <w:szCs w:val="20"/>
              </w:rPr>
              <w:t xml:space="preserve">)(iii) of the </w:t>
            </w:r>
            <w:r w:rsidRPr="009C2345">
              <w:rPr>
                <w:rFonts w:cs="Times New Roman"/>
                <w:i/>
                <w:iCs/>
                <w:sz w:val="20"/>
                <w:szCs w:val="20"/>
              </w:rPr>
              <w:t>Criminal Code</w:t>
            </w:r>
            <w:r w:rsidRPr="009C2345">
              <w:rPr>
                <w:rFonts w:cs="Times New Roman"/>
                <w:iCs/>
                <w:sz w:val="20"/>
                <w:szCs w:val="20"/>
              </w:rPr>
              <w:t>.</w:t>
            </w:r>
            <w:r w:rsidRPr="009C2345">
              <w:rPr>
                <w:rFonts w:cs="Times New Roman"/>
                <w:sz w:val="20"/>
                <w:szCs w:val="20"/>
              </w:rPr>
              <w:t xml:space="preserve"> </w:t>
            </w:r>
          </w:p>
          <w:p w:rsidR="003076F6" w:rsidRPr="009C2345" w:rsidRDefault="003076F6" w:rsidP="003076F6">
            <w:pPr>
              <w:jc w:val="both"/>
              <w:rPr>
                <w:rFonts w:cs="Times New Roman"/>
                <w:sz w:val="20"/>
                <w:szCs w:val="20"/>
              </w:rPr>
            </w:pPr>
          </w:p>
          <w:p w:rsidR="003076F6" w:rsidRPr="009C2345" w:rsidRDefault="003076F6" w:rsidP="003076F6">
            <w:pPr>
              <w:jc w:val="both"/>
              <w:rPr>
                <w:rFonts w:cs="Times New Roman"/>
                <w:sz w:val="20"/>
                <w:szCs w:val="20"/>
              </w:rPr>
            </w:pPr>
            <w:r w:rsidRPr="009C2345">
              <w:rPr>
                <w:rFonts w:cs="Times New Roman"/>
                <w:sz w:val="20"/>
                <w:szCs w:val="20"/>
              </w:rPr>
              <w:t xml:space="preserve">We agree with the majority and with the dissenting judge that the instruction the trial judge gave with respect to the fabrication of an alibi was erroneous. A trial judge must specify in such an instruction that the fabrication of an alibi supports an inference of </w:t>
            </w:r>
            <w:r w:rsidRPr="009C2345">
              <w:rPr>
                <w:rFonts w:cs="Times New Roman"/>
                <w:i/>
                <w:sz w:val="20"/>
                <w:szCs w:val="20"/>
              </w:rPr>
              <w:t>consciousness</w:t>
            </w:r>
            <w:r w:rsidRPr="009C2345">
              <w:rPr>
                <w:rFonts w:cs="Times New Roman"/>
                <w:sz w:val="20"/>
                <w:szCs w:val="20"/>
              </w:rPr>
              <w:t xml:space="preserve"> of guilt, but no more than that. The instruction in this case did not satisfy this requirement.</w:t>
            </w:r>
          </w:p>
          <w:p w:rsidR="003076F6" w:rsidRPr="009C2345" w:rsidRDefault="003076F6" w:rsidP="003076F6">
            <w:pPr>
              <w:jc w:val="both"/>
              <w:rPr>
                <w:rFonts w:cs="Times New Roman"/>
                <w:sz w:val="20"/>
                <w:szCs w:val="20"/>
              </w:rPr>
            </w:pPr>
          </w:p>
          <w:p w:rsidR="003076F6" w:rsidRPr="009C2345" w:rsidRDefault="003076F6" w:rsidP="003076F6">
            <w:pPr>
              <w:jc w:val="both"/>
              <w:rPr>
                <w:rFonts w:cs="Times New Roman"/>
                <w:sz w:val="20"/>
                <w:szCs w:val="20"/>
              </w:rPr>
            </w:pPr>
            <w:r w:rsidRPr="009C2345">
              <w:rPr>
                <w:rFonts w:cs="Times New Roman"/>
                <w:sz w:val="20"/>
                <w:szCs w:val="20"/>
              </w:rPr>
              <w:t>Moreover, there must be other evidence independent of the finding that the alibi is false on the basis of which a reasonable jury could conclude that the alibi was deliberately fabricated and that the accused was involved in that attempt to mislead the jury:</w:t>
            </w:r>
            <w:r w:rsidRPr="009C2345">
              <w:rPr>
                <w:rFonts w:cs="Times New Roman"/>
                <w:i/>
                <w:sz w:val="20"/>
                <w:szCs w:val="20"/>
              </w:rPr>
              <w:t xml:space="preserve"> R. v. O’Connor </w:t>
            </w:r>
            <w:r w:rsidRPr="009C2345">
              <w:rPr>
                <w:rFonts w:cs="Times New Roman"/>
                <w:sz w:val="20"/>
                <w:szCs w:val="20"/>
              </w:rPr>
              <w:t>(2002), 62 O.R (3d) 263 (C.A.);</w:t>
            </w:r>
            <w:r w:rsidRPr="009C2345">
              <w:rPr>
                <w:rFonts w:cs="Times New Roman"/>
                <w:i/>
                <w:sz w:val="20"/>
                <w:szCs w:val="20"/>
              </w:rPr>
              <w:t xml:space="preserve"> R. v. Hibbert</w:t>
            </w:r>
            <w:r w:rsidRPr="009C2345">
              <w:rPr>
                <w:rFonts w:cs="Times New Roman"/>
                <w:sz w:val="20"/>
                <w:szCs w:val="20"/>
              </w:rPr>
              <w:t xml:space="preserve">, 2002 SCC 39, [2002] 2 S.C.R. 445; </w:t>
            </w:r>
            <w:r w:rsidRPr="009C2345">
              <w:rPr>
                <w:rFonts w:cs="Times New Roman"/>
                <w:i/>
                <w:sz w:val="20"/>
                <w:szCs w:val="20"/>
              </w:rPr>
              <w:t>R. v. Tessier</w:t>
            </w:r>
            <w:r w:rsidRPr="009C2345">
              <w:rPr>
                <w:rFonts w:cs="Times New Roman"/>
                <w:sz w:val="20"/>
                <w:szCs w:val="20"/>
              </w:rPr>
              <w:t xml:space="preserve"> (1997), 113 C.C.C. (3d) 538 (B.C.C.A.) (per Ryan J.A.).</w:t>
            </w:r>
          </w:p>
          <w:p w:rsidR="003076F6" w:rsidRPr="009C2345" w:rsidRDefault="003076F6" w:rsidP="003076F6">
            <w:pPr>
              <w:jc w:val="both"/>
              <w:rPr>
                <w:rFonts w:cs="Times New Roman"/>
                <w:sz w:val="20"/>
                <w:szCs w:val="20"/>
              </w:rPr>
            </w:pPr>
          </w:p>
          <w:p w:rsidR="007F2557" w:rsidRPr="009C2345" w:rsidRDefault="007F2557" w:rsidP="003076F6">
            <w:pPr>
              <w:jc w:val="both"/>
              <w:rPr>
                <w:rFonts w:cs="Times New Roman"/>
                <w:sz w:val="20"/>
                <w:szCs w:val="20"/>
              </w:rPr>
            </w:pPr>
          </w:p>
          <w:p w:rsidR="003076F6" w:rsidRPr="009C2345" w:rsidRDefault="003076F6" w:rsidP="003076F6">
            <w:pPr>
              <w:jc w:val="both"/>
              <w:rPr>
                <w:rFonts w:cs="Times New Roman"/>
                <w:sz w:val="20"/>
                <w:szCs w:val="20"/>
              </w:rPr>
            </w:pPr>
            <w:r w:rsidRPr="009C2345">
              <w:rPr>
                <w:rFonts w:cs="Times New Roman"/>
                <w:sz w:val="20"/>
                <w:szCs w:val="20"/>
              </w:rPr>
              <w:t xml:space="preserve">However, we are of the opinion that, despite the trial judge’s errors, the evidence in the case at bar is so overwhelming that the trier of fact would inevitably have entered a conviction against the accused: </w:t>
            </w:r>
            <w:r w:rsidRPr="009C2345">
              <w:rPr>
                <w:rFonts w:cs="Times New Roman"/>
                <w:i/>
                <w:sz w:val="20"/>
                <w:szCs w:val="20"/>
              </w:rPr>
              <w:t>R. v. Trochym</w:t>
            </w:r>
            <w:r w:rsidRPr="009C2345">
              <w:rPr>
                <w:rFonts w:cs="Times New Roman"/>
                <w:sz w:val="20"/>
                <w:szCs w:val="20"/>
              </w:rPr>
              <w:t>, 2007 SCC 6, [2007] 1 S.C.R. 239.</w:t>
            </w:r>
          </w:p>
          <w:p w:rsidR="003076F6" w:rsidRPr="009C2345" w:rsidRDefault="003076F6" w:rsidP="003076F6">
            <w:pPr>
              <w:jc w:val="both"/>
              <w:rPr>
                <w:rFonts w:cs="Times New Roman"/>
                <w:sz w:val="20"/>
                <w:szCs w:val="20"/>
              </w:rPr>
            </w:pPr>
          </w:p>
          <w:p w:rsidR="007C47C2" w:rsidRPr="009C2345" w:rsidRDefault="003076F6" w:rsidP="003076F6">
            <w:pPr>
              <w:jc w:val="both"/>
              <w:rPr>
                <w:sz w:val="20"/>
                <w:szCs w:val="20"/>
              </w:rPr>
            </w:pPr>
            <w:r w:rsidRPr="009C2345">
              <w:rPr>
                <w:rFonts w:cs="Times New Roman"/>
                <w:sz w:val="20"/>
                <w:szCs w:val="20"/>
              </w:rPr>
              <w:t>For these reasons, the appeal is dismissed.</w:t>
            </w:r>
          </w:p>
        </w:tc>
      </w:tr>
    </w:tbl>
    <w:p w:rsidR="007C47C2" w:rsidRPr="009C2345" w:rsidRDefault="007C47C2" w:rsidP="007C47C2">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82006E" w:rsidTr="00EE4378">
        <w:tc>
          <w:tcPr>
            <w:tcW w:w="4380" w:type="dxa"/>
            <w:tcMar>
              <w:left w:w="0" w:type="dxa"/>
              <w:right w:w="0" w:type="dxa"/>
            </w:tcMar>
          </w:tcPr>
          <w:p w:rsidR="007C47C2" w:rsidRPr="009C2345" w:rsidRDefault="007C47C2" w:rsidP="00EE4378">
            <w:pPr>
              <w:widowControl w:val="0"/>
              <w:jc w:val="both"/>
              <w:rPr>
                <w:b/>
                <w:sz w:val="20"/>
                <w:szCs w:val="20"/>
                <w:u w:val="single"/>
              </w:rPr>
            </w:pPr>
            <w:r w:rsidRPr="009C2345">
              <w:rPr>
                <w:b/>
                <w:sz w:val="20"/>
                <w:szCs w:val="20"/>
                <w:u w:val="single"/>
              </w:rPr>
              <w:t>Nature of the case:</w:t>
            </w:r>
          </w:p>
          <w:p w:rsidR="007C47C2" w:rsidRPr="009C2345" w:rsidRDefault="007C47C2" w:rsidP="00EE4378">
            <w:pPr>
              <w:widowControl w:val="0"/>
              <w:jc w:val="both"/>
              <w:rPr>
                <w:b/>
                <w:sz w:val="20"/>
                <w:szCs w:val="20"/>
              </w:rPr>
            </w:pPr>
          </w:p>
          <w:p w:rsidR="007C47C2" w:rsidRPr="009C2345" w:rsidRDefault="00496668" w:rsidP="00EE4378">
            <w:pPr>
              <w:widowControl w:val="0"/>
              <w:jc w:val="both"/>
              <w:rPr>
                <w:b/>
                <w:sz w:val="20"/>
                <w:szCs w:val="20"/>
              </w:rPr>
            </w:pPr>
            <w:r w:rsidRPr="009C2345">
              <w:rPr>
                <w:sz w:val="20"/>
                <w:szCs w:val="20"/>
              </w:rPr>
              <w:t>Criminal law - Charge to jury - Defences - Alibi - Whether Court of Appeal erred in law in finding that it was open to trial judge to instruct jury on possibility of false alibi - Whether Court of Appeal erred in law in applying curative proviso of s. 686(1)(</w:t>
            </w:r>
            <w:r w:rsidRPr="009C2345">
              <w:rPr>
                <w:i/>
                <w:sz w:val="20"/>
                <w:szCs w:val="20"/>
              </w:rPr>
              <w:t>b</w:t>
            </w:r>
            <w:r w:rsidRPr="009C2345">
              <w:rPr>
                <w:sz w:val="20"/>
                <w:szCs w:val="20"/>
              </w:rPr>
              <w:t xml:space="preserve">)(iii) of </w:t>
            </w:r>
            <w:r w:rsidRPr="009C2345">
              <w:rPr>
                <w:i/>
                <w:sz w:val="20"/>
                <w:szCs w:val="20"/>
              </w:rPr>
              <w:t xml:space="preserve">Criminal Code </w:t>
            </w:r>
            <w:r w:rsidRPr="009C2345">
              <w:rPr>
                <w:sz w:val="20"/>
                <w:szCs w:val="20"/>
              </w:rPr>
              <w:t>to error in trial judge’s instruction regarding alibi.</w:t>
            </w:r>
          </w:p>
        </w:tc>
        <w:tc>
          <w:tcPr>
            <w:tcW w:w="720" w:type="dxa"/>
            <w:tcMar>
              <w:left w:w="0" w:type="dxa"/>
              <w:right w:w="0" w:type="dxa"/>
            </w:tcMar>
          </w:tcPr>
          <w:p w:rsidR="007C47C2" w:rsidRPr="009C2345" w:rsidRDefault="007C47C2" w:rsidP="00EE4378">
            <w:pPr>
              <w:widowControl w:val="0"/>
              <w:jc w:val="center"/>
              <w:rPr>
                <w:sz w:val="20"/>
                <w:szCs w:val="20"/>
              </w:rPr>
            </w:pPr>
          </w:p>
        </w:tc>
        <w:tc>
          <w:tcPr>
            <w:tcW w:w="4380" w:type="dxa"/>
            <w:tcMar>
              <w:left w:w="0" w:type="dxa"/>
              <w:right w:w="0" w:type="dxa"/>
            </w:tcMar>
          </w:tcPr>
          <w:p w:rsidR="007C47C2" w:rsidRPr="009C2345" w:rsidRDefault="007C47C2" w:rsidP="00EE4378">
            <w:pPr>
              <w:widowControl w:val="0"/>
              <w:jc w:val="both"/>
              <w:rPr>
                <w:b/>
                <w:sz w:val="20"/>
                <w:szCs w:val="20"/>
                <w:u w:val="single"/>
                <w:lang w:val="fr-CA"/>
              </w:rPr>
            </w:pPr>
            <w:r w:rsidRPr="009C2345">
              <w:rPr>
                <w:b/>
                <w:sz w:val="20"/>
                <w:szCs w:val="20"/>
                <w:u w:val="single"/>
                <w:lang w:val="fr-CA"/>
              </w:rPr>
              <w:t>Nature de la cause :</w:t>
            </w:r>
          </w:p>
          <w:p w:rsidR="007C47C2" w:rsidRPr="009C2345" w:rsidRDefault="007C47C2" w:rsidP="00EE4378">
            <w:pPr>
              <w:widowControl w:val="0"/>
              <w:jc w:val="both"/>
              <w:rPr>
                <w:sz w:val="20"/>
                <w:szCs w:val="20"/>
                <w:lang w:val="fr-CA"/>
              </w:rPr>
            </w:pPr>
          </w:p>
          <w:p w:rsidR="007C47C2" w:rsidRPr="009C2345" w:rsidRDefault="00496668" w:rsidP="00EE4378">
            <w:pPr>
              <w:widowControl w:val="0"/>
              <w:jc w:val="both"/>
              <w:rPr>
                <w:sz w:val="20"/>
                <w:szCs w:val="20"/>
                <w:lang w:val="fr-CA"/>
              </w:rPr>
            </w:pPr>
            <w:r w:rsidRPr="009C2345">
              <w:rPr>
                <w:sz w:val="20"/>
                <w:szCs w:val="20"/>
                <w:lang w:val="fr-CA"/>
              </w:rPr>
              <w:t xml:space="preserve">Droit criminel - Exposé au jury - Moyens de défense - Alibi - La Cour d’appel a-t-elle erré en droit en concluant que le juge du procès pouvait instruire le jury sur l’existence potentielle d’un alibi fabriqué? - La Cour d’appel a-t-elle erré en droit en appliquant la disposition réparatrice prévue au sous-alinéa 686(1)b)(iii) du </w:t>
            </w:r>
            <w:r w:rsidRPr="009C2345">
              <w:rPr>
                <w:i/>
                <w:sz w:val="20"/>
                <w:szCs w:val="20"/>
                <w:lang w:val="fr-CA"/>
              </w:rPr>
              <w:t>Code criminel</w:t>
            </w:r>
            <w:r w:rsidRPr="009C2345">
              <w:rPr>
                <w:sz w:val="20"/>
                <w:szCs w:val="20"/>
                <w:lang w:val="fr-CA"/>
              </w:rPr>
              <w:t xml:space="preserve"> à l’égard de l’erreur commise par le juge du procès quant à la directive portant sur l’alibi?</w:t>
            </w:r>
          </w:p>
        </w:tc>
      </w:tr>
    </w:tbl>
    <w:p w:rsidR="007C47C2" w:rsidRPr="009C2345" w:rsidRDefault="007C47C2" w:rsidP="007C47C2">
      <w:pPr>
        <w:widowControl w:val="0"/>
        <w:rPr>
          <w:sz w:val="20"/>
          <w:szCs w:val="20"/>
          <w:lang w:val="fr-CA"/>
        </w:rPr>
      </w:pPr>
    </w:p>
    <w:p w:rsidR="00E940EB" w:rsidRPr="009C2345" w:rsidRDefault="0082006E" w:rsidP="00732DB7">
      <w:pPr>
        <w:widowControl w:val="0"/>
        <w:rPr>
          <w:sz w:val="20"/>
          <w:szCs w:val="20"/>
          <w:lang w:val="fr-CA"/>
        </w:rPr>
      </w:pPr>
      <w:r>
        <w:rPr>
          <w:sz w:val="20"/>
          <w:szCs w:val="20"/>
          <w:lang w:val="fr-CA"/>
        </w:rPr>
        <w:pict>
          <v:rect id="_x0000_i1087" style="width:2in;height:1pt" o:hrpct="0" o:hralign="center" o:hrstd="t" o:hrnoshade="t" o:hr="t" fillcolor="black [3213]" stroked="f"/>
        </w:pict>
      </w:r>
    </w:p>
    <w:p w:rsidR="00D004FC" w:rsidRPr="009C2345" w:rsidRDefault="00D004FC" w:rsidP="00732DB7">
      <w:pPr>
        <w:widowControl w:val="0"/>
        <w:rPr>
          <w:sz w:val="20"/>
          <w:szCs w:val="20"/>
          <w:lang w:val="fr-CA"/>
        </w:rPr>
      </w:pPr>
    </w:p>
    <w:p w:rsidR="00732DB7" w:rsidRPr="009C2345" w:rsidRDefault="00732DB7" w:rsidP="00732DB7">
      <w:pPr>
        <w:widowControl w:val="0"/>
        <w:rPr>
          <w:sz w:val="20"/>
          <w:szCs w:val="20"/>
          <w:lang w:val="fr-CA"/>
        </w:rPr>
      </w:pPr>
    </w:p>
    <w:p w:rsidR="00732DB7" w:rsidRPr="009C2345" w:rsidRDefault="00732DB7" w:rsidP="00732DB7">
      <w:pPr>
        <w:widowControl w:val="0"/>
        <w:rPr>
          <w:sz w:val="20"/>
          <w:szCs w:val="20"/>
          <w:lang w:val="fr-CA"/>
        </w:rPr>
        <w:sectPr w:rsidR="00732DB7" w:rsidRPr="009C2345" w:rsidSect="00732DB7">
          <w:headerReference w:type="even" r:id="rId117"/>
          <w:headerReference w:type="default" r:id="rId118"/>
          <w:footerReference w:type="even" r:id="rId119"/>
          <w:footerReference w:type="default" r:id="rId120"/>
          <w:headerReference w:type="first" r:id="rId121"/>
          <w:footerReference w:type="first" r:id="rId122"/>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82006E" w:rsidTr="0085476B">
        <w:tc>
          <w:tcPr>
            <w:tcW w:w="4200" w:type="dxa"/>
            <w:tcMar>
              <w:left w:w="0" w:type="dxa"/>
              <w:right w:w="0" w:type="dxa"/>
            </w:tcMar>
          </w:tcPr>
          <w:p w:rsidR="00FF6EEC" w:rsidRPr="009C2345" w:rsidRDefault="00FF6EEC" w:rsidP="0085476B">
            <w:pPr>
              <w:keepNext/>
              <w:keepLines/>
              <w:tabs>
                <w:tab w:val="left" w:pos="-1440"/>
                <w:tab w:val="left" w:pos="-720"/>
              </w:tabs>
              <w:rPr>
                <w:b/>
                <w:szCs w:val="24"/>
              </w:rPr>
            </w:pPr>
            <w:r w:rsidRPr="009C2345">
              <w:rPr>
                <w:b/>
                <w:szCs w:val="24"/>
              </w:rPr>
              <w:t>PRONOUNCEMENTS OF APPEALS</w:t>
            </w:r>
            <w:r w:rsidR="0085476B" w:rsidRPr="009C2345">
              <w:rPr>
                <w:b/>
                <w:szCs w:val="24"/>
              </w:rPr>
              <w:t xml:space="preserve"> </w:t>
            </w:r>
            <w:r w:rsidRPr="009C2345">
              <w:rPr>
                <w:b/>
                <w:szCs w:val="24"/>
              </w:rPr>
              <w:t>RESERVED</w:t>
            </w:r>
          </w:p>
          <w:p w:rsidR="00FF6EEC" w:rsidRPr="009C2345"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9C2345"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9C2345">
              <w:rPr>
                <w:b/>
                <w:szCs w:val="24"/>
              </w:rPr>
              <w:t>Reasons for judgment are available</w:t>
            </w:r>
          </w:p>
        </w:tc>
        <w:tc>
          <w:tcPr>
            <w:tcW w:w="1200" w:type="dxa"/>
            <w:tcMar>
              <w:left w:w="0" w:type="dxa"/>
              <w:right w:w="0" w:type="dxa"/>
            </w:tcMar>
          </w:tcPr>
          <w:p w:rsidR="00FF6EEC" w:rsidRPr="009C2345" w:rsidRDefault="00FF6EEC" w:rsidP="00FF6EEC">
            <w:pPr>
              <w:keepNext/>
              <w:keepLines/>
              <w:tabs>
                <w:tab w:val="left" w:pos="-1440"/>
                <w:tab w:val="left" w:pos="-720"/>
              </w:tabs>
              <w:jc w:val="center"/>
              <w:rPr>
                <w:b/>
                <w:szCs w:val="24"/>
              </w:rPr>
            </w:pPr>
          </w:p>
          <w:p w:rsidR="00FF6EEC" w:rsidRPr="009C2345" w:rsidRDefault="00FF6EEC" w:rsidP="00FF6EEC">
            <w:pPr>
              <w:keepNext/>
              <w:keepLines/>
              <w:tabs>
                <w:tab w:val="left" w:pos="-1440"/>
                <w:tab w:val="left" w:pos="-720"/>
              </w:tabs>
              <w:jc w:val="center"/>
              <w:rPr>
                <w:b/>
                <w:szCs w:val="24"/>
              </w:rPr>
            </w:pPr>
          </w:p>
          <w:p w:rsidR="00FF6EEC" w:rsidRPr="009C2345" w:rsidRDefault="00FF6EEC" w:rsidP="00FF6EEC">
            <w:pPr>
              <w:keepNext/>
              <w:keepLines/>
              <w:tabs>
                <w:tab w:val="left" w:pos="-1440"/>
                <w:tab w:val="left" w:pos="-720"/>
              </w:tabs>
              <w:jc w:val="center"/>
              <w:rPr>
                <w:b/>
                <w:szCs w:val="24"/>
              </w:rPr>
            </w:pPr>
          </w:p>
          <w:p w:rsidR="00FF6EEC" w:rsidRPr="009C2345" w:rsidRDefault="00FF6EEC" w:rsidP="00FF6EEC">
            <w:pPr>
              <w:keepNext/>
              <w:keepLines/>
              <w:tabs>
                <w:tab w:val="left" w:pos="-1440"/>
                <w:tab w:val="left" w:pos="-720"/>
              </w:tabs>
              <w:jc w:val="center"/>
              <w:rPr>
                <w:b/>
                <w:szCs w:val="24"/>
              </w:rPr>
            </w:pPr>
          </w:p>
          <w:p w:rsidR="00FF6EEC" w:rsidRPr="009C2345"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9C2345" w:rsidRDefault="00FF6EEC" w:rsidP="00FF6EEC">
            <w:pPr>
              <w:keepNext/>
              <w:keepLines/>
              <w:tabs>
                <w:tab w:val="left" w:pos="-1440"/>
                <w:tab w:val="left" w:pos="-720"/>
              </w:tabs>
              <w:rPr>
                <w:b/>
                <w:szCs w:val="24"/>
                <w:lang w:val="fr-CA"/>
              </w:rPr>
            </w:pPr>
            <w:r w:rsidRPr="009C2345">
              <w:rPr>
                <w:b/>
                <w:szCs w:val="24"/>
                <w:lang w:val="fr-CA"/>
              </w:rPr>
              <w:t>JUGEMENTS RENDUS SUR LES APPELS EN DÉLIBÉRÉ</w:t>
            </w:r>
          </w:p>
          <w:p w:rsidR="00FF6EEC" w:rsidRPr="009C2345"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9C2345"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9C2345">
              <w:rPr>
                <w:b/>
                <w:szCs w:val="24"/>
                <w:lang w:val="fr-CA"/>
              </w:rPr>
              <w:t>Les motifs de jugement sont disponibles</w:t>
            </w:r>
          </w:p>
        </w:tc>
      </w:tr>
    </w:tbl>
    <w:p w:rsidR="00FF6EEC" w:rsidRPr="009C2345" w:rsidRDefault="00FF6EEC" w:rsidP="00FF6EEC">
      <w:pPr>
        <w:rPr>
          <w:b/>
          <w:sz w:val="20"/>
          <w:szCs w:val="20"/>
          <w:lang w:val="fr-CA"/>
        </w:rPr>
      </w:pPr>
    </w:p>
    <w:p w:rsidR="0052229C" w:rsidRPr="009C2345" w:rsidRDefault="003B3973" w:rsidP="0052229C">
      <w:pPr>
        <w:rPr>
          <w:b/>
          <w:sz w:val="20"/>
          <w:szCs w:val="20"/>
        </w:rPr>
      </w:pPr>
      <w:r w:rsidRPr="009C2345">
        <w:rPr>
          <w:b/>
          <w:sz w:val="20"/>
          <w:szCs w:val="20"/>
        </w:rPr>
        <w:t>MAY 6</w:t>
      </w:r>
      <w:r w:rsidR="0052229C" w:rsidRPr="009C2345">
        <w:rPr>
          <w:b/>
          <w:sz w:val="20"/>
          <w:szCs w:val="20"/>
        </w:rPr>
        <w:t>, 201</w:t>
      </w:r>
      <w:r w:rsidRPr="009C2345">
        <w:rPr>
          <w:b/>
          <w:sz w:val="20"/>
          <w:szCs w:val="20"/>
        </w:rPr>
        <w:t>6</w:t>
      </w:r>
      <w:r w:rsidR="0052229C" w:rsidRPr="009C2345">
        <w:rPr>
          <w:b/>
          <w:sz w:val="20"/>
          <w:szCs w:val="20"/>
        </w:rPr>
        <w:t xml:space="preserve"> / L</w:t>
      </w:r>
      <w:r w:rsidRPr="009C2345">
        <w:rPr>
          <w:b/>
          <w:sz w:val="20"/>
          <w:szCs w:val="20"/>
        </w:rPr>
        <w:t>E</w:t>
      </w:r>
      <w:r w:rsidR="0052229C" w:rsidRPr="009C2345">
        <w:rPr>
          <w:b/>
          <w:sz w:val="20"/>
          <w:szCs w:val="20"/>
        </w:rPr>
        <w:t xml:space="preserve"> 6 </w:t>
      </w:r>
      <w:r w:rsidRPr="009C2345">
        <w:rPr>
          <w:b/>
          <w:sz w:val="20"/>
          <w:szCs w:val="20"/>
        </w:rPr>
        <w:t>MAI</w:t>
      </w:r>
      <w:r w:rsidR="0052229C" w:rsidRPr="009C2345">
        <w:rPr>
          <w:b/>
          <w:sz w:val="20"/>
          <w:szCs w:val="20"/>
        </w:rPr>
        <w:t xml:space="preserve"> 201</w:t>
      </w:r>
      <w:r w:rsidRPr="009C2345">
        <w:rPr>
          <w:b/>
          <w:sz w:val="20"/>
          <w:szCs w:val="20"/>
        </w:rPr>
        <w:t>6</w:t>
      </w:r>
    </w:p>
    <w:p w:rsidR="0052229C" w:rsidRPr="009C2345" w:rsidRDefault="0052229C" w:rsidP="0052229C">
      <w:pPr>
        <w:rPr>
          <w:sz w:val="20"/>
          <w:szCs w:val="20"/>
        </w:rPr>
      </w:pPr>
    </w:p>
    <w:p w:rsidR="0052229C" w:rsidRPr="009C2345" w:rsidRDefault="000E27A5" w:rsidP="0052229C">
      <w:pPr>
        <w:ind w:left="1440" w:hanging="1440"/>
        <w:jc w:val="both"/>
        <w:rPr>
          <w:sz w:val="20"/>
        </w:rPr>
      </w:pPr>
      <w:r w:rsidRPr="009C2345">
        <w:rPr>
          <w:b/>
          <w:sz w:val="20"/>
        </w:rPr>
        <w:fldChar w:fldCharType="begin"/>
      </w:r>
      <w:r w:rsidR="0052229C" w:rsidRPr="009C2345">
        <w:rPr>
          <w:b/>
          <w:sz w:val="20"/>
        </w:rPr>
        <w:instrText xml:space="preserve"> SEQ CHAPTER \h \r 1</w:instrText>
      </w:r>
      <w:r w:rsidRPr="009C2345">
        <w:rPr>
          <w:b/>
          <w:sz w:val="20"/>
        </w:rPr>
        <w:fldChar w:fldCharType="end"/>
      </w:r>
      <w:r w:rsidR="0052229C" w:rsidRPr="009C2345">
        <w:rPr>
          <w:b/>
          <w:sz w:val="20"/>
        </w:rPr>
        <w:t>3</w:t>
      </w:r>
      <w:r w:rsidR="00BA0A35" w:rsidRPr="009C2345">
        <w:rPr>
          <w:b/>
          <w:sz w:val="20"/>
        </w:rPr>
        <w:t>6123</w:t>
      </w:r>
      <w:r w:rsidR="0052229C" w:rsidRPr="009C2345">
        <w:rPr>
          <w:sz w:val="20"/>
        </w:rPr>
        <w:tab/>
      </w:r>
      <w:r w:rsidR="00BA0A35" w:rsidRPr="009C2345">
        <w:rPr>
          <w:b/>
          <w:sz w:val="20"/>
          <w:u w:val="single"/>
        </w:rPr>
        <w:t xml:space="preserve">Krayzel Corporation v. </w:t>
      </w:r>
      <w:r w:rsidR="00F47EF5" w:rsidRPr="009C2345">
        <w:rPr>
          <w:b/>
          <w:sz w:val="20"/>
          <w:u w:val="single"/>
        </w:rPr>
        <w:t xml:space="preserve">The </w:t>
      </w:r>
      <w:r w:rsidR="00BA0A35" w:rsidRPr="009C2345">
        <w:rPr>
          <w:b/>
          <w:sz w:val="20"/>
          <w:u w:val="single"/>
        </w:rPr>
        <w:t>Equitable Trust Company</w:t>
      </w:r>
      <w:r w:rsidR="005F1B9B" w:rsidRPr="009C2345">
        <w:rPr>
          <w:b/>
          <w:sz w:val="20"/>
          <w:u w:val="single"/>
        </w:rPr>
        <w:t xml:space="preserve"> (now continued as Equitable Bank) </w:t>
      </w:r>
      <w:r w:rsidR="007F2557" w:rsidRPr="009C2345">
        <w:rPr>
          <w:b/>
          <w:sz w:val="20"/>
          <w:u w:val="single"/>
        </w:rPr>
        <w:t>-</w:t>
      </w:r>
      <w:r w:rsidR="005F1B9B" w:rsidRPr="009C2345">
        <w:rPr>
          <w:b/>
          <w:sz w:val="20"/>
          <w:u w:val="single"/>
        </w:rPr>
        <w:t xml:space="preserve"> and between </w:t>
      </w:r>
      <w:r w:rsidR="007F2557" w:rsidRPr="009C2345">
        <w:rPr>
          <w:b/>
          <w:sz w:val="20"/>
          <w:u w:val="single"/>
        </w:rPr>
        <w:t>-</w:t>
      </w:r>
      <w:r w:rsidR="005F1B9B" w:rsidRPr="009C2345">
        <w:rPr>
          <w:b/>
          <w:sz w:val="20"/>
          <w:u w:val="single"/>
        </w:rPr>
        <w:t xml:space="preserve"> Lougheed Block Inc., Neil John Richardson, Hugh Daryl Richardson and Heritage Property Corporation v. </w:t>
      </w:r>
      <w:r w:rsidR="00F47EF5" w:rsidRPr="009C2345">
        <w:rPr>
          <w:b/>
          <w:sz w:val="20"/>
          <w:u w:val="single"/>
        </w:rPr>
        <w:t xml:space="preserve">The </w:t>
      </w:r>
      <w:r w:rsidR="005F1B9B" w:rsidRPr="009C2345">
        <w:rPr>
          <w:b/>
          <w:sz w:val="20"/>
          <w:u w:val="single"/>
        </w:rPr>
        <w:t>Equitable Trust Company (now continued as Equitable Bank)</w:t>
      </w:r>
      <w:r w:rsidR="00BA0A35" w:rsidRPr="009C2345">
        <w:rPr>
          <w:b/>
          <w:sz w:val="20"/>
        </w:rPr>
        <w:t xml:space="preserve"> </w:t>
      </w:r>
      <w:r w:rsidR="0052229C" w:rsidRPr="009C2345">
        <w:rPr>
          <w:iCs/>
          <w:sz w:val="20"/>
        </w:rPr>
        <w:t>(</w:t>
      </w:r>
      <w:r w:rsidR="00BA0A35" w:rsidRPr="009C2345">
        <w:rPr>
          <w:iCs/>
          <w:sz w:val="20"/>
        </w:rPr>
        <w:t>Alta.</w:t>
      </w:r>
      <w:r w:rsidR="0052229C" w:rsidRPr="009C2345">
        <w:rPr>
          <w:iCs/>
          <w:sz w:val="20"/>
        </w:rPr>
        <w:t>)</w:t>
      </w:r>
    </w:p>
    <w:p w:rsidR="0052229C" w:rsidRPr="009C2345"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9C2345">
        <w:rPr>
          <w:b/>
          <w:sz w:val="20"/>
        </w:rPr>
        <w:t>201</w:t>
      </w:r>
      <w:r w:rsidR="003B3973" w:rsidRPr="009C2345">
        <w:rPr>
          <w:b/>
          <w:sz w:val="20"/>
        </w:rPr>
        <w:t>6</w:t>
      </w:r>
      <w:r w:rsidRPr="009C2345">
        <w:rPr>
          <w:b/>
          <w:sz w:val="20"/>
        </w:rPr>
        <w:t xml:space="preserve"> SCC 1</w:t>
      </w:r>
      <w:r w:rsidR="003B3973" w:rsidRPr="009C2345">
        <w:rPr>
          <w:b/>
          <w:sz w:val="20"/>
        </w:rPr>
        <w:t>8</w:t>
      </w:r>
      <w:r w:rsidRPr="009C2345">
        <w:rPr>
          <w:b/>
          <w:sz w:val="20"/>
        </w:rPr>
        <w:t xml:space="preserve"> / 201</w:t>
      </w:r>
      <w:r w:rsidR="003B3973" w:rsidRPr="009C2345">
        <w:rPr>
          <w:b/>
          <w:sz w:val="20"/>
        </w:rPr>
        <w:t>6</w:t>
      </w:r>
      <w:r w:rsidRPr="009C2345">
        <w:rPr>
          <w:b/>
          <w:sz w:val="20"/>
        </w:rPr>
        <w:t xml:space="preserve"> CSC 1</w:t>
      </w:r>
      <w:r w:rsidR="003B3973" w:rsidRPr="009C2345">
        <w:rPr>
          <w:b/>
          <w:sz w:val="20"/>
        </w:rPr>
        <w:t>8</w:t>
      </w:r>
    </w:p>
    <w:p w:rsidR="0052229C" w:rsidRPr="009C2345"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52229C" w:rsidRPr="009C2345" w:rsidRDefault="0052229C" w:rsidP="0052229C">
      <w:pPr>
        <w:ind w:left="1440" w:hanging="1440"/>
        <w:rPr>
          <w:sz w:val="20"/>
          <w:u w:val="single"/>
        </w:rPr>
      </w:pPr>
      <w:r w:rsidRPr="009C2345">
        <w:rPr>
          <w:sz w:val="20"/>
        </w:rPr>
        <w:t>Coram:</w:t>
      </w:r>
      <w:r w:rsidRPr="009C2345">
        <w:rPr>
          <w:sz w:val="20"/>
        </w:rPr>
        <w:tab/>
      </w:r>
      <w:r w:rsidR="00F47EF5" w:rsidRPr="009C2345">
        <w:rPr>
          <w:sz w:val="20"/>
          <w:u w:val="single"/>
        </w:rPr>
        <w:t>McLachlin C.J. and</w:t>
      </w:r>
      <w:r w:rsidRPr="009C2345">
        <w:rPr>
          <w:sz w:val="20"/>
          <w:u w:val="single"/>
        </w:rPr>
        <w:t xml:space="preserve"> Abella, </w:t>
      </w:r>
      <w:r w:rsidR="00F47EF5" w:rsidRPr="009C2345">
        <w:rPr>
          <w:sz w:val="20"/>
          <w:u w:val="single"/>
        </w:rPr>
        <w:t>Cromwell</w:t>
      </w:r>
      <w:r w:rsidRPr="009C2345">
        <w:rPr>
          <w:sz w:val="20"/>
          <w:u w:val="single"/>
        </w:rPr>
        <w:t>, Moldaver, Karakatsanis</w:t>
      </w:r>
      <w:r w:rsidR="00F47EF5" w:rsidRPr="009C2345">
        <w:rPr>
          <w:sz w:val="20"/>
          <w:u w:val="single"/>
        </w:rPr>
        <w:t>,</w:t>
      </w:r>
      <w:r w:rsidRPr="009C2345">
        <w:rPr>
          <w:sz w:val="20"/>
          <w:u w:val="single"/>
        </w:rPr>
        <w:t xml:space="preserve"> Wagner</w:t>
      </w:r>
      <w:r w:rsidR="00F47EF5" w:rsidRPr="009C2345">
        <w:rPr>
          <w:sz w:val="20"/>
          <w:u w:val="single"/>
        </w:rPr>
        <w:t>, Gascon, Côté and Brown JJ.</w:t>
      </w:r>
      <w:r w:rsidRPr="009C2345">
        <w:rPr>
          <w:sz w:val="20"/>
          <w:u w:val="single"/>
        </w:rPr>
        <w:t xml:space="preserve"> </w:t>
      </w:r>
    </w:p>
    <w:p w:rsidR="0052229C" w:rsidRPr="009C2345" w:rsidRDefault="0052229C" w:rsidP="0052229C">
      <w:pPr>
        <w:ind w:left="1440" w:hanging="1440"/>
        <w:rPr>
          <w:sz w:val="16"/>
          <w:u w:val="single"/>
        </w:rPr>
      </w:pPr>
      <w:r w:rsidRPr="009C2345">
        <w:rPr>
          <w:sz w:val="20"/>
          <w:u w:val="single"/>
        </w:rPr>
        <w:t xml:space="preserve"> </w:t>
      </w:r>
    </w:p>
    <w:p w:rsidR="0052229C" w:rsidRPr="009C2345" w:rsidRDefault="00F47EF5" w:rsidP="0052229C">
      <w:pPr>
        <w:jc w:val="both"/>
        <w:rPr>
          <w:rFonts w:eastAsia="Calibri"/>
          <w:sz w:val="20"/>
          <w:lang w:val="fr-CA"/>
        </w:rPr>
      </w:pPr>
      <w:r w:rsidRPr="009C2345">
        <w:rPr>
          <w:rFonts w:eastAsia="Calibri"/>
          <w:sz w:val="20"/>
        </w:rPr>
        <w:t xml:space="preserve">The appeal from the judgment of the Court of Appeal of Alberta (Calgary), Numbers 1201-0249-AC and 1201-0254-AC, 2014 ABCA 234, dated July 22, 2014, heard on November 12, 2015, is allowed with costs in this Court and in the courts below. The 25 percent per annum rate of interest set by the Second Renewal Agreement is void. The interest rate in force under the Second Renewal Agreement as of February 1, 2009 shall be set at the higher of 7.5 percent and the prime interest rate plus 5.25 percent.  </w:t>
      </w:r>
      <w:r w:rsidRPr="009C2345">
        <w:rPr>
          <w:rFonts w:eastAsia="Calibri"/>
          <w:sz w:val="20"/>
          <w:lang w:val="fr-CA"/>
        </w:rPr>
        <w:t>Abella, Moldaver and Côté JJ. are dissenting.</w:t>
      </w:r>
    </w:p>
    <w:p w:rsidR="00F47EF5" w:rsidRPr="009C2345" w:rsidRDefault="00F47EF5" w:rsidP="0052229C">
      <w:pPr>
        <w:jc w:val="both"/>
        <w:rPr>
          <w:rFonts w:eastAsia="Calibri"/>
          <w:sz w:val="20"/>
          <w:lang w:val="fr-CA"/>
        </w:rPr>
      </w:pPr>
    </w:p>
    <w:p w:rsidR="0052229C" w:rsidRPr="009C2345" w:rsidRDefault="00F47EF5" w:rsidP="0052229C">
      <w:pPr>
        <w:jc w:val="both"/>
        <w:rPr>
          <w:rFonts w:eastAsia="Calibri"/>
          <w:sz w:val="20"/>
        </w:rPr>
      </w:pPr>
      <w:r w:rsidRPr="009C2345">
        <w:rPr>
          <w:rFonts w:eastAsia="Calibri"/>
          <w:sz w:val="20"/>
          <w:lang w:val="fr-CA"/>
        </w:rPr>
        <w:t xml:space="preserve">L’appel interjeté contre l’arrêt de la Cour d’appel de l’Alberta (Calgary), numéros 1201-0249-AC et 1201-0254-AC, 2014 ABCA 234, en date du 22 juillet 2014, entendu le 12 novembre 2015, est accueilli avec dépens devant cette Cour et devant les juridictions inférieures. Le taux d’intérêt annuel de 25 pour 100 fixé par la Seconde convention de renouvellement est annulé. Le taux d’intérêt en vigueur à compter du 1er février 2009 en vertu de la Seconde convention de renouvellement est établi au plus élevé des taux suivants : 7,5 pour 100 ou le taux préférentiel plus 5,25 pour 100. </w:t>
      </w:r>
      <w:r w:rsidRPr="009C2345">
        <w:rPr>
          <w:rFonts w:eastAsia="Calibri"/>
          <w:sz w:val="20"/>
        </w:rPr>
        <w:t>Les juges Abella, Moldaver et Côté sont dissidents.</w:t>
      </w:r>
    </w:p>
    <w:p w:rsidR="0052229C" w:rsidRPr="009C2345" w:rsidRDefault="0052229C" w:rsidP="0052229C">
      <w:pPr>
        <w:rPr>
          <w:sz w:val="20"/>
          <w:szCs w:val="20"/>
        </w:rPr>
      </w:pPr>
    </w:p>
    <w:p w:rsidR="0052229C" w:rsidRPr="009C2345" w:rsidRDefault="0082006E" w:rsidP="0052229C">
      <w:pPr>
        <w:spacing w:line="0" w:lineRule="atLeast"/>
        <w:rPr>
          <w:sz w:val="20"/>
          <w:szCs w:val="20"/>
        </w:rPr>
      </w:pPr>
      <w:r>
        <w:rPr>
          <w:b/>
          <w:sz w:val="20"/>
          <w:szCs w:val="20"/>
        </w:rPr>
        <w:pict>
          <v:rect id="_x0000_i1090" style="width:144.3pt;height:1pt" o:hrpct="300" o:hralign="center" o:hrstd="t" o:hrnoshade="t" o:hr="t" fillcolor="black [3213]" stroked="f"/>
        </w:pict>
      </w:r>
    </w:p>
    <w:p w:rsidR="0052229C" w:rsidRPr="009C2345" w:rsidRDefault="0052229C" w:rsidP="0052229C">
      <w:pPr>
        <w:spacing w:line="0" w:lineRule="atLeast"/>
        <w:rPr>
          <w:sz w:val="20"/>
          <w:szCs w:val="20"/>
        </w:rPr>
      </w:pPr>
    </w:p>
    <w:p w:rsidR="0052229C" w:rsidRPr="009C2345" w:rsidRDefault="007E4B29" w:rsidP="0052229C">
      <w:pPr>
        <w:rPr>
          <w:b/>
          <w:sz w:val="20"/>
          <w:szCs w:val="20"/>
        </w:rPr>
      </w:pPr>
      <w:r w:rsidRPr="009C2345">
        <w:rPr>
          <w:b/>
          <w:sz w:val="20"/>
          <w:szCs w:val="20"/>
        </w:rPr>
        <w:t>MAY</w:t>
      </w:r>
      <w:r w:rsidR="0052229C" w:rsidRPr="009C2345">
        <w:rPr>
          <w:b/>
          <w:sz w:val="20"/>
          <w:szCs w:val="20"/>
        </w:rPr>
        <w:t xml:space="preserve"> </w:t>
      </w:r>
      <w:r w:rsidRPr="009C2345">
        <w:rPr>
          <w:b/>
          <w:sz w:val="20"/>
          <w:szCs w:val="20"/>
        </w:rPr>
        <w:t>6</w:t>
      </w:r>
      <w:r w:rsidR="0052229C" w:rsidRPr="009C2345">
        <w:rPr>
          <w:b/>
          <w:sz w:val="20"/>
          <w:szCs w:val="20"/>
        </w:rPr>
        <w:t>, 201</w:t>
      </w:r>
      <w:r w:rsidRPr="009C2345">
        <w:rPr>
          <w:b/>
          <w:sz w:val="20"/>
          <w:szCs w:val="20"/>
        </w:rPr>
        <w:t>6</w:t>
      </w:r>
      <w:r w:rsidR="0052229C" w:rsidRPr="009C2345">
        <w:rPr>
          <w:b/>
          <w:sz w:val="20"/>
          <w:szCs w:val="20"/>
        </w:rPr>
        <w:t xml:space="preserve"> / LE </w:t>
      </w:r>
      <w:r w:rsidRPr="009C2345">
        <w:rPr>
          <w:b/>
          <w:sz w:val="20"/>
          <w:szCs w:val="20"/>
        </w:rPr>
        <w:t>6</w:t>
      </w:r>
      <w:r w:rsidR="0052229C" w:rsidRPr="009C2345">
        <w:rPr>
          <w:b/>
          <w:sz w:val="20"/>
          <w:szCs w:val="20"/>
        </w:rPr>
        <w:t xml:space="preserve"> </w:t>
      </w:r>
      <w:r w:rsidRPr="009C2345">
        <w:rPr>
          <w:b/>
          <w:sz w:val="20"/>
          <w:szCs w:val="20"/>
        </w:rPr>
        <w:t>MAI</w:t>
      </w:r>
      <w:r w:rsidR="0052229C" w:rsidRPr="009C2345">
        <w:rPr>
          <w:b/>
          <w:sz w:val="20"/>
          <w:szCs w:val="20"/>
        </w:rPr>
        <w:t xml:space="preserve"> 201</w:t>
      </w:r>
      <w:r w:rsidRPr="009C2345">
        <w:rPr>
          <w:b/>
          <w:sz w:val="20"/>
          <w:szCs w:val="20"/>
        </w:rPr>
        <w:t>6</w:t>
      </w:r>
    </w:p>
    <w:p w:rsidR="0052229C" w:rsidRPr="009C2345" w:rsidRDefault="0052229C" w:rsidP="0052229C">
      <w:pPr>
        <w:spacing w:line="0" w:lineRule="atLeast"/>
        <w:rPr>
          <w:rFonts w:cs="Times New Roman"/>
          <w:sz w:val="20"/>
          <w:szCs w:val="20"/>
        </w:rPr>
      </w:pPr>
    </w:p>
    <w:p w:rsidR="0052229C" w:rsidRPr="009C2345" w:rsidRDefault="000E27A5" w:rsidP="0052229C">
      <w:pPr>
        <w:ind w:left="1440" w:hanging="1440"/>
        <w:jc w:val="both"/>
        <w:rPr>
          <w:sz w:val="20"/>
          <w:szCs w:val="20"/>
        </w:rPr>
      </w:pPr>
      <w:r w:rsidRPr="009C2345">
        <w:rPr>
          <w:b/>
          <w:sz w:val="20"/>
          <w:szCs w:val="20"/>
        </w:rPr>
        <w:fldChar w:fldCharType="begin"/>
      </w:r>
      <w:r w:rsidR="0052229C" w:rsidRPr="009C2345">
        <w:rPr>
          <w:b/>
          <w:sz w:val="20"/>
          <w:szCs w:val="20"/>
        </w:rPr>
        <w:instrText xml:space="preserve"> SEQ CHAPTER \h \r 1</w:instrText>
      </w:r>
      <w:r w:rsidRPr="009C2345">
        <w:rPr>
          <w:b/>
          <w:sz w:val="20"/>
          <w:szCs w:val="20"/>
        </w:rPr>
        <w:fldChar w:fldCharType="end"/>
      </w:r>
      <w:r w:rsidR="0052229C" w:rsidRPr="009C2345">
        <w:rPr>
          <w:b/>
          <w:sz w:val="20"/>
          <w:szCs w:val="20"/>
        </w:rPr>
        <w:t>3</w:t>
      </w:r>
      <w:r w:rsidR="00BA0A35" w:rsidRPr="009C2345">
        <w:rPr>
          <w:b/>
          <w:sz w:val="20"/>
          <w:szCs w:val="20"/>
        </w:rPr>
        <w:t>630</w:t>
      </w:r>
      <w:r w:rsidR="0052229C" w:rsidRPr="009C2345">
        <w:rPr>
          <w:b/>
          <w:sz w:val="20"/>
          <w:szCs w:val="20"/>
        </w:rPr>
        <w:t>1</w:t>
      </w:r>
      <w:r w:rsidR="0052229C" w:rsidRPr="009C2345">
        <w:rPr>
          <w:sz w:val="20"/>
          <w:szCs w:val="20"/>
        </w:rPr>
        <w:tab/>
      </w:r>
      <w:r w:rsidR="00BA0A35" w:rsidRPr="009C2345">
        <w:rPr>
          <w:b/>
          <w:sz w:val="20"/>
          <w:szCs w:val="20"/>
          <w:u w:val="single"/>
        </w:rPr>
        <w:t>Heritage Capital Corporation v. Equitable Trust Company</w:t>
      </w:r>
      <w:r w:rsidR="003F0689" w:rsidRPr="009C2345">
        <w:rPr>
          <w:b/>
          <w:sz w:val="20"/>
          <w:szCs w:val="20"/>
          <w:u w:val="single"/>
        </w:rPr>
        <w:t>, Lougheed Block Inc., Neil John Richardson, Hugh Daryl Richardson and Heritage Property Corporation, 604 1</w:t>
      </w:r>
      <w:r w:rsidR="003F0689" w:rsidRPr="009C2345">
        <w:rPr>
          <w:b/>
          <w:sz w:val="20"/>
          <w:szCs w:val="20"/>
          <w:u w:val="single"/>
          <w:vertAlign w:val="superscript"/>
        </w:rPr>
        <w:t>st</w:t>
      </w:r>
      <w:r w:rsidR="003F0689" w:rsidRPr="009C2345">
        <w:rPr>
          <w:b/>
          <w:sz w:val="20"/>
          <w:szCs w:val="20"/>
          <w:u w:val="single"/>
        </w:rPr>
        <w:t xml:space="preserve"> Street S.W. Inc. and Krayzel Corp.</w:t>
      </w:r>
      <w:r w:rsidR="00BA0A35" w:rsidRPr="009C2345">
        <w:rPr>
          <w:b/>
          <w:sz w:val="20"/>
          <w:szCs w:val="20"/>
        </w:rPr>
        <w:t xml:space="preserve"> </w:t>
      </w:r>
      <w:r w:rsidR="0052229C" w:rsidRPr="009C2345">
        <w:rPr>
          <w:iCs/>
          <w:sz w:val="20"/>
          <w:szCs w:val="20"/>
        </w:rPr>
        <w:t>(</w:t>
      </w:r>
      <w:r w:rsidR="00BA0A35" w:rsidRPr="009C2345">
        <w:rPr>
          <w:iCs/>
          <w:sz w:val="20"/>
          <w:szCs w:val="20"/>
        </w:rPr>
        <w:t>Alta</w:t>
      </w:r>
      <w:r w:rsidR="0052229C" w:rsidRPr="009C2345">
        <w:rPr>
          <w:iCs/>
          <w:sz w:val="20"/>
          <w:szCs w:val="20"/>
        </w:rPr>
        <w:t>.)</w:t>
      </w:r>
    </w:p>
    <w:p w:rsidR="0052229C" w:rsidRPr="009C2345"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9C2345">
        <w:rPr>
          <w:b/>
          <w:sz w:val="20"/>
          <w:szCs w:val="20"/>
        </w:rPr>
        <w:t>201</w:t>
      </w:r>
      <w:r w:rsidR="00BA0A35" w:rsidRPr="009C2345">
        <w:rPr>
          <w:b/>
          <w:sz w:val="20"/>
          <w:szCs w:val="20"/>
        </w:rPr>
        <w:t>6</w:t>
      </w:r>
      <w:r w:rsidRPr="009C2345">
        <w:rPr>
          <w:b/>
          <w:sz w:val="20"/>
          <w:szCs w:val="20"/>
        </w:rPr>
        <w:t xml:space="preserve"> SCC </w:t>
      </w:r>
      <w:r w:rsidR="00BA0A35" w:rsidRPr="009C2345">
        <w:rPr>
          <w:b/>
          <w:sz w:val="20"/>
          <w:szCs w:val="20"/>
        </w:rPr>
        <w:t>19</w:t>
      </w:r>
      <w:r w:rsidRPr="009C2345">
        <w:rPr>
          <w:b/>
          <w:sz w:val="20"/>
          <w:szCs w:val="20"/>
        </w:rPr>
        <w:t xml:space="preserve"> / 201</w:t>
      </w:r>
      <w:r w:rsidR="00BA0A35" w:rsidRPr="009C2345">
        <w:rPr>
          <w:b/>
          <w:sz w:val="20"/>
          <w:szCs w:val="20"/>
        </w:rPr>
        <w:t>6</w:t>
      </w:r>
      <w:r w:rsidRPr="009C2345">
        <w:rPr>
          <w:b/>
          <w:sz w:val="20"/>
          <w:szCs w:val="20"/>
        </w:rPr>
        <w:t xml:space="preserve"> CSC </w:t>
      </w:r>
      <w:r w:rsidR="00BA0A35" w:rsidRPr="009C2345">
        <w:rPr>
          <w:b/>
          <w:sz w:val="20"/>
          <w:szCs w:val="20"/>
        </w:rPr>
        <w:t>19</w:t>
      </w:r>
    </w:p>
    <w:p w:rsidR="0052229C" w:rsidRPr="009C2345"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52229C" w:rsidRPr="009C2345" w:rsidRDefault="00112410" w:rsidP="0052229C">
      <w:pPr>
        <w:ind w:left="1440" w:hanging="1440"/>
        <w:jc w:val="both"/>
        <w:rPr>
          <w:sz w:val="20"/>
          <w:szCs w:val="20"/>
          <w:u w:val="single"/>
        </w:rPr>
      </w:pPr>
      <w:r w:rsidRPr="009C2345">
        <w:rPr>
          <w:sz w:val="20"/>
          <w:szCs w:val="20"/>
        </w:rPr>
        <w:t xml:space="preserve">Coram: </w:t>
      </w:r>
      <w:r w:rsidRPr="009C2345">
        <w:rPr>
          <w:sz w:val="20"/>
          <w:szCs w:val="20"/>
        </w:rPr>
        <w:tab/>
        <w:t xml:space="preserve"> </w:t>
      </w:r>
      <w:r w:rsidRPr="009C2345">
        <w:rPr>
          <w:sz w:val="20"/>
          <w:szCs w:val="20"/>
          <w:u w:val="single"/>
        </w:rPr>
        <w:t>McLachlin C.J. and Abella, Cromwell, Moldaver, Karakatsanis, Wagner, Gascon, Côté and Brown JJ.</w:t>
      </w:r>
    </w:p>
    <w:p w:rsidR="00112410" w:rsidRPr="009C2345" w:rsidRDefault="00112410" w:rsidP="0052229C">
      <w:pPr>
        <w:ind w:left="1440" w:hanging="1440"/>
        <w:jc w:val="both"/>
        <w:rPr>
          <w:sz w:val="20"/>
          <w:szCs w:val="20"/>
          <w:u w:val="single"/>
        </w:rPr>
      </w:pPr>
    </w:p>
    <w:p w:rsidR="0052229C" w:rsidRPr="009C2345" w:rsidRDefault="00112410" w:rsidP="0052229C">
      <w:pPr>
        <w:jc w:val="both"/>
        <w:rPr>
          <w:rFonts w:cs="Times New Roman"/>
          <w:sz w:val="20"/>
          <w:szCs w:val="20"/>
        </w:rPr>
      </w:pPr>
      <w:r w:rsidRPr="009C2345">
        <w:rPr>
          <w:rFonts w:cs="Times New Roman"/>
          <w:sz w:val="20"/>
          <w:szCs w:val="20"/>
        </w:rPr>
        <w:t xml:space="preserve">The appeal from the judgment of the Court of Appeal of Alberta (Calgary), Number 1301-0268-AC, 2014 ABCA 427, dated December 16, 2014, heard on January 22, 2016, is allowed with costs throughout in favour of Heritage Capital Corporation and Lougheed Block Inc. as against 604 1st Street S.W. Inc. The order of the master in chambers is restored. If the parties disagree about the order of priorities under the </w:t>
      </w:r>
      <w:r w:rsidRPr="009C2345">
        <w:rPr>
          <w:rFonts w:cs="Times New Roman"/>
          <w:i/>
          <w:sz w:val="20"/>
          <w:szCs w:val="20"/>
        </w:rPr>
        <w:t>Personal Property Security Act</w:t>
      </w:r>
      <w:r w:rsidRPr="009C2345">
        <w:rPr>
          <w:rFonts w:cs="Times New Roman"/>
          <w:sz w:val="20"/>
          <w:szCs w:val="20"/>
        </w:rPr>
        <w:t>, R.S.A. 2000, c. P-7, between the Heritage Assignment and the 604 Assignment,</w:t>
      </w:r>
      <w:r w:rsidRPr="009C2345">
        <w:rPr>
          <w:rFonts w:cs="Times New Roman"/>
          <w:i/>
          <w:sz w:val="20"/>
          <w:szCs w:val="20"/>
        </w:rPr>
        <w:t xml:space="preserve"> </w:t>
      </w:r>
      <w:r w:rsidRPr="009C2345">
        <w:rPr>
          <w:rFonts w:cs="Times New Roman"/>
          <w:sz w:val="20"/>
          <w:szCs w:val="20"/>
        </w:rPr>
        <w:t>this issue alone is remitted to a master in chambers to be decided in accordance with this Court’s findings.</w:t>
      </w:r>
    </w:p>
    <w:p w:rsidR="00112410" w:rsidRPr="009C2345" w:rsidRDefault="00112410" w:rsidP="0052229C">
      <w:pPr>
        <w:jc w:val="both"/>
        <w:rPr>
          <w:rFonts w:eastAsia="Calibri"/>
          <w:sz w:val="20"/>
          <w:szCs w:val="20"/>
        </w:rPr>
      </w:pPr>
    </w:p>
    <w:p w:rsidR="00D004FC" w:rsidRPr="009C2345" w:rsidRDefault="00112410" w:rsidP="001525A4">
      <w:pPr>
        <w:spacing w:line="0" w:lineRule="atLeast"/>
        <w:jc w:val="both"/>
        <w:rPr>
          <w:rFonts w:cs="Times New Roman"/>
          <w:sz w:val="20"/>
          <w:szCs w:val="20"/>
          <w:lang w:val="fr-CA"/>
        </w:rPr>
      </w:pPr>
      <w:r w:rsidRPr="009C2345">
        <w:rPr>
          <w:rFonts w:cs="Times New Roman"/>
          <w:sz w:val="20"/>
          <w:szCs w:val="20"/>
          <w:lang w:val="fr-CA"/>
        </w:rPr>
        <w:t xml:space="preserve">L’appel interjeté contre l’arrêt de la Cour d’appel de l’Alberta (Calgary), numéro 1301-0268-AC, 2014 ABCA 427, en date du 16 décembre 2014, entendu le 22 janvier 2016, est accueilli avec dépens payables par 604 1st Street S.W. Inc. en faveur d’Heritage Capital Corporation et de Lougheed Block Inc. devant toutes les cours. L’ordonnance du protonotaire en chambre est rétablie. Si les parties ne s’entendent pas sur la question de savoir si c’est la Cession en faveur d’Heritage ou la Cession en faveur de 604 qui a priorité en vertu de la </w:t>
      </w:r>
      <w:r w:rsidRPr="009C2345">
        <w:rPr>
          <w:rFonts w:cs="Times New Roman"/>
          <w:i/>
          <w:sz w:val="20"/>
          <w:szCs w:val="20"/>
          <w:lang w:val="fr-CA"/>
        </w:rPr>
        <w:t>Personal Property Security Act</w:t>
      </w:r>
      <w:r w:rsidRPr="009C2345">
        <w:rPr>
          <w:rFonts w:cs="Times New Roman"/>
          <w:sz w:val="20"/>
          <w:szCs w:val="20"/>
          <w:lang w:val="fr-CA"/>
        </w:rPr>
        <w:t>, R.S.A. 2000, c. P-7, cette seule question est renvoyée à un protonotaire en chambre pour qu’elle soit tranchée conformément aux conclusions énoncées par la Cour.</w:t>
      </w:r>
    </w:p>
    <w:p w:rsidR="00D004FC" w:rsidRPr="009C2345" w:rsidRDefault="0082006E" w:rsidP="00D004FC">
      <w:pPr>
        <w:jc w:val="both"/>
        <w:rPr>
          <w:rFonts w:cs="Times New Roman"/>
          <w:b/>
          <w:sz w:val="20"/>
          <w:szCs w:val="20"/>
        </w:rPr>
      </w:pPr>
      <w:r>
        <w:rPr>
          <w:rFonts w:cs="Times New Roman"/>
          <w:b/>
          <w:sz w:val="20"/>
          <w:szCs w:val="20"/>
        </w:rPr>
        <w:pict>
          <v:rect id="_x0000_i1091" style="width:144.3pt;height:1pt" o:hrpct="300" o:hralign="center" o:hrstd="t" o:hrnoshade="t" o:hr="t" fillcolor="black [3213]" stroked="f"/>
        </w:pict>
      </w:r>
    </w:p>
    <w:p w:rsidR="00D004FC" w:rsidRPr="009C2345"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9C2345" w:rsidRDefault="00732DB7" w:rsidP="00732DB7">
      <w:pPr>
        <w:widowControl w:val="0"/>
        <w:rPr>
          <w:sz w:val="20"/>
          <w:szCs w:val="20"/>
        </w:rPr>
      </w:pPr>
    </w:p>
    <w:p w:rsidR="00697C62" w:rsidRPr="009C2345" w:rsidRDefault="00697C62" w:rsidP="00732DB7">
      <w:pPr>
        <w:widowControl w:val="0"/>
        <w:rPr>
          <w:sz w:val="20"/>
          <w:szCs w:val="20"/>
        </w:rPr>
        <w:sectPr w:rsidR="00697C62" w:rsidRPr="009C2345" w:rsidSect="00782AE4">
          <w:headerReference w:type="even" r:id="rId123"/>
          <w:headerReference w:type="default" r:id="rId124"/>
          <w:footerReference w:type="even" r:id="rId125"/>
          <w:footerReference w:type="default" r:id="rId126"/>
          <w:headerReference w:type="first" r:id="rId127"/>
          <w:footerReference w:type="first" r:id="rId128"/>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9C2345" w:rsidTr="0085476B">
        <w:tc>
          <w:tcPr>
            <w:tcW w:w="4200" w:type="dxa"/>
            <w:tcMar>
              <w:left w:w="0" w:type="dxa"/>
              <w:right w:w="0" w:type="dxa"/>
            </w:tcMar>
          </w:tcPr>
          <w:p w:rsidR="00782AE4" w:rsidRPr="009C2345" w:rsidRDefault="00782AE4" w:rsidP="00782AE4">
            <w:pPr>
              <w:keepNext/>
              <w:keepLines/>
              <w:jc w:val="both"/>
              <w:rPr>
                <w:b/>
                <w:szCs w:val="24"/>
              </w:rPr>
            </w:pPr>
            <w:r w:rsidRPr="009C2345">
              <w:rPr>
                <w:b/>
                <w:szCs w:val="24"/>
              </w:rPr>
              <w:t>HEADNOTES OF RECENT</w:t>
            </w:r>
          </w:p>
          <w:p w:rsidR="00782AE4" w:rsidRPr="009C2345" w:rsidRDefault="00782AE4" w:rsidP="00782AE4">
            <w:pPr>
              <w:keepNext/>
              <w:keepLines/>
              <w:jc w:val="both"/>
              <w:rPr>
                <w:b/>
                <w:szCs w:val="24"/>
              </w:rPr>
            </w:pPr>
            <w:r w:rsidRPr="009C2345">
              <w:rPr>
                <w:b/>
                <w:szCs w:val="24"/>
              </w:rPr>
              <w:t>JUDGMENTS</w:t>
            </w:r>
          </w:p>
        </w:tc>
        <w:tc>
          <w:tcPr>
            <w:tcW w:w="1200" w:type="dxa"/>
            <w:tcMar>
              <w:left w:w="0" w:type="dxa"/>
              <w:right w:w="0" w:type="dxa"/>
            </w:tcMar>
          </w:tcPr>
          <w:p w:rsidR="00782AE4" w:rsidRPr="009C2345" w:rsidRDefault="00782AE4" w:rsidP="00102926">
            <w:pPr>
              <w:keepNext/>
              <w:keepLines/>
              <w:jc w:val="center"/>
              <w:rPr>
                <w:b/>
                <w:szCs w:val="24"/>
              </w:rPr>
            </w:pPr>
          </w:p>
          <w:p w:rsidR="00782AE4" w:rsidRPr="009C2345" w:rsidRDefault="00782AE4" w:rsidP="00102926">
            <w:pPr>
              <w:keepNext/>
              <w:keepLines/>
              <w:jc w:val="center"/>
              <w:rPr>
                <w:b/>
                <w:szCs w:val="24"/>
              </w:rPr>
            </w:pPr>
          </w:p>
          <w:p w:rsidR="00782AE4" w:rsidRPr="009C2345" w:rsidRDefault="00782AE4" w:rsidP="00102926">
            <w:pPr>
              <w:keepNext/>
              <w:keepLines/>
              <w:jc w:val="center"/>
              <w:rPr>
                <w:b/>
                <w:szCs w:val="24"/>
              </w:rPr>
            </w:pPr>
          </w:p>
        </w:tc>
        <w:tc>
          <w:tcPr>
            <w:tcW w:w="4080" w:type="dxa"/>
            <w:tcMar>
              <w:left w:w="0" w:type="dxa"/>
              <w:right w:w="0" w:type="dxa"/>
            </w:tcMar>
          </w:tcPr>
          <w:p w:rsidR="00782AE4" w:rsidRPr="009C2345" w:rsidRDefault="00782AE4" w:rsidP="00782AE4">
            <w:pPr>
              <w:keepNext/>
              <w:keepLines/>
              <w:rPr>
                <w:b/>
                <w:szCs w:val="24"/>
              </w:rPr>
            </w:pPr>
            <w:r w:rsidRPr="009C2345">
              <w:rPr>
                <w:b/>
                <w:szCs w:val="24"/>
              </w:rPr>
              <w:t>SOMMAIRES DE JUGEMENTS RÉCENTS</w:t>
            </w:r>
          </w:p>
        </w:tc>
      </w:tr>
    </w:tbl>
    <w:p w:rsidR="003B3977" w:rsidRPr="009C2345" w:rsidRDefault="003B3977" w:rsidP="005C6840">
      <w:pPr>
        <w:rPr>
          <w:rFonts w:cs="Times New Roman"/>
          <w:i/>
          <w:sz w:val="20"/>
          <w:szCs w:val="20"/>
        </w:rPr>
      </w:pPr>
    </w:p>
    <w:p w:rsidR="0052229C" w:rsidRPr="009C2345" w:rsidRDefault="007F2557" w:rsidP="009B7EF0">
      <w:pPr>
        <w:ind w:left="1440" w:hanging="1440"/>
        <w:jc w:val="both"/>
        <w:rPr>
          <w:rFonts w:eastAsia="Calibri"/>
          <w:i/>
          <w:sz w:val="20"/>
          <w:szCs w:val="20"/>
        </w:rPr>
      </w:pPr>
      <w:r w:rsidRPr="009C2345">
        <w:rPr>
          <w:rFonts w:eastAsia="Calibri"/>
          <w:i/>
          <w:sz w:val="20"/>
          <w:szCs w:val="20"/>
        </w:rPr>
        <w:t>Krayzel Corporation v. The Equitable Trust Company (now continued as Equitable Bank) et al.</w:t>
      </w:r>
      <w:r w:rsidR="003A4581" w:rsidRPr="009C2345">
        <w:rPr>
          <w:rFonts w:eastAsia="Calibri"/>
          <w:i/>
          <w:sz w:val="20"/>
          <w:szCs w:val="20"/>
        </w:rPr>
        <w:t xml:space="preserve"> </w:t>
      </w:r>
      <w:r w:rsidR="0052229C" w:rsidRPr="009C2345">
        <w:rPr>
          <w:sz w:val="20"/>
          <w:szCs w:val="20"/>
        </w:rPr>
        <w:t>(</w:t>
      </w:r>
      <w:r w:rsidRPr="009C2345">
        <w:rPr>
          <w:sz w:val="20"/>
          <w:szCs w:val="20"/>
        </w:rPr>
        <w:t>Alta.</w:t>
      </w:r>
      <w:r w:rsidR="0052229C" w:rsidRPr="009C2345">
        <w:rPr>
          <w:sz w:val="20"/>
          <w:szCs w:val="20"/>
        </w:rPr>
        <w:t>) (</w:t>
      </w:r>
      <w:hyperlink r:id="rId129" w:history="1">
        <w:r w:rsidRPr="009C2345">
          <w:rPr>
            <w:rStyle w:val="Hyperlink"/>
            <w:sz w:val="20"/>
            <w:szCs w:val="20"/>
          </w:rPr>
          <w:t>36123</w:t>
        </w:r>
      </w:hyperlink>
      <w:r w:rsidR="0052229C" w:rsidRPr="009C2345">
        <w:rPr>
          <w:sz w:val="20"/>
          <w:szCs w:val="20"/>
        </w:rPr>
        <w:t>)</w:t>
      </w:r>
    </w:p>
    <w:p w:rsidR="0052229C" w:rsidRPr="009C2345" w:rsidRDefault="0052229C" w:rsidP="0052229C">
      <w:pPr>
        <w:jc w:val="both"/>
        <w:rPr>
          <w:b/>
          <w:sz w:val="20"/>
          <w:szCs w:val="20"/>
        </w:rPr>
      </w:pPr>
      <w:r w:rsidRPr="009C2345">
        <w:rPr>
          <w:b/>
          <w:sz w:val="20"/>
          <w:szCs w:val="20"/>
        </w:rPr>
        <w:t xml:space="preserve">Indexed as:  </w:t>
      </w:r>
      <w:r w:rsidR="007F2557" w:rsidRPr="009C2345">
        <w:rPr>
          <w:rStyle w:val="SCCAppellantForIndexChar"/>
          <w:rFonts w:eastAsiaTheme="minorHAnsi"/>
          <w:sz w:val="20"/>
          <w:lang w:val="en-CA"/>
        </w:rPr>
        <w:t xml:space="preserve">Krayzel Corp. v. Equitable Trust Co. </w:t>
      </w:r>
      <w:r w:rsidRPr="009C2345">
        <w:rPr>
          <w:rStyle w:val="SCCRespondentForIndexChar"/>
          <w:rFonts w:eastAsiaTheme="minorHAnsi"/>
          <w:sz w:val="20"/>
        </w:rPr>
        <w:t xml:space="preserve">/ </w:t>
      </w:r>
      <w:r w:rsidRPr="009C2345">
        <w:rPr>
          <w:b/>
          <w:sz w:val="20"/>
          <w:szCs w:val="20"/>
        </w:rPr>
        <w:t>Répertorié : </w:t>
      </w:r>
      <w:r w:rsidR="003A4581" w:rsidRPr="009C2345">
        <w:rPr>
          <w:rStyle w:val="SCCAppellantForIndexChar"/>
          <w:rFonts w:eastAsiaTheme="minorHAnsi"/>
          <w:sz w:val="20"/>
          <w:lang w:val="en-CA"/>
        </w:rPr>
        <w:t>Krayzel Corp. c. Équitable, Cie de fiducie</w:t>
      </w:r>
    </w:p>
    <w:p w:rsidR="0052229C" w:rsidRPr="009C2345" w:rsidRDefault="0052229C" w:rsidP="0052229C">
      <w:pPr>
        <w:pStyle w:val="SCCSystemYear"/>
        <w:jc w:val="both"/>
        <w:rPr>
          <w:sz w:val="20"/>
          <w:lang w:val="en-CA"/>
        </w:rPr>
      </w:pPr>
      <w:r w:rsidRPr="009C2345">
        <w:rPr>
          <w:sz w:val="20"/>
          <w:lang w:val="en-CA"/>
        </w:rPr>
        <w:t xml:space="preserve">Neutral citation:  </w:t>
      </w:r>
      <w:r w:rsidR="0030050B" w:rsidRPr="009C2345">
        <w:rPr>
          <w:sz w:val="20"/>
          <w:lang w:val="en-CA"/>
        </w:rPr>
        <w:t>2016</w:t>
      </w:r>
      <w:r w:rsidRPr="009C2345">
        <w:rPr>
          <w:sz w:val="20"/>
          <w:lang w:val="en-CA"/>
        </w:rPr>
        <w:t xml:space="preserve"> SCC 1</w:t>
      </w:r>
      <w:r w:rsidR="007F2557" w:rsidRPr="009C2345">
        <w:rPr>
          <w:sz w:val="20"/>
          <w:lang w:val="en-CA"/>
        </w:rPr>
        <w:t>8</w:t>
      </w:r>
      <w:r w:rsidRPr="009C2345">
        <w:rPr>
          <w:sz w:val="20"/>
          <w:lang w:val="en-CA"/>
        </w:rPr>
        <w:t xml:space="preserve"> / Référence neutre : </w:t>
      </w:r>
      <w:r w:rsidR="0030050B" w:rsidRPr="009C2345">
        <w:rPr>
          <w:sz w:val="20"/>
          <w:lang w:val="en-CA"/>
        </w:rPr>
        <w:t>2016</w:t>
      </w:r>
      <w:r w:rsidRPr="009C2345">
        <w:rPr>
          <w:sz w:val="20"/>
          <w:lang w:val="en-CA"/>
        </w:rPr>
        <w:t xml:space="preserve"> CSC 1</w:t>
      </w:r>
      <w:r w:rsidR="007F2557" w:rsidRPr="009C2345">
        <w:rPr>
          <w:sz w:val="20"/>
          <w:lang w:val="en-CA"/>
        </w:rPr>
        <w:t>8</w:t>
      </w:r>
    </w:p>
    <w:p w:rsidR="0052229C" w:rsidRPr="009C2345" w:rsidRDefault="0052229C" w:rsidP="0052229C">
      <w:pPr>
        <w:rPr>
          <w:rFonts w:cs="Times New Roman"/>
          <w:sz w:val="20"/>
          <w:szCs w:val="20"/>
          <w:lang w:val="fr-CA"/>
        </w:rPr>
      </w:pPr>
      <w:r w:rsidRPr="009C2345">
        <w:rPr>
          <w:rFonts w:cs="Times New Roman"/>
          <w:sz w:val="20"/>
          <w:szCs w:val="20"/>
          <w:lang w:val="fr-CA"/>
        </w:rPr>
        <w:t xml:space="preserve">Hearing:  </w:t>
      </w:r>
      <w:r w:rsidR="007F2557" w:rsidRPr="009C2345">
        <w:rPr>
          <w:rFonts w:cs="Times New Roman"/>
          <w:sz w:val="20"/>
          <w:szCs w:val="20"/>
          <w:lang w:val="fr-CA"/>
        </w:rPr>
        <w:t>November 12, 2016</w:t>
      </w:r>
      <w:r w:rsidRPr="009C2345">
        <w:rPr>
          <w:rFonts w:cs="Times New Roman"/>
          <w:sz w:val="20"/>
          <w:szCs w:val="20"/>
          <w:lang w:val="fr-CA"/>
        </w:rPr>
        <w:t xml:space="preserve"> / Judgment:  </w:t>
      </w:r>
      <w:r w:rsidR="007F2557" w:rsidRPr="009C2345">
        <w:rPr>
          <w:rFonts w:cs="Times New Roman"/>
          <w:sz w:val="20"/>
          <w:szCs w:val="20"/>
          <w:lang w:val="fr-CA"/>
        </w:rPr>
        <w:t xml:space="preserve">May </w:t>
      </w:r>
      <w:r w:rsidRPr="009C2345">
        <w:rPr>
          <w:rFonts w:cs="Times New Roman"/>
          <w:sz w:val="20"/>
          <w:szCs w:val="20"/>
          <w:lang w:val="fr-CA"/>
        </w:rPr>
        <w:t xml:space="preserve">6, </w:t>
      </w:r>
      <w:r w:rsidR="0030050B" w:rsidRPr="009C2345">
        <w:rPr>
          <w:rFonts w:cs="Times New Roman"/>
          <w:sz w:val="20"/>
          <w:szCs w:val="20"/>
          <w:lang w:val="fr-CA"/>
        </w:rPr>
        <w:t>2016</w:t>
      </w:r>
    </w:p>
    <w:p w:rsidR="0052229C" w:rsidRPr="009C2345" w:rsidRDefault="0052229C" w:rsidP="0052229C">
      <w:pPr>
        <w:rPr>
          <w:rFonts w:cs="Times New Roman"/>
          <w:sz w:val="20"/>
          <w:szCs w:val="20"/>
          <w:lang w:val="fr-CA"/>
        </w:rPr>
      </w:pPr>
      <w:r w:rsidRPr="009C2345">
        <w:rPr>
          <w:rFonts w:cs="Times New Roman"/>
          <w:sz w:val="20"/>
          <w:szCs w:val="20"/>
          <w:lang w:val="fr-CA"/>
        </w:rPr>
        <w:t xml:space="preserve">Audition : Le </w:t>
      </w:r>
      <w:r w:rsidR="007F2557" w:rsidRPr="009C2345">
        <w:rPr>
          <w:rFonts w:cs="Times New Roman"/>
          <w:sz w:val="20"/>
          <w:szCs w:val="20"/>
          <w:lang w:val="fr-CA"/>
        </w:rPr>
        <w:t>12 novembre</w:t>
      </w:r>
      <w:r w:rsidRPr="009C2345">
        <w:rPr>
          <w:rFonts w:cs="Times New Roman"/>
          <w:sz w:val="20"/>
          <w:szCs w:val="20"/>
          <w:lang w:val="fr-CA"/>
        </w:rPr>
        <w:t xml:space="preserve"> 201</w:t>
      </w:r>
      <w:r w:rsidR="007F2557" w:rsidRPr="009C2345">
        <w:rPr>
          <w:rFonts w:cs="Times New Roman"/>
          <w:sz w:val="20"/>
          <w:szCs w:val="20"/>
          <w:lang w:val="fr-CA"/>
        </w:rPr>
        <w:t>6 / Jugement : Le 6 mai</w:t>
      </w:r>
      <w:r w:rsidRPr="009C2345">
        <w:rPr>
          <w:rFonts w:cs="Times New Roman"/>
          <w:sz w:val="20"/>
          <w:szCs w:val="20"/>
          <w:lang w:val="fr-CA"/>
        </w:rPr>
        <w:t xml:space="preserve"> </w:t>
      </w:r>
      <w:r w:rsidR="0030050B" w:rsidRPr="009C2345">
        <w:rPr>
          <w:rFonts w:cs="Times New Roman"/>
          <w:sz w:val="20"/>
          <w:szCs w:val="20"/>
          <w:lang w:val="fr-CA"/>
        </w:rPr>
        <w:t>2016</w:t>
      </w:r>
    </w:p>
    <w:p w:rsidR="005C6840" w:rsidRPr="009C2345" w:rsidRDefault="0082006E" w:rsidP="005C6840">
      <w:pPr>
        <w:rPr>
          <w:rFonts w:cs="Times New Roman"/>
          <w:sz w:val="20"/>
          <w:szCs w:val="20"/>
          <w:lang w:val="fr-CA"/>
        </w:rPr>
      </w:pPr>
      <w:r>
        <w:rPr>
          <w:rFonts w:cs="Times New Roman"/>
          <w:i/>
          <w:sz w:val="20"/>
          <w:szCs w:val="20"/>
        </w:rPr>
        <w:pict>
          <v:rect id="_x0000_i1094" style="width:480.95pt;height:1pt" o:hralign="center" o:hrstd="t" o:hrnoshade="t" o:hr="t" fillcolor="black [3213]" stroked="f"/>
        </w:pict>
      </w:r>
    </w:p>
    <w:p w:rsidR="005C6840" w:rsidRPr="009C2345" w:rsidRDefault="005C6840" w:rsidP="005C6840">
      <w:pPr>
        <w:rPr>
          <w:rFonts w:cs="Times New Roman"/>
          <w:sz w:val="20"/>
          <w:szCs w:val="20"/>
          <w:lang w:val="fr-CA"/>
        </w:rPr>
      </w:pPr>
    </w:p>
    <w:p w:rsidR="007F2557" w:rsidRPr="009C2345" w:rsidRDefault="007F2557" w:rsidP="007F2557">
      <w:pPr>
        <w:jc w:val="both"/>
        <w:rPr>
          <w:sz w:val="20"/>
        </w:rPr>
      </w:pPr>
      <w:r w:rsidRPr="009C2345">
        <w:rPr>
          <w:sz w:val="20"/>
          <w:szCs w:val="20"/>
        </w:rPr>
        <w:t>Present: McLachlin C.J. and Abella, Cromwell, Moldaver, Karakatsanis, Wagner, Gascon, Côté and Brown JJ.</w:t>
      </w:r>
    </w:p>
    <w:p w:rsidR="007F2557" w:rsidRPr="009C2345" w:rsidRDefault="007F2557" w:rsidP="007F2557">
      <w:pPr>
        <w:jc w:val="both"/>
        <w:rPr>
          <w:sz w:val="20"/>
          <w:szCs w:val="20"/>
        </w:rPr>
      </w:pPr>
    </w:p>
    <w:p w:rsidR="007F2557" w:rsidRPr="009C2345" w:rsidRDefault="007F2557" w:rsidP="007F2557">
      <w:pPr>
        <w:pStyle w:val="SCCNormalDoubleSpacing"/>
        <w:spacing w:line="240" w:lineRule="auto"/>
        <w:rPr>
          <w:i/>
          <w:sz w:val="20"/>
        </w:rPr>
      </w:pPr>
      <w:r w:rsidRPr="009C2345">
        <w:rPr>
          <w:sz w:val="20"/>
        </w:rPr>
        <w:tab/>
      </w:r>
      <w:r w:rsidRPr="009C2345">
        <w:rPr>
          <w:i/>
          <w:sz w:val="20"/>
        </w:rPr>
        <w:t>Mortgages — Interest — Rate of interest — Payments in arrears — Mortgage terms providing for discount — Legislation precluding mortgagee from imposing terms that have effect of charging higher rate of interest on money in arrears than that charged on principal money not in arrears — Whether legislation offended by terms of mortgage agreement imposing an “interest rate” that takes effect only where mortgagor falls into default by failing to make prescribed payments at lower “pay rate” of interest or by failing to pay out loan upon maturity — Whether there is distinction between 1) terms imposing, by way of penalty, a higher rate in event of default, and 2) terms reserving, by way of discount, a lower rate in event of no default — Interest Act, R.S.C. 1985, c. I</w:t>
      </w:r>
      <w:r w:rsidRPr="009C2345">
        <w:rPr>
          <w:i/>
          <w:sz w:val="20"/>
        </w:rPr>
        <w:noBreakHyphen/>
        <w:t>15, ss. 2, 8.</w:t>
      </w:r>
    </w:p>
    <w:p w:rsidR="007F2557" w:rsidRPr="009C2345" w:rsidRDefault="007F2557" w:rsidP="007F2557">
      <w:pPr>
        <w:pStyle w:val="SCCNormalDoubleSpacing"/>
        <w:spacing w:line="240" w:lineRule="auto"/>
        <w:rPr>
          <w:i/>
          <w:sz w:val="20"/>
        </w:rPr>
      </w:pPr>
    </w:p>
    <w:p w:rsidR="007F2557" w:rsidRPr="009C2345" w:rsidRDefault="007F2557" w:rsidP="007F2557">
      <w:pPr>
        <w:pStyle w:val="SCCNormalDoubleSpacing"/>
        <w:spacing w:line="240" w:lineRule="auto"/>
        <w:rPr>
          <w:sz w:val="20"/>
        </w:rPr>
      </w:pPr>
      <w:r w:rsidRPr="009C2345">
        <w:rPr>
          <w:i/>
          <w:iCs/>
          <w:spacing w:val="-3"/>
          <w:sz w:val="20"/>
          <w:lang w:val="en-GB"/>
        </w:rPr>
        <w:tab/>
      </w:r>
      <w:r w:rsidRPr="009C2345">
        <w:rPr>
          <w:sz w:val="20"/>
        </w:rPr>
        <w:t xml:space="preserve">The mortgagor Lougheed Block Inc. (“Lougheed”) owned an office building and granted a mortgage to Equitable Trust, to secure a loan of $27 million. The prescribed interest rate was agreed at the prime interest rate plus 2.875 percent </w:t>
      </w:r>
      <w:r w:rsidRPr="009C2345">
        <w:rPr>
          <w:i/>
          <w:sz w:val="20"/>
        </w:rPr>
        <w:t>per annum</w:t>
      </w:r>
      <w:r w:rsidRPr="009C2345">
        <w:rPr>
          <w:sz w:val="20"/>
        </w:rPr>
        <w:t xml:space="preserve">. Lougheed was unable to pay out the mortgage when it matured on June 30, 2008. Equitable Trust agreed to extend the mortgage term by seven months. The resulting agreement (the “First Renewal Agreement”), was made effective August 1, 2008 and carried a </w:t>
      </w:r>
      <w:r w:rsidRPr="009C2345">
        <w:rPr>
          <w:i/>
          <w:sz w:val="20"/>
        </w:rPr>
        <w:t>per annum</w:t>
      </w:r>
      <w:r w:rsidRPr="009C2345">
        <w:rPr>
          <w:sz w:val="20"/>
        </w:rPr>
        <w:t xml:space="preserve"> interest rate of the prime interest rate plus 3.125 percent over the first six months and then 25 percent over the seventh month. </w:t>
      </w:r>
    </w:p>
    <w:p w:rsidR="007F2557" w:rsidRPr="009C2345" w:rsidRDefault="007F2557" w:rsidP="007F2557">
      <w:pPr>
        <w:pStyle w:val="SCCNormalDoubleSpacing"/>
        <w:spacing w:line="240" w:lineRule="auto"/>
        <w:rPr>
          <w:sz w:val="20"/>
        </w:rPr>
      </w:pPr>
    </w:p>
    <w:p w:rsidR="007F2557" w:rsidRPr="009C2345" w:rsidRDefault="007F2557" w:rsidP="007F2557">
      <w:pPr>
        <w:pStyle w:val="SCCNormalDoubleSpacing"/>
        <w:spacing w:line="240" w:lineRule="auto"/>
        <w:rPr>
          <w:rFonts w:eastAsiaTheme="minorEastAsia"/>
          <w:sz w:val="20"/>
          <w:lang w:eastAsia="en-US"/>
        </w:rPr>
      </w:pPr>
      <w:r w:rsidRPr="009C2345">
        <w:rPr>
          <w:rFonts w:eastAsiaTheme="minorEastAsia"/>
          <w:sz w:val="20"/>
          <w:lang w:eastAsia="en-US"/>
        </w:rPr>
        <w:tab/>
        <w:t xml:space="preserve">When the First Renewal Agreement matured on March 1, 2009, Lougheed again failed to pay out. On April 28, 2009, it entered into a second mortgage </w:t>
      </w:r>
      <w:r w:rsidRPr="009C2345">
        <w:rPr>
          <w:sz w:val="20"/>
        </w:rPr>
        <w:t>amending</w:t>
      </w:r>
      <w:r w:rsidRPr="009C2345">
        <w:rPr>
          <w:rFonts w:eastAsiaTheme="minorEastAsia"/>
          <w:sz w:val="20"/>
          <w:lang w:eastAsia="en-US"/>
        </w:rPr>
        <w:t xml:space="preserve"> agreement with Equitable Trust (the “Second Renewal Agreement”), made effective February 1, 2009 (that is, retroactive to a month prior to the expiration of the First Renewal Agreement). The Second Renewal Agreement provided the following: a </w:t>
      </w:r>
      <w:r w:rsidRPr="009C2345">
        <w:rPr>
          <w:rFonts w:eastAsiaTheme="minorEastAsia"/>
          <w:i/>
          <w:sz w:val="20"/>
          <w:lang w:eastAsia="en-US"/>
        </w:rPr>
        <w:t>per annum</w:t>
      </w:r>
      <w:r w:rsidRPr="009C2345">
        <w:rPr>
          <w:rFonts w:eastAsiaTheme="minorEastAsia"/>
          <w:sz w:val="20"/>
          <w:lang w:eastAsia="en-US"/>
        </w:rPr>
        <w:t xml:space="preserve"> “interest rate” on the loan of 25 percent; Lougheed was required to make monthly interest payments at the “pay rate” of either 7.5 percent or at the prime interest rate plus 5.25 percent (whichever was greater); the difference between the amount payable at the stated interest rate of 25 percent and the amount payable by Lougheed at the lower rate would accrue to the loan; and if there were no default by Lougheed, the accrued interest would be forgiven. </w:t>
      </w:r>
    </w:p>
    <w:p w:rsidR="007F2557" w:rsidRPr="009C2345" w:rsidRDefault="007F2557" w:rsidP="007F2557">
      <w:pPr>
        <w:pStyle w:val="SCCNormalDoubleSpacing"/>
        <w:spacing w:line="240" w:lineRule="auto"/>
        <w:rPr>
          <w:rFonts w:eastAsiaTheme="minorEastAsia"/>
          <w:sz w:val="20"/>
          <w:lang w:eastAsia="en-US"/>
        </w:rPr>
      </w:pPr>
    </w:p>
    <w:p w:rsidR="007F2557" w:rsidRPr="009C2345" w:rsidRDefault="007F2557" w:rsidP="007F2557">
      <w:pPr>
        <w:pStyle w:val="SCCNormalDoubleSpacing"/>
        <w:spacing w:line="240" w:lineRule="auto"/>
        <w:rPr>
          <w:rFonts w:eastAsiaTheme="minorEastAsia"/>
          <w:sz w:val="20"/>
          <w:lang w:eastAsia="en-US"/>
        </w:rPr>
      </w:pPr>
      <w:r w:rsidRPr="009C2345">
        <w:rPr>
          <w:rFonts w:eastAsiaTheme="minorEastAsia"/>
          <w:sz w:val="20"/>
          <w:lang w:eastAsia="en-US"/>
        </w:rPr>
        <w:tab/>
        <w:t xml:space="preserve">On May 15, 2009, Lougheed defaulted and Equitable Trust demanded repayment of the loan at the stated rate of 25 percent. The master of the Court of Queen’s Bench found both renewal agreements offended s. 8 of the </w:t>
      </w:r>
      <w:r w:rsidRPr="009C2345">
        <w:rPr>
          <w:rFonts w:eastAsiaTheme="minorEastAsia"/>
          <w:i/>
          <w:sz w:val="20"/>
          <w:lang w:eastAsia="en-US"/>
        </w:rPr>
        <w:t>Interest Act</w:t>
      </w:r>
      <w:r w:rsidRPr="009C2345">
        <w:rPr>
          <w:rFonts w:eastAsiaTheme="minorEastAsia"/>
          <w:sz w:val="20"/>
          <w:lang w:eastAsia="en-US"/>
        </w:rPr>
        <w:t xml:space="preserve">. The chambers judge of the same court reversed the master’s decision, finding that both renewals complied with s. 8. The Court of Appeal was unanimous in finding that the First Renewal Agreement did not offend s. 8. A majority agreed with the chambers judge that the Second Renewal Agreement also complied with s. 8. </w:t>
      </w:r>
    </w:p>
    <w:p w:rsidR="007F2557" w:rsidRPr="009C2345" w:rsidRDefault="007F2557" w:rsidP="007F2557">
      <w:pPr>
        <w:pStyle w:val="SCCNormalDoubleSpacing"/>
        <w:spacing w:line="240" w:lineRule="auto"/>
        <w:rPr>
          <w:rFonts w:eastAsiaTheme="minorEastAsia"/>
          <w:sz w:val="20"/>
          <w:lang w:eastAsia="en-US"/>
        </w:rPr>
      </w:pPr>
    </w:p>
    <w:p w:rsidR="007F2557" w:rsidRPr="009C2345" w:rsidRDefault="007F2557" w:rsidP="007F2557">
      <w:pPr>
        <w:pStyle w:val="SCCNormalDoubleSpacing"/>
        <w:spacing w:line="240" w:lineRule="auto"/>
        <w:rPr>
          <w:sz w:val="20"/>
        </w:rPr>
      </w:pPr>
      <w:r w:rsidRPr="009C2345">
        <w:rPr>
          <w:sz w:val="20"/>
        </w:rPr>
        <w:tab/>
      </w:r>
      <w:r w:rsidRPr="009C2345">
        <w:rPr>
          <w:rStyle w:val="QuoteChar"/>
          <w:sz w:val="20"/>
        </w:rPr>
        <w:t xml:space="preserve">Held (Abella, Moldaver and </w:t>
      </w:r>
      <w:r w:rsidRPr="009C2345">
        <w:rPr>
          <w:sz w:val="20"/>
        </w:rPr>
        <w:t>Côté </w:t>
      </w:r>
      <w:r w:rsidRPr="009C2345">
        <w:rPr>
          <w:rStyle w:val="QuoteChar"/>
          <w:sz w:val="20"/>
        </w:rPr>
        <w:t>JJ. dissenting):</w:t>
      </w:r>
      <w:r w:rsidRPr="009C2345">
        <w:rPr>
          <w:sz w:val="20"/>
        </w:rPr>
        <w:t xml:space="preserve"> The appeal should be allowed.</w:t>
      </w:r>
    </w:p>
    <w:p w:rsidR="007F2557" w:rsidRPr="009C2345" w:rsidRDefault="007F2557" w:rsidP="007F2557">
      <w:pPr>
        <w:pStyle w:val="SCCNormalDoubleSpacing"/>
        <w:spacing w:line="240" w:lineRule="auto"/>
        <w:rPr>
          <w:sz w:val="20"/>
        </w:rPr>
      </w:pPr>
    </w:p>
    <w:p w:rsidR="007F2557" w:rsidRPr="009C2345" w:rsidRDefault="007F2557" w:rsidP="007F2557">
      <w:pPr>
        <w:pStyle w:val="SCCNormalDoubleSpacing"/>
        <w:spacing w:line="240" w:lineRule="auto"/>
        <w:rPr>
          <w:sz w:val="20"/>
        </w:rPr>
      </w:pPr>
      <w:r w:rsidRPr="009C2345">
        <w:rPr>
          <w:sz w:val="20"/>
        </w:rPr>
        <w:tab/>
      </w:r>
      <w:r w:rsidRPr="009C2345">
        <w:rPr>
          <w:i/>
          <w:iCs/>
          <w:sz w:val="20"/>
          <w:lang w:val="en"/>
        </w:rPr>
        <w:t>Per</w:t>
      </w:r>
      <w:r w:rsidRPr="009C2345">
        <w:rPr>
          <w:sz w:val="20"/>
          <w:lang w:val="en"/>
        </w:rPr>
        <w:t xml:space="preserve"> McLachlin C.J. and Cromwell, Karakatsanis, Wagner, Gascon and </w:t>
      </w:r>
      <w:r w:rsidRPr="009C2345">
        <w:rPr>
          <w:b/>
          <w:sz w:val="20"/>
          <w:lang w:val="en"/>
        </w:rPr>
        <w:t>Brown</w:t>
      </w:r>
      <w:r w:rsidRPr="009C2345">
        <w:rPr>
          <w:sz w:val="20"/>
          <w:lang w:val="en"/>
        </w:rPr>
        <w:t xml:space="preserve"> JJ.: </w:t>
      </w:r>
      <w:r w:rsidRPr="009C2345">
        <w:rPr>
          <w:sz w:val="20"/>
        </w:rPr>
        <w:t>Section 8 of the Act identifies three classes of charges — a fine, a penalty or a rate of interest — that shall not be stipulated for, taken, reserved or exacted, in a mortgage agreement, if the effect</w:t>
      </w:r>
      <w:r w:rsidRPr="009C2345">
        <w:rPr>
          <w:i/>
          <w:sz w:val="20"/>
        </w:rPr>
        <w:t xml:space="preserve"> </w:t>
      </w:r>
      <w:r w:rsidRPr="009C2345">
        <w:rPr>
          <w:sz w:val="20"/>
        </w:rPr>
        <w:t xml:space="preserve">of doing so imposes a higher charge on arrears than that imposed on principal money not in arrears. Section 2 of the Act preserves a general right of freedom to contract for any rate of interest or discount, with the </w:t>
      </w:r>
      <w:r w:rsidRPr="009C2345">
        <w:rPr>
          <w:i/>
          <w:sz w:val="20"/>
        </w:rPr>
        <w:t>caveat</w:t>
      </w:r>
      <w:r w:rsidRPr="009C2345">
        <w:rPr>
          <w:sz w:val="20"/>
        </w:rPr>
        <w:t xml:space="preserve"> that such freedom is subject to what is otherwise provided for by this Act. </w:t>
      </w:r>
    </w:p>
    <w:p w:rsidR="007F2557" w:rsidRPr="009C2345" w:rsidRDefault="007F2557" w:rsidP="007F2557">
      <w:pPr>
        <w:pStyle w:val="SCCNormalDoubleSpacing"/>
        <w:spacing w:line="240" w:lineRule="auto"/>
        <w:rPr>
          <w:sz w:val="20"/>
          <w:lang w:val="en-US"/>
        </w:rPr>
      </w:pPr>
    </w:p>
    <w:p w:rsidR="007F2557" w:rsidRPr="009C2345" w:rsidRDefault="007F2557" w:rsidP="007F2557">
      <w:pPr>
        <w:pStyle w:val="SCCNormalDoubleSpacing"/>
        <w:spacing w:line="240" w:lineRule="auto"/>
        <w:rPr>
          <w:sz w:val="20"/>
        </w:rPr>
      </w:pPr>
      <w:r w:rsidRPr="009C2345">
        <w:rPr>
          <w:sz w:val="20"/>
        </w:rPr>
        <w:tab/>
      </w:r>
      <w:r w:rsidRPr="009C2345">
        <w:rPr>
          <w:sz w:val="20"/>
          <w:lang w:val="en-US"/>
        </w:rPr>
        <w:t xml:space="preserve">The ordinary sense of the words that Parliament chose to include in s. 8, read together with s. 2 and considered in light of the Act’s objects, support the conclusion that s. 8 applies both to discounts (incentives for performance) as well as </w:t>
      </w:r>
      <w:r w:rsidRPr="009C2345">
        <w:rPr>
          <w:sz w:val="20"/>
        </w:rPr>
        <w:t>penalties</w:t>
      </w:r>
      <w:r w:rsidRPr="009C2345">
        <w:rPr>
          <w:sz w:val="20"/>
          <w:lang w:val="en-US"/>
        </w:rPr>
        <w:t xml:space="preserve"> for non</w:t>
      </w:r>
      <w:r w:rsidRPr="009C2345">
        <w:rPr>
          <w:sz w:val="20"/>
          <w:lang w:val="en-US"/>
        </w:rPr>
        <w:noBreakHyphen/>
        <w:t xml:space="preserve">performance </w:t>
      </w:r>
      <w:r w:rsidRPr="009C2345">
        <w:rPr>
          <w:sz w:val="20"/>
        </w:rPr>
        <w:t>whenever their effect is to increase the charge on the arrears beyond the rate of interest payable on principal money not in arrears</w:t>
      </w:r>
      <w:r w:rsidRPr="009C2345">
        <w:rPr>
          <w:sz w:val="20"/>
          <w:lang w:val="en-US"/>
        </w:rPr>
        <w:t>. B</w:t>
      </w:r>
      <w:r w:rsidRPr="009C2345">
        <w:rPr>
          <w:sz w:val="20"/>
        </w:rPr>
        <w:t xml:space="preserve">y directing the inquiry to the effect of the impugned mortgage term, Parliament clearly intended that mortgage terms guised as a “bonus”, “discount” or “benefit” would not as such comply with s. 8. Substance, not form, is to prevail. What counts is how the impugned term operates, and the consequences it produces, irrespective of the label used. If its effect is to impose a higher rate on arrears than on money not in arrears, then s. 8 is offended. </w:t>
      </w:r>
    </w:p>
    <w:p w:rsidR="007F2557" w:rsidRPr="009C2345" w:rsidRDefault="007F2557" w:rsidP="007F2557">
      <w:pPr>
        <w:pStyle w:val="SCCNormalDoubleSpacing"/>
        <w:spacing w:line="240" w:lineRule="auto"/>
        <w:rPr>
          <w:rFonts w:eastAsiaTheme="minorEastAsia"/>
          <w:sz w:val="20"/>
          <w:lang w:eastAsia="en-US"/>
        </w:rPr>
      </w:pPr>
    </w:p>
    <w:p w:rsidR="007F2557" w:rsidRPr="009C2345" w:rsidRDefault="007F2557" w:rsidP="007F2557">
      <w:pPr>
        <w:pStyle w:val="SCCNormalDoubleSpacing"/>
        <w:spacing w:line="240" w:lineRule="auto"/>
        <w:rPr>
          <w:sz w:val="20"/>
          <w:lang w:val="en-US"/>
        </w:rPr>
      </w:pPr>
      <w:r w:rsidRPr="009C2345">
        <w:rPr>
          <w:sz w:val="20"/>
          <w:lang w:val="en-US"/>
        </w:rPr>
        <w:tab/>
        <w:t xml:space="preserve">This appeal can be disposed of by considering the Second Renewal Agreement alone, since its operation was made retroactive to the date (February 1, 2009) on which the rate increase under the First Renewal Agreement took effect. It is clear however that an interest rate increase triggered by the mere passage of time (and not by default), such as that imposed under the First Renewal Agreement, does not offend s. 8. </w:t>
      </w:r>
    </w:p>
    <w:p w:rsidR="007F2557" w:rsidRPr="009C2345" w:rsidRDefault="007F2557" w:rsidP="007F2557">
      <w:pPr>
        <w:pStyle w:val="SCCNormalDoubleSpacing"/>
        <w:spacing w:line="240" w:lineRule="auto"/>
        <w:rPr>
          <w:sz w:val="20"/>
          <w:lang w:val="en-US"/>
        </w:rPr>
      </w:pPr>
    </w:p>
    <w:p w:rsidR="007F2557" w:rsidRPr="009C2345" w:rsidRDefault="007F2557" w:rsidP="007F2557">
      <w:pPr>
        <w:pStyle w:val="SCCNormalDoubleSpacing"/>
        <w:spacing w:line="240" w:lineRule="auto"/>
        <w:rPr>
          <w:sz w:val="20"/>
          <w:lang w:val="en-US"/>
        </w:rPr>
      </w:pPr>
      <w:r w:rsidRPr="009C2345">
        <w:rPr>
          <w:sz w:val="20"/>
          <w:lang w:val="en-US"/>
        </w:rPr>
        <w:tab/>
        <w:t>With respect to the Second Renewal Agreement, its effect is to reserve a higher charge on arrears (25 </w:t>
      </w:r>
      <w:r w:rsidRPr="009C2345">
        <w:rPr>
          <w:sz w:val="20"/>
        </w:rPr>
        <w:t>percent</w:t>
      </w:r>
      <w:r w:rsidRPr="009C2345">
        <w:rPr>
          <w:sz w:val="20"/>
          <w:lang w:val="en-US"/>
        </w:rPr>
        <w:t>) than that imposed on principal money not in arrears (7.5 </w:t>
      </w:r>
      <w:r w:rsidRPr="009C2345">
        <w:rPr>
          <w:sz w:val="20"/>
        </w:rPr>
        <w:t>percent</w:t>
      </w:r>
      <w:r w:rsidRPr="009C2345">
        <w:rPr>
          <w:sz w:val="20"/>
          <w:lang w:val="en-US"/>
        </w:rPr>
        <w:t>, or the prime interest rate plus 5.25 </w:t>
      </w:r>
      <w:r w:rsidRPr="009C2345">
        <w:rPr>
          <w:sz w:val="20"/>
        </w:rPr>
        <w:t>percent</w:t>
      </w:r>
      <w:r w:rsidRPr="009C2345">
        <w:rPr>
          <w:sz w:val="20"/>
          <w:lang w:val="en-US"/>
        </w:rPr>
        <w:t>). The labelling of one charge as an “interest rate” and the other as a “pay rate” is of no consequence, given s. 8’s explicit concern for substance over form. It follows that the 25 </w:t>
      </w:r>
      <w:r w:rsidRPr="009C2345">
        <w:rPr>
          <w:sz w:val="20"/>
        </w:rPr>
        <w:t>percent</w:t>
      </w:r>
      <w:r w:rsidRPr="009C2345">
        <w:rPr>
          <w:sz w:val="20"/>
          <w:lang w:val="en-US"/>
        </w:rPr>
        <w:t xml:space="preserve"> </w:t>
      </w:r>
      <w:r w:rsidRPr="009C2345">
        <w:rPr>
          <w:i/>
          <w:sz w:val="20"/>
          <w:lang w:val="en-US"/>
        </w:rPr>
        <w:t>per annum</w:t>
      </w:r>
      <w:r w:rsidRPr="009C2345">
        <w:rPr>
          <w:sz w:val="20"/>
          <w:lang w:val="en-US"/>
        </w:rPr>
        <w:t xml:space="preserve"> rate of interest set by the Second Renewal Agreement is void. The interest rate in force under the Second Renewal Agreement as of February 1, 2009 shall be set at the higher of 7.5 </w:t>
      </w:r>
      <w:r w:rsidRPr="009C2345">
        <w:rPr>
          <w:sz w:val="20"/>
        </w:rPr>
        <w:t>percent</w:t>
      </w:r>
      <w:r w:rsidRPr="009C2345">
        <w:rPr>
          <w:sz w:val="20"/>
          <w:lang w:val="en-US"/>
        </w:rPr>
        <w:t xml:space="preserve"> and the prime interest rate plus 5.25 </w:t>
      </w:r>
      <w:r w:rsidRPr="009C2345">
        <w:rPr>
          <w:sz w:val="20"/>
        </w:rPr>
        <w:t>percent</w:t>
      </w:r>
      <w:r w:rsidRPr="009C2345">
        <w:rPr>
          <w:sz w:val="20"/>
          <w:lang w:val="en-US"/>
        </w:rPr>
        <w:t xml:space="preserve">. </w:t>
      </w:r>
    </w:p>
    <w:p w:rsidR="007F2557" w:rsidRPr="009C2345" w:rsidRDefault="007F2557" w:rsidP="007F2557">
      <w:pPr>
        <w:pStyle w:val="SCCNormalDoubleSpacing"/>
        <w:spacing w:line="240" w:lineRule="auto"/>
        <w:rPr>
          <w:sz w:val="20"/>
          <w:lang w:val="en-US"/>
        </w:rPr>
      </w:pPr>
    </w:p>
    <w:p w:rsidR="007F2557" w:rsidRPr="009C2345" w:rsidRDefault="007F2557" w:rsidP="007F2557">
      <w:pPr>
        <w:pStyle w:val="SCCNormalDoubleSpacing"/>
        <w:spacing w:line="240" w:lineRule="auto"/>
        <w:rPr>
          <w:sz w:val="20"/>
        </w:rPr>
      </w:pPr>
      <w:r w:rsidRPr="009C2345">
        <w:rPr>
          <w:sz w:val="20"/>
          <w:lang w:val="en-US"/>
        </w:rPr>
        <w:tab/>
      </w:r>
      <w:r w:rsidRPr="009C2345">
        <w:rPr>
          <w:i/>
          <w:iCs/>
          <w:sz w:val="20"/>
          <w:lang w:val="en"/>
        </w:rPr>
        <w:t xml:space="preserve">Per </w:t>
      </w:r>
      <w:r w:rsidRPr="009C2345">
        <w:rPr>
          <w:sz w:val="20"/>
          <w:lang w:val="en"/>
        </w:rPr>
        <w:t xml:space="preserve">Abella, Moldaver and </w:t>
      </w:r>
      <w:r w:rsidRPr="009C2345">
        <w:rPr>
          <w:b/>
          <w:sz w:val="20"/>
        </w:rPr>
        <w:t>Côté</w:t>
      </w:r>
      <w:r w:rsidRPr="009C2345">
        <w:rPr>
          <w:sz w:val="20"/>
        </w:rPr>
        <w:t xml:space="preserve"> JJ. </w:t>
      </w:r>
      <w:r w:rsidRPr="009C2345">
        <w:rPr>
          <w:sz w:val="20"/>
          <w:lang w:val="en"/>
        </w:rPr>
        <w:t xml:space="preserve">(dissenting): </w:t>
      </w:r>
      <w:r w:rsidRPr="009C2345">
        <w:rPr>
          <w:sz w:val="20"/>
        </w:rPr>
        <w:t>The provisions of the Second Renewal Agreement are clear. The “rate of interest payable on principal money not in arrears” was set at 25 percent throughout the entire term of the agreement, and was to be applied consistently to both principal money not in arrears and principal money or interest in arrears. Interest charges were to be paid each month through actual disbursements and additional financing from the lender. In other words, interest charges calculated on the basis of the 25 percent rate were to be paid monthly, and not simply “taken, reserved or exacted” in the event of default. As a result, the Second Renewal Agreement cannot be said to have had the “effect” of increasing the charge on arrears, which means that s. 8 is not engaged.</w:t>
      </w:r>
    </w:p>
    <w:p w:rsidR="007F2557" w:rsidRPr="009C2345" w:rsidRDefault="007F2557" w:rsidP="007F2557">
      <w:pPr>
        <w:pStyle w:val="SCCNormalDoubleSpacing"/>
        <w:spacing w:line="240" w:lineRule="auto"/>
        <w:rPr>
          <w:sz w:val="20"/>
        </w:rPr>
      </w:pPr>
    </w:p>
    <w:p w:rsidR="007F2557" w:rsidRPr="009C2345" w:rsidRDefault="007F2557" w:rsidP="007F2557">
      <w:pPr>
        <w:pStyle w:val="SCCNormalDoubleSpacing"/>
        <w:spacing w:line="240" w:lineRule="auto"/>
        <w:rPr>
          <w:sz w:val="20"/>
        </w:rPr>
      </w:pPr>
      <w:r w:rsidRPr="009C2345">
        <w:rPr>
          <w:sz w:val="20"/>
          <w:lang w:val="en"/>
        </w:rPr>
        <w:tab/>
      </w:r>
      <w:r w:rsidRPr="009C2345">
        <w:rPr>
          <w:sz w:val="20"/>
        </w:rPr>
        <w:t xml:space="preserve">Alternatively, the appeal could be dismissed on the basis that s. 8 of the </w:t>
      </w:r>
      <w:r w:rsidRPr="009C2345">
        <w:rPr>
          <w:i/>
          <w:sz w:val="20"/>
        </w:rPr>
        <w:t>Interest Act</w:t>
      </w:r>
      <w:r w:rsidRPr="009C2345">
        <w:rPr>
          <w:sz w:val="20"/>
        </w:rPr>
        <w:t xml:space="preserve"> does not prohibit forgiving discounts — that is, a discount which provides the borrower with some relief from a rate of interest that is chargeable under an agreement, as is the case for the Second Renewal Agreement. </w:t>
      </w:r>
    </w:p>
    <w:p w:rsidR="007F2557" w:rsidRPr="009C2345" w:rsidRDefault="007F2557" w:rsidP="007F2557">
      <w:pPr>
        <w:pStyle w:val="SCCNormalDoubleSpacing"/>
        <w:spacing w:line="240" w:lineRule="auto"/>
        <w:rPr>
          <w:sz w:val="20"/>
        </w:rPr>
      </w:pPr>
    </w:p>
    <w:p w:rsidR="007F2557" w:rsidRPr="009C2345" w:rsidRDefault="007F2557" w:rsidP="007F2557">
      <w:pPr>
        <w:pStyle w:val="SCCNormalDoubleSpacing"/>
        <w:spacing w:line="240" w:lineRule="auto"/>
        <w:rPr>
          <w:sz w:val="20"/>
        </w:rPr>
      </w:pPr>
      <w:r w:rsidRPr="009C2345">
        <w:rPr>
          <w:sz w:val="20"/>
        </w:rPr>
        <w:tab/>
        <w:t xml:space="preserve">Section 8 sets out an exception to the foundational principle of freedom of contract by prohibiting increased charges on arrears. However, it does not expressly prohibit discounts. The absence of the term “discount” from s. 8 — and its corresponding presence in s. 2 — must inform the Court’s interpretation. Moreover, given that s. 8 establishes an exception to the general rule that discounts are permitted, it must be read narrowly and limited to what is necessary to fulfill its purpose. Not all discounts, viewed in their commercial context, will undermine the intended protection for struggling debtors. “Relieving” or “forgiving” interest rate discounts will generally make it easier for struggling mortgage debtors to meet their payment obligations. If s. 8 is interpreted as prohibiting discounts of this nature, lenders could in the future be discouraged from relieving the interest burden on struggling debtors, a disturbing irony given the purpose for which s. 8 was enacted. The British Columbia Court of Appeal concluded that such a discount does not offend s. 8 in </w:t>
      </w:r>
      <w:r w:rsidRPr="009C2345">
        <w:rPr>
          <w:i/>
          <w:sz w:val="20"/>
        </w:rPr>
        <w:t>North West Life Assurance Co. of Canada v. Kings Mount Holdings Ltd.</w:t>
      </w:r>
      <w:r w:rsidRPr="009C2345">
        <w:rPr>
          <w:sz w:val="20"/>
        </w:rPr>
        <w:t xml:space="preserve"> (1987), 15 B.C.L.R. (2d) 376, a decision the majority agrees was correctly decided.</w:t>
      </w:r>
    </w:p>
    <w:p w:rsidR="007F2557" w:rsidRPr="009C2345" w:rsidRDefault="007F2557" w:rsidP="007F2557">
      <w:pPr>
        <w:pStyle w:val="SCCNormalDoubleSpacing"/>
        <w:spacing w:line="240" w:lineRule="auto"/>
        <w:rPr>
          <w:sz w:val="20"/>
        </w:rPr>
      </w:pPr>
    </w:p>
    <w:p w:rsidR="007F2557" w:rsidRPr="009C2345" w:rsidRDefault="007F2557" w:rsidP="007F2557">
      <w:pPr>
        <w:pStyle w:val="SCCNormalDoubleSpacing"/>
        <w:spacing w:line="240" w:lineRule="auto"/>
        <w:rPr>
          <w:sz w:val="20"/>
        </w:rPr>
      </w:pPr>
      <w:r w:rsidRPr="009C2345">
        <w:rPr>
          <w:sz w:val="20"/>
        </w:rPr>
        <w:tab/>
        <w:t xml:space="preserve">In the instant case, the Second Renewal Agreement, viewed in light of the circumstances in which it was agreed upon, provided Lougheed with a less onerous path to fulfill its payment obligations that were then due under the First Renewal Agreement. Holding that the 25 percent interest rate provided for in the Second Renewal Agreement is invalid would not give effect to Parliament’s protective purpose; rather, it would reward Lougheed with an unmerited windfall, while Equitable Trust would be denied the interest charges due to it under its agreement even though it has not benefited from prompt payment. </w:t>
      </w:r>
    </w:p>
    <w:p w:rsidR="007F2557" w:rsidRPr="009C2345" w:rsidRDefault="007F2557" w:rsidP="007F2557">
      <w:pPr>
        <w:pStyle w:val="SCCNormalDoubleSpacing"/>
        <w:spacing w:line="240" w:lineRule="auto"/>
        <w:rPr>
          <w:b/>
          <w:sz w:val="20"/>
        </w:rPr>
      </w:pPr>
    </w:p>
    <w:p w:rsidR="007F2557" w:rsidRPr="009C2345" w:rsidRDefault="007F2557" w:rsidP="007F2557">
      <w:pPr>
        <w:pStyle w:val="SCCNormalDoubleSpacing"/>
        <w:spacing w:line="240" w:lineRule="auto"/>
        <w:rPr>
          <w:sz w:val="20"/>
        </w:rPr>
      </w:pPr>
      <w:r w:rsidRPr="009C2345">
        <w:rPr>
          <w:sz w:val="20"/>
        </w:rPr>
        <w:tab/>
        <w:t>APPEAL from a judgment of the Alberta Court of Appeal (Hunt and Berger JJ.A. and Nation J. (</w:t>
      </w:r>
      <w:r w:rsidRPr="009C2345">
        <w:rPr>
          <w:i/>
          <w:sz w:val="20"/>
        </w:rPr>
        <w:t>ad hoc</w:t>
      </w:r>
      <w:r w:rsidRPr="009C2345">
        <w:rPr>
          <w:sz w:val="20"/>
        </w:rPr>
        <w:t>)), 2014 ABCA 234, 577 A.R. 179, 1 Alta. L.R. (6th) 68, 31 B.L.R. (5th) 1, 16 C.B.R. (6th) 121, 376 D.L.R. (4th) 539, 45 R.P.R. (5th) 187, 613 W.A.C. 179, [2014] 10 W.W.R. 705, [2014] A.J. No. 747 (QL), 2014 CarswellAlta 1180 (WL Can.), affirming a decision of Romaine J., 2012 ABQB 411, 550 A.R. 316, 70 Alta. L.R. (5th) 1, 5 B.L.R. (5th) 79, 95 C.B.R. (5th) 171, 25 R.P.R. (5th) 245, [2013] 2 W.W.R. 186, [2012] A.J. No. 1143 (QL), 2012 CarswellAlta 1876 (WL Can.), which set aside a decision of Master Hanebury, 2011 ABQB 193, 512 A.R. 136, 44 Alta. L.R. (5th) 35, 81 B.L.R. (4th) 333, 77 C.B.R. (5th) 198, [2011] 7 W.W.R. 773, [2011] A.J. No. 332 (QL), 2011 CarswellAlta 467 (WL Can.). Appeal allowed, Abella, Moldaver and Côté JJ. dissenting.</w:t>
      </w:r>
    </w:p>
    <w:p w:rsidR="007F2557" w:rsidRPr="009C2345" w:rsidRDefault="007F2557" w:rsidP="007F2557">
      <w:pPr>
        <w:pStyle w:val="SCCNormalDoubleSpacing"/>
        <w:spacing w:line="240" w:lineRule="auto"/>
        <w:rPr>
          <w:sz w:val="20"/>
        </w:rPr>
      </w:pPr>
    </w:p>
    <w:p w:rsidR="007F2557" w:rsidRPr="009C2345" w:rsidRDefault="00F41BAB" w:rsidP="00F41BAB">
      <w:pPr>
        <w:pStyle w:val="SCCNormalDoubleSpacing"/>
        <w:spacing w:line="240" w:lineRule="auto"/>
        <w:rPr>
          <w:rStyle w:val="SCCCounselPartyRoleChar"/>
          <w:sz w:val="20"/>
        </w:rPr>
      </w:pPr>
      <w:r w:rsidRPr="009C2345">
        <w:rPr>
          <w:rStyle w:val="SCCCounselNameChar"/>
          <w:sz w:val="20"/>
        </w:rPr>
        <w:tab/>
      </w:r>
      <w:r w:rsidR="007F2557" w:rsidRPr="009C2345">
        <w:rPr>
          <w:rStyle w:val="SCCCounselNameChar"/>
          <w:sz w:val="20"/>
        </w:rPr>
        <w:t>G. Scott Watson</w:t>
      </w:r>
      <w:r w:rsidR="007F2557" w:rsidRPr="009C2345">
        <w:rPr>
          <w:rStyle w:val="SCCCounselPartyRoleChar"/>
          <w:sz w:val="20"/>
        </w:rPr>
        <w:t xml:space="preserve"> and </w:t>
      </w:r>
      <w:r w:rsidR="007F2557" w:rsidRPr="009C2345">
        <w:rPr>
          <w:rStyle w:val="SCCCounselPartyRoleChar"/>
          <w:i/>
          <w:sz w:val="20"/>
        </w:rPr>
        <w:t>Megan V. Stoker</w:t>
      </w:r>
      <w:r w:rsidR="007F2557" w:rsidRPr="009C2345">
        <w:rPr>
          <w:rStyle w:val="SCCCounselPartyRoleChar"/>
          <w:sz w:val="20"/>
        </w:rPr>
        <w:t>, for the appellants.</w:t>
      </w:r>
    </w:p>
    <w:p w:rsidR="007F2557" w:rsidRPr="009C2345" w:rsidRDefault="007F2557" w:rsidP="007F2557">
      <w:pPr>
        <w:pStyle w:val="SCCNormalDoubleSpacing"/>
        <w:tabs>
          <w:tab w:val="left" w:pos="7580"/>
        </w:tabs>
        <w:spacing w:line="240" w:lineRule="auto"/>
        <w:rPr>
          <w:sz w:val="20"/>
        </w:rPr>
      </w:pPr>
    </w:p>
    <w:p w:rsidR="007F2557" w:rsidRPr="009C2345" w:rsidRDefault="00F41BAB" w:rsidP="00F41BAB">
      <w:pPr>
        <w:pStyle w:val="SCCNormalDoubleSpacing"/>
        <w:spacing w:line="240" w:lineRule="auto"/>
        <w:rPr>
          <w:rStyle w:val="SCCCounselPartyRoleChar"/>
          <w:sz w:val="20"/>
        </w:rPr>
      </w:pPr>
      <w:r w:rsidRPr="009C2345">
        <w:rPr>
          <w:rStyle w:val="SCCCounselNameChar"/>
          <w:sz w:val="20"/>
        </w:rPr>
        <w:tab/>
      </w:r>
      <w:r w:rsidR="007F2557" w:rsidRPr="009C2345">
        <w:rPr>
          <w:rStyle w:val="SCCCounselNameChar"/>
          <w:sz w:val="20"/>
        </w:rPr>
        <w:t>Francis Price, Q.C.</w:t>
      </w:r>
      <w:r w:rsidR="007F2557" w:rsidRPr="009C2345">
        <w:rPr>
          <w:rStyle w:val="SCCCounselPartyRoleChar"/>
          <w:sz w:val="20"/>
        </w:rPr>
        <w:t xml:space="preserve">, and </w:t>
      </w:r>
      <w:r w:rsidR="007F2557" w:rsidRPr="009C2345">
        <w:rPr>
          <w:rStyle w:val="SCCCounselPartyRoleChar"/>
          <w:i/>
          <w:sz w:val="20"/>
        </w:rPr>
        <w:t>Daina Young</w:t>
      </w:r>
      <w:r w:rsidR="007F2557" w:rsidRPr="009C2345">
        <w:rPr>
          <w:rStyle w:val="SCCCounselPartyRoleChar"/>
          <w:sz w:val="20"/>
        </w:rPr>
        <w:t>, for the respondent.</w:t>
      </w:r>
    </w:p>
    <w:p w:rsidR="007F2557" w:rsidRPr="009C2345" w:rsidRDefault="007F2557" w:rsidP="007F2557">
      <w:pPr>
        <w:pStyle w:val="SCCNormalDoubleSpacing"/>
        <w:tabs>
          <w:tab w:val="left" w:pos="7580"/>
        </w:tabs>
        <w:spacing w:line="240" w:lineRule="auto"/>
        <w:rPr>
          <w:sz w:val="20"/>
        </w:rPr>
      </w:pPr>
    </w:p>
    <w:p w:rsidR="007F2557" w:rsidRPr="009C2345" w:rsidRDefault="007F2557" w:rsidP="007F2557">
      <w:pPr>
        <w:pStyle w:val="SCCLawFirm"/>
        <w:spacing w:line="240" w:lineRule="auto"/>
        <w:rPr>
          <w:sz w:val="20"/>
        </w:rPr>
      </w:pPr>
      <w:r w:rsidRPr="009C2345">
        <w:rPr>
          <w:sz w:val="20"/>
        </w:rPr>
        <w:tab/>
        <w:t>Solicitors for the appellants: Parlee McLaws, Calgary.</w:t>
      </w:r>
    </w:p>
    <w:p w:rsidR="007F2557" w:rsidRPr="009C2345" w:rsidRDefault="007F2557" w:rsidP="007F2557">
      <w:pPr>
        <w:pStyle w:val="SCCNormalDoubleSpacing"/>
      </w:pPr>
    </w:p>
    <w:p w:rsidR="007F2557" w:rsidRPr="009C2345" w:rsidRDefault="007F2557" w:rsidP="007F2557">
      <w:pPr>
        <w:pStyle w:val="SCCLawFirm"/>
        <w:spacing w:line="240" w:lineRule="auto"/>
        <w:rPr>
          <w:sz w:val="20"/>
        </w:rPr>
      </w:pPr>
      <w:r w:rsidRPr="009C2345">
        <w:rPr>
          <w:sz w:val="20"/>
        </w:rPr>
        <w:tab/>
        <w:t>Solicitors for the respondent: Reynolds, Mirth, Richards &amp; Farmer, Edmonton.</w:t>
      </w:r>
    </w:p>
    <w:p w:rsidR="0052229C" w:rsidRPr="009C2345" w:rsidRDefault="0052229C" w:rsidP="0052229C">
      <w:pPr>
        <w:rPr>
          <w:rFonts w:cs="Times New Roman"/>
          <w:sz w:val="20"/>
          <w:szCs w:val="20"/>
          <w:lang w:val="fr-CA"/>
        </w:rPr>
      </w:pPr>
      <w:r w:rsidRPr="009C2345">
        <w:rPr>
          <w:rFonts w:cs="Times New Roman"/>
          <w:sz w:val="20"/>
          <w:szCs w:val="20"/>
          <w:lang w:val="fr-CA"/>
        </w:rPr>
        <w:t>________________________</w:t>
      </w:r>
    </w:p>
    <w:p w:rsidR="0052229C" w:rsidRPr="009C2345" w:rsidRDefault="0052229C" w:rsidP="0052229C">
      <w:pPr>
        <w:rPr>
          <w:rFonts w:cs="Times New Roman"/>
          <w:sz w:val="20"/>
          <w:szCs w:val="20"/>
          <w:lang w:val="fr-CA"/>
        </w:rPr>
      </w:pPr>
    </w:p>
    <w:p w:rsidR="009B7EF0" w:rsidRPr="009C2345" w:rsidRDefault="009B7EF0" w:rsidP="009B7EF0">
      <w:pPr>
        <w:jc w:val="both"/>
        <w:rPr>
          <w:sz w:val="20"/>
          <w:lang w:val="fr-CA"/>
        </w:rPr>
      </w:pPr>
      <w:r w:rsidRPr="009C2345">
        <w:rPr>
          <w:sz w:val="20"/>
          <w:szCs w:val="20"/>
          <w:lang w:val="fr-CA"/>
        </w:rPr>
        <w:t>Présents : La juge en chef McLachlin et les juges Abella, Cromwell, Moldaver, Karakatsanis, Wagner, Gascon, Côté et Brown.</w:t>
      </w:r>
    </w:p>
    <w:p w:rsidR="009B7EF0" w:rsidRPr="009C2345" w:rsidRDefault="009B7EF0" w:rsidP="009B7EF0">
      <w:pPr>
        <w:jc w:val="both"/>
        <w:rPr>
          <w:sz w:val="20"/>
          <w:szCs w:val="20"/>
          <w:lang w:val="fr-CA"/>
        </w:rPr>
      </w:pPr>
    </w:p>
    <w:p w:rsidR="009B7EF0" w:rsidRPr="009C2345" w:rsidRDefault="009B7EF0" w:rsidP="009B7EF0">
      <w:pPr>
        <w:pStyle w:val="SCCNormalDoubleSpacing"/>
        <w:spacing w:line="240" w:lineRule="auto"/>
        <w:rPr>
          <w:i/>
          <w:sz w:val="20"/>
          <w:lang w:val="fr-CA"/>
        </w:rPr>
      </w:pPr>
      <w:r w:rsidRPr="009C2345">
        <w:rPr>
          <w:sz w:val="20"/>
          <w:lang w:val="fr-CA"/>
        </w:rPr>
        <w:tab/>
      </w:r>
      <w:r w:rsidRPr="009C2345">
        <w:rPr>
          <w:i/>
          <w:sz w:val="20"/>
          <w:lang w:val="fr-CA"/>
        </w:rPr>
        <w:t>Hypothèques — Intérêts — Taux d’intérêt — Paiements en souffrance — Conditions hypothécaires prévoyant un escompte — Mesure législative interdisant au créancier hypothécaire d’imposer des conditions qui ont pour effet d’exiger, sur des arrérages, un taux d’intérêt supérieur à celui payable sur le principal non arriéré — Est</w:t>
      </w:r>
      <w:r w:rsidRPr="009C2345">
        <w:rPr>
          <w:i/>
          <w:sz w:val="20"/>
          <w:lang w:val="fr-CA"/>
        </w:rPr>
        <w:noBreakHyphen/>
        <w:t>ce que certaines conditions d’une convention hypothécaire contreviennent à cette mesure législative du fait qu’elles imposent un « taux d’intérêt » ne prenant effet que si le débiteur hypothécaire est en défaut de paiement soit parce qu’il n’effectue pas les paiements d’intérêt prévus suivant un «</w:t>
      </w:r>
      <w:r w:rsidRPr="009C2345">
        <w:rPr>
          <w:sz w:val="20"/>
          <w:lang w:val="fr-CA"/>
        </w:rPr>
        <w:t> </w:t>
      </w:r>
      <w:r w:rsidRPr="009C2345">
        <w:rPr>
          <w:i/>
          <w:sz w:val="20"/>
          <w:lang w:val="fr-CA"/>
        </w:rPr>
        <w:t>taux payable » inférieur, soit parce qu’il ne rembourse pas le prêt à l’échéance? — Existe</w:t>
      </w:r>
      <w:r w:rsidRPr="009C2345">
        <w:rPr>
          <w:i/>
          <w:sz w:val="20"/>
          <w:lang w:val="fr-CA"/>
        </w:rPr>
        <w:noBreakHyphen/>
        <w:t>t</w:t>
      </w:r>
      <w:r w:rsidRPr="009C2345">
        <w:rPr>
          <w:i/>
          <w:sz w:val="20"/>
          <w:lang w:val="fr-CA"/>
        </w:rPr>
        <w:noBreakHyphen/>
        <w:t>il une distinction entre 1) des conditions qui imposent, en guise de pénalité, un taux plus élevé en cas de défaut de paiement et 2) des conditions qui réservent, en guise d’escompte, un taux plus bas en l’absence de défaut de paiement? — Loi sur l’intérêt, L.R.C. 1985, c. I</w:t>
      </w:r>
      <w:r w:rsidRPr="009C2345">
        <w:rPr>
          <w:i/>
          <w:sz w:val="20"/>
          <w:lang w:val="fr-CA"/>
        </w:rPr>
        <w:noBreakHyphen/>
        <w:t>15, art. 2, 8.</w:t>
      </w:r>
    </w:p>
    <w:p w:rsidR="009B7EF0" w:rsidRPr="009C2345" w:rsidRDefault="009B7EF0" w:rsidP="009B7EF0">
      <w:pPr>
        <w:pStyle w:val="SCCNormalDoubleSpacing"/>
        <w:spacing w:line="240" w:lineRule="auto"/>
        <w:rPr>
          <w:i/>
          <w:sz w:val="20"/>
          <w:lang w:val="fr-CA"/>
        </w:rPr>
      </w:pPr>
    </w:p>
    <w:p w:rsidR="009B7EF0" w:rsidRPr="009C2345" w:rsidRDefault="009B7EF0" w:rsidP="009B7EF0">
      <w:pPr>
        <w:pStyle w:val="SCCNormalDoubleSpacing"/>
        <w:spacing w:line="240" w:lineRule="auto"/>
        <w:rPr>
          <w:sz w:val="20"/>
          <w:lang w:val="fr-CA"/>
        </w:rPr>
      </w:pPr>
      <w:r w:rsidRPr="009C2345">
        <w:rPr>
          <w:i/>
          <w:iCs/>
          <w:spacing w:val="-3"/>
          <w:sz w:val="20"/>
          <w:lang w:val="fr-CA"/>
        </w:rPr>
        <w:tab/>
      </w:r>
      <w:r w:rsidRPr="009C2345">
        <w:rPr>
          <w:sz w:val="20"/>
          <w:lang w:val="fr-CA"/>
        </w:rPr>
        <w:t>La débitrice hypothécaire, Lougheed Block Inc. (« Lougheed »), était propriétaire d’un édifice à bureaux et a consenti à L’Équitable, Compagnie de fiducie (« Équitable ») une hypothèque afin de garantir un emprunt de 27 millions de dollars. Le taux d’intérêt annuel convenu correspondait au taux préférentiel majoré de 2,875 pour 100 par année. Lougheed a été incapable de rembourser l’hypothèque lorsqu’elle est venue à échéance le 30 juin 2008. Équitable a accepté de prolonger de sept mois la condition hypothécaire en cause. La convention qui en a découlé (la « Première convention de renouvellement ») a pris effet le 1</w:t>
      </w:r>
      <w:r w:rsidRPr="009C2345">
        <w:rPr>
          <w:sz w:val="20"/>
          <w:vertAlign w:val="superscript"/>
          <w:lang w:val="fr-CA"/>
        </w:rPr>
        <w:t>er</w:t>
      </w:r>
      <w:r w:rsidRPr="009C2345">
        <w:rPr>
          <w:sz w:val="20"/>
          <w:lang w:val="fr-CA"/>
        </w:rPr>
        <w:t xml:space="preserve"> août 2008, et elle prévoyait d’abord un taux d’intérêt annuel égal au taux préférentiel majoré de 3,125 pour 100 applicable durant les premiers six mois, puis un taux de 25 pour 100 applicable au cours du septième mois. </w:t>
      </w:r>
    </w:p>
    <w:p w:rsidR="009B7EF0" w:rsidRPr="009C2345" w:rsidRDefault="009B7EF0" w:rsidP="009B7EF0">
      <w:pPr>
        <w:pStyle w:val="SCCNormalDoubleSpacing"/>
        <w:spacing w:line="240" w:lineRule="auto"/>
        <w:rPr>
          <w:sz w:val="20"/>
          <w:lang w:val="fr-CA"/>
        </w:rPr>
      </w:pPr>
    </w:p>
    <w:p w:rsidR="009B7EF0" w:rsidRPr="009C2345" w:rsidRDefault="009B7EF0" w:rsidP="009B7EF0">
      <w:pPr>
        <w:pStyle w:val="SCCNormalDoubleSpacing"/>
        <w:spacing w:line="240" w:lineRule="auto"/>
        <w:rPr>
          <w:rFonts w:eastAsiaTheme="minorEastAsia"/>
          <w:sz w:val="20"/>
          <w:lang w:val="fr-CA" w:eastAsia="en-US"/>
        </w:rPr>
      </w:pPr>
      <w:r w:rsidRPr="009C2345">
        <w:rPr>
          <w:rFonts w:eastAsiaTheme="minorEastAsia"/>
          <w:sz w:val="20"/>
          <w:lang w:val="fr-CA" w:eastAsia="en-US"/>
        </w:rPr>
        <w:tab/>
      </w:r>
      <w:r w:rsidRPr="009C2345">
        <w:rPr>
          <w:sz w:val="20"/>
          <w:lang w:val="fr-CA"/>
        </w:rPr>
        <w:t>Lorsque la Première convention de renouvellement est venue à échéance le 1</w:t>
      </w:r>
      <w:r w:rsidRPr="009C2345">
        <w:rPr>
          <w:sz w:val="20"/>
          <w:vertAlign w:val="superscript"/>
          <w:lang w:val="fr-CA"/>
        </w:rPr>
        <w:t>er</w:t>
      </w:r>
      <w:r w:rsidRPr="009C2345">
        <w:rPr>
          <w:sz w:val="20"/>
          <w:lang w:val="fr-CA"/>
        </w:rPr>
        <w:t> mars 2009, Lougheed a une fois de plus été incapable de rembourser l’hypothèque</w:t>
      </w:r>
      <w:r w:rsidRPr="009C2345">
        <w:rPr>
          <w:rFonts w:eastAsiaTheme="minorEastAsia"/>
          <w:sz w:val="20"/>
          <w:lang w:val="fr-CA" w:eastAsia="en-US"/>
        </w:rPr>
        <w:t xml:space="preserve">. Le 28 avril 2009, </w:t>
      </w:r>
      <w:r w:rsidRPr="009C2345">
        <w:rPr>
          <w:sz w:val="20"/>
          <w:lang w:val="fr-CA"/>
        </w:rPr>
        <w:t>elle a signé une deuxième hypothèque (la « Seconde convention de renouvellement ») qui modifiait la convention conclue avec Équitable et qui prenait effet r</w:t>
      </w:r>
      <w:r w:rsidRPr="009C2345">
        <w:rPr>
          <w:sz w:val="20"/>
          <w:lang w:val="fr-FR"/>
        </w:rPr>
        <w:t>é</w:t>
      </w:r>
      <w:r w:rsidRPr="009C2345">
        <w:rPr>
          <w:sz w:val="20"/>
          <w:lang w:val="fr-CA"/>
        </w:rPr>
        <w:t>troactivement le 1</w:t>
      </w:r>
      <w:r w:rsidRPr="009C2345">
        <w:rPr>
          <w:sz w:val="20"/>
          <w:vertAlign w:val="superscript"/>
          <w:lang w:val="fr-CA"/>
        </w:rPr>
        <w:t>er</w:t>
      </w:r>
      <w:r w:rsidRPr="009C2345">
        <w:rPr>
          <w:sz w:val="20"/>
          <w:lang w:val="fr-CA"/>
        </w:rPr>
        <w:t> février 2009 (c’est</w:t>
      </w:r>
      <w:r w:rsidRPr="009C2345">
        <w:rPr>
          <w:sz w:val="20"/>
          <w:lang w:val="fr-CA"/>
        </w:rPr>
        <w:noBreakHyphen/>
        <w:t>à</w:t>
      </w:r>
      <w:r w:rsidRPr="009C2345">
        <w:rPr>
          <w:sz w:val="20"/>
          <w:lang w:val="fr-CA"/>
        </w:rPr>
        <w:noBreakHyphen/>
        <w:t>dire un mois avant l’expiration de la Première convention de renouvellement)</w:t>
      </w:r>
      <w:r w:rsidRPr="009C2345">
        <w:rPr>
          <w:rFonts w:eastAsiaTheme="minorEastAsia"/>
          <w:sz w:val="20"/>
          <w:lang w:val="fr-CA" w:eastAsia="en-US"/>
        </w:rPr>
        <w:t>. L</w:t>
      </w:r>
      <w:r w:rsidRPr="009C2345">
        <w:rPr>
          <w:sz w:val="20"/>
          <w:lang w:val="fr-CA"/>
        </w:rPr>
        <w:t>a Seconde convention de renouvellement prévoyait ce qui suit :</w:t>
      </w:r>
      <w:r w:rsidRPr="009C2345">
        <w:rPr>
          <w:rFonts w:eastAsiaTheme="minorEastAsia"/>
          <w:sz w:val="20"/>
          <w:lang w:val="fr-CA" w:eastAsia="en-US"/>
        </w:rPr>
        <w:t xml:space="preserve"> u</w:t>
      </w:r>
      <w:r w:rsidRPr="009C2345">
        <w:rPr>
          <w:sz w:val="20"/>
          <w:lang w:val="fr-CA"/>
        </w:rPr>
        <w:t>n « taux d’intérêt » annuel de 25 pour 100 sur le prêt</w:t>
      </w:r>
      <w:r w:rsidRPr="009C2345">
        <w:rPr>
          <w:rFonts w:eastAsiaTheme="minorEastAsia"/>
          <w:sz w:val="20"/>
          <w:lang w:val="fr-CA" w:eastAsia="en-US"/>
        </w:rPr>
        <w:t xml:space="preserve">; l’obligation pour Lougheed </w:t>
      </w:r>
      <w:r w:rsidRPr="009C2345">
        <w:rPr>
          <w:sz w:val="20"/>
          <w:lang w:val="fr-CA"/>
        </w:rPr>
        <w:t>d’effectuer des paiements d’intérêts mensuels suivant un « taux payable » (« </w:t>
      </w:r>
      <w:r w:rsidRPr="009C2345">
        <w:rPr>
          <w:i/>
          <w:sz w:val="20"/>
          <w:lang w:val="fr-CA"/>
        </w:rPr>
        <w:t>Pay Rate</w:t>
      </w:r>
      <w:r w:rsidRPr="009C2345">
        <w:rPr>
          <w:sz w:val="20"/>
          <w:lang w:val="fr-CA"/>
        </w:rPr>
        <w:t> ») correspondant au plus élevé des taux suivants : 7,5 pour 100 ou le taux préférentiel majoré de 5,25 pour 100</w:t>
      </w:r>
      <w:r w:rsidRPr="009C2345">
        <w:rPr>
          <w:rFonts w:eastAsiaTheme="minorEastAsia"/>
          <w:sz w:val="20"/>
          <w:lang w:val="fr-CA" w:eastAsia="en-US"/>
        </w:rPr>
        <w:t xml:space="preserve">; </w:t>
      </w:r>
      <w:r w:rsidRPr="009C2345">
        <w:rPr>
          <w:sz w:val="20"/>
          <w:lang w:val="fr-CA"/>
        </w:rPr>
        <w:t>l’ajout au prêt</w:t>
      </w:r>
      <w:r w:rsidRPr="009C2345">
        <w:rPr>
          <w:rFonts w:eastAsiaTheme="minorEastAsia"/>
          <w:sz w:val="20"/>
          <w:lang w:val="fr-CA" w:eastAsia="en-US"/>
        </w:rPr>
        <w:t xml:space="preserve"> de l</w:t>
      </w:r>
      <w:r w:rsidRPr="009C2345">
        <w:rPr>
          <w:sz w:val="20"/>
          <w:lang w:val="fr-CA"/>
        </w:rPr>
        <w:t>a somme représentant la différence entre le montant payable par Lougheed selon le taux d’intérêt indiqué de 25 pour 100 et celui payable suivant le taux plus bas</w:t>
      </w:r>
      <w:r w:rsidRPr="009C2345">
        <w:rPr>
          <w:rFonts w:eastAsiaTheme="minorEastAsia"/>
          <w:sz w:val="20"/>
          <w:lang w:val="fr-CA" w:eastAsia="en-US"/>
        </w:rPr>
        <w:t xml:space="preserve">; </w:t>
      </w:r>
      <w:r w:rsidRPr="009C2345">
        <w:rPr>
          <w:sz w:val="20"/>
          <w:lang w:val="fr-CA"/>
        </w:rPr>
        <w:t>la renonciation par la créancière aux intérêts accumulés</w:t>
      </w:r>
      <w:r w:rsidRPr="009C2345">
        <w:rPr>
          <w:rFonts w:eastAsiaTheme="minorEastAsia"/>
          <w:sz w:val="20"/>
          <w:lang w:val="fr-CA" w:eastAsia="en-US"/>
        </w:rPr>
        <w:t xml:space="preserve"> e</w:t>
      </w:r>
      <w:r w:rsidRPr="009C2345">
        <w:rPr>
          <w:sz w:val="20"/>
          <w:lang w:val="fr-CA"/>
        </w:rPr>
        <w:t>n l’absence de défaut de paiement par Lougheed</w:t>
      </w:r>
      <w:r w:rsidRPr="009C2345">
        <w:rPr>
          <w:rFonts w:eastAsiaTheme="minorEastAsia"/>
          <w:sz w:val="20"/>
          <w:lang w:val="fr-CA" w:eastAsia="en-US"/>
        </w:rPr>
        <w:t xml:space="preserve">. </w:t>
      </w:r>
    </w:p>
    <w:p w:rsidR="009B7EF0" w:rsidRPr="009C2345" w:rsidRDefault="009B7EF0" w:rsidP="009B7EF0">
      <w:pPr>
        <w:pStyle w:val="SCCNormalDoubleSpacing"/>
        <w:spacing w:line="240" w:lineRule="auto"/>
        <w:rPr>
          <w:rFonts w:eastAsiaTheme="minorEastAsia"/>
          <w:sz w:val="20"/>
          <w:lang w:val="fr-CA" w:eastAsia="en-US"/>
        </w:rPr>
      </w:pPr>
    </w:p>
    <w:p w:rsidR="009B7EF0" w:rsidRPr="009C2345" w:rsidRDefault="009B7EF0" w:rsidP="009B7EF0">
      <w:pPr>
        <w:pStyle w:val="SCCNormalDoubleSpacing"/>
        <w:spacing w:line="240" w:lineRule="auto"/>
        <w:rPr>
          <w:rFonts w:eastAsiaTheme="minorEastAsia"/>
          <w:sz w:val="20"/>
          <w:lang w:val="fr-CA" w:eastAsia="en-US"/>
        </w:rPr>
      </w:pPr>
      <w:r w:rsidRPr="009C2345">
        <w:rPr>
          <w:rFonts w:eastAsiaTheme="minorEastAsia"/>
          <w:sz w:val="20"/>
          <w:lang w:val="fr-CA" w:eastAsia="en-US"/>
        </w:rPr>
        <w:tab/>
        <w:t xml:space="preserve">Le 15 mai 2009, Lougheed n’a pas effectué le paiement exigible et Équitable </w:t>
      </w:r>
      <w:r w:rsidRPr="009C2345">
        <w:rPr>
          <w:sz w:val="20"/>
          <w:lang w:val="fr-CA"/>
        </w:rPr>
        <w:t xml:space="preserve">a exigé le remboursement du prêt au taux indiqué de 25 pour 100. </w:t>
      </w:r>
      <w:r w:rsidRPr="009C2345">
        <w:rPr>
          <w:rFonts w:eastAsiaTheme="minorEastAsia"/>
          <w:sz w:val="20"/>
          <w:lang w:val="fr-CA" w:eastAsia="en-US"/>
        </w:rPr>
        <w:t xml:space="preserve">La </w:t>
      </w:r>
      <w:r w:rsidRPr="009C2345">
        <w:rPr>
          <w:sz w:val="20"/>
          <w:lang w:val="fr-CA"/>
        </w:rPr>
        <w:t>protonotaire</w:t>
      </w:r>
      <w:r w:rsidRPr="009C2345">
        <w:rPr>
          <w:rFonts w:eastAsiaTheme="minorEastAsia"/>
          <w:sz w:val="20"/>
          <w:lang w:val="fr-CA" w:eastAsia="en-US"/>
        </w:rPr>
        <w:t xml:space="preserve"> de la Cour du Banc de la Reine </w:t>
      </w:r>
      <w:r w:rsidRPr="009C2345">
        <w:rPr>
          <w:sz w:val="20"/>
          <w:lang w:val="fr-CA"/>
        </w:rPr>
        <w:t xml:space="preserve">a conclu que les deux conventions de renouvellement contrevenaient à l’art. 8 de la </w:t>
      </w:r>
      <w:r w:rsidRPr="009C2345">
        <w:rPr>
          <w:i/>
          <w:sz w:val="20"/>
          <w:lang w:val="fr-CA"/>
        </w:rPr>
        <w:t>Loi sur l’intérêt</w:t>
      </w:r>
      <w:r w:rsidRPr="009C2345">
        <w:rPr>
          <w:sz w:val="20"/>
          <w:lang w:val="fr-CA"/>
        </w:rPr>
        <w:t>. La juge en cabinet du même tribunal a infirmé la décision de la protonotaire, estimant que les deux renouvellements respectaient l’art. 8. À l’unanimité,</w:t>
      </w:r>
      <w:r w:rsidRPr="009C2345">
        <w:rPr>
          <w:rFonts w:eastAsiaTheme="minorEastAsia"/>
          <w:sz w:val="20"/>
          <w:lang w:val="fr-CA" w:eastAsia="en-US"/>
        </w:rPr>
        <w:t xml:space="preserve"> la Cour d’appel </w:t>
      </w:r>
      <w:r w:rsidRPr="009C2345">
        <w:rPr>
          <w:sz w:val="20"/>
          <w:lang w:val="fr-CA"/>
        </w:rPr>
        <w:t>a jugé que la Première convention de renouvellement ne contrevenait pas à l’art. 8</w:t>
      </w:r>
      <w:r w:rsidRPr="009C2345">
        <w:rPr>
          <w:rFonts w:eastAsiaTheme="minorEastAsia"/>
          <w:sz w:val="20"/>
          <w:lang w:val="fr-CA" w:eastAsia="en-US"/>
        </w:rPr>
        <w:t xml:space="preserve">. À la majorité, elle a fait sienne l’opinion de la juge en cabinet selon laquelle la Seconde convention de renouvellement respectait également l’art. 8. </w:t>
      </w:r>
    </w:p>
    <w:p w:rsidR="009B7EF0" w:rsidRPr="009C2345" w:rsidRDefault="009B7EF0" w:rsidP="009B7EF0">
      <w:pPr>
        <w:pStyle w:val="SCCNormalDoubleSpacing"/>
        <w:spacing w:line="240" w:lineRule="auto"/>
        <w:rPr>
          <w:rFonts w:eastAsiaTheme="minorEastAsia"/>
          <w:sz w:val="20"/>
          <w:lang w:val="fr-CA" w:eastAsia="en-US"/>
        </w:rPr>
      </w:pPr>
    </w:p>
    <w:p w:rsidR="009B7EF0" w:rsidRPr="009C2345" w:rsidRDefault="009B7EF0" w:rsidP="009B7EF0">
      <w:pPr>
        <w:pStyle w:val="SCCNormalDoubleSpacing"/>
        <w:spacing w:line="240" w:lineRule="auto"/>
        <w:rPr>
          <w:sz w:val="20"/>
          <w:lang w:val="fr-CA"/>
        </w:rPr>
      </w:pPr>
      <w:r w:rsidRPr="009C2345">
        <w:rPr>
          <w:sz w:val="20"/>
          <w:lang w:val="fr-CA"/>
        </w:rPr>
        <w:tab/>
      </w:r>
      <w:r w:rsidRPr="009C2345">
        <w:rPr>
          <w:i/>
          <w:sz w:val="20"/>
          <w:lang w:val="fr-CA"/>
        </w:rPr>
        <w:t xml:space="preserve">Arrêt </w:t>
      </w:r>
      <w:r w:rsidRPr="009C2345">
        <w:rPr>
          <w:rStyle w:val="QuoteChar"/>
          <w:sz w:val="20"/>
          <w:lang w:val="fr-CA"/>
        </w:rPr>
        <w:t xml:space="preserve">(les juges Abella, Moldaver et </w:t>
      </w:r>
      <w:r w:rsidRPr="009C2345">
        <w:rPr>
          <w:sz w:val="20"/>
          <w:lang w:val="fr-CA"/>
        </w:rPr>
        <w:t>Côté</w:t>
      </w:r>
      <w:r w:rsidRPr="009C2345">
        <w:rPr>
          <w:rStyle w:val="QuoteChar"/>
          <w:sz w:val="20"/>
          <w:lang w:val="fr-CA"/>
        </w:rPr>
        <w:t xml:space="preserve"> sont dissidents) :</w:t>
      </w:r>
      <w:r w:rsidRPr="009C2345">
        <w:rPr>
          <w:sz w:val="20"/>
          <w:lang w:val="fr-CA"/>
        </w:rPr>
        <w:t xml:space="preserve"> Le pourvoi est accueilli.</w:t>
      </w:r>
    </w:p>
    <w:p w:rsidR="009B7EF0" w:rsidRPr="009C2345" w:rsidRDefault="009B7EF0" w:rsidP="009B7EF0">
      <w:pPr>
        <w:pStyle w:val="SCCNormalDoubleSpacing"/>
        <w:spacing w:line="240" w:lineRule="auto"/>
        <w:rPr>
          <w:sz w:val="20"/>
          <w:lang w:val="fr-CA"/>
        </w:rPr>
      </w:pPr>
    </w:p>
    <w:p w:rsidR="009B7EF0" w:rsidRPr="009C2345" w:rsidRDefault="009B7EF0" w:rsidP="009B7EF0">
      <w:pPr>
        <w:pStyle w:val="SCCNormalDoubleSpacing"/>
        <w:spacing w:line="240" w:lineRule="auto"/>
        <w:rPr>
          <w:sz w:val="20"/>
          <w:lang w:val="fr-CA"/>
        </w:rPr>
      </w:pPr>
      <w:r w:rsidRPr="009C2345">
        <w:rPr>
          <w:sz w:val="20"/>
          <w:lang w:val="fr-CA"/>
        </w:rPr>
        <w:tab/>
      </w:r>
      <w:r w:rsidRPr="009C2345">
        <w:rPr>
          <w:i/>
          <w:sz w:val="20"/>
          <w:lang w:val="fr-CA"/>
        </w:rPr>
        <w:t xml:space="preserve">La </w:t>
      </w:r>
      <w:r w:rsidRPr="009C2345">
        <w:rPr>
          <w:sz w:val="20"/>
          <w:lang w:val="fr-CA"/>
        </w:rPr>
        <w:t xml:space="preserve">juge en chef McLachlin et les juges Cromwell, Karakatsanis, Wagner, Gascon et </w:t>
      </w:r>
      <w:r w:rsidRPr="009C2345">
        <w:rPr>
          <w:b/>
          <w:sz w:val="20"/>
          <w:lang w:val="fr-CA"/>
        </w:rPr>
        <w:t>Brown</w:t>
      </w:r>
      <w:r w:rsidRPr="009C2345">
        <w:rPr>
          <w:sz w:val="20"/>
          <w:lang w:val="fr-CA"/>
        </w:rPr>
        <w:t> : L’article 8 de la Loi fait état de trois catégories de charges — amendes, pénalités ou taux d’intérêt — qui ne peuvent être stipulées, retenues, réservées ou exigées dans une convention hypothécaire si elles ont pour effet</w:t>
      </w:r>
      <w:r w:rsidRPr="009C2345">
        <w:rPr>
          <w:i/>
          <w:sz w:val="20"/>
          <w:lang w:val="fr-CA"/>
        </w:rPr>
        <w:t> </w:t>
      </w:r>
      <w:r w:rsidRPr="009C2345">
        <w:rPr>
          <w:sz w:val="20"/>
          <w:lang w:val="fr-CA"/>
        </w:rPr>
        <w:t>d’élever les charges sur les arrérages au</w:t>
      </w:r>
      <w:r w:rsidRPr="009C2345">
        <w:rPr>
          <w:sz w:val="20"/>
          <w:lang w:val="fr-CA"/>
        </w:rPr>
        <w:noBreakHyphen/>
        <w:t xml:space="preserve">dessus de celles imposées sur le principal non arriéré. L’article 2 préserve la liberté générale des parties de convenir du taux d’intérêt ou d’escompte applicable, sous réserve de l’existence dans la Loi d’une disposition à l’effet contraire. </w:t>
      </w:r>
    </w:p>
    <w:p w:rsidR="009B7EF0" w:rsidRPr="009C2345" w:rsidRDefault="009B7EF0" w:rsidP="009B7EF0">
      <w:pPr>
        <w:pStyle w:val="SCCNormalDoubleSpacing"/>
        <w:spacing w:line="240" w:lineRule="auto"/>
        <w:rPr>
          <w:sz w:val="20"/>
          <w:lang w:val="fr-CA"/>
        </w:rPr>
      </w:pPr>
    </w:p>
    <w:p w:rsidR="009B7EF0" w:rsidRPr="009C2345" w:rsidRDefault="009B7EF0" w:rsidP="009B7EF0">
      <w:pPr>
        <w:pStyle w:val="SCCNormalDoubleSpacing"/>
        <w:spacing w:line="240" w:lineRule="auto"/>
        <w:rPr>
          <w:sz w:val="20"/>
          <w:lang w:val="fr-CA"/>
        </w:rPr>
      </w:pPr>
      <w:r w:rsidRPr="009C2345">
        <w:rPr>
          <w:sz w:val="20"/>
          <w:lang w:val="fr-CA"/>
        </w:rPr>
        <w:tab/>
        <w:t>Le sens ordinaire des mots que le Parlement a choisi d’ajouter à l’art. 8 — lus en corrélation avec l’art. 2 et considérés à la lumière des objets de la Loi — étaye la conclusion que l’art. 8 s’applique à la fois aux escomptes (incitatifs à l’exécution) et aux pénalités pour inexécution chaque fois qu’une telle mesure a pour effet d’élever les charges sur les arrérages au</w:t>
      </w:r>
      <w:r w:rsidRPr="009C2345">
        <w:rPr>
          <w:sz w:val="20"/>
          <w:lang w:val="fr-CA"/>
        </w:rPr>
        <w:noBreakHyphen/>
        <w:t xml:space="preserve">dessus du taux d’intérêt payable sur le principal non arriéré. En précisant que l’analyse devait porter sur l’effet de la condition hypothécaire attaquée, le législateur entendait clairement indiquer que les conditions hypothécaires déguisées en « boni », « escompte » ou « avantage » ne seraient pas, en tant que telles, conformes à l’art. 8. Le fond, et non la forme, doit l’emporter. Ce qui compte, c’est la manière dont la condition attaquée s’applique et les conséquences qu’elle entraîne, peu importe le nom qu’on lui donne. Si la condition a pour effet d’imposer sur les arrérages un taux plus élevé que celui payable sur la somme non arriérée, elle contrevient à l’art. 8. </w:t>
      </w:r>
    </w:p>
    <w:p w:rsidR="009B7EF0" w:rsidRPr="009C2345" w:rsidRDefault="009B7EF0" w:rsidP="009B7EF0">
      <w:pPr>
        <w:pStyle w:val="SCCNormalDoubleSpacing"/>
        <w:spacing w:line="240" w:lineRule="auto"/>
        <w:rPr>
          <w:rFonts w:eastAsiaTheme="minorEastAsia"/>
          <w:sz w:val="20"/>
          <w:lang w:val="fr-CA" w:eastAsia="en-US"/>
        </w:rPr>
      </w:pPr>
    </w:p>
    <w:p w:rsidR="009B7EF0" w:rsidRPr="009C2345" w:rsidRDefault="009B7EF0" w:rsidP="009B7EF0">
      <w:pPr>
        <w:pStyle w:val="SCCNormalDoubleSpacing"/>
        <w:spacing w:line="240" w:lineRule="auto"/>
        <w:rPr>
          <w:sz w:val="20"/>
          <w:lang w:val="fr-CA"/>
        </w:rPr>
      </w:pPr>
      <w:r w:rsidRPr="009C2345">
        <w:rPr>
          <w:sz w:val="20"/>
          <w:lang w:val="fr-CA"/>
        </w:rPr>
        <w:tab/>
        <w:t>Il est possible de trancher le présent pourvoi en analysant seulement la Seconde convention de renouvellement, puisque son application a été fixée rétroactivement à la date (le 1</w:t>
      </w:r>
      <w:r w:rsidRPr="009C2345">
        <w:rPr>
          <w:sz w:val="20"/>
          <w:vertAlign w:val="superscript"/>
          <w:lang w:val="fr-CA"/>
        </w:rPr>
        <w:t>er</w:t>
      </w:r>
      <w:r w:rsidRPr="009C2345">
        <w:rPr>
          <w:sz w:val="20"/>
          <w:lang w:val="fr-CA"/>
        </w:rPr>
        <w:t xml:space="preserve"> février 2009) à laquelle a pris effet la majoration du taux d’intérêt prévue par la Première convention de renouvellement. Toutefois, il est évident qu’une hausse du taux d’intérêt déclenchée par le seul écoulement du temps (et non par suite d’un défaut de paiement), telle la hausse imposée en vertu de la Première convention de renouvellement, ne contrevient pas à l’art. 8. </w:t>
      </w:r>
    </w:p>
    <w:p w:rsidR="009B7EF0" w:rsidRPr="009C2345" w:rsidRDefault="009B7EF0" w:rsidP="009B7EF0">
      <w:pPr>
        <w:pStyle w:val="SCCNormalDoubleSpacing"/>
        <w:spacing w:line="240" w:lineRule="auto"/>
        <w:rPr>
          <w:sz w:val="20"/>
          <w:lang w:val="fr-CA"/>
        </w:rPr>
      </w:pPr>
    </w:p>
    <w:p w:rsidR="009B7EF0" w:rsidRPr="009C2345" w:rsidRDefault="009B7EF0" w:rsidP="009B7EF0">
      <w:pPr>
        <w:pStyle w:val="SCCNormalDoubleSpacing"/>
        <w:spacing w:line="240" w:lineRule="auto"/>
        <w:rPr>
          <w:sz w:val="20"/>
          <w:lang w:val="fr-CA"/>
        </w:rPr>
      </w:pPr>
      <w:r w:rsidRPr="009C2345">
        <w:rPr>
          <w:sz w:val="20"/>
          <w:lang w:val="fr-CA"/>
        </w:rPr>
        <w:tab/>
        <w:t>Pour ce qui est de la Seconde convention de renouvellement, elle a pour effet de réserver une charge plus élevée (25 pour 100) sur les arrérages que celle imposée sur le principal non arriéré (7,5 pour 100 ou le taux préférentiel plus 5,25 pour 100). Le fait de qualifier une charge de « taux d’intérêt » et l’autre charge de « taux payable » est sans conséquence, étant donné que l’art. 8 met explicitement l’accent sur le fond plutôt que sur la forme. Le taux d’intérêt annuel de 25 pour 100 fixé par la Seconde convention de renouvellement est donc annulé. Le taux d’intérêt en vigueur à compter du 1</w:t>
      </w:r>
      <w:r w:rsidRPr="009C2345">
        <w:rPr>
          <w:sz w:val="20"/>
          <w:vertAlign w:val="superscript"/>
          <w:lang w:val="fr-CA"/>
        </w:rPr>
        <w:t>er </w:t>
      </w:r>
      <w:r w:rsidRPr="009C2345">
        <w:rPr>
          <w:sz w:val="20"/>
          <w:lang w:val="fr-CA"/>
        </w:rPr>
        <w:t>février 2009 en vertu de la Seconde convention de renouvellement est établi au plus élevé des taux suivants : 7,5 pour 100 ou le taux préférentiel plus 5,25 pour 100.</w:t>
      </w:r>
    </w:p>
    <w:p w:rsidR="009B7EF0" w:rsidRPr="009C2345" w:rsidRDefault="009B7EF0" w:rsidP="009B7EF0">
      <w:pPr>
        <w:pStyle w:val="SCCNormalDoubleSpacing"/>
        <w:spacing w:line="240" w:lineRule="auto"/>
        <w:rPr>
          <w:sz w:val="20"/>
          <w:lang w:val="fr-CA"/>
        </w:rPr>
      </w:pPr>
    </w:p>
    <w:p w:rsidR="009B7EF0" w:rsidRPr="009C2345" w:rsidRDefault="009B7EF0" w:rsidP="009B7EF0">
      <w:pPr>
        <w:pStyle w:val="SCCNormalDoubleSpacing"/>
        <w:spacing w:line="240" w:lineRule="auto"/>
        <w:rPr>
          <w:sz w:val="20"/>
          <w:lang w:val="fr-CA"/>
        </w:rPr>
      </w:pPr>
      <w:r w:rsidRPr="009C2345">
        <w:rPr>
          <w:sz w:val="20"/>
          <w:lang w:val="fr-CA"/>
        </w:rPr>
        <w:tab/>
      </w:r>
      <w:r w:rsidRPr="009C2345">
        <w:rPr>
          <w:i/>
          <w:sz w:val="20"/>
          <w:lang w:val="fr-CA"/>
        </w:rPr>
        <w:t xml:space="preserve">Les </w:t>
      </w:r>
      <w:r w:rsidRPr="009C2345">
        <w:rPr>
          <w:sz w:val="20"/>
          <w:lang w:val="fr-CA"/>
        </w:rPr>
        <w:t xml:space="preserve">juges Abella, Moldaver et </w:t>
      </w:r>
      <w:r w:rsidRPr="009C2345">
        <w:rPr>
          <w:b/>
          <w:sz w:val="20"/>
          <w:lang w:val="fr-CA"/>
        </w:rPr>
        <w:t>Côté</w:t>
      </w:r>
      <w:r w:rsidRPr="009C2345">
        <w:rPr>
          <w:sz w:val="20"/>
          <w:lang w:val="fr-CA"/>
        </w:rPr>
        <w:t xml:space="preserve"> (dissidents) : Les clauses de la Seconde convention de renouvellement sont limpides. Le « taux d’intérêt payable sur le principal non arriéré » qui a été convenu a été fixé à 25 pour 100 pour toute la durée de la convention et il devait s’appliquer de façon uniforme à la fois au principal non arriéré et aux arrérages de principal ou d’intérêt. Le taux d’intérêt était payable mensuellement, par voie de décaissements effectifs effectués par la débitrice et au moyen de fonds additionnels avancés par le prêteur. En d’autres termes, le montant d’intérêt calculé au taux de 25 pour 100 devait être payé mensuellement et non simplement « retenu, réservé ou exigé » en cas de défaut. Ainsi, la Seconde convention de renouvellement n’a pas eu pour « effet » d’augmenter les charges sur les arrérages et l’art. 8 n’entre pas en jeu.</w:t>
      </w:r>
    </w:p>
    <w:p w:rsidR="009B7EF0" w:rsidRPr="009C2345" w:rsidRDefault="009B7EF0" w:rsidP="009B7EF0">
      <w:pPr>
        <w:pStyle w:val="SCCNormalDoubleSpacing"/>
        <w:spacing w:line="240" w:lineRule="auto"/>
        <w:rPr>
          <w:sz w:val="20"/>
          <w:lang w:val="fr-CA"/>
        </w:rPr>
      </w:pPr>
    </w:p>
    <w:p w:rsidR="009B7EF0" w:rsidRPr="009C2345" w:rsidRDefault="009B7EF0" w:rsidP="009B7EF0">
      <w:pPr>
        <w:pStyle w:val="SCCNormalDoubleSpacing"/>
        <w:spacing w:line="240" w:lineRule="auto"/>
        <w:rPr>
          <w:sz w:val="20"/>
          <w:lang w:val="fr-CA"/>
        </w:rPr>
      </w:pPr>
      <w:r w:rsidRPr="009C2345">
        <w:rPr>
          <w:sz w:val="20"/>
          <w:lang w:val="fr-CA"/>
        </w:rPr>
        <w:tab/>
        <w:t xml:space="preserve">Subsidiairement, le pourvoi peut être rejeté au motif que l’art. 8 de la </w:t>
      </w:r>
      <w:r w:rsidRPr="009C2345">
        <w:rPr>
          <w:i/>
          <w:sz w:val="20"/>
          <w:lang w:val="fr-CA"/>
        </w:rPr>
        <w:t>Loi sur l’intérêt</w:t>
      </w:r>
      <w:r w:rsidRPr="009C2345">
        <w:rPr>
          <w:sz w:val="20"/>
          <w:lang w:val="fr-CA"/>
        </w:rPr>
        <w:t xml:space="preserve"> ne prohibe pas les escomptes libératoires — c’est</w:t>
      </w:r>
      <w:r w:rsidRPr="009C2345">
        <w:rPr>
          <w:sz w:val="20"/>
          <w:lang w:val="fr-CA"/>
        </w:rPr>
        <w:noBreakHyphen/>
        <w:t>à</w:t>
      </w:r>
      <w:r w:rsidRPr="009C2345">
        <w:rPr>
          <w:sz w:val="20"/>
          <w:lang w:val="fr-CA"/>
        </w:rPr>
        <w:noBreakHyphen/>
        <w:t xml:space="preserve">dire les escomptes qui libèrent dans une certaine mesure l’emprunteur des obligations découlant de l’application du taux d’intérêt exigible aux termes d’une convention, comme c’est le cas de la Seconde convention de renouvellement en l’espèce. </w:t>
      </w:r>
    </w:p>
    <w:p w:rsidR="009B7EF0" w:rsidRPr="009C2345" w:rsidRDefault="009B7EF0" w:rsidP="009B7EF0">
      <w:pPr>
        <w:pStyle w:val="SCCNormalDoubleSpacing"/>
        <w:spacing w:line="240" w:lineRule="auto"/>
        <w:rPr>
          <w:sz w:val="20"/>
          <w:lang w:val="fr-CA"/>
        </w:rPr>
      </w:pPr>
    </w:p>
    <w:p w:rsidR="009B7EF0" w:rsidRPr="009C2345" w:rsidRDefault="009B7EF0" w:rsidP="009B7EF0">
      <w:pPr>
        <w:pStyle w:val="SCCNormalDoubleSpacing"/>
        <w:spacing w:line="240" w:lineRule="auto"/>
        <w:rPr>
          <w:sz w:val="20"/>
          <w:lang w:val="fr-CA"/>
        </w:rPr>
      </w:pPr>
      <w:r w:rsidRPr="009C2345">
        <w:rPr>
          <w:sz w:val="20"/>
          <w:lang w:val="fr-CA"/>
        </w:rPr>
        <w:tab/>
        <w:t>L’article 8 constitue une exception au principe fondamental de la liberté contractuelle lorsqu’il prohibe la majoration des charges sur les arrérages. Cependant, cet article n’interdit pas expressément les escomptes. L’absence du mot « escompte » à l’art. 8 — et, à l’inverse, sa présence à l’art. 2 — doivent guider l’interprétation de la Cour. De plus, l’art. 8 étant une exception à la règle générale selon laquelle les escomptes sont permis, il doit être interprété étroitement et son champ d’application doit être limité à ce qui est nécessaire à la réalisation de son objet. Ce ne sont pas tous les escomptes qui, si on les considère dans leur contexte commercial particulier, affaiblissent la protection dont sont censés bénéficier les débiteurs en difficulté. Les escomptes « libératoires » ou « exonérateurs » sous forme de réductions du taux d’intérêt permettent généralement aux débiteurs hypothécaires en difficulté de s’acquitter plus facilement de leurs obligations financières. Interpréter l’art. 8 comme ayant pour effet de prohiber ce genre d’escomptes risque de décourager les prêteurs d’alléger le fardeau que constitue le paiement des intérêts pour des débiteurs en difficulté, une troublante ironie compte tenu de l’objectif visé par l’adoption de l’art. 8. La Cour d’appel de la Colombie</w:t>
      </w:r>
      <w:r w:rsidRPr="009C2345">
        <w:rPr>
          <w:sz w:val="20"/>
          <w:lang w:val="fr-CA"/>
        </w:rPr>
        <w:noBreakHyphen/>
        <w:t xml:space="preserve">Britannique a conclu qu’un escompte de ce genre ne contrevenait pas à l’art. 8 dans l’affaire </w:t>
      </w:r>
      <w:r w:rsidRPr="009C2345">
        <w:rPr>
          <w:i/>
          <w:sz w:val="20"/>
          <w:lang w:val="fr-CA"/>
        </w:rPr>
        <w:t>North West Life Assurance Co. of Can. c. Kings Mount Hldg. Ltd.</w:t>
      </w:r>
      <w:r w:rsidRPr="009C2345">
        <w:rPr>
          <w:sz w:val="20"/>
          <w:lang w:val="fr-CA"/>
        </w:rPr>
        <w:t xml:space="preserve"> (1987), 15 B.C.L.R. (2d) 376, décision qui, comme en convient la majorité, était bien fondée. </w:t>
      </w:r>
    </w:p>
    <w:p w:rsidR="009B7EF0" w:rsidRPr="009C2345" w:rsidRDefault="009B7EF0" w:rsidP="009B7EF0">
      <w:pPr>
        <w:pStyle w:val="SCCNormalDoubleSpacing"/>
        <w:spacing w:line="240" w:lineRule="auto"/>
        <w:rPr>
          <w:sz w:val="20"/>
          <w:lang w:val="fr-CA"/>
        </w:rPr>
      </w:pPr>
    </w:p>
    <w:p w:rsidR="009B7EF0" w:rsidRPr="009C2345" w:rsidRDefault="009B7EF0" w:rsidP="009B7EF0">
      <w:pPr>
        <w:pStyle w:val="SCCNormalDoubleSpacing"/>
        <w:spacing w:line="240" w:lineRule="auto"/>
        <w:rPr>
          <w:b/>
          <w:sz w:val="20"/>
          <w:lang w:val="fr-CA"/>
        </w:rPr>
      </w:pPr>
      <w:r w:rsidRPr="009C2345">
        <w:rPr>
          <w:sz w:val="20"/>
          <w:lang w:val="fr-CA"/>
        </w:rPr>
        <w:tab/>
        <w:t xml:space="preserve">Considérée à la lumière des circonstances dans lesquelles elle a été conclue, la Seconde convention de renouvellement contestée en l’espèce procurait à Lougheed une solution moins onéreuse pour s’acquitter des obligations financières que lui imposait la Première convention de renouvellement. Conclure à l’invalidité du taux d’intérêt de 25 pour 100 convenu dans la Seconde convention de renouvellement ne permettrait pas de réaliser l’objectif de protection visé par le législateur fédéral; une telle conclusion aurait plutôt pour résultat de faire bénéficier Lougheed d’un avantage qu’elle n’a pas mérité, alors qu’Équitable serait privée de paiements d’intérêt exigibles et dus suivant la convention, sans avoir bénéficié pour autant d’un prompt remboursement. </w:t>
      </w:r>
    </w:p>
    <w:p w:rsidR="009B7EF0" w:rsidRPr="009C2345" w:rsidRDefault="009B7EF0" w:rsidP="009B7EF0">
      <w:pPr>
        <w:pStyle w:val="SCCNormalDoubleSpacing"/>
        <w:spacing w:line="240" w:lineRule="auto"/>
        <w:ind w:hanging="547"/>
        <w:rPr>
          <w:sz w:val="20"/>
          <w:lang w:val="fr-CA"/>
        </w:rPr>
      </w:pPr>
    </w:p>
    <w:p w:rsidR="009B7EF0" w:rsidRPr="009C2345" w:rsidRDefault="009B7EF0" w:rsidP="009B7EF0">
      <w:pPr>
        <w:pStyle w:val="SCCNormalDoubleSpacing"/>
        <w:spacing w:line="240" w:lineRule="auto"/>
        <w:rPr>
          <w:sz w:val="20"/>
          <w:lang w:val="fr-CA"/>
        </w:rPr>
      </w:pPr>
      <w:r w:rsidRPr="009C2345">
        <w:rPr>
          <w:sz w:val="20"/>
          <w:lang w:val="fr-CA"/>
        </w:rPr>
        <w:tab/>
        <w:t>POURVOI contre un arrêt de la Cour d’appel de l’Alberta (les juges Hunt et Berger et la juge Nation (</w:t>
      </w:r>
      <w:r w:rsidRPr="009C2345">
        <w:rPr>
          <w:i/>
          <w:sz w:val="20"/>
          <w:lang w:val="fr-CA"/>
        </w:rPr>
        <w:t>ad hoc</w:t>
      </w:r>
      <w:r w:rsidRPr="009C2345">
        <w:rPr>
          <w:sz w:val="20"/>
          <w:lang w:val="fr-CA"/>
        </w:rPr>
        <w:t>)), 2014 ABCA 234, 577 A.R. 179, 1 Alta. L.R. (6th) 68, 31 B.L.R. (5th) 1, 16 C.B.R. (6th) 121, 376 D.L.R. (4th) 539, 45 R.P.R. (5th) 187, 613 W.A.C. 179, [2014] 10 W.W.R. 705, [2014] A.J. No. 747 (QL), 2014 CarswellAlta 1180 (WL Can.), qui a confirmé une décision de la juge Romaine, 2012 ABQB 411, 550 A.R. 316, 70 Alta. L.R. (5th) 1, 5 B.L.R. (5th) 79, 95 C.B.R. (5th) 171, 25 R.P.R. (5th) 245, [2013] 2 W.W.R. 186, [2012] A.J. No. 1143 (QL), 2012 CarswellAlta 1876 (WL Can.), laquelle avait infirmé une décision de la protonotaire Hanebury, 2011 ABQB 193, 512 A.R. 136, 44 Alta. L.R. (5th) 35, 81 B.L.R. (4th) 333, 77 C.B.R. (5th) 198, [2011] 7 W.W.R. 773, [2011] A.J. No. 332 (QL), 2011 CarswellAlta 467 (WL Can.). Pourvoi accueilli, les juges Abella, Moldaver et Côté sont dissidents.</w:t>
      </w:r>
    </w:p>
    <w:p w:rsidR="009B7EF0" w:rsidRPr="009C2345" w:rsidRDefault="009B7EF0" w:rsidP="009B7EF0">
      <w:pPr>
        <w:pStyle w:val="SCCNormalDoubleSpacing"/>
        <w:spacing w:line="240" w:lineRule="auto"/>
        <w:rPr>
          <w:sz w:val="20"/>
          <w:lang w:val="fr-CA"/>
        </w:rPr>
      </w:pPr>
    </w:p>
    <w:p w:rsidR="009B7EF0" w:rsidRPr="009C2345" w:rsidRDefault="009B7EF0" w:rsidP="009B7EF0">
      <w:pPr>
        <w:pStyle w:val="SCCNormalDoubleSpacing"/>
        <w:spacing w:line="240" w:lineRule="auto"/>
        <w:rPr>
          <w:rStyle w:val="SCCCounselPartyRoleChar"/>
          <w:rFonts w:eastAsiaTheme="minorEastAsia"/>
          <w:sz w:val="20"/>
          <w:lang w:val="fr-CA"/>
        </w:rPr>
      </w:pPr>
      <w:r w:rsidRPr="009C2345">
        <w:rPr>
          <w:rStyle w:val="SCCCounselNameChar"/>
          <w:rFonts w:eastAsiaTheme="majorEastAsia"/>
          <w:sz w:val="20"/>
          <w:lang w:val="fr-CA"/>
        </w:rPr>
        <w:tab/>
        <w:t>G. Scott Watson</w:t>
      </w:r>
      <w:r w:rsidRPr="009C2345">
        <w:rPr>
          <w:rStyle w:val="SCCCounselPartyRoleChar"/>
          <w:rFonts w:eastAsiaTheme="minorEastAsia"/>
          <w:sz w:val="20"/>
          <w:lang w:val="fr-CA"/>
        </w:rPr>
        <w:t xml:space="preserve"> et </w:t>
      </w:r>
      <w:r w:rsidRPr="009C2345">
        <w:rPr>
          <w:rStyle w:val="SCCCounselPartyRoleChar"/>
          <w:rFonts w:eastAsiaTheme="minorEastAsia"/>
          <w:i/>
          <w:sz w:val="20"/>
          <w:lang w:val="fr-CA"/>
        </w:rPr>
        <w:t>Megan V. Stoker</w:t>
      </w:r>
      <w:r w:rsidRPr="009C2345">
        <w:rPr>
          <w:rStyle w:val="SCCCounselPartyRoleChar"/>
          <w:rFonts w:eastAsiaTheme="minorEastAsia"/>
          <w:sz w:val="20"/>
          <w:lang w:val="fr-CA"/>
        </w:rPr>
        <w:t>, pour les appelants.</w:t>
      </w:r>
    </w:p>
    <w:p w:rsidR="009B7EF0" w:rsidRPr="009C2345" w:rsidRDefault="009B7EF0" w:rsidP="009B7EF0">
      <w:pPr>
        <w:pStyle w:val="SCCNormalDoubleSpacing"/>
        <w:spacing w:line="240" w:lineRule="auto"/>
        <w:rPr>
          <w:sz w:val="20"/>
          <w:lang w:val="fr-CA"/>
        </w:rPr>
      </w:pPr>
    </w:p>
    <w:p w:rsidR="009B7EF0" w:rsidRPr="009C2345" w:rsidRDefault="009B7EF0" w:rsidP="009B7EF0">
      <w:pPr>
        <w:pStyle w:val="SCCNormalDoubleSpacing"/>
        <w:spacing w:line="240" w:lineRule="auto"/>
        <w:rPr>
          <w:rStyle w:val="SCCCounselPartyRoleChar"/>
          <w:rFonts w:eastAsiaTheme="minorEastAsia"/>
          <w:sz w:val="20"/>
          <w:lang w:val="fr-CA"/>
        </w:rPr>
      </w:pPr>
      <w:r w:rsidRPr="009C2345">
        <w:rPr>
          <w:rStyle w:val="SCCCounselNameChar"/>
          <w:rFonts w:eastAsiaTheme="majorEastAsia"/>
          <w:sz w:val="20"/>
          <w:lang w:val="fr-CA"/>
        </w:rPr>
        <w:tab/>
        <w:t>Francis Price, c.r.</w:t>
      </w:r>
      <w:r w:rsidRPr="009C2345">
        <w:rPr>
          <w:rStyle w:val="SCCCounselPartyRoleChar"/>
          <w:rFonts w:eastAsiaTheme="minorEastAsia"/>
          <w:sz w:val="20"/>
          <w:lang w:val="fr-CA"/>
        </w:rPr>
        <w:t xml:space="preserve">, et </w:t>
      </w:r>
      <w:r w:rsidRPr="009C2345">
        <w:rPr>
          <w:rStyle w:val="SCCCounselPartyRoleChar"/>
          <w:rFonts w:eastAsiaTheme="minorEastAsia"/>
          <w:i/>
          <w:sz w:val="20"/>
          <w:lang w:val="fr-CA"/>
        </w:rPr>
        <w:t>Daina Young</w:t>
      </w:r>
      <w:r w:rsidRPr="009C2345">
        <w:rPr>
          <w:rStyle w:val="SCCCounselPartyRoleChar"/>
          <w:rFonts w:eastAsiaTheme="minorEastAsia"/>
          <w:sz w:val="20"/>
          <w:lang w:val="fr-CA"/>
        </w:rPr>
        <w:t>, pour l’intimée.</w:t>
      </w:r>
    </w:p>
    <w:p w:rsidR="009B7EF0" w:rsidRPr="009C2345" w:rsidRDefault="009B7EF0" w:rsidP="009B7EF0">
      <w:pPr>
        <w:pStyle w:val="SCCNormalDoubleSpacing"/>
        <w:spacing w:line="240" w:lineRule="auto"/>
        <w:rPr>
          <w:sz w:val="20"/>
          <w:lang w:val="fr-CA"/>
        </w:rPr>
      </w:pPr>
    </w:p>
    <w:p w:rsidR="009B7EF0" w:rsidRPr="009C2345" w:rsidRDefault="009B7EF0" w:rsidP="009B7EF0">
      <w:pPr>
        <w:pStyle w:val="SCCLawFirm"/>
        <w:spacing w:line="240" w:lineRule="auto"/>
        <w:rPr>
          <w:sz w:val="20"/>
          <w:lang w:val="fr-CA"/>
        </w:rPr>
      </w:pPr>
      <w:r w:rsidRPr="009C2345">
        <w:rPr>
          <w:sz w:val="20"/>
          <w:lang w:val="fr-CA"/>
        </w:rPr>
        <w:tab/>
        <w:t>Procureurs des appelants : Parlee McLaws, Calgary.</w:t>
      </w:r>
    </w:p>
    <w:p w:rsidR="009B7EF0" w:rsidRPr="009C2345" w:rsidRDefault="009B7EF0" w:rsidP="009B7EF0">
      <w:pPr>
        <w:pStyle w:val="SCCNormalDoubleSpacing"/>
        <w:spacing w:line="240" w:lineRule="auto"/>
        <w:rPr>
          <w:lang w:val="fr-CA"/>
        </w:rPr>
      </w:pPr>
    </w:p>
    <w:p w:rsidR="009B7EF0" w:rsidRPr="009C2345" w:rsidRDefault="009B7EF0" w:rsidP="009B7EF0">
      <w:pPr>
        <w:pStyle w:val="SCCLawFirm"/>
        <w:spacing w:line="240" w:lineRule="auto"/>
        <w:rPr>
          <w:sz w:val="20"/>
          <w:lang w:val="fr-CA"/>
        </w:rPr>
      </w:pPr>
      <w:r w:rsidRPr="009C2345">
        <w:rPr>
          <w:sz w:val="20"/>
          <w:lang w:val="fr-CA"/>
        </w:rPr>
        <w:tab/>
        <w:t>Procureurs de l’intimée : Reynolds, Mirth, Richards &amp; Farmer, Edmonton.</w:t>
      </w:r>
    </w:p>
    <w:p w:rsidR="003B3977" w:rsidRPr="009C2345" w:rsidRDefault="003B3977" w:rsidP="005C6840">
      <w:pPr>
        <w:rPr>
          <w:rFonts w:cs="Times New Roman"/>
          <w:sz w:val="20"/>
          <w:szCs w:val="20"/>
          <w:lang w:val="fr-CA"/>
        </w:rPr>
      </w:pPr>
    </w:p>
    <w:p w:rsidR="005C6840" w:rsidRPr="009C2345" w:rsidRDefault="0082006E" w:rsidP="005C6840">
      <w:pPr>
        <w:rPr>
          <w:lang w:val="fr-CA"/>
        </w:rPr>
      </w:pPr>
      <w:r>
        <w:rPr>
          <w:rFonts w:cs="Times New Roman"/>
          <w:sz w:val="20"/>
          <w:szCs w:val="20"/>
          <w:lang w:val="fr-CA"/>
        </w:rPr>
        <w:pict>
          <v:rect id="_x0000_i1095" style="width:144.3pt;height:1pt" o:hrpct="300" o:hralign="center" o:hrstd="t" o:hrnoshade="t" o:hr="t" fillcolor="black [3213]" stroked="f"/>
        </w:pict>
      </w:r>
      <w:r w:rsidR="005C6840" w:rsidRPr="009C2345">
        <w:rPr>
          <w:lang w:val="fr-CA"/>
        </w:rPr>
        <w:br w:type="page"/>
      </w:r>
    </w:p>
    <w:p w:rsidR="0001096E" w:rsidRPr="009C2345" w:rsidRDefault="0001096E" w:rsidP="009B7EF0">
      <w:pPr>
        <w:rPr>
          <w:i/>
          <w:sz w:val="20"/>
          <w:szCs w:val="20"/>
        </w:rPr>
      </w:pPr>
      <w:r w:rsidRPr="009C2345">
        <w:rPr>
          <w:i/>
          <w:sz w:val="20"/>
          <w:szCs w:val="20"/>
        </w:rPr>
        <w:t>Heritage Capital </w:t>
      </w:r>
      <w:r w:rsidR="009B7EF0" w:rsidRPr="009C2345">
        <w:rPr>
          <w:i/>
          <w:sz w:val="20"/>
          <w:szCs w:val="20"/>
        </w:rPr>
        <w:t>Cor</w:t>
      </w:r>
      <w:r w:rsidRPr="009C2345">
        <w:rPr>
          <w:i/>
          <w:sz w:val="20"/>
          <w:szCs w:val="20"/>
        </w:rPr>
        <w:t>poration v. The Equitable Trust </w:t>
      </w:r>
      <w:r w:rsidR="009B7EF0" w:rsidRPr="009C2345">
        <w:rPr>
          <w:i/>
          <w:sz w:val="20"/>
          <w:szCs w:val="20"/>
        </w:rPr>
        <w:t>Company</w:t>
      </w:r>
      <w:r w:rsidRPr="009C2345">
        <w:rPr>
          <w:i/>
          <w:sz w:val="20"/>
          <w:szCs w:val="20"/>
        </w:rPr>
        <w:t> (now </w:t>
      </w:r>
      <w:r w:rsidR="009B7EF0" w:rsidRPr="009C2345">
        <w:rPr>
          <w:i/>
          <w:sz w:val="20"/>
          <w:szCs w:val="20"/>
        </w:rPr>
        <w:t>cont</w:t>
      </w:r>
      <w:r w:rsidRPr="009C2345">
        <w:rPr>
          <w:i/>
          <w:sz w:val="20"/>
          <w:szCs w:val="20"/>
        </w:rPr>
        <w:t>inued as Equitable Bank) et al.</w:t>
      </w:r>
    </w:p>
    <w:p w:rsidR="0052229C" w:rsidRPr="009C2345" w:rsidRDefault="0052229C" w:rsidP="009B7EF0">
      <w:pPr>
        <w:rPr>
          <w:rFonts w:eastAsia="Calibri"/>
          <w:b/>
          <w:sz w:val="20"/>
          <w:szCs w:val="20"/>
        </w:rPr>
      </w:pPr>
      <w:r w:rsidRPr="009C2345">
        <w:rPr>
          <w:sz w:val="20"/>
          <w:szCs w:val="20"/>
        </w:rPr>
        <w:t>(</w:t>
      </w:r>
      <w:r w:rsidR="009B7EF0" w:rsidRPr="009C2345">
        <w:rPr>
          <w:sz w:val="20"/>
          <w:szCs w:val="20"/>
        </w:rPr>
        <w:t>Alta.</w:t>
      </w:r>
      <w:r w:rsidRPr="009C2345">
        <w:rPr>
          <w:sz w:val="20"/>
          <w:szCs w:val="20"/>
        </w:rPr>
        <w:t>)</w:t>
      </w:r>
      <w:r w:rsidR="0001096E" w:rsidRPr="009C2345">
        <w:rPr>
          <w:sz w:val="20"/>
          <w:szCs w:val="20"/>
        </w:rPr>
        <w:t> </w:t>
      </w:r>
      <w:r w:rsidRPr="009C2345">
        <w:rPr>
          <w:sz w:val="20"/>
          <w:szCs w:val="20"/>
        </w:rPr>
        <w:t>(</w:t>
      </w:r>
      <w:hyperlink r:id="rId130" w:history="1">
        <w:r w:rsidR="009B7EF0" w:rsidRPr="009C2345">
          <w:rPr>
            <w:rStyle w:val="Hyperlink"/>
            <w:sz w:val="20"/>
            <w:szCs w:val="20"/>
          </w:rPr>
          <w:t>36301</w:t>
        </w:r>
      </w:hyperlink>
      <w:r w:rsidRPr="009C2345">
        <w:rPr>
          <w:sz w:val="20"/>
          <w:szCs w:val="20"/>
        </w:rPr>
        <w:t>)</w:t>
      </w:r>
    </w:p>
    <w:p w:rsidR="0001096E" w:rsidRPr="009C2345" w:rsidRDefault="009B7EF0" w:rsidP="0052229C">
      <w:pPr>
        <w:jc w:val="both"/>
        <w:rPr>
          <w:rStyle w:val="SCCAppellantForIndexChar"/>
          <w:rFonts w:eastAsiaTheme="minorHAnsi"/>
          <w:sz w:val="20"/>
          <w:lang w:val="en-CA"/>
        </w:rPr>
      </w:pPr>
      <w:r w:rsidRPr="009C2345">
        <w:rPr>
          <w:b/>
          <w:sz w:val="20"/>
          <w:szCs w:val="20"/>
        </w:rPr>
        <w:t>Indexed as: Heritage Capital Corp. v. Equitable Trust Co.</w:t>
      </w:r>
      <w:r w:rsidR="0052229C" w:rsidRPr="009C2345">
        <w:rPr>
          <w:rStyle w:val="SCCAppellantForIndexChar"/>
          <w:rFonts w:eastAsiaTheme="minorHAnsi"/>
          <w:sz w:val="20"/>
          <w:lang w:val="en-CA"/>
        </w:rPr>
        <w:t xml:space="preserve">/ </w:t>
      </w:r>
    </w:p>
    <w:p w:rsidR="0052229C" w:rsidRPr="009C2345" w:rsidRDefault="0052229C" w:rsidP="0052229C">
      <w:pPr>
        <w:jc w:val="both"/>
        <w:rPr>
          <w:b/>
          <w:sz w:val="20"/>
          <w:szCs w:val="20"/>
          <w:lang w:val="fr-CA"/>
        </w:rPr>
      </w:pPr>
      <w:r w:rsidRPr="009C2345">
        <w:rPr>
          <w:b/>
          <w:sz w:val="20"/>
          <w:szCs w:val="20"/>
          <w:lang w:val="fr-CA"/>
        </w:rPr>
        <w:t>Répertorié : </w:t>
      </w:r>
      <w:r w:rsidR="0001096E" w:rsidRPr="009C2345">
        <w:rPr>
          <w:b/>
          <w:sz w:val="20"/>
          <w:szCs w:val="20"/>
          <w:lang w:val="fr-CA"/>
        </w:rPr>
        <w:t>Heritage Capital Corp. c. Équitable, Cie de fiducie</w:t>
      </w:r>
    </w:p>
    <w:p w:rsidR="0052229C" w:rsidRPr="009C2345" w:rsidRDefault="0052229C" w:rsidP="0052229C">
      <w:pPr>
        <w:pStyle w:val="SCCSystemYear"/>
        <w:jc w:val="both"/>
        <w:rPr>
          <w:sz w:val="20"/>
        </w:rPr>
      </w:pPr>
      <w:r w:rsidRPr="009C2345">
        <w:rPr>
          <w:sz w:val="20"/>
        </w:rPr>
        <w:t xml:space="preserve">Neutral citation:  </w:t>
      </w:r>
      <w:r w:rsidR="0030050B" w:rsidRPr="009C2345">
        <w:rPr>
          <w:sz w:val="20"/>
        </w:rPr>
        <w:t>2016</w:t>
      </w:r>
      <w:r w:rsidRPr="009C2345">
        <w:rPr>
          <w:sz w:val="20"/>
        </w:rPr>
        <w:t xml:space="preserve"> SCC </w:t>
      </w:r>
      <w:r w:rsidR="009B7EF0" w:rsidRPr="009C2345">
        <w:rPr>
          <w:sz w:val="20"/>
        </w:rPr>
        <w:t>19</w:t>
      </w:r>
      <w:r w:rsidRPr="009C2345">
        <w:rPr>
          <w:sz w:val="20"/>
        </w:rPr>
        <w:t xml:space="preserve"> / Référence neutre : </w:t>
      </w:r>
      <w:r w:rsidR="0030050B" w:rsidRPr="009C2345">
        <w:rPr>
          <w:sz w:val="20"/>
        </w:rPr>
        <w:t>2016</w:t>
      </w:r>
      <w:r w:rsidRPr="009C2345">
        <w:rPr>
          <w:sz w:val="20"/>
        </w:rPr>
        <w:t xml:space="preserve"> CSC </w:t>
      </w:r>
      <w:r w:rsidR="009B7EF0" w:rsidRPr="009C2345">
        <w:rPr>
          <w:sz w:val="20"/>
        </w:rPr>
        <w:t>19</w:t>
      </w:r>
    </w:p>
    <w:p w:rsidR="0052229C" w:rsidRPr="009C2345" w:rsidRDefault="0001096E" w:rsidP="0052229C">
      <w:pPr>
        <w:rPr>
          <w:sz w:val="20"/>
          <w:szCs w:val="20"/>
        </w:rPr>
      </w:pPr>
      <w:r w:rsidRPr="009C2345">
        <w:rPr>
          <w:sz w:val="20"/>
          <w:szCs w:val="20"/>
        </w:rPr>
        <w:t>Hearing: January 22</w:t>
      </w:r>
      <w:r w:rsidR="0052229C" w:rsidRPr="009C2345">
        <w:rPr>
          <w:sz w:val="20"/>
          <w:szCs w:val="20"/>
        </w:rPr>
        <w:t>, 201</w:t>
      </w:r>
      <w:r w:rsidRPr="009C2345">
        <w:rPr>
          <w:sz w:val="20"/>
          <w:szCs w:val="20"/>
        </w:rPr>
        <w:t>6 / Judgment: May 6</w:t>
      </w:r>
      <w:r w:rsidR="0052229C" w:rsidRPr="009C2345">
        <w:rPr>
          <w:sz w:val="20"/>
          <w:szCs w:val="20"/>
        </w:rPr>
        <w:t xml:space="preserve">, </w:t>
      </w:r>
      <w:r w:rsidR="0030050B" w:rsidRPr="009C2345">
        <w:rPr>
          <w:sz w:val="20"/>
          <w:szCs w:val="20"/>
        </w:rPr>
        <w:t>2016</w:t>
      </w:r>
    </w:p>
    <w:p w:rsidR="0052229C" w:rsidRPr="009C2345" w:rsidRDefault="0052229C" w:rsidP="0052229C">
      <w:pPr>
        <w:rPr>
          <w:sz w:val="20"/>
          <w:szCs w:val="20"/>
          <w:lang w:val="fr-CA"/>
        </w:rPr>
      </w:pPr>
      <w:r w:rsidRPr="009C2345">
        <w:rPr>
          <w:sz w:val="20"/>
          <w:szCs w:val="20"/>
          <w:lang w:val="fr-CA"/>
        </w:rPr>
        <w:t xml:space="preserve">Audition : Le </w:t>
      </w:r>
      <w:r w:rsidR="0001096E" w:rsidRPr="009C2345">
        <w:rPr>
          <w:sz w:val="20"/>
          <w:szCs w:val="20"/>
          <w:lang w:val="fr-CA"/>
        </w:rPr>
        <w:t>22 janvier 2016</w:t>
      </w:r>
      <w:r w:rsidRPr="009C2345">
        <w:rPr>
          <w:sz w:val="20"/>
          <w:szCs w:val="20"/>
          <w:lang w:val="fr-CA"/>
        </w:rPr>
        <w:t xml:space="preserve"> / Jugement : Le </w:t>
      </w:r>
      <w:r w:rsidR="0001096E" w:rsidRPr="009C2345">
        <w:rPr>
          <w:sz w:val="20"/>
          <w:szCs w:val="20"/>
          <w:lang w:val="fr-CA"/>
        </w:rPr>
        <w:t>6 mai</w:t>
      </w:r>
      <w:r w:rsidRPr="009C2345">
        <w:rPr>
          <w:sz w:val="20"/>
          <w:szCs w:val="20"/>
          <w:lang w:val="fr-CA"/>
        </w:rPr>
        <w:t xml:space="preserve"> </w:t>
      </w:r>
      <w:r w:rsidR="0030050B" w:rsidRPr="009C2345">
        <w:rPr>
          <w:sz w:val="20"/>
          <w:szCs w:val="20"/>
          <w:lang w:val="fr-CA"/>
        </w:rPr>
        <w:t>2016</w:t>
      </w:r>
    </w:p>
    <w:p w:rsidR="005C6840" w:rsidRPr="009C2345" w:rsidRDefault="0082006E" w:rsidP="005C6840">
      <w:pPr>
        <w:rPr>
          <w:sz w:val="20"/>
          <w:szCs w:val="20"/>
          <w:lang w:val="fr-CA"/>
        </w:rPr>
      </w:pPr>
      <w:r>
        <w:rPr>
          <w:i/>
          <w:sz w:val="20"/>
          <w:szCs w:val="20"/>
        </w:rPr>
        <w:pict>
          <v:rect id="_x0000_i1096" style="width:480.95pt;height:1pt" o:hralign="center" o:hrstd="t" o:hrnoshade="t" o:hr="t" fillcolor="black [3213]" stroked="f"/>
        </w:pict>
      </w:r>
    </w:p>
    <w:p w:rsidR="005C6840" w:rsidRPr="009C2345" w:rsidRDefault="005C6840" w:rsidP="005C6840">
      <w:pPr>
        <w:spacing w:line="0" w:lineRule="atLeast"/>
        <w:rPr>
          <w:sz w:val="20"/>
          <w:szCs w:val="20"/>
          <w:lang w:val="fr-CA"/>
        </w:rPr>
      </w:pPr>
    </w:p>
    <w:p w:rsidR="0001096E" w:rsidRPr="009C2345" w:rsidRDefault="0001096E" w:rsidP="0001096E">
      <w:pPr>
        <w:jc w:val="both"/>
        <w:rPr>
          <w:sz w:val="20"/>
        </w:rPr>
      </w:pPr>
      <w:r w:rsidRPr="009C2345">
        <w:rPr>
          <w:sz w:val="20"/>
          <w:szCs w:val="20"/>
        </w:rPr>
        <w:t>Present: McLachlin C.J. and Abella, Cromwell, Moldaver, Karakatsanis, Wagner, Gascon, Côté and Brown JJ.</w:t>
      </w:r>
    </w:p>
    <w:p w:rsidR="0001096E" w:rsidRPr="009C2345" w:rsidRDefault="0001096E" w:rsidP="0001096E">
      <w:pPr>
        <w:jc w:val="both"/>
        <w:rPr>
          <w:sz w:val="20"/>
          <w:szCs w:val="20"/>
        </w:rPr>
      </w:pPr>
    </w:p>
    <w:p w:rsidR="0001096E" w:rsidRPr="009C2345" w:rsidRDefault="0001096E" w:rsidP="0001096E">
      <w:pPr>
        <w:pStyle w:val="SCCNormalDoubleSpacing"/>
        <w:spacing w:line="240" w:lineRule="auto"/>
        <w:rPr>
          <w:i/>
          <w:sz w:val="20"/>
        </w:rPr>
      </w:pPr>
      <w:r w:rsidRPr="009C2345">
        <w:rPr>
          <w:sz w:val="20"/>
        </w:rPr>
        <w:tab/>
      </w:r>
      <w:r w:rsidRPr="009C2345">
        <w:rPr>
          <w:i/>
          <w:sz w:val="20"/>
        </w:rPr>
        <w:t>Property — Real property — Sale — Right to incentive payments arising under Incentive Agreement registered by caveat on title to land — City adopting by</w:t>
      </w:r>
      <w:r w:rsidRPr="009C2345">
        <w:rPr>
          <w:i/>
          <w:sz w:val="20"/>
        </w:rPr>
        <w:noBreakHyphen/>
        <w:t>law designating building as municipal historical resource under Historical Resources Act — City entering into agreement with building owner providing for yearly payments over 15 years to compensate for decrease in economic value due to designation and for cost of rehabilitation work, and imposing restrictions on use of building — Agreement registered by caveat on title to land — Building sold in judicial sale — Whether incentive payments constitute positive covenant running with land either by virtue of Historical Resources Act or by virtue of agreement between City and building owner — Whether incentive payments sold as asset in judicial sale — Historical Resources Act, R.S.A. 2000, c. H</w:t>
      </w:r>
      <w:r w:rsidRPr="009C2345">
        <w:rPr>
          <w:i/>
          <w:sz w:val="20"/>
        </w:rPr>
        <w:noBreakHyphen/>
        <w:t>9, s. 29.</w:t>
      </w:r>
    </w:p>
    <w:p w:rsidR="0001096E" w:rsidRPr="009C2345" w:rsidRDefault="0001096E" w:rsidP="0001096E">
      <w:pPr>
        <w:pStyle w:val="SCCNormalDoubleSpacing"/>
        <w:spacing w:line="240" w:lineRule="auto"/>
        <w:rPr>
          <w:i/>
          <w:sz w:val="20"/>
        </w:rPr>
      </w:pPr>
    </w:p>
    <w:p w:rsidR="0001096E" w:rsidRPr="009C2345" w:rsidRDefault="0001096E" w:rsidP="0001096E">
      <w:pPr>
        <w:pStyle w:val="SCCNormalDoubleSpacing"/>
        <w:spacing w:line="240" w:lineRule="auto"/>
        <w:rPr>
          <w:i/>
          <w:sz w:val="20"/>
        </w:rPr>
      </w:pPr>
      <w:r w:rsidRPr="009C2345">
        <w:rPr>
          <w:i/>
          <w:sz w:val="20"/>
        </w:rPr>
        <w:tab/>
        <w:t>Personal property security — City entering into agreement with building owner providing for incentive payments to compensate for decrease in economic value due to historic resource designation and for cost of rehabilitation work — Building owner assigning right to incentive payments to two successive lenders as security for loans — Building sold in judicial sale — First lender assigning interest in payments to purchaser after closing of sale — Whether priority of interests in payments governed by Personal Property Security Act, R.S.A. 2000, c. P</w:t>
      </w:r>
      <w:r w:rsidRPr="009C2345">
        <w:rPr>
          <w:i/>
          <w:sz w:val="20"/>
        </w:rPr>
        <w:noBreakHyphen/>
        <w:t>7.</w:t>
      </w:r>
    </w:p>
    <w:p w:rsidR="0001096E" w:rsidRPr="009C2345" w:rsidRDefault="0001096E" w:rsidP="0001096E">
      <w:pPr>
        <w:pStyle w:val="SCCNormalDoubleSpacing"/>
        <w:spacing w:line="240" w:lineRule="auto"/>
        <w:rPr>
          <w:i/>
          <w:sz w:val="20"/>
        </w:rPr>
      </w:pPr>
    </w:p>
    <w:p w:rsidR="0001096E" w:rsidRPr="009C2345" w:rsidRDefault="0001096E" w:rsidP="0001096E">
      <w:pPr>
        <w:pStyle w:val="SCCNormalDoubleSpacing"/>
        <w:spacing w:line="240" w:lineRule="auto"/>
        <w:rPr>
          <w:sz w:val="20"/>
        </w:rPr>
      </w:pPr>
      <w:r w:rsidRPr="009C2345">
        <w:rPr>
          <w:sz w:val="20"/>
        </w:rPr>
        <w:tab/>
        <w:t xml:space="preserve">Lougheed Block Inc. (“Lougheed”) was the owner of the Lougheed Building, located in downtown Calgary, when it was designated a “Municipal Historical Resource” under the </w:t>
      </w:r>
      <w:r w:rsidRPr="009C2345">
        <w:rPr>
          <w:i/>
          <w:sz w:val="20"/>
        </w:rPr>
        <w:t>Historical Resources Act</w:t>
      </w:r>
      <w:r w:rsidRPr="009C2345">
        <w:rPr>
          <w:sz w:val="20"/>
        </w:rPr>
        <w:t xml:space="preserve"> (“</w:t>
      </w:r>
      <w:r w:rsidRPr="009C2345">
        <w:rPr>
          <w:i/>
          <w:sz w:val="20"/>
        </w:rPr>
        <w:t>HRA</w:t>
      </w:r>
      <w:r w:rsidRPr="009C2345">
        <w:rPr>
          <w:sz w:val="20"/>
        </w:rPr>
        <w:t>”) in 2004. In order to compensate Lougheed for any decrease in economic value due to the designation and for expenses incurred in carrying out rehabilitation work to the building, the City of Calgary agreed to pay Lougheed $3.4 million in 15 annual installments (“Incentive Payments”). The agreement (“Incentive Agreement”) between Lougheed and the City, which also imposed certain restrictions on the owner of the building in respect of its use, was registered by caveat on title to the land.</w:t>
      </w:r>
    </w:p>
    <w:p w:rsidR="0001096E" w:rsidRPr="009C2345" w:rsidRDefault="0001096E" w:rsidP="0001096E">
      <w:pPr>
        <w:pStyle w:val="SCCNormalDoubleSpacing"/>
        <w:spacing w:line="240" w:lineRule="auto"/>
        <w:rPr>
          <w:sz w:val="20"/>
        </w:rPr>
      </w:pPr>
    </w:p>
    <w:p w:rsidR="0001096E" w:rsidRPr="009C2345" w:rsidRDefault="0001096E" w:rsidP="0001096E">
      <w:pPr>
        <w:pStyle w:val="SCCNormalDoubleSpacing"/>
        <w:spacing w:line="240" w:lineRule="auto"/>
        <w:rPr>
          <w:sz w:val="20"/>
        </w:rPr>
      </w:pPr>
      <w:r w:rsidRPr="009C2345">
        <w:rPr>
          <w:sz w:val="20"/>
        </w:rPr>
        <w:tab/>
        <w:t>In November 2006, Lougheed borrowed money from Equitable Trust. The loan was secured by, among other things, the assignment of the Incentive Agreement. In May 2007, Lougheed obtained additional financing from Heritage Capital Corporation and also assigned to it, as security for the loan, its right to the Incentive Payments. In May 2009, Lougheed defaulted on Equitable Trust’s loan. The latter then commenced an action to enforce some of its security. As a consequence, the Lougheed Building was advertised for judicial sale. The parent company of 604 1st Street S.W. Inc. (“604”) presented an offer (“604 Offer”), which was accepted in July 2010.</w:t>
      </w:r>
    </w:p>
    <w:p w:rsidR="0001096E" w:rsidRPr="009C2345" w:rsidRDefault="0001096E" w:rsidP="0001096E">
      <w:pPr>
        <w:pStyle w:val="SCCNormalDoubleSpacing"/>
        <w:spacing w:line="240" w:lineRule="auto"/>
        <w:rPr>
          <w:sz w:val="20"/>
        </w:rPr>
      </w:pPr>
    </w:p>
    <w:p w:rsidR="0001096E" w:rsidRPr="009C2345" w:rsidRDefault="0001096E" w:rsidP="0001096E">
      <w:pPr>
        <w:pStyle w:val="SCCNormalDoubleSpacing"/>
        <w:spacing w:line="240" w:lineRule="auto"/>
        <w:rPr>
          <w:sz w:val="20"/>
        </w:rPr>
      </w:pPr>
      <w:r w:rsidRPr="009C2345">
        <w:rPr>
          <w:sz w:val="20"/>
        </w:rPr>
        <w:tab/>
        <w:t xml:space="preserve">Shortly before the sale’s closing date, Lougheed applied to a master of the Court of Queen’s Bench for a declaration that the Incentive Payments were not an interest in land and were not included in the assets being sold to 604 in the judicial sale. The master issued the requested declaration. On appeal by 604, a chambers judge of the same court upheld the master’s declaration, finding that s. 29(3) of the </w:t>
      </w:r>
      <w:r w:rsidRPr="009C2345">
        <w:rPr>
          <w:i/>
          <w:sz w:val="20"/>
        </w:rPr>
        <w:t>HRA</w:t>
      </w:r>
      <w:r w:rsidRPr="009C2345">
        <w:rPr>
          <w:sz w:val="20"/>
        </w:rPr>
        <w:t xml:space="preserve"> did not operate such that the Incentive Payments could run with the land as a positive covenant. On further appeal by 604, the majority of the Court of Appeal allowed the appeal, holding that the </w:t>
      </w:r>
      <w:r w:rsidRPr="009C2345">
        <w:rPr>
          <w:i/>
          <w:sz w:val="20"/>
        </w:rPr>
        <w:t>HRA</w:t>
      </w:r>
      <w:r w:rsidRPr="009C2345">
        <w:rPr>
          <w:sz w:val="20"/>
        </w:rPr>
        <w:t xml:space="preserve"> creates </w:t>
      </w:r>
      <w:r w:rsidRPr="009C2345">
        <w:rPr>
          <w:i/>
          <w:sz w:val="20"/>
        </w:rPr>
        <w:t>sui generis</w:t>
      </w:r>
      <w:r w:rsidRPr="009C2345">
        <w:rPr>
          <w:sz w:val="20"/>
        </w:rPr>
        <w:t xml:space="preserve"> covenants that displace the common law rule that positive covenants do not run with the land. </w:t>
      </w:r>
    </w:p>
    <w:p w:rsidR="0001096E" w:rsidRPr="009C2345" w:rsidRDefault="0001096E" w:rsidP="0001096E">
      <w:pPr>
        <w:pStyle w:val="SCCNormalDoubleSpacing"/>
        <w:spacing w:line="240" w:lineRule="auto"/>
        <w:rPr>
          <w:sz w:val="20"/>
        </w:rPr>
      </w:pPr>
    </w:p>
    <w:p w:rsidR="0001096E" w:rsidRPr="009C2345" w:rsidRDefault="0001096E" w:rsidP="0001096E">
      <w:pPr>
        <w:pStyle w:val="SCCNormalDoubleSpacing"/>
        <w:spacing w:line="240" w:lineRule="auto"/>
        <w:rPr>
          <w:sz w:val="20"/>
        </w:rPr>
      </w:pPr>
      <w:r w:rsidRPr="009C2345">
        <w:rPr>
          <w:sz w:val="20"/>
        </w:rPr>
        <w:tab/>
      </w:r>
      <w:r w:rsidRPr="009C2345">
        <w:rPr>
          <w:rStyle w:val="QuoteChar"/>
          <w:sz w:val="20"/>
        </w:rPr>
        <w:t>Held:</w:t>
      </w:r>
      <w:r w:rsidRPr="009C2345">
        <w:rPr>
          <w:sz w:val="20"/>
        </w:rPr>
        <w:t xml:space="preserve"> The appeal should be allowed.</w:t>
      </w:r>
    </w:p>
    <w:p w:rsidR="0001096E" w:rsidRPr="009C2345" w:rsidRDefault="0001096E" w:rsidP="0001096E">
      <w:pPr>
        <w:pStyle w:val="SCCNormalDoubleSpacing"/>
        <w:spacing w:line="240" w:lineRule="auto"/>
        <w:rPr>
          <w:sz w:val="20"/>
        </w:rPr>
      </w:pPr>
    </w:p>
    <w:p w:rsidR="0001096E" w:rsidRPr="009C2345" w:rsidRDefault="0001096E" w:rsidP="0001096E">
      <w:pPr>
        <w:pStyle w:val="SCCNormalDoubleSpacing"/>
        <w:spacing w:line="240" w:lineRule="auto"/>
        <w:rPr>
          <w:sz w:val="20"/>
        </w:rPr>
      </w:pPr>
      <w:r w:rsidRPr="009C2345">
        <w:rPr>
          <w:sz w:val="20"/>
        </w:rPr>
        <w:tab/>
        <w:t xml:space="preserve">Correctness is the appropriate standard for reviewing the chambers judge’s interpretation of the common law, as well as of the </w:t>
      </w:r>
      <w:r w:rsidRPr="009C2345">
        <w:rPr>
          <w:i/>
          <w:sz w:val="20"/>
        </w:rPr>
        <w:t>HRA</w:t>
      </w:r>
      <w:r w:rsidRPr="009C2345">
        <w:rPr>
          <w:sz w:val="20"/>
        </w:rPr>
        <w:t xml:space="preserve"> given that statutory interpretation is a question of law. The palpable and overriding error standard applies to the chambers judge’s interpretation of the Incentive Agreement and the 604 Offer, since contractual interpretation is a question of mixed fact and law.</w:t>
      </w:r>
    </w:p>
    <w:p w:rsidR="0001096E" w:rsidRPr="009C2345" w:rsidRDefault="0001096E" w:rsidP="0001096E">
      <w:pPr>
        <w:pStyle w:val="SCCNormalDoubleSpacing"/>
        <w:spacing w:line="240" w:lineRule="auto"/>
        <w:rPr>
          <w:sz w:val="20"/>
        </w:rPr>
      </w:pPr>
    </w:p>
    <w:p w:rsidR="0001096E" w:rsidRPr="009C2345" w:rsidRDefault="0001096E" w:rsidP="0001096E">
      <w:pPr>
        <w:pStyle w:val="SCCNormalDoubleSpacing"/>
        <w:spacing w:line="240" w:lineRule="auto"/>
        <w:rPr>
          <w:sz w:val="20"/>
        </w:rPr>
      </w:pPr>
      <w:r w:rsidRPr="009C2345">
        <w:rPr>
          <w:sz w:val="20"/>
        </w:rPr>
        <w:tab/>
        <w:t xml:space="preserve">Section 29 of the </w:t>
      </w:r>
      <w:r w:rsidRPr="009C2345">
        <w:rPr>
          <w:i/>
          <w:sz w:val="20"/>
        </w:rPr>
        <w:t>HRA</w:t>
      </w:r>
      <w:r w:rsidRPr="009C2345">
        <w:rPr>
          <w:sz w:val="20"/>
        </w:rPr>
        <w:t xml:space="preserve"> does not completely displace the common law rule that positive covenants do not run with the land. Rather, s. 29 limits the positive covenants that may run with the land to those that are in favour of the person or organizations listed at s. 29(1), namely: the Minister; the council of the municipality in which the land is located; the Alberta Historical Resources Foundation; or an historical organization that is approved by the Minister. It does not permit positive covenants in favour of an entity not listed in s. 29(1) to run with the land. An application of the relevant principles of statutory interpretation leads to the conclusion that the exception to the common law rule provided for in s. 29 of the </w:t>
      </w:r>
      <w:r w:rsidRPr="009C2345">
        <w:rPr>
          <w:i/>
          <w:sz w:val="20"/>
        </w:rPr>
        <w:t>HRA</w:t>
      </w:r>
      <w:r w:rsidRPr="009C2345">
        <w:rPr>
          <w:sz w:val="20"/>
        </w:rPr>
        <w:t xml:space="preserve"> should be limited by the precise language of the provision and the underlying purpose of the </w:t>
      </w:r>
      <w:r w:rsidRPr="009C2345">
        <w:rPr>
          <w:i/>
          <w:sz w:val="20"/>
        </w:rPr>
        <w:t>HRA</w:t>
      </w:r>
      <w:r w:rsidRPr="009C2345">
        <w:rPr>
          <w:sz w:val="20"/>
        </w:rPr>
        <w:t xml:space="preserve">. Had the legislature intended to completely displace the common law rules regarding positive covenants and create </w:t>
      </w:r>
      <w:r w:rsidRPr="009C2345">
        <w:rPr>
          <w:i/>
          <w:sz w:val="20"/>
        </w:rPr>
        <w:t>sui generis</w:t>
      </w:r>
      <w:r w:rsidRPr="009C2345">
        <w:rPr>
          <w:sz w:val="20"/>
        </w:rPr>
        <w:t xml:space="preserve"> covenants and conditions that are enforceable by both the City and the landowner, it would have said so expressly. Section 29 is intended to permit governments and public interest bodies that have no interest in the land or building to enforce covenants and conditions that are in their favour. The chambers judge properly interpreted the </w:t>
      </w:r>
      <w:r w:rsidRPr="009C2345">
        <w:rPr>
          <w:i/>
          <w:sz w:val="20"/>
        </w:rPr>
        <w:t>HRA</w:t>
      </w:r>
      <w:r w:rsidRPr="009C2345">
        <w:rPr>
          <w:sz w:val="20"/>
        </w:rPr>
        <w:t xml:space="preserve">. </w:t>
      </w:r>
    </w:p>
    <w:p w:rsidR="0001096E" w:rsidRPr="009C2345" w:rsidRDefault="0001096E" w:rsidP="0001096E">
      <w:pPr>
        <w:pStyle w:val="SCCNormalDoubleSpacing"/>
        <w:spacing w:line="240" w:lineRule="auto"/>
        <w:rPr>
          <w:sz w:val="20"/>
        </w:rPr>
      </w:pPr>
    </w:p>
    <w:p w:rsidR="0001096E" w:rsidRPr="009C2345" w:rsidRDefault="0001096E" w:rsidP="0001096E">
      <w:pPr>
        <w:pStyle w:val="SCCNormalDoubleSpacing"/>
        <w:spacing w:line="240" w:lineRule="auto"/>
        <w:rPr>
          <w:sz w:val="20"/>
        </w:rPr>
      </w:pPr>
      <w:r w:rsidRPr="009C2345">
        <w:rPr>
          <w:sz w:val="20"/>
        </w:rPr>
        <w:tab/>
        <w:t xml:space="preserve">In the case at bar, the right to the Incentive Payments did not become an interest that runs with the land by virtue of the </w:t>
      </w:r>
      <w:r w:rsidRPr="009C2345">
        <w:rPr>
          <w:i/>
          <w:sz w:val="20"/>
        </w:rPr>
        <w:t>HRA</w:t>
      </w:r>
      <w:r w:rsidRPr="009C2345">
        <w:rPr>
          <w:sz w:val="20"/>
        </w:rPr>
        <w:t xml:space="preserve">. Although the City falls under the organizations listed in s. 29(1), the covenant to pay the Incentive Payments is not in its favour. Therefore, the Incentive Payments do not run with the land under the </w:t>
      </w:r>
      <w:r w:rsidRPr="009C2345">
        <w:rPr>
          <w:i/>
          <w:sz w:val="20"/>
        </w:rPr>
        <w:t>HRA</w:t>
      </w:r>
      <w:r w:rsidRPr="009C2345">
        <w:rPr>
          <w:sz w:val="20"/>
        </w:rPr>
        <w:t xml:space="preserve">. Furthermore, the Incentive Agreement itself does not reveal an intention that the Incentive Payments would run with the land. Nothing in the Incentive Agreement indicates that the parties to the agreement intended the payments to go to a future owner; rather, a reasonable interpretation of the agreement is that all the Incentive Payments were intended to go to Lougheed. Therefore, even if the common law rule could be circumvented in the case at bar, 604’s claim to the payments would still fail. There is no basis on which to disturb the chambers judge’s findings with respect to the contractual interpretation of the Incentive Agreement. </w:t>
      </w:r>
    </w:p>
    <w:p w:rsidR="0001096E" w:rsidRPr="009C2345" w:rsidRDefault="0001096E" w:rsidP="0001096E">
      <w:pPr>
        <w:pStyle w:val="SCCNormalDoubleSpacing"/>
        <w:spacing w:line="240" w:lineRule="auto"/>
        <w:rPr>
          <w:sz w:val="20"/>
        </w:rPr>
      </w:pPr>
    </w:p>
    <w:p w:rsidR="0001096E" w:rsidRPr="009C2345" w:rsidRDefault="0001096E" w:rsidP="0001096E">
      <w:pPr>
        <w:pStyle w:val="SCCNormalDoubleSpacing"/>
        <w:spacing w:line="240" w:lineRule="auto"/>
        <w:rPr>
          <w:sz w:val="20"/>
        </w:rPr>
      </w:pPr>
      <w:r w:rsidRPr="009C2345">
        <w:rPr>
          <w:sz w:val="20"/>
        </w:rPr>
        <w:tab/>
        <w:t xml:space="preserve">The Incentive Payments were not sold in the judicial sale of the Lougheed Building to 604. The chambers judge’s conclusion to that effect is well supported by the evidence, and he did not make a palpable and overriding error in his interpretation of the 604 Offer. There was no indication, express or otherwise, in any of the documents related to the sale that the court intended to sell, or 604 intended to buy, the Incentive Payments. </w:t>
      </w:r>
    </w:p>
    <w:p w:rsidR="0001096E" w:rsidRPr="009C2345" w:rsidRDefault="0001096E" w:rsidP="0001096E">
      <w:pPr>
        <w:pStyle w:val="SCCNormalDoubleSpacing"/>
        <w:spacing w:line="240" w:lineRule="auto"/>
        <w:rPr>
          <w:sz w:val="20"/>
        </w:rPr>
      </w:pPr>
    </w:p>
    <w:p w:rsidR="0001096E" w:rsidRPr="009C2345" w:rsidRDefault="0001096E" w:rsidP="0001096E">
      <w:pPr>
        <w:pStyle w:val="SCCNormalDoubleSpacing"/>
        <w:spacing w:line="240" w:lineRule="auto"/>
        <w:rPr>
          <w:sz w:val="20"/>
        </w:rPr>
      </w:pPr>
      <w:r w:rsidRPr="009C2345">
        <w:rPr>
          <w:sz w:val="20"/>
        </w:rPr>
        <w:tab/>
        <w:t xml:space="preserve">The Incentive Payments were assigned as security and the order of priorities is therefore governed by the </w:t>
      </w:r>
      <w:r w:rsidRPr="009C2345">
        <w:rPr>
          <w:i/>
          <w:sz w:val="20"/>
        </w:rPr>
        <w:t>Personal Property Security Act</w:t>
      </w:r>
      <w:r w:rsidRPr="009C2345">
        <w:rPr>
          <w:sz w:val="20"/>
        </w:rPr>
        <w:t xml:space="preserve"> (“</w:t>
      </w:r>
      <w:r w:rsidRPr="009C2345">
        <w:rPr>
          <w:i/>
          <w:sz w:val="20"/>
        </w:rPr>
        <w:t>PPSA</w:t>
      </w:r>
      <w:r w:rsidRPr="009C2345">
        <w:rPr>
          <w:sz w:val="20"/>
        </w:rPr>
        <w:t xml:space="preserve">”). As set out in s. 3(1)(a), the </w:t>
      </w:r>
      <w:r w:rsidRPr="009C2345">
        <w:rPr>
          <w:i/>
          <w:sz w:val="20"/>
        </w:rPr>
        <w:t>PPSA</w:t>
      </w:r>
      <w:r w:rsidRPr="009C2345">
        <w:rPr>
          <w:sz w:val="20"/>
        </w:rPr>
        <w:t xml:space="preserve"> applies to every transaction that in substance creates a security interest, without regard to its form and without regard to the person who has title to the collateral. The Incentive Payments are a chose in action, as the right to the payments is merely contractual and is not an interest that runs with the land or that is ancillary to the real property. Therefore, any interests in the payments are not exempt from the </w:t>
      </w:r>
      <w:r w:rsidRPr="009C2345">
        <w:rPr>
          <w:i/>
          <w:sz w:val="20"/>
        </w:rPr>
        <w:t>PPSA</w:t>
      </w:r>
      <w:r w:rsidRPr="009C2345">
        <w:rPr>
          <w:sz w:val="20"/>
        </w:rPr>
        <w:t xml:space="preserve">. If the parties disagree about the order of priorities under the </w:t>
      </w:r>
      <w:r w:rsidRPr="009C2345">
        <w:rPr>
          <w:i/>
          <w:sz w:val="20"/>
        </w:rPr>
        <w:t>PPSA</w:t>
      </w:r>
      <w:r w:rsidRPr="009C2345">
        <w:rPr>
          <w:sz w:val="20"/>
        </w:rPr>
        <w:t>, this issue alone should be remitted to a master to be decided.</w:t>
      </w:r>
    </w:p>
    <w:p w:rsidR="0001096E" w:rsidRPr="009C2345" w:rsidRDefault="0001096E" w:rsidP="0001096E">
      <w:pPr>
        <w:pStyle w:val="SCCNormalDoubleSpacing"/>
        <w:spacing w:line="240" w:lineRule="auto"/>
        <w:rPr>
          <w:sz w:val="20"/>
        </w:rPr>
      </w:pPr>
    </w:p>
    <w:p w:rsidR="0001096E" w:rsidRPr="009C2345" w:rsidRDefault="0001096E" w:rsidP="0001096E">
      <w:pPr>
        <w:pStyle w:val="SCCNormalDoubleSpacing"/>
        <w:spacing w:line="240" w:lineRule="auto"/>
        <w:rPr>
          <w:sz w:val="20"/>
        </w:rPr>
      </w:pPr>
      <w:r w:rsidRPr="009C2345">
        <w:rPr>
          <w:sz w:val="20"/>
        </w:rPr>
        <w:tab/>
        <w:t>APPEAL from a judgment of the Alberta Court of Appeal (O’Brien, Slatter and Wakeling JJ.A.), 2014 ABCA 427, 588 A.R. 258, 7 Alta. L.R. (6th) 285, 3 P.P.S.A.C. (4th) 69, 49 R.P.R. (5th) 19, 626 W.A.C. 258, [2015] 3 W.W.R. 139, [2014] A.J. No. 1397 (QL), 2014 CarswellAlta 2280 (WL Can.), setting aside a decision of Jeffrey J., 2013 ABQB 209, 550 A.R. 337, 77 Alta. L.R. (5th) 276, 1 P.P.S.A.C. (4th) 38, 31 R.P.R. (5th) 253, [2013] A.J. No. 362 (QL), 2013 CarswellAlta 457 (WL Can.), which affirmed a decision of Master Laycock, 2011 ABQB 269, 512 A.R. 200, 52 Alta. L.R. (5th) 414, [2011] A.J. No. 463 (QL), 2011 CarswellAlta 682 (WL Can.). Appeal allowed.</w:t>
      </w:r>
    </w:p>
    <w:p w:rsidR="0001096E" w:rsidRPr="009C2345" w:rsidRDefault="0001096E" w:rsidP="0001096E">
      <w:pPr>
        <w:pStyle w:val="SCCNormalDoubleSpacing"/>
        <w:spacing w:line="240" w:lineRule="auto"/>
        <w:rPr>
          <w:sz w:val="20"/>
        </w:rPr>
      </w:pPr>
    </w:p>
    <w:p w:rsidR="0001096E" w:rsidRPr="009C2345" w:rsidRDefault="0001096E" w:rsidP="0001096E">
      <w:pPr>
        <w:pStyle w:val="SCCNormalDoubleSpacing"/>
        <w:spacing w:line="240" w:lineRule="auto"/>
        <w:rPr>
          <w:rStyle w:val="SCCCounselPartyRoleChar"/>
          <w:rFonts w:eastAsiaTheme="minorEastAsia"/>
          <w:sz w:val="20"/>
        </w:rPr>
      </w:pPr>
      <w:r w:rsidRPr="009C2345">
        <w:rPr>
          <w:rStyle w:val="SCCCounselNameChar"/>
          <w:sz w:val="20"/>
        </w:rPr>
        <w:tab/>
        <w:t>Jeffrey E. Sharpe</w:t>
      </w:r>
      <w:r w:rsidRPr="009C2345">
        <w:rPr>
          <w:rStyle w:val="SCCCounselSeparatorChar"/>
          <w:sz w:val="20"/>
          <w:lang w:val="en-CA"/>
        </w:rPr>
        <w:t xml:space="preserve"> and </w:t>
      </w:r>
      <w:r w:rsidRPr="009C2345">
        <w:rPr>
          <w:rStyle w:val="SCCCounselNameChar"/>
          <w:sz w:val="20"/>
        </w:rPr>
        <w:t>Paul G. Chiswell</w:t>
      </w:r>
      <w:r w:rsidRPr="009C2345">
        <w:rPr>
          <w:rStyle w:val="SCCCounselPartyRoleChar"/>
          <w:rFonts w:eastAsiaTheme="minorEastAsia"/>
          <w:sz w:val="20"/>
        </w:rPr>
        <w:t>, for the appellant.</w:t>
      </w:r>
    </w:p>
    <w:p w:rsidR="0001096E" w:rsidRPr="009C2345" w:rsidRDefault="0001096E" w:rsidP="0001096E">
      <w:pPr>
        <w:pStyle w:val="SCCNormalDoubleSpacing"/>
        <w:spacing w:line="240" w:lineRule="auto"/>
        <w:rPr>
          <w:sz w:val="20"/>
        </w:rPr>
      </w:pPr>
    </w:p>
    <w:p w:rsidR="0001096E" w:rsidRPr="009C2345" w:rsidRDefault="0001096E" w:rsidP="0001096E">
      <w:pPr>
        <w:pStyle w:val="SCCNormalDoubleSpacing"/>
        <w:spacing w:line="240" w:lineRule="auto"/>
        <w:rPr>
          <w:sz w:val="20"/>
        </w:rPr>
      </w:pPr>
      <w:r w:rsidRPr="009C2345">
        <w:rPr>
          <w:sz w:val="20"/>
        </w:rPr>
        <w:tab/>
        <w:t>No one appeared for the respondent The Equitable Trust Company.</w:t>
      </w:r>
    </w:p>
    <w:p w:rsidR="0001096E" w:rsidRPr="009C2345" w:rsidRDefault="0001096E" w:rsidP="0001096E">
      <w:pPr>
        <w:pStyle w:val="SCCNormalDoubleSpacing"/>
        <w:spacing w:line="240" w:lineRule="auto"/>
        <w:rPr>
          <w:sz w:val="20"/>
        </w:rPr>
      </w:pPr>
    </w:p>
    <w:p w:rsidR="0001096E" w:rsidRPr="009C2345" w:rsidRDefault="0001096E" w:rsidP="0001096E">
      <w:pPr>
        <w:pStyle w:val="SCCNormalDoubleSpacing"/>
        <w:spacing w:line="240" w:lineRule="auto"/>
        <w:rPr>
          <w:rStyle w:val="SCCCounselPartyRoleChar"/>
          <w:rFonts w:eastAsiaTheme="minorEastAsia"/>
          <w:sz w:val="20"/>
        </w:rPr>
      </w:pPr>
      <w:r w:rsidRPr="009C2345">
        <w:rPr>
          <w:rStyle w:val="SCCCounselNameChar"/>
          <w:sz w:val="20"/>
        </w:rPr>
        <w:tab/>
        <w:t>Toby D. Schultz</w:t>
      </w:r>
      <w:r w:rsidRPr="009C2345">
        <w:rPr>
          <w:rStyle w:val="SCCCounselPartyRoleChar"/>
          <w:rFonts w:eastAsiaTheme="minorEastAsia"/>
          <w:sz w:val="20"/>
        </w:rPr>
        <w:t>, for the respondents the Lougheed Block Inc., Neil John Richardson, Hugh Daryl Richardson and the Heritage Property Corporation.</w:t>
      </w:r>
    </w:p>
    <w:p w:rsidR="0001096E" w:rsidRPr="009C2345" w:rsidRDefault="0001096E" w:rsidP="0001096E">
      <w:pPr>
        <w:pStyle w:val="SCCNormalDoubleSpacing"/>
        <w:spacing w:line="240" w:lineRule="auto"/>
        <w:rPr>
          <w:sz w:val="20"/>
        </w:rPr>
      </w:pPr>
    </w:p>
    <w:p w:rsidR="0001096E" w:rsidRPr="009C2345" w:rsidRDefault="0001096E" w:rsidP="0001096E">
      <w:pPr>
        <w:pStyle w:val="SCCNormalDoubleSpacing"/>
        <w:spacing w:line="240" w:lineRule="auto"/>
        <w:rPr>
          <w:rStyle w:val="SCCCounselPartyRoleChar"/>
          <w:rFonts w:eastAsiaTheme="minorEastAsia"/>
          <w:sz w:val="20"/>
        </w:rPr>
      </w:pPr>
      <w:r w:rsidRPr="009C2345">
        <w:rPr>
          <w:rStyle w:val="SCCCounselNameChar"/>
          <w:sz w:val="20"/>
        </w:rPr>
        <w:tab/>
        <w:t>Derrick S. Pagenkopf</w:t>
      </w:r>
      <w:r w:rsidRPr="009C2345">
        <w:rPr>
          <w:rStyle w:val="SCCCounselSeparatorChar"/>
          <w:sz w:val="20"/>
          <w:lang w:val="en-CA"/>
        </w:rPr>
        <w:t xml:space="preserve"> and </w:t>
      </w:r>
      <w:r w:rsidRPr="009C2345">
        <w:rPr>
          <w:rStyle w:val="SCCCounselNameChar"/>
          <w:sz w:val="20"/>
        </w:rPr>
        <w:t>Peter Morrison</w:t>
      </w:r>
      <w:r w:rsidRPr="009C2345">
        <w:rPr>
          <w:rStyle w:val="SCCCounselPartyRoleChar"/>
          <w:rFonts w:eastAsiaTheme="minorEastAsia"/>
          <w:sz w:val="20"/>
        </w:rPr>
        <w:t xml:space="preserve">, for the respondent </w:t>
      </w:r>
      <w:r w:rsidRPr="009C2345">
        <w:rPr>
          <w:sz w:val="20"/>
        </w:rPr>
        <w:t>604 1st Street S.W. Inc</w:t>
      </w:r>
      <w:r w:rsidRPr="009C2345">
        <w:rPr>
          <w:rStyle w:val="SCCCounselPartyRoleChar"/>
          <w:rFonts w:eastAsiaTheme="minorEastAsia"/>
          <w:sz w:val="20"/>
        </w:rPr>
        <w:t>.</w:t>
      </w:r>
    </w:p>
    <w:p w:rsidR="0001096E" w:rsidRPr="009C2345" w:rsidRDefault="0001096E" w:rsidP="0001096E">
      <w:pPr>
        <w:pStyle w:val="SCCNormalDoubleSpacing"/>
        <w:spacing w:line="240" w:lineRule="auto"/>
        <w:rPr>
          <w:sz w:val="20"/>
        </w:rPr>
      </w:pPr>
    </w:p>
    <w:p w:rsidR="0001096E" w:rsidRPr="009C2345" w:rsidRDefault="0001096E" w:rsidP="0001096E">
      <w:pPr>
        <w:pStyle w:val="SCCNormalDoubleSpacing"/>
        <w:spacing w:line="240" w:lineRule="auto"/>
        <w:rPr>
          <w:sz w:val="20"/>
        </w:rPr>
      </w:pPr>
      <w:r w:rsidRPr="009C2345">
        <w:rPr>
          <w:sz w:val="20"/>
        </w:rPr>
        <w:tab/>
        <w:t>No one appeared for the respondent Krayzel Corp.</w:t>
      </w:r>
    </w:p>
    <w:p w:rsidR="0001096E" w:rsidRPr="009C2345" w:rsidRDefault="0001096E" w:rsidP="0001096E">
      <w:pPr>
        <w:pStyle w:val="SCCNormalDoubleSpacing"/>
        <w:spacing w:line="240" w:lineRule="auto"/>
        <w:rPr>
          <w:sz w:val="20"/>
        </w:rPr>
      </w:pPr>
    </w:p>
    <w:p w:rsidR="0001096E" w:rsidRPr="009C2345" w:rsidRDefault="0001096E" w:rsidP="0001096E">
      <w:pPr>
        <w:pStyle w:val="SCCLawFirm"/>
        <w:spacing w:line="240" w:lineRule="auto"/>
        <w:rPr>
          <w:sz w:val="20"/>
        </w:rPr>
      </w:pPr>
      <w:r w:rsidRPr="009C2345">
        <w:rPr>
          <w:sz w:val="20"/>
        </w:rPr>
        <w:tab/>
        <w:t>Solicitors for the appellant: Burnet, Duckworth &amp; Palmer, Calgary.</w:t>
      </w:r>
    </w:p>
    <w:p w:rsidR="0001096E" w:rsidRPr="009C2345" w:rsidRDefault="0001096E" w:rsidP="0001096E">
      <w:pPr>
        <w:pStyle w:val="SCCNormalDoubleSpacing"/>
      </w:pPr>
    </w:p>
    <w:p w:rsidR="0001096E" w:rsidRPr="009C2345" w:rsidRDefault="0001096E" w:rsidP="0001096E">
      <w:pPr>
        <w:pStyle w:val="SCCLawFirm"/>
        <w:spacing w:line="240" w:lineRule="auto"/>
        <w:rPr>
          <w:sz w:val="20"/>
        </w:rPr>
      </w:pPr>
      <w:r w:rsidRPr="009C2345">
        <w:rPr>
          <w:sz w:val="20"/>
        </w:rPr>
        <w:tab/>
        <w:t xml:space="preserve">Solicitors for the respondents </w:t>
      </w:r>
      <w:r w:rsidRPr="009C2345">
        <w:rPr>
          <w:rStyle w:val="SCCCounselPartyRoleChar"/>
          <w:rFonts w:eastAsiaTheme="minorEastAsia"/>
          <w:sz w:val="20"/>
        </w:rPr>
        <w:t>the Lougheed Block Inc., Neil John Richardson, Hugh Daryl Richardson and the Heritage Property Corporation</w:t>
      </w:r>
      <w:r w:rsidRPr="009C2345">
        <w:rPr>
          <w:sz w:val="20"/>
        </w:rPr>
        <w:t>: Willow Park Law Office, Calgary.</w:t>
      </w:r>
    </w:p>
    <w:p w:rsidR="0001096E" w:rsidRPr="009C2345" w:rsidRDefault="0001096E" w:rsidP="0001096E">
      <w:pPr>
        <w:pStyle w:val="SCCNormalDoubleSpacing"/>
        <w:spacing w:line="240" w:lineRule="auto"/>
      </w:pPr>
    </w:p>
    <w:p w:rsidR="0001096E" w:rsidRPr="009C2345" w:rsidRDefault="0001096E" w:rsidP="0001096E">
      <w:pPr>
        <w:pStyle w:val="SCCLawFirm"/>
        <w:spacing w:line="240" w:lineRule="auto"/>
        <w:rPr>
          <w:sz w:val="20"/>
        </w:rPr>
      </w:pPr>
      <w:r w:rsidRPr="009C2345">
        <w:rPr>
          <w:sz w:val="20"/>
        </w:rPr>
        <w:tab/>
        <w:t>Solicitors for the respondent 604 1st Street S.W. Inc.: Gowling WLG (Canada) Inc., Calgary.</w:t>
      </w:r>
    </w:p>
    <w:p w:rsidR="0001096E" w:rsidRPr="009C2345" w:rsidRDefault="0001096E" w:rsidP="005C6840">
      <w:pPr>
        <w:spacing w:line="0" w:lineRule="atLeast"/>
        <w:rPr>
          <w:sz w:val="20"/>
          <w:szCs w:val="20"/>
        </w:rPr>
      </w:pPr>
    </w:p>
    <w:p w:rsidR="0052229C" w:rsidRPr="009C2345" w:rsidRDefault="0052229C" w:rsidP="0052229C">
      <w:pPr>
        <w:rPr>
          <w:sz w:val="20"/>
          <w:szCs w:val="20"/>
          <w:lang w:val="fr-CA"/>
        </w:rPr>
      </w:pPr>
      <w:r w:rsidRPr="009C2345">
        <w:rPr>
          <w:sz w:val="20"/>
          <w:szCs w:val="20"/>
          <w:lang w:val="fr-CA"/>
        </w:rPr>
        <w:t>________________________</w:t>
      </w:r>
    </w:p>
    <w:p w:rsidR="0052229C" w:rsidRPr="009C2345" w:rsidRDefault="0052229C" w:rsidP="0052229C">
      <w:pPr>
        <w:rPr>
          <w:sz w:val="20"/>
          <w:szCs w:val="20"/>
          <w:lang w:val="fr-CA"/>
        </w:rPr>
      </w:pPr>
    </w:p>
    <w:p w:rsidR="00F41BAB" w:rsidRPr="009C2345" w:rsidRDefault="00F41BAB" w:rsidP="00F41BAB">
      <w:pPr>
        <w:jc w:val="both"/>
        <w:rPr>
          <w:sz w:val="20"/>
          <w:lang w:val="fr-CA"/>
        </w:rPr>
      </w:pPr>
      <w:r w:rsidRPr="009C2345">
        <w:rPr>
          <w:sz w:val="20"/>
          <w:szCs w:val="20"/>
          <w:lang w:val="fr-CA"/>
        </w:rPr>
        <w:t>Présents : La juge en chef McLachlin et les juges Abella, Cromwell, Moldaver, Karakatsanis, Wagner, Gascon, Côté et Brown.</w:t>
      </w:r>
    </w:p>
    <w:p w:rsidR="00F41BAB" w:rsidRPr="009C2345" w:rsidRDefault="00F41BAB" w:rsidP="00F41BAB">
      <w:pPr>
        <w:jc w:val="both"/>
        <w:rPr>
          <w:sz w:val="20"/>
          <w:szCs w:val="20"/>
          <w:lang w:val="fr-CA"/>
        </w:rPr>
      </w:pPr>
    </w:p>
    <w:p w:rsidR="00F41BAB" w:rsidRPr="009C2345" w:rsidRDefault="00F41BAB" w:rsidP="00F41BAB">
      <w:pPr>
        <w:pStyle w:val="SCCNormalDoubleSpacing"/>
        <w:spacing w:line="240" w:lineRule="auto"/>
        <w:rPr>
          <w:i/>
          <w:sz w:val="20"/>
          <w:lang w:val="fr-CA"/>
        </w:rPr>
      </w:pPr>
      <w:r w:rsidRPr="009C2345">
        <w:rPr>
          <w:sz w:val="20"/>
          <w:lang w:val="fr-CA"/>
        </w:rPr>
        <w:tab/>
      </w:r>
      <w:r w:rsidRPr="009C2345">
        <w:rPr>
          <w:i/>
          <w:sz w:val="20"/>
          <w:lang w:val="fr-CA"/>
        </w:rPr>
        <w:t>Biens — Biens réels — Vente — Droit à des paiements incitatifs découlant d’un contrat incitatif enregistré par voie de caveat sur le titre du bien</w:t>
      </w:r>
      <w:r w:rsidRPr="009C2345">
        <w:rPr>
          <w:i/>
          <w:sz w:val="20"/>
          <w:lang w:val="fr-CA"/>
        </w:rPr>
        <w:noBreakHyphen/>
        <w:t>fonds — Adoption par la Ville d’un arrêté désignant un édifice ressource historique municipale en application de la Historical Resources Act — Conclusion par la Ville avec le propriétaire de l’édifice d’un contrat qui prévoit le versement sur une période de 15 ans de paiements annuels visant à indemniser le propriétaire pour la diminution de la valeur économique de l’édifice en raison de sa désignation</w:t>
      </w:r>
      <w:r w:rsidRPr="009C2345">
        <w:rPr>
          <w:sz w:val="20"/>
          <w:lang w:val="fr-CA"/>
        </w:rPr>
        <w:t xml:space="preserve"> </w:t>
      </w:r>
      <w:r w:rsidRPr="009C2345">
        <w:rPr>
          <w:i/>
          <w:sz w:val="20"/>
          <w:lang w:val="fr-CA"/>
        </w:rPr>
        <w:t>et pour les frais des travaux de restauration, et</w:t>
      </w:r>
      <w:r w:rsidRPr="009C2345">
        <w:rPr>
          <w:sz w:val="20"/>
          <w:lang w:val="fr-CA"/>
        </w:rPr>
        <w:t xml:space="preserve"> </w:t>
      </w:r>
      <w:r w:rsidRPr="009C2345">
        <w:rPr>
          <w:i/>
          <w:sz w:val="20"/>
          <w:lang w:val="fr-CA"/>
        </w:rPr>
        <w:t>qui impose</w:t>
      </w:r>
      <w:r w:rsidRPr="009C2345">
        <w:rPr>
          <w:sz w:val="20"/>
          <w:lang w:val="fr-CA"/>
        </w:rPr>
        <w:t xml:space="preserve"> </w:t>
      </w:r>
      <w:r w:rsidRPr="009C2345">
        <w:rPr>
          <w:i/>
          <w:sz w:val="20"/>
          <w:lang w:val="fr-CA"/>
        </w:rPr>
        <w:t>certaines restrictions quant à l’utilisation de l’édifice — Contrat enregistré par voie de caveat sur le titre du bien</w:t>
      </w:r>
      <w:r w:rsidRPr="009C2345">
        <w:rPr>
          <w:i/>
          <w:sz w:val="20"/>
          <w:lang w:val="fr-CA"/>
        </w:rPr>
        <w:noBreakHyphen/>
        <w:t>fonds — Édifice vendu lors d’une vente sous contrôle de justice — Les paiements incitatifs constituent</w:t>
      </w:r>
      <w:r w:rsidRPr="009C2345">
        <w:rPr>
          <w:i/>
          <w:sz w:val="20"/>
          <w:lang w:val="fr-CA"/>
        </w:rPr>
        <w:noBreakHyphen/>
        <w:t>ils un engagement positif qui se rattache au bien</w:t>
      </w:r>
      <w:r w:rsidRPr="009C2345">
        <w:rPr>
          <w:i/>
          <w:sz w:val="20"/>
          <w:lang w:val="fr-CA"/>
        </w:rPr>
        <w:noBreakHyphen/>
        <w:t>fonds soit par l’effet de la Historical Resources Act, soit en vertu du contrat entre la Ville et le propriétaire de l’édifice? — Les paiements incitatifs faisaient</w:t>
      </w:r>
      <w:r w:rsidRPr="009C2345">
        <w:rPr>
          <w:i/>
          <w:sz w:val="20"/>
          <w:lang w:val="fr-CA"/>
        </w:rPr>
        <w:noBreakHyphen/>
        <w:t>ils partie des éléments d’actif vendus lors de la vente sous contrôle de justice? — Historical Resources Act, R.S.A. 2000, c. H</w:t>
      </w:r>
      <w:r w:rsidRPr="009C2345">
        <w:rPr>
          <w:i/>
          <w:sz w:val="20"/>
          <w:lang w:val="fr-CA"/>
        </w:rPr>
        <w:noBreakHyphen/>
        <w:t>9, art. 29.</w:t>
      </w:r>
    </w:p>
    <w:p w:rsidR="00F41BAB" w:rsidRPr="009C2345" w:rsidRDefault="00F41BAB" w:rsidP="00F41BAB">
      <w:pPr>
        <w:pStyle w:val="SCCNormalDoubleSpacing"/>
        <w:spacing w:line="240" w:lineRule="auto"/>
        <w:rPr>
          <w:i/>
          <w:sz w:val="20"/>
          <w:lang w:val="fr-CA"/>
        </w:rPr>
      </w:pPr>
    </w:p>
    <w:p w:rsidR="00F41BAB" w:rsidRPr="009C2345" w:rsidRDefault="00F41BAB" w:rsidP="00F41BAB">
      <w:pPr>
        <w:pStyle w:val="SCCNormalDoubleSpacing"/>
        <w:spacing w:line="240" w:lineRule="auto"/>
        <w:rPr>
          <w:i/>
          <w:sz w:val="20"/>
          <w:lang w:val="fr-CA"/>
        </w:rPr>
      </w:pPr>
      <w:r w:rsidRPr="009C2345">
        <w:rPr>
          <w:i/>
          <w:sz w:val="20"/>
          <w:lang w:val="fr-CA"/>
        </w:rPr>
        <w:tab/>
        <w:t>Sûretés mobilières — Conclusion par la Ville avec le propriétaire d’un édifice d’un contrat qui prévoit le versement de paiements incitatifs visant à indemniser le propriétaire pour la diminution de la valeur économique de l’édifice en raison de sa désignation comme ressource historique et pour les frais des travaux de restauration — Cession par le propriétaire de l’édifice à deux prêteurs successifs du droit aux paiements incitatifs en guise de garantie des prêts — Édifice vendu lors d’une vente sous contrôle de justice — Cession par le premier prêteur d’un intérêt sur les paiements à l’acheteur après la clôture de la vente — L’ordre de priorité quant aux paiements est</w:t>
      </w:r>
      <w:r w:rsidRPr="009C2345">
        <w:rPr>
          <w:i/>
          <w:sz w:val="20"/>
          <w:lang w:val="fr-CA"/>
        </w:rPr>
        <w:noBreakHyphen/>
        <w:t>il régi par la Personal Property Security Act, R.S.A. 2000, c. P</w:t>
      </w:r>
      <w:r w:rsidRPr="009C2345">
        <w:rPr>
          <w:i/>
          <w:sz w:val="20"/>
          <w:lang w:val="fr-CA"/>
        </w:rPr>
        <w:noBreakHyphen/>
        <w:t>7?</w:t>
      </w:r>
    </w:p>
    <w:p w:rsidR="00F41BAB" w:rsidRPr="009C2345" w:rsidRDefault="00F41BAB" w:rsidP="00F41BAB">
      <w:pPr>
        <w:pStyle w:val="SCCNormalDoubleSpacing"/>
        <w:spacing w:line="240" w:lineRule="auto"/>
        <w:rPr>
          <w:i/>
          <w:sz w:val="20"/>
          <w:lang w:val="fr-CA"/>
        </w:rPr>
      </w:pPr>
    </w:p>
    <w:p w:rsidR="00F41BAB" w:rsidRPr="009C2345" w:rsidRDefault="00F41BAB" w:rsidP="00F41BAB">
      <w:pPr>
        <w:pStyle w:val="SCCNormalDoubleSpacing"/>
        <w:spacing w:line="240" w:lineRule="auto"/>
        <w:rPr>
          <w:sz w:val="20"/>
          <w:lang w:val="fr-CA"/>
        </w:rPr>
      </w:pPr>
      <w:r w:rsidRPr="009C2345">
        <w:rPr>
          <w:sz w:val="20"/>
          <w:lang w:val="fr-CA"/>
        </w:rPr>
        <w:tab/>
        <w:t>Lougheed Block Inc. (« Lougheed ») était le propriétaire de l’édifice appelé « Lougheed Building » (l’« Édifice »), situé au centre</w:t>
      </w:r>
      <w:r w:rsidRPr="009C2345">
        <w:rPr>
          <w:sz w:val="20"/>
          <w:lang w:val="fr-CA"/>
        </w:rPr>
        <w:noBreakHyphen/>
        <w:t>ville de Calgary, au moment où celui</w:t>
      </w:r>
      <w:r w:rsidRPr="009C2345">
        <w:rPr>
          <w:sz w:val="20"/>
          <w:lang w:val="fr-CA"/>
        </w:rPr>
        <w:noBreakHyphen/>
        <w:t xml:space="preserve">ci a été désigné « ressource historique municipale » en vertu de la </w:t>
      </w:r>
      <w:r w:rsidRPr="009C2345">
        <w:rPr>
          <w:i/>
          <w:sz w:val="20"/>
          <w:lang w:val="fr-CA"/>
        </w:rPr>
        <w:t>Historical Resources Act</w:t>
      </w:r>
      <w:r w:rsidRPr="009C2345">
        <w:rPr>
          <w:sz w:val="20"/>
          <w:lang w:val="fr-CA"/>
        </w:rPr>
        <w:t xml:space="preserve"> (« </w:t>
      </w:r>
      <w:r w:rsidRPr="009C2345">
        <w:rPr>
          <w:i/>
          <w:sz w:val="20"/>
          <w:lang w:val="fr-CA"/>
        </w:rPr>
        <w:t>HRA</w:t>
      </w:r>
      <w:r w:rsidRPr="009C2345">
        <w:rPr>
          <w:sz w:val="20"/>
          <w:lang w:val="fr-CA"/>
        </w:rPr>
        <w:t> ») en 2004. Afin d’indemniser Lougheed pour toute diminution de la valeur économique de l’Édifice en raison de sa désignation et pour des dépenses engagées afin de réaliser les travaux de restauration de l’Édifice, la ville de Calgary (la « Ville ») a accepté de payer à Lougheed la somme de 3,4 M$ répartie en quinze versements annuels (« Paiement incitatifs »). Le contrat (« Contrat incitatif ») intervenu entre Lougheed et la Ville, qui imposait également au propriétaire de l’Édifice certaines restrictions quant à l’utilisation de celui</w:t>
      </w:r>
      <w:r w:rsidRPr="009C2345">
        <w:rPr>
          <w:sz w:val="20"/>
          <w:lang w:val="fr-CA"/>
        </w:rPr>
        <w:noBreakHyphen/>
        <w:t>ci, a été enregistré par voie de caveat sur le titre du bien</w:t>
      </w:r>
      <w:r w:rsidRPr="009C2345">
        <w:rPr>
          <w:sz w:val="20"/>
          <w:lang w:val="fr-CA"/>
        </w:rPr>
        <w:noBreakHyphen/>
        <w:t xml:space="preserve">fonds. </w:t>
      </w:r>
    </w:p>
    <w:p w:rsidR="00F41BAB" w:rsidRPr="009C2345" w:rsidRDefault="00F41BAB" w:rsidP="00F41BAB">
      <w:pPr>
        <w:pStyle w:val="SCCNormalDoubleSpacing"/>
        <w:spacing w:line="240" w:lineRule="auto"/>
        <w:rPr>
          <w:sz w:val="20"/>
          <w:lang w:val="fr-CA"/>
        </w:rPr>
      </w:pPr>
    </w:p>
    <w:p w:rsidR="00F41BAB" w:rsidRPr="009C2345" w:rsidRDefault="00F41BAB" w:rsidP="00F41BAB">
      <w:pPr>
        <w:pStyle w:val="SCCNormalDoubleSpacing"/>
        <w:spacing w:line="240" w:lineRule="auto"/>
        <w:rPr>
          <w:sz w:val="20"/>
          <w:lang w:val="fr-CA"/>
        </w:rPr>
      </w:pPr>
      <w:r w:rsidRPr="009C2345">
        <w:rPr>
          <w:sz w:val="20"/>
          <w:lang w:val="fr-CA"/>
        </w:rPr>
        <w:tab/>
        <w:t>En novembre 2006, Lougheed a emprunté des fonds à L’Équitable, Compagnie de fiducie (« Équitable »). Le prêt a été garanti notamment par la cession du Contrat incitatif. En mai 2007, Lougheed a obtenu du financement additionnel d’Heritage Capital Corporation et lui a cédé à elle aussi, en guise de garantie du prêt, son droit aux Paiements incitatifs. Lougheed a fait défaut de rembourser le prêt consenti par Équitable en mai 2009. Cette dernière a alors intenté une action visant l’exécution d’une partie de sa garantie. Par suite de cette action, l’Édifice a été mis en vente sous contrôle de justice. La société mère de 604 1st Street S.W. Inc. (« 604 ») a présenté une offre (l’« Offre de 604 ») qui a été acceptée en juillet 2010.</w:t>
      </w:r>
    </w:p>
    <w:p w:rsidR="00F41BAB" w:rsidRPr="009C2345" w:rsidRDefault="00F41BAB" w:rsidP="00F41BAB">
      <w:pPr>
        <w:pStyle w:val="SCCNormalDoubleSpacing"/>
        <w:spacing w:line="240" w:lineRule="auto"/>
        <w:rPr>
          <w:sz w:val="20"/>
          <w:lang w:val="fr-CA"/>
        </w:rPr>
      </w:pPr>
    </w:p>
    <w:p w:rsidR="00F41BAB" w:rsidRPr="009C2345" w:rsidRDefault="00F41BAB" w:rsidP="00F41BAB">
      <w:pPr>
        <w:pStyle w:val="SCCNormalDoubleSpacing"/>
        <w:spacing w:line="240" w:lineRule="auto"/>
        <w:rPr>
          <w:sz w:val="20"/>
          <w:lang w:val="fr-CA"/>
        </w:rPr>
      </w:pPr>
      <w:r w:rsidRPr="009C2345">
        <w:rPr>
          <w:sz w:val="20"/>
          <w:lang w:val="fr-CA"/>
        </w:rPr>
        <w:tab/>
        <w:t xml:space="preserve">Peu avant la date de clôture de la vente, Lougheed a demandé à un protonotaire de la Cour du Banc de la Reine de rendre une décision déclarant que les Paiements incitatifs ne constituaient pas un intérêt foncier et ne faisaient pas partie des éléments d’actif vendus à 604 lors de la vente sous contrôle de justice. Le protonotaire a rendu la décision déclaratoire demandée. 604 a interjeté appel et un juge en cabinet du même tribunal a confirmé la décision déclaratoire du protonotaire, estimant que le par. 29(3) de la </w:t>
      </w:r>
      <w:r w:rsidRPr="009C2345">
        <w:rPr>
          <w:i/>
          <w:sz w:val="20"/>
          <w:lang w:val="fr-CA"/>
        </w:rPr>
        <w:t>HRA</w:t>
      </w:r>
      <w:r w:rsidRPr="009C2345">
        <w:rPr>
          <w:sz w:val="20"/>
          <w:lang w:val="fr-CA"/>
        </w:rPr>
        <w:t xml:space="preserve"> n’avait pas pour effet de permettre le rattachement des Paiements incitatifs au bien</w:t>
      </w:r>
      <w:r w:rsidRPr="009C2345">
        <w:rPr>
          <w:sz w:val="20"/>
          <w:lang w:val="fr-CA"/>
        </w:rPr>
        <w:noBreakHyphen/>
        <w:t xml:space="preserve">fonds en tant qu’engagement positif. Au terme d’un appel formé subséquemment par 604, les juges majoritaires de la Cour d’appel ont accueilli l’appel, statuant que la </w:t>
      </w:r>
      <w:r w:rsidRPr="009C2345">
        <w:rPr>
          <w:i/>
          <w:sz w:val="20"/>
          <w:lang w:val="fr-CA"/>
        </w:rPr>
        <w:t>HRA</w:t>
      </w:r>
      <w:r w:rsidRPr="009C2345">
        <w:rPr>
          <w:sz w:val="20"/>
          <w:lang w:val="fr-CA"/>
        </w:rPr>
        <w:t xml:space="preserve"> crée des engagements </w:t>
      </w:r>
      <w:r w:rsidRPr="009C2345">
        <w:rPr>
          <w:i/>
          <w:sz w:val="20"/>
          <w:lang w:val="fr-CA"/>
        </w:rPr>
        <w:t>sui generis</w:t>
      </w:r>
      <w:r w:rsidRPr="009C2345">
        <w:rPr>
          <w:sz w:val="20"/>
          <w:lang w:val="fr-CA"/>
        </w:rPr>
        <w:t xml:space="preserve"> qui écartent la règle de common law selon laquelle des engagements positifs ne se rattachent pas au bien</w:t>
      </w:r>
      <w:r w:rsidRPr="009C2345">
        <w:rPr>
          <w:sz w:val="20"/>
          <w:lang w:val="fr-CA"/>
        </w:rPr>
        <w:noBreakHyphen/>
        <w:t xml:space="preserve">fonds. </w:t>
      </w:r>
    </w:p>
    <w:p w:rsidR="00F41BAB" w:rsidRPr="009C2345" w:rsidRDefault="00F41BAB" w:rsidP="00F41BAB">
      <w:pPr>
        <w:pStyle w:val="SCCNormalDoubleSpacing"/>
        <w:spacing w:line="240" w:lineRule="auto"/>
        <w:rPr>
          <w:sz w:val="20"/>
          <w:lang w:val="fr-CA"/>
        </w:rPr>
      </w:pPr>
    </w:p>
    <w:p w:rsidR="00F41BAB" w:rsidRPr="009C2345" w:rsidRDefault="00F41BAB" w:rsidP="00F41BAB">
      <w:pPr>
        <w:pStyle w:val="SCCNormalDoubleSpacing"/>
        <w:spacing w:line="240" w:lineRule="auto"/>
        <w:rPr>
          <w:sz w:val="20"/>
          <w:lang w:val="fr-CA"/>
        </w:rPr>
      </w:pPr>
      <w:r w:rsidRPr="009C2345">
        <w:rPr>
          <w:sz w:val="20"/>
          <w:lang w:val="fr-CA"/>
        </w:rPr>
        <w:tab/>
      </w:r>
      <w:r w:rsidRPr="009C2345">
        <w:rPr>
          <w:i/>
          <w:sz w:val="20"/>
          <w:lang w:val="fr-CA"/>
        </w:rPr>
        <w:t>Arrêt</w:t>
      </w:r>
      <w:r w:rsidRPr="009C2345">
        <w:rPr>
          <w:sz w:val="20"/>
          <w:lang w:val="fr-CA"/>
        </w:rPr>
        <w:t> : Le pourvoi est accueilli.</w:t>
      </w:r>
    </w:p>
    <w:p w:rsidR="00F41BAB" w:rsidRPr="009C2345" w:rsidRDefault="00F41BAB" w:rsidP="00F41BAB">
      <w:pPr>
        <w:pStyle w:val="SCCNormalDoubleSpacing"/>
        <w:spacing w:line="240" w:lineRule="auto"/>
        <w:rPr>
          <w:sz w:val="20"/>
          <w:lang w:val="fr-CA"/>
        </w:rPr>
      </w:pPr>
    </w:p>
    <w:p w:rsidR="00F41BAB" w:rsidRPr="009C2345" w:rsidRDefault="00F41BAB" w:rsidP="00F41BAB">
      <w:pPr>
        <w:pStyle w:val="SCCNormalDoubleSpacing"/>
        <w:spacing w:line="240" w:lineRule="auto"/>
        <w:rPr>
          <w:sz w:val="20"/>
          <w:lang w:val="fr-CA"/>
        </w:rPr>
      </w:pPr>
      <w:r w:rsidRPr="009C2345">
        <w:rPr>
          <w:sz w:val="20"/>
          <w:lang w:val="fr-CA"/>
        </w:rPr>
        <w:tab/>
        <w:t xml:space="preserve">La décision correcte est la norme applicable pour examiner l’interprétation par le juge en cabinet de la common law, ainsi que de la </w:t>
      </w:r>
      <w:r w:rsidRPr="009C2345">
        <w:rPr>
          <w:i/>
          <w:sz w:val="20"/>
          <w:lang w:val="fr-CA"/>
        </w:rPr>
        <w:t>HRA</w:t>
      </w:r>
      <w:r w:rsidRPr="009C2345">
        <w:rPr>
          <w:sz w:val="20"/>
          <w:lang w:val="fr-CA"/>
        </w:rPr>
        <w:t xml:space="preserve"> étant donné que l’interprétation d’une loi est une question de droit. C’est la norme de l’erreur manifeste et déterminante qui s’applique à l’interprétation par le juge en cabinet du Contrat incitatif et de l’Offre de 604, car l’interprétation contractuelle est une question mixte de fait et de droit.</w:t>
      </w:r>
    </w:p>
    <w:p w:rsidR="00F41BAB" w:rsidRPr="009C2345" w:rsidRDefault="00F41BAB" w:rsidP="00F41BAB">
      <w:pPr>
        <w:pStyle w:val="SCCNormalDoubleSpacing"/>
        <w:spacing w:line="240" w:lineRule="auto"/>
        <w:rPr>
          <w:sz w:val="20"/>
          <w:lang w:val="fr-CA"/>
        </w:rPr>
      </w:pPr>
    </w:p>
    <w:p w:rsidR="00F41BAB" w:rsidRPr="009C2345" w:rsidRDefault="00F41BAB" w:rsidP="00F41BAB">
      <w:pPr>
        <w:pStyle w:val="SCCNormalDoubleSpacing"/>
        <w:spacing w:line="240" w:lineRule="auto"/>
        <w:rPr>
          <w:sz w:val="20"/>
          <w:lang w:val="fr-CA"/>
        </w:rPr>
      </w:pPr>
      <w:r w:rsidRPr="009C2345">
        <w:rPr>
          <w:sz w:val="20"/>
          <w:lang w:val="fr-CA"/>
        </w:rPr>
        <w:tab/>
        <w:t xml:space="preserve">L’article 29 de la </w:t>
      </w:r>
      <w:r w:rsidRPr="009C2345">
        <w:rPr>
          <w:i/>
          <w:sz w:val="20"/>
          <w:lang w:val="fr-CA"/>
        </w:rPr>
        <w:t>HRA</w:t>
      </w:r>
      <w:r w:rsidRPr="009C2345">
        <w:rPr>
          <w:sz w:val="20"/>
          <w:lang w:val="fr-CA"/>
        </w:rPr>
        <w:t xml:space="preserve"> n’écarte pas complètement la règle de common law selon laquelle des engagements positifs ne se rattachent pas au bien</w:t>
      </w:r>
      <w:r w:rsidRPr="009C2345">
        <w:rPr>
          <w:sz w:val="20"/>
          <w:lang w:val="fr-CA"/>
        </w:rPr>
        <w:noBreakHyphen/>
        <w:t>fonds. L’article 29 limite plutôt les engagements positifs susceptibles de rattachement au bien</w:t>
      </w:r>
      <w:r w:rsidRPr="009C2345">
        <w:rPr>
          <w:sz w:val="20"/>
          <w:lang w:val="fr-CA"/>
        </w:rPr>
        <w:noBreakHyphen/>
        <w:t>fonds aux seuls engagements de cette nature énoncés en faveur de la personne ou des organisations mentionnées au par. 29(1), à savoir : le ministre, le conseil de la municipalité dans laquelle se trouve le bien</w:t>
      </w:r>
      <w:r w:rsidRPr="009C2345">
        <w:rPr>
          <w:sz w:val="20"/>
          <w:lang w:val="fr-CA"/>
        </w:rPr>
        <w:noBreakHyphen/>
        <w:t>fonds, l’Alberta Historical Resources Foundation ou encore une organisation de conservation du patrimoine agréée par le ministre. Il n’autorise pas le rattachement au bien</w:t>
      </w:r>
      <w:r w:rsidRPr="009C2345">
        <w:rPr>
          <w:sz w:val="20"/>
          <w:lang w:val="fr-CA"/>
        </w:rPr>
        <w:noBreakHyphen/>
        <w:t xml:space="preserve">fonds d’engagements positifs énoncés en faveur d’une entité qui n’est pas énumérée au par. 29(1). L’application des principes d’interprétation des lois pertinents mène à la conclusion que la portée de l’exception établie à l’art. 29 de la </w:t>
      </w:r>
      <w:r w:rsidRPr="009C2345">
        <w:rPr>
          <w:i/>
          <w:sz w:val="20"/>
          <w:lang w:val="fr-CA"/>
        </w:rPr>
        <w:t>HRA</w:t>
      </w:r>
      <w:r w:rsidRPr="009C2345">
        <w:rPr>
          <w:sz w:val="20"/>
          <w:lang w:val="fr-CA"/>
        </w:rPr>
        <w:t xml:space="preserve"> à l’égard de la règle de common law doit être limitée par le langage exprès utilisé dans la disposition et par l’objet qui sous</w:t>
      </w:r>
      <w:r w:rsidRPr="009C2345">
        <w:rPr>
          <w:sz w:val="20"/>
          <w:lang w:val="fr-CA"/>
        </w:rPr>
        <w:noBreakHyphen/>
        <w:t xml:space="preserve">tend la </w:t>
      </w:r>
      <w:r w:rsidRPr="009C2345">
        <w:rPr>
          <w:i/>
          <w:sz w:val="20"/>
          <w:lang w:val="fr-CA"/>
        </w:rPr>
        <w:t>HRA</w:t>
      </w:r>
      <w:r w:rsidRPr="009C2345">
        <w:rPr>
          <w:sz w:val="20"/>
          <w:lang w:val="fr-CA"/>
        </w:rPr>
        <w:t xml:space="preserve">. Si le législateur avait voulu écarter complètement les règles de common law relatives aux engagements positifs et créer des conditions et engagements </w:t>
      </w:r>
      <w:r w:rsidRPr="009C2345">
        <w:rPr>
          <w:i/>
          <w:sz w:val="20"/>
          <w:lang w:val="fr-CA"/>
        </w:rPr>
        <w:t>sui generis</w:t>
      </w:r>
      <w:r w:rsidRPr="009C2345">
        <w:rPr>
          <w:sz w:val="20"/>
          <w:lang w:val="fr-CA"/>
        </w:rPr>
        <w:t xml:space="preserve"> dont l’exécution peut être demandée tant par la Ville que par le propriétaire foncier, il l’aurait dit en termes exprès. L’article 29 vise à permettre aux gouvernements ou entités à caractère public qui ne possèdent aucun intérêt dans le bien</w:t>
      </w:r>
      <w:r w:rsidRPr="009C2345">
        <w:rPr>
          <w:sz w:val="20"/>
          <w:lang w:val="fr-CA"/>
        </w:rPr>
        <w:noBreakHyphen/>
        <w:t xml:space="preserve">fonds ou l’immeuble concerné de demander l’exécution des conditions et engagements énoncés en leur faveur. Le juge en cabinet a bien interprété la </w:t>
      </w:r>
      <w:r w:rsidRPr="009C2345">
        <w:rPr>
          <w:i/>
          <w:sz w:val="20"/>
          <w:lang w:val="fr-CA"/>
        </w:rPr>
        <w:t>HRA</w:t>
      </w:r>
      <w:r w:rsidRPr="009C2345">
        <w:rPr>
          <w:sz w:val="20"/>
          <w:lang w:val="fr-CA"/>
        </w:rPr>
        <w:t xml:space="preserve">. </w:t>
      </w:r>
    </w:p>
    <w:p w:rsidR="00F41BAB" w:rsidRPr="009C2345" w:rsidRDefault="00F41BAB" w:rsidP="00F41BAB">
      <w:pPr>
        <w:pStyle w:val="SCCNormalDoubleSpacing"/>
        <w:spacing w:line="240" w:lineRule="auto"/>
        <w:rPr>
          <w:sz w:val="20"/>
          <w:lang w:val="fr-CA"/>
        </w:rPr>
      </w:pPr>
    </w:p>
    <w:p w:rsidR="00F41BAB" w:rsidRPr="009C2345" w:rsidRDefault="00F41BAB" w:rsidP="00F41BAB">
      <w:pPr>
        <w:pStyle w:val="ParaNoNdepar-AltN"/>
        <w:numPr>
          <w:ilvl w:val="0"/>
          <w:numId w:val="0"/>
        </w:numPr>
        <w:tabs>
          <w:tab w:val="left" w:pos="1170"/>
        </w:tabs>
        <w:spacing w:before="0" w:after="0" w:line="240" w:lineRule="auto"/>
        <w:rPr>
          <w:rFonts w:cs="Times New Roman"/>
          <w:sz w:val="20"/>
          <w:szCs w:val="20"/>
        </w:rPr>
      </w:pPr>
      <w:r w:rsidRPr="009C2345">
        <w:rPr>
          <w:rFonts w:cs="Times New Roman"/>
          <w:sz w:val="20"/>
          <w:szCs w:val="20"/>
        </w:rPr>
        <w:tab/>
        <w:t>Dans la présente affaire, le droit aux Paiements incitatifs n’est pas devenu un intérêt rattaché au bien</w:t>
      </w:r>
      <w:r w:rsidRPr="009C2345">
        <w:rPr>
          <w:rFonts w:cs="Times New Roman"/>
          <w:sz w:val="20"/>
          <w:szCs w:val="20"/>
        </w:rPr>
        <w:noBreakHyphen/>
        <w:t xml:space="preserve">fonds par l’effet de la </w:t>
      </w:r>
      <w:r w:rsidRPr="009C2345">
        <w:rPr>
          <w:rFonts w:cs="Times New Roman"/>
          <w:i/>
          <w:sz w:val="20"/>
          <w:szCs w:val="20"/>
        </w:rPr>
        <w:t>HRA</w:t>
      </w:r>
      <w:r w:rsidRPr="009C2345">
        <w:rPr>
          <w:rFonts w:cs="Times New Roman"/>
          <w:sz w:val="20"/>
          <w:szCs w:val="20"/>
        </w:rPr>
        <w:t>. Bien que la Ville fasse partie des organisations mentionnées au par. 29(1), l’engagement de verser les Paiements incitatifs n’a pas été souscrit en sa faveur. Par conséquent, les Paiements incitatifs ne se rattachent pas au bien</w:t>
      </w:r>
      <w:r w:rsidRPr="009C2345">
        <w:rPr>
          <w:rFonts w:cs="Times New Roman"/>
          <w:sz w:val="20"/>
          <w:szCs w:val="20"/>
        </w:rPr>
        <w:noBreakHyphen/>
        <w:t xml:space="preserve">fonds au sens de la </w:t>
      </w:r>
      <w:r w:rsidRPr="009C2345">
        <w:rPr>
          <w:rFonts w:cs="Times New Roman"/>
          <w:i/>
          <w:sz w:val="20"/>
          <w:szCs w:val="20"/>
        </w:rPr>
        <w:t>HRA</w:t>
      </w:r>
      <w:r w:rsidRPr="009C2345">
        <w:rPr>
          <w:rFonts w:cs="Times New Roman"/>
          <w:sz w:val="20"/>
          <w:szCs w:val="20"/>
        </w:rPr>
        <w:t>. De plus, aucune intention de rattacher les Paiements incitatifs au bien</w:t>
      </w:r>
      <w:r w:rsidRPr="009C2345">
        <w:rPr>
          <w:rFonts w:cs="Times New Roman"/>
          <w:sz w:val="20"/>
          <w:szCs w:val="20"/>
        </w:rPr>
        <w:noBreakHyphen/>
        <w:t>fonds ne ressort du Contrat incitatif lui</w:t>
      </w:r>
      <w:r w:rsidRPr="009C2345">
        <w:rPr>
          <w:rFonts w:cs="Times New Roman"/>
          <w:sz w:val="20"/>
          <w:szCs w:val="20"/>
        </w:rPr>
        <w:noBreakHyphen/>
        <w:t>même. Le Contrat incitatif ne confirme d’aucune manière que les parties à ce contrat entendaient que les paiements puissent être versés à un futur propriétaire. Au contraire, une façon raisonnable d’interpréter le contrat consiste plutôt à considérer que tous les Paiements incitatifs étaient censés être versés à Lougheed. Par conséquent, même s’il était possible d’éviter l’application de la règle de common law en l’espèce, la demande de 604 visant les paiements devrait néanmoins être rejetée. Il n’y a aucune raison de modifier les conclusions du juge en cabinet relativement à l’interprétation du Contrat incitatif.</w:t>
      </w:r>
    </w:p>
    <w:p w:rsidR="00F41BAB" w:rsidRPr="009C2345" w:rsidRDefault="00F41BAB" w:rsidP="00F41BAB">
      <w:pPr>
        <w:pStyle w:val="ParaNoNdepar-AltN"/>
        <w:numPr>
          <w:ilvl w:val="0"/>
          <w:numId w:val="0"/>
        </w:numPr>
        <w:tabs>
          <w:tab w:val="left" w:pos="1170"/>
        </w:tabs>
        <w:spacing w:before="0" w:after="0" w:line="240" w:lineRule="auto"/>
        <w:rPr>
          <w:rFonts w:cs="Times New Roman"/>
          <w:sz w:val="20"/>
          <w:szCs w:val="20"/>
        </w:rPr>
      </w:pPr>
    </w:p>
    <w:p w:rsidR="00F41BAB" w:rsidRPr="009C2345" w:rsidRDefault="00F41BAB" w:rsidP="00F41BAB">
      <w:pPr>
        <w:pStyle w:val="SCCNormalDoubleSpacing"/>
        <w:spacing w:line="240" w:lineRule="auto"/>
        <w:rPr>
          <w:sz w:val="20"/>
          <w:lang w:val="fr-CA"/>
        </w:rPr>
      </w:pPr>
      <w:r w:rsidRPr="009C2345">
        <w:rPr>
          <w:sz w:val="20"/>
          <w:lang w:val="fr-CA"/>
        </w:rPr>
        <w:tab/>
        <w:t xml:space="preserve">Les Paiements incitatifs n’ont pas été inclus dans la vente sous contrôle de justice de l’Édifice à 604. La conclusion du juge en cabinet à ce sujet est amplement étayée par la preuve et il n’a commis aucune erreur manifeste et déterminante dans son interprétation de l’Offre de 604. Aucun des documents relatifs à la vente n’indique, expressément ou autrement, que les Paiements incitatifs font partie de la vente, ou que 604 entendait les acheter. </w:t>
      </w:r>
    </w:p>
    <w:p w:rsidR="00F41BAB" w:rsidRPr="009C2345" w:rsidRDefault="00F41BAB" w:rsidP="00F41BAB">
      <w:pPr>
        <w:pStyle w:val="SCCNormalDoubleSpacing"/>
        <w:spacing w:line="240" w:lineRule="auto"/>
        <w:rPr>
          <w:sz w:val="20"/>
          <w:lang w:val="fr-CA"/>
        </w:rPr>
      </w:pPr>
    </w:p>
    <w:p w:rsidR="00F41BAB" w:rsidRPr="009C2345" w:rsidRDefault="00F41BAB" w:rsidP="00F41BAB">
      <w:pPr>
        <w:pStyle w:val="SCCNormalDoubleSpacing"/>
        <w:spacing w:line="240" w:lineRule="auto"/>
        <w:rPr>
          <w:sz w:val="20"/>
          <w:lang w:val="fr-CA"/>
        </w:rPr>
      </w:pPr>
      <w:r w:rsidRPr="009C2345">
        <w:rPr>
          <w:sz w:val="20"/>
          <w:lang w:val="fr-CA"/>
        </w:rPr>
        <w:tab/>
        <w:t xml:space="preserve">Les Paiements incitatifs ont été cédés à titre de garantie et l’ordre de priorité est en conséquence régi par la </w:t>
      </w:r>
      <w:r w:rsidRPr="009C2345">
        <w:rPr>
          <w:i/>
          <w:sz w:val="20"/>
          <w:lang w:val="fr-CA"/>
        </w:rPr>
        <w:t>Personal Property Security Act</w:t>
      </w:r>
      <w:r w:rsidRPr="009C2345">
        <w:rPr>
          <w:sz w:val="20"/>
          <w:lang w:val="fr-CA"/>
        </w:rPr>
        <w:t xml:space="preserve"> (« </w:t>
      </w:r>
      <w:r w:rsidRPr="009C2345">
        <w:rPr>
          <w:i/>
          <w:sz w:val="20"/>
          <w:lang w:val="fr-CA"/>
        </w:rPr>
        <w:t>PPSA</w:t>
      </w:r>
      <w:r w:rsidRPr="009C2345">
        <w:rPr>
          <w:sz w:val="20"/>
          <w:lang w:val="fr-CA"/>
        </w:rPr>
        <w:t xml:space="preserve"> »). Comme l’indique l’al. 3(1)(a), la </w:t>
      </w:r>
      <w:r w:rsidRPr="009C2345">
        <w:rPr>
          <w:i/>
          <w:sz w:val="20"/>
          <w:lang w:val="fr-CA"/>
        </w:rPr>
        <w:t>PPSA</w:t>
      </w:r>
      <w:r w:rsidRPr="009C2345">
        <w:rPr>
          <w:sz w:val="20"/>
          <w:lang w:val="fr-CA"/>
        </w:rPr>
        <w:t xml:space="preserve"> s’applique à toute opération qui crée essentiellement une sûreté, indépendamment de sa forme et de l’identité de la personne qui possède le titre relatif au bien grevé. Les Paiements incitatifs sont une chose non possessoire, car le droit aux paiements a simplement un caractère contractuel et n’est pas un intérêt rattaché au bien</w:t>
      </w:r>
      <w:r w:rsidRPr="009C2345">
        <w:rPr>
          <w:sz w:val="20"/>
          <w:lang w:val="fr-CA"/>
        </w:rPr>
        <w:noBreakHyphen/>
        <w:t xml:space="preserve">fonds ou accessoire à l’immeuble. En conséquence, aucune cession relative à ces paiements n’échappe à l’application de la </w:t>
      </w:r>
      <w:r w:rsidRPr="009C2345">
        <w:rPr>
          <w:i/>
          <w:sz w:val="20"/>
          <w:lang w:val="fr-CA"/>
        </w:rPr>
        <w:t>PPSA</w:t>
      </w:r>
      <w:r w:rsidRPr="009C2345">
        <w:rPr>
          <w:sz w:val="20"/>
          <w:lang w:val="fr-CA"/>
        </w:rPr>
        <w:t xml:space="preserve">. Si les parties ne s’entendent pas sur l’ordre de priorité régi par la </w:t>
      </w:r>
      <w:r w:rsidRPr="009C2345">
        <w:rPr>
          <w:i/>
          <w:sz w:val="20"/>
          <w:lang w:val="fr-CA"/>
        </w:rPr>
        <w:t>PPSA</w:t>
      </w:r>
      <w:r w:rsidRPr="009C2345">
        <w:rPr>
          <w:sz w:val="20"/>
          <w:lang w:val="fr-CA"/>
        </w:rPr>
        <w:t>, cette seule question devrait être renvoyée à un protonotaire pour décision.</w:t>
      </w:r>
    </w:p>
    <w:p w:rsidR="00F41BAB" w:rsidRPr="009C2345" w:rsidRDefault="00F41BAB" w:rsidP="00F41BAB">
      <w:pPr>
        <w:pStyle w:val="SCCNormalDoubleSpacing"/>
        <w:spacing w:line="240" w:lineRule="auto"/>
        <w:rPr>
          <w:sz w:val="20"/>
          <w:lang w:val="fr-CA"/>
        </w:rPr>
      </w:pPr>
    </w:p>
    <w:p w:rsidR="00F41BAB" w:rsidRPr="009C2345" w:rsidRDefault="00F41BAB" w:rsidP="00F41BAB">
      <w:pPr>
        <w:pStyle w:val="SCCNormalDoubleSpacing"/>
        <w:spacing w:line="240" w:lineRule="auto"/>
        <w:rPr>
          <w:sz w:val="20"/>
          <w:lang w:val="fr-CA"/>
        </w:rPr>
      </w:pPr>
      <w:r w:rsidRPr="009C2345">
        <w:rPr>
          <w:sz w:val="20"/>
          <w:lang w:val="fr-CA"/>
        </w:rPr>
        <w:tab/>
        <w:t>POURVOI contre un arrêt de la Cour d’appel de l’Alberta (les juges O’Brien, Slatter et Wakeling), 2014 ABCA 427, 588 A.R. 258, 7 Alta. L.R. (6th) 285, 3 P.P.S.A.C. (4th) 69, 49 R.P.R. (5th) 19, 626 W.A.C. 258, [2015] 3 W.W.R. 139, [2014] A.J. No. 1397 (QL), 2014 CarswellAlta 2280 (WL Can.), qui a infirmé une décision du juge Jeffrey, 2013 ABQB 209, 550 A.R. 337, 77 Alta. L.R. (5th) 276, 1 P.P.S.A.C. (4th) 38, 31 R.P.R. (5th) 253, [2013] A.J. No. 362 (QL), 2013 CarswellAlta 457 (WL Can.), laquelle avait confirmé une décision du protonotaire Laycock, 2011 ABQB 269, 512 A.R. 200, 52 Alta. L.R. (5th) 414, [2011] A.J. No. 463 (QL), 2011 CarswellAlta 682 (WL Can.). Pourvoi accueilli.</w:t>
      </w:r>
    </w:p>
    <w:p w:rsidR="00F41BAB" w:rsidRPr="009C2345" w:rsidRDefault="00F41BAB" w:rsidP="00F41BAB">
      <w:pPr>
        <w:pStyle w:val="SCCNormalDoubleSpacing"/>
        <w:spacing w:line="240" w:lineRule="auto"/>
        <w:rPr>
          <w:sz w:val="20"/>
          <w:lang w:val="fr-CA"/>
        </w:rPr>
      </w:pPr>
    </w:p>
    <w:p w:rsidR="00F41BAB" w:rsidRPr="009C2345" w:rsidRDefault="00F41BAB" w:rsidP="00F41BAB">
      <w:pPr>
        <w:pStyle w:val="SCCNormalDoubleSpacing"/>
        <w:spacing w:line="240" w:lineRule="auto"/>
        <w:rPr>
          <w:rStyle w:val="SCCCounselPartyRoleChar"/>
          <w:rFonts w:eastAsiaTheme="minorEastAsia"/>
          <w:sz w:val="20"/>
          <w:lang w:val="fr-CA"/>
        </w:rPr>
      </w:pPr>
      <w:r w:rsidRPr="009C2345">
        <w:rPr>
          <w:rStyle w:val="SCCCounselNameChar"/>
          <w:sz w:val="20"/>
          <w:lang w:val="fr-CA"/>
        </w:rPr>
        <w:tab/>
        <w:t>Jeffrey E. Sharpe</w:t>
      </w:r>
      <w:r w:rsidRPr="009C2345">
        <w:rPr>
          <w:rStyle w:val="SCCCounselSeparatorChar"/>
          <w:sz w:val="20"/>
        </w:rPr>
        <w:t xml:space="preserve"> et </w:t>
      </w:r>
      <w:r w:rsidRPr="009C2345">
        <w:rPr>
          <w:rStyle w:val="SCCCounselNameChar"/>
          <w:sz w:val="20"/>
          <w:lang w:val="fr-CA"/>
        </w:rPr>
        <w:t>Paul G. Chiswell</w:t>
      </w:r>
      <w:r w:rsidRPr="009C2345">
        <w:rPr>
          <w:rStyle w:val="SCCCounselPartyRoleChar"/>
          <w:rFonts w:eastAsiaTheme="minorEastAsia"/>
          <w:sz w:val="20"/>
          <w:lang w:val="fr-CA"/>
        </w:rPr>
        <w:t>, pour l’appelante.</w:t>
      </w:r>
    </w:p>
    <w:p w:rsidR="00F41BAB" w:rsidRPr="009C2345" w:rsidRDefault="00F41BAB" w:rsidP="00F41BAB">
      <w:pPr>
        <w:pStyle w:val="SCCNormalDoubleSpacing"/>
        <w:spacing w:line="240" w:lineRule="auto"/>
        <w:rPr>
          <w:sz w:val="20"/>
          <w:lang w:val="fr-CA"/>
        </w:rPr>
      </w:pPr>
    </w:p>
    <w:p w:rsidR="00F41BAB" w:rsidRPr="009C2345" w:rsidRDefault="00F41BAB" w:rsidP="00F41BAB">
      <w:pPr>
        <w:pStyle w:val="SCCNormalDoubleSpacing"/>
        <w:spacing w:line="240" w:lineRule="auto"/>
        <w:rPr>
          <w:sz w:val="20"/>
          <w:lang w:val="fr-CA"/>
        </w:rPr>
      </w:pPr>
      <w:r w:rsidRPr="009C2345">
        <w:rPr>
          <w:sz w:val="20"/>
          <w:lang w:val="fr-CA"/>
        </w:rPr>
        <w:tab/>
        <w:t>Personne n’a comparu pour l’intimée L’Équitable, Compagnie de fiducie.</w:t>
      </w:r>
    </w:p>
    <w:p w:rsidR="00F41BAB" w:rsidRPr="009C2345" w:rsidRDefault="00F41BAB" w:rsidP="00F41BAB">
      <w:pPr>
        <w:pStyle w:val="SCCNormalDoubleSpacing"/>
        <w:spacing w:line="240" w:lineRule="auto"/>
        <w:rPr>
          <w:sz w:val="20"/>
          <w:lang w:val="fr-CA"/>
        </w:rPr>
      </w:pPr>
    </w:p>
    <w:p w:rsidR="00F41BAB" w:rsidRPr="009C2345" w:rsidRDefault="00F41BAB" w:rsidP="00F41BAB">
      <w:pPr>
        <w:pStyle w:val="SCCNormalDoubleSpacing"/>
        <w:spacing w:line="240" w:lineRule="auto"/>
        <w:rPr>
          <w:rStyle w:val="SCCCounselPartyRoleChar"/>
          <w:rFonts w:eastAsiaTheme="minorEastAsia"/>
          <w:sz w:val="20"/>
        </w:rPr>
      </w:pPr>
      <w:r w:rsidRPr="009C2345">
        <w:rPr>
          <w:rStyle w:val="SCCCounselNameChar"/>
          <w:sz w:val="20"/>
          <w:lang w:val="fr-CA"/>
        </w:rPr>
        <w:tab/>
      </w:r>
      <w:r w:rsidRPr="009C2345">
        <w:rPr>
          <w:rStyle w:val="SCCCounselNameChar"/>
          <w:sz w:val="20"/>
        </w:rPr>
        <w:t>Toby D. Schultz</w:t>
      </w:r>
      <w:r w:rsidRPr="009C2345">
        <w:rPr>
          <w:rStyle w:val="SCCCounselPartyRoleChar"/>
          <w:rFonts w:eastAsiaTheme="minorEastAsia"/>
          <w:sz w:val="20"/>
        </w:rPr>
        <w:t>, pour les intimés Lougheed Block Inc., Neil John Richardson, Hugh Daryl Richardson et Heritage Property Corporation.</w:t>
      </w:r>
    </w:p>
    <w:p w:rsidR="00F41BAB" w:rsidRPr="009C2345" w:rsidRDefault="00F41BAB" w:rsidP="00F41BAB">
      <w:pPr>
        <w:pStyle w:val="SCCNormalDoubleSpacing"/>
        <w:spacing w:line="240" w:lineRule="auto"/>
        <w:rPr>
          <w:sz w:val="20"/>
        </w:rPr>
      </w:pPr>
    </w:p>
    <w:p w:rsidR="00F41BAB" w:rsidRPr="009C2345" w:rsidRDefault="00F41BAB" w:rsidP="00F41BAB">
      <w:pPr>
        <w:pStyle w:val="SCCNormalDoubleSpacing"/>
        <w:spacing w:line="240" w:lineRule="auto"/>
        <w:rPr>
          <w:sz w:val="20"/>
          <w:lang w:val="fr-CA"/>
        </w:rPr>
      </w:pPr>
      <w:r w:rsidRPr="009C2345">
        <w:rPr>
          <w:rStyle w:val="SCCCounselNameChar"/>
          <w:sz w:val="20"/>
        </w:rPr>
        <w:tab/>
      </w:r>
      <w:r w:rsidRPr="009C2345">
        <w:rPr>
          <w:rStyle w:val="SCCCounselNameChar"/>
          <w:sz w:val="20"/>
          <w:lang w:val="fr-CA"/>
        </w:rPr>
        <w:t>Derrick S. Pagenkopf</w:t>
      </w:r>
      <w:r w:rsidRPr="009C2345">
        <w:rPr>
          <w:rStyle w:val="SCCCounselSeparatorChar"/>
          <w:sz w:val="20"/>
        </w:rPr>
        <w:t xml:space="preserve"> et </w:t>
      </w:r>
      <w:r w:rsidRPr="009C2345">
        <w:rPr>
          <w:rStyle w:val="SCCCounselNameChar"/>
          <w:sz w:val="20"/>
          <w:lang w:val="fr-CA"/>
        </w:rPr>
        <w:t>Peter Morrison</w:t>
      </w:r>
      <w:r w:rsidRPr="009C2345">
        <w:rPr>
          <w:rStyle w:val="SCCCounselPartyRoleChar"/>
          <w:rFonts w:eastAsiaTheme="minorEastAsia"/>
          <w:sz w:val="20"/>
          <w:lang w:val="fr-CA"/>
        </w:rPr>
        <w:t xml:space="preserve">, pour l’intimée </w:t>
      </w:r>
      <w:r w:rsidRPr="009C2345">
        <w:rPr>
          <w:sz w:val="20"/>
          <w:lang w:val="fr-CA"/>
        </w:rPr>
        <w:t>604 1st Street S.W. Inc.</w:t>
      </w:r>
    </w:p>
    <w:p w:rsidR="00F41BAB" w:rsidRPr="009C2345" w:rsidRDefault="00F41BAB" w:rsidP="00F41BAB">
      <w:pPr>
        <w:pStyle w:val="SCCNormalDoubleSpacing"/>
        <w:spacing w:line="240" w:lineRule="auto"/>
        <w:rPr>
          <w:sz w:val="20"/>
          <w:lang w:val="fr-CA"/>
        </w:rPr>
      </w:pPr>
    </w:p>
    <w:p w:rsidR="00F41BAB" w:rsidRPr="009C2345" w:rsidRDefault="00F41BAB" w:rsidP="00F41BAB">
      <w:pPr>
        <w:pStyle w:val="SCCNormalDoubleSpacing"/>
        <w:spacing w:line="240" w:lineRule="auto"/>
        <w:rPr>
          <w:sz w:val="20"/>
          <w:lang w:val="fr-CA"/>
        </w:rPr>
      </w:pPr>
      <w:r w:rsidRPr="009C2345">
        <w:rPr>
          <w:sz w:val="20"/>
          <w:lang w:val="fr-CA"/>
        </w:rPr>
        <w:tab/>
        <w:t>Personne n’a comparu pour l’intimée Krayzel Corp.</w:t>
      </w:r>
    </w:p>
    <w:p w:rsidR="00F41BAB" w:rsidRPr="009C2345" w:rsidRDefault="00F41BAB" w:rsidP="00F41BAB">
      <w:pPr>
        <w:pStyle w:val="SCCNormalDoubleSpacing"/>
        <w:spacing w:line="240" w:lineRule="auto"/>
        <w:rPr>
          <w:sz w:val="20"/>
          <w:lang w:val="fr-CA"/>
        </w:rPr>
      </w:pPr>
    </w:p>
    <w:p w:rsidR="00F41BAB" w:rsidRPr="009C2345" w:rsidRDefault="00F41BAB" w:rsidP="00F41BAB">
      <w:pPr>
        <w:pStyle w:val="SCCLawFirm"/>
        <w:spacing w:line="240" w:lineRule="auto"/>
        <w:rPr>
          <w:sz w:val="20"/>
          <w:lang w:val="fr-CA"/>
        </w:rPr>
      </w:pPr>
      <w:r w:rsidRPr="009C2345">
        <w:rPr>
          <w:sz w:val="20"/>
          <w:lang w:val="fr-CA"/>
        </w:rPr>
        <w:tab/>
        <w:t>Procureurs de l’appelante : Burnet, Duckworth &amp; Palmer, Calgary.</w:t>
      </w:r>
    </w:p>
    <w:p w:rsidR="00F41BAB" w:rsidRPr="009C2345" w:rsidRDefault="00F41BAB" w:rsidP="00F41BAB">
      <w:pPr>
        <w:pStyle w:val="SCCNormalDoubleSpacing"/>
        <w:spacing w:line="240" w:lineRule="auto"/>
        <w:rPr>
          <w:lang w:val="fr-CA"/>
        </w:rPr>
      </w:pPr>
    </w:p>
    <w:p w:rsidR="00F41BAB" w:rsidRPr="009C2345" w:rsidRDefault="00F41BAB" w:rsidP="00F41BAB">
      <w:pPr>
        <w:pStyle w:val="SCCLawFirm"/>
        <w:spacing w:line="240" w:lineRule="auto"/>
        <w:rPr>
          <w:sz w:val="20"/>
        </w:rPr>
      </w:pPr>
      <w:r w:rsidRPr="009C2345">
        <w:rPr>
          <w:sz w:val="20"/>
          <w:lang w:val="fr-CA"/>
        </w:rPr>
        <w:tab/>
      </w:r>
      <w:r w:rsidRPr="009C2345">
        <w:rPr>
          <w:sz w:val="20"/>
        </w:rPr>
        <w:t xml:space="preserve">Procureurs des intimés </w:t>
      </w:r>
      <w:r w:rsidRPr="009C2345">
        <w:rPr>
          <w:rStyle w:val="SCCCounselPartyRoleChar"/>
          <w:rFonts w:eastAsiaTheme="minorEastAsia"/>
          <w:sz w:val="20"/>
        </w:rPr>
        <w:t>Lougheed Block Inc., Neil John Richardson, Hugh Daryl Richardson et Heritage Property Corporation</w:t>
      </w:r>
      <w:r w:rsidRPr="009C2345">
        <w:rPr>
          <w:sz w:val="20"/>
        </w:rPr>
        <w:t> : Willow Park Law Office, Calgary.</w:t>
      </w:r>
    </w:p>
    <w:p w:rsidR="00F41BAB" w:rsidRPr="009C2345" w:rsidRDefault="00F41BAB" w:rsidP="00F41BAB">
      <w:pPr>
        <w:pStyle w:val="SCCNormalDoubleSpacing"/>
        <w:spacing w:line="240" w:lineRule="auto"/>
      </w:pPr>
    </w:p>
    <w:p w:rsidR="00F41BAB" w:rsidRPr="009C2345" w:rsidRDefault="00F41BAB" w:rsidP="00F41BAB">
      <w:pPr>
        <w:pStyle w:val="SCCLawFirm"/>
        <w:spacing w:line="240" w:lineRule="auto"/>
        <w:rPr>
          <w:sz w:val="20"/>
          <w:lang w:val="fr-CA"/>
        </w:rPr>
      </w:pPr>
      <w:r w:rsidRPr="009C2345">
        <w:rPr>
          <w:sz w:val="20"/>
        </w:rPr>
        <w:tab/>
      </w:r>
      <w:r w:rsidRPr="009C2345">
        <w:rPr>
          <w:sz w:val="20"/>
          <w:lang w:val="fr-CA"/>
        </w:rPr>
        <w:t>Procureurs de l’intimée 604 1st Street S.W. Inc. : Gowling WLG (Canada) Inc., Calgary.</w:t>
      </w:r>
    </w:p>
    <w:p w:rsidR="00F41BAB" w:rsidRPr="009C2345" w:rsidRDefault="00F41BAB" w:rsidP="0052229C">
      <w:pPr>
        <w:rPr>
          <w:sz w:val="20"/>
          <w:szCs w:val="20"/>
          <w:lang w:val="fr-CA"/>
        </w:rPr>
      </w:pPr>
    </w:p>
    <w:p w:rsidR="00902E51" w:rsidRPr="009C2345" w:rsidRDefault="0082006E" w:rsidP="00902E51">
      <w:pPr>
        <w:rPr>
          <w:rFonts w:cs="Times New Roman"/>
          <w:sz w:val="20"/>
          <w:szCs w:val="20"/>
          <w:lang w:val="fr-CA"/>
        </w:rPr>
      </w:pPr>
      <w:r>
        <w:rPr>
          <w:rFonts w:cs="Times New Roman"/>
          <w:sz w:val="20"/>
          <w:szCs w:val="20"/>
          <w:lang w:val="fr-CA"/>
        </w:rPr>
        <w:pict>
          <v:rect id="_x0000_i1097" style="width:144.3pt;height:1pt" o:hrpct="300" o:hralign="center" o:hrstd="t" o:hrnoshade="t" o:hr="t" fillcolor="black [3213]" stroked="f"/>
        </w:pict>
      </w:r>
    </w:p>
    <w:p w:rsidR="005C6840" w:rsidRPr="009C2345" w:rsidRDefault="005C6840" w:rsidP="005C6840">
      <w:pPr>
        <w:jc w:val="both"/>
        <w:rPr>
          <w:sz w:val="20"/>
          <w:szCs w:val="20"/>
        </w:rPr>
      </w:pPr>
    </w:p>
    <w:p w:rsidR="00ED40C3" w:rsidRPr="009C2345" w:rsidRDefault="00ED40C3" w:rsidP="005C6840">
      <w:pPr>
        <w:jc w:val="both"/>
        <w:rPr>
          <w:sz w:val="20"/>
          <w:szCs w:val="20"/>
        </w:rPr>
      </w:pPr>
    </w:p>
    <w:p w:rsidR="00ED40C3" w:rsidRPr="009C2345" w:rsidRDefault="00ED40C3" w:rsidP="005C6840">
      <w:pPr>
        <w:jc w:val="both"/>
        <w:rPr>
          <w:sz w:val="20"/>
          <w:szCs w:val="20"/>
        </w:rPr>
      </w:pPr>
    </w:p>
    <w:p w:rsidR="00102926" w:rsidRPr="009C2345" w:rsidRDefault="00102926" w:rsidP="00782AE4">
      <w:pPr>
        <w:jc w:val="both"/>
        <w:rPr>
          <w:sz w:val="20"/>
          <w:szCs w:val="20"/>
        </w:rPr>
        <w:sectPr w:rsidR="00102926" w:rsidRPr="009C2345" w:rsidSect="00782AE4">
          <w:headerReference w:type="even" r:id="rId131"/>
          <w:headerReference w:type="default" r:id="rId132"/>
          <w:footerReference w:type="even" r:id="rId133"/>
          <w:footerReference w:type="default" r:id="rId134"/>
          <w:headerReference w:type="first" r:id="rId135"/>
          <w:footerReference w:type="first" r:id="rId136"/>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22323B" w:rsidRPr="009C2345" w:rsidTr="0085476B">
        <w:tc>
          <w:tcPr>
            <w:tcW w:w="4320" w:type="dxa"/>
            <w:shd w:val="clear" w:color="auto" w:fill="auto"/>
            <w:tcMar>
              <w:left w:w="0" w:type="dxa"/>
              <w:right w:w="0" w:type="dxa"/>
            </w:tcMar>
          </w:tcPr>
          <w:p w:rsidR="0022323B" w:rsidRPr="009C2345" w:rsidRDefault="0022323B" w:rsidP="00546E37">
            <w:pPr>
              <w:keepNext/>
              <w:keepLines/>
              <w:rPr>
                <w:b/>
                <w:szCs w:val="24"/>
              </w:rPr>
            </w:pPr>
            <w:r w:rsidRPr="009C2345">
              <w:rPr>
                <w:b/>
                <w:szCs w:val="24"/>
              </w:rPr>
              <w:t xml:space="preserve">AGENDA FOR </w:t>
            </w:r>
            <w:r w:rsidR="00546E37" w:rsidRPr="009C2345">
              <w:rPr>
                <w:b/>
                <w:szCs w:val="24"/>
              </w:rPr>
              <w:t>MAY</w:t>
            </w:r>
            <w:r w:rsidR="005F1ED8" w:rsidRPr="009C2345">
              <w:rPr>
                <w:b/>
                <w:szCs w:val="24"/>
              </w:rPr>
              <w:t xml:space="preserve"> 201</w:t>
            </w:r>
            <w:r w:rsidR="00546E37" w:rsidRPr="009C2345">
              <w:rPr>
                <w:b/>
                <w:szCs w:val="24"/>
              </w:rPr>
              <w:t>6</w:t>
            </w:r>
          </w:p>
        </w:tc>
        <w:tc>
          <w:tcPr>
            <w:tcW w:w="840" w:type="dxa"/>
            <w:shd w:val="clear" w:color="auto" w:fill="auto"/>
            <w:tcMar>
              <w:left w:w="0" w:type="dxa"/>
              <w:right w:w="0" w:type="dxa"/>
            </w:tcMar>
          </w:tcPr>
          <w:p w:rsidR="0022323B" w:rsidRPr="009C2345" w:rsidRDefault="0022323B" w:rsidP="0022323B">
            <w:pPr>
              <w:keepNext/>
              <w:keepLines/>
              <w:jc w:val="center"/>
              <w:rPr>
                <w:b/>
                <w:szCs w:val="24"/>
              </w:rPr>
            </w:pPr>
          </w:p>
          <w:p w:rsidR="0022323B" w:rsidRPr="009C2345" w:rsidRDefault="0022323B" w:rsidP="0022323B">
            <w:pPr>
              <w:keepNext/>
              <w:keepLines/>
              <w:jc w:val="center"/>
              <w:rPr>
                <w:b/>
                <w:szCs w:val="24"/>
              </w:rPr>
            </w:pPr>
          </w:p>
        </w:tc>
        <w:tc>
          <w:tcPr>
            <w:tcW w:w="4320" w:type="dxa"/>
            <w:shd w:val="clear" w:color="auto" w:fill="auto"/>
            <w:tcMar>
              <w:left w:w="0" w:type="dxa"/>
              <w:right w:w="0" w:type="dxa"/>
            </w:tcMar>
          </w:tcPr>
          <w:p w:rsidR="0022323B" w:rsidRPr="009C2345" w:rsidRDefault="0022323B" w:rsidP="00546E37">
            <w:pPr>
              <w:keepNext/>
              <w:keepLines/>
              <w:rPr>
                <w:b/>
                <w:szCs w:val="24"/>
                <w:lang w:val="fr-CA"/>
              </w:rPr>
            </w:pPr>
            <w:r w:rsidRPr="009C2345">
              <w:rPr>
                <w:b/>
                <w:szCs w:val="24"/>
                <w:lang w:val="fr-CA"/>
              </w:rPr>
              <w:t>CALENDRIER D</w:t>
            </w:r>
            <w:r w:rsidR="00546E37" w:rsidRPr="009C2345">
              <w:rPr>
                <w:b/>
                <w:szCs w:val="24"/>
                <w:lang w:val="fr-CA"/>
              </w:rPr>
              <w:t>E MAI</w:t>
            </w:r>
            <w:r w:rsidRPr="009C2345">
              <w:rPr>
                <w:b/>
                <w:szCs w:val="24"/>
                <w:lang w:val="fr-CA"/>
              </w:rPr>
              <w:t xml:space="preserve"> </w:t>
            </w:r>
            <w:r w:rsidR="005F1ED8" w:rsidRPr="009C2345">
              <w:rPr>
                <w:b/>
                <w:szCs w:val="24"/>
                <w:lang w:val="fr-CA"/>
              </w:rPr>
              <w:t>201</w:t>
            </w:r>
            <w:r w:rsidR="00546E37" w:rsidRPr="009C2345">
              <w:rPr>
                <w:b/>
                <w:szCs w:val="24"/>
                <w:lang w:val="fr-CA"/>
              </w:rPr>
              <w:t>6</w:t>
            </w:r>
          </w:p>
        </w:tc>
      </w:tr>
    </w:tbl>
    <w:p w:rsidR="004B66B4" w:rsidRPr="009C2345" w:rsidRDefault="004B66B4" w:rsidP="004B66B4">
      <w:pPr>
        <w:rPr>
          <w:b/>
          <w:sz w:val="20"/>
          <w:szCs w:val="20"/>
        </w:rPr>
      </w:pPr>
    </w:p>
    <w:p w:rsidR="005F1ED8" w:rsidRPr="009C2345" w:rsidRDefault="005F1ED8" w:rsidP="005F1ED8">
      <w:pPr>
        <w:rPr>
          <w:b/>
          <w:sz w:val="20"/>
          <w:szCs w:val="20"/>
        </w:rPr>
      </w:pPr>
      <w:r w:rsidRPr="009C2345">
        <w:rPr>
          <w:b/>
          <w:sz w:val="20"/>
          <w:szCs w:val="20"/>
        </w:rPr>
        <w:t xml:space="preserve">AGENDA for the weeks of </w:t>
      </w:r>
      <w:r w:rsidR="00546E37" w:rsidRPr="009C2345">
        <w:rPr>
          <w:b/>
          <w:sz w:val="20"/>
          <w:szCs w:val="20"/>
        </w:rPr>
        <w:t>May</w:t>
      </w:r>
      <w:r w:rsidRPr="009C2345">
        <w:rPr>
          <w:b/>
          <w:sz w:val="20"/>
          <w:szCs w:val="20"/>
        </w:rPr>
        <w:t xml:space="preserve"> 1</w:t>
      </w:r>
      <w:r w:rsidR="00546E37" w:rsidRPr="009C2345">
        <w:rPr>
          <w:b/>
          <w:sz w:val="20"/>
          <w:szCs w:val="20"/>
        </w:rPr>
        <w:t>6</w:t>
      </w:r>
      <w:r w:rsidRPr="009C2345">
        <w:rPr>
          <w:b/>
          <w:sz w:val="20"/>
          <w:szCs w:val="20"/>
        </w:rPr>
        <w:t xml:space="preserve"> and 2</w:t>
      </w:r>
      <w:r w:rsidR="00546E37" w:rsidRPr="009C2345">
        <w:rPr>
          <w:b/>
          <w:sz w:val="20"/>
          <w:szCs w:val="20"/>
        </w:rPr>
        <w:t>3</w:t>
      </w:r>
      <w:r w:rsidRPr="009C2345">
        <w:rPr>
          <w:b/>
          <w:sz w:val="20"/>
          <w:szCs w:val="20"/>
        </w:rPr>
        <w:t>, 201</w:t>
      </w:r>
      <w:r w:rsidR="00546E37" w:rsidRPr="009C2345">
        <w:rPr>
          <w:b/>
          <w:sz w:val="20"/>
          <w:szCs w:val="20"/>
        </w:rPr>
        <w:t>6</w:t>
      </w:r>
      <w:r w:rsidRPr="009C2345">
        <w:rPr>
          <w:b/>
          <w:sz w:val="20"/>
          <w:szCs w:val="20"/>
        </w:rPr>
        <w:t>.</w:t>
      </w:r>
    </w:p>
    <w:p w:rsidR="005F1ED8" w:rsidRPr="009C2345" w:rsidRDefault="005F1ED8" w:rsidP="005F1ED8">
      <w:pPr>
        <w:rPr>
          <w:sz w:val="20"/>
          <w:szCs w:val="20"/>
          <w:lang w:val="fr-CA"/>
        </w:rPr>
      </w:pPr>
      <w:r w:rsidRPr="009C2345">
        <w:rPr>
          <w:b/>
          <w:sz w:val="20"/>
          <w:szCs w:val="20"/>
          <w:lang w:val="fr-CA"/>
        </w:rPr>
        <w:t>CALENDRIER de la semaine du 1</w:t>
      </w:r>
      <w:r w:rsidR="00546E37" w:rsidRPr="009C2345">
        <w:rPr>
          <w:b/>
          <w:sz w:val="20"/>
          <w:szCs w:val="20"/>
          <w:lang w:val="fr-CA"/>
        </w:rPr>
        <w:t>6</w:t>
      </w:r>
      <w:r w:rsidRPr="009C2345">
        <w:rPr>
          <w:b/>
          <w:sz w:val="20"/>
          <w:szCs w:val="20"/>
          <w:lang w:val="fr-CA"/>
        </w:rPr>
        <w:t xml:space="preserve"> </w:t>
      </w:r>
      <w:r w:rsidR="00546E37" w:rsidRPr="009C2345">
        <w:rPr>
          <w:b/>
          <w:sz w:val="20"/>
          <w:szCs w:val="20"/>
          <w:lang w:val="fr-CA"/>
        </w:rPr>
        <w:t>mai</w:t>
      </w:r>
      <w:r w:rsidRPr="009C2345">
        <w:rPr>
          <w:b/>
          <w:sz w:val="20"/>
          <w:szCs w:val="20"/>
          <w:lang w:val="fr-CA"/>
        </w:rPr>
        <w:t xml:space="preserve"> et celle du 2</w:t>
      </w:r>
      <w:r w:rsidR="00546E37" w:rsidRPr="009C2345">
        <w:rPr>
          <w:b/>
          <w:sz w:val="20"/>
          <w:szCs w:val="20"/>
          <w:lang w:val="fr-CA"/>
        </w:rPr>
        <w:t>3</w:t>
      </w:r>
      <w:r w:rsidRPr="009C2345">
        <w:rPr>
          <w:b/>
          <w:sz w:val="20"/>
          <w:szCs w:val="20"/>
          <w:lang w:val="fr-CA"/>
        </w:rPr>
        <w:t xml:space="preserve"> </w:t>
      </w:r>
      <w:r w:rsidR="00546E37" w:rsidRPr="009C2345">
        <w:rPr>
          <w:b/>
          <w:sz w:val="20"/>
          <w:szCs w:val="20"/>
          <w:lang w:val="fr-CA"/>
        </w:rPr>
        <w:t>m</w:t>
      </w:r>
      <w:r w:rsidRPr="009C2345">
        <w:rPr>
          <w:b/>
          <w:sz w:val="20"/>
          <w:szCs w:val="20"/>
          <w:lang w:val="fr-CA"/>
        </w:rPr>
        <w:t>ai 201</w:t>
      </w:r>
      <w:r w:rsidR="00546E37" w:rsidRPr="009C2345">
        <w:rPr>
          <w:b/>
          <w:sz w:val="20"/>
          <w:szCs w:val="20"/>
          <w:lang w:val="fr-CA"/>
        </w:rPr>
        <w:t>6</w:t>
      </w:r>
      <w:r w:rsidRPr="009C2345">
        <w:rPr>
          <w:b/>
          <w:sz w:val="20"/>
          <w:szCs w:val="20"/>
          <w:lang w:val="fr-CA"/>
        </w:rPr>
        <w:t>.</w:t>
      </w:r>
    </w:p>
    <w:p w:rsidR="005F1ED8" w:rsidRPr="009C2345" w:rsidRDefault="005F1ED8" w:rsidP="005F1ED8">
      <w:pPr>
        <w:rPr>
          <w:sz w:val="20"/>
          <w:szCs w:val="20"/>
          <w:lang w:val="fr-CA"/>
        </w:rPr>
      </w:pPr>
    </w:p>
    <w:p w:rsidR="005F1ED8" w:rsidRPr="009C2345" w:rsidRDefault="005F1ED8" w:rsidP="005F1ED8">
      <w:pPr>
        <w:rPr>
          <w:sz w:val="20"/>
          <w:szCs w:val="20"/>
        </w:rPr>
      </w:pPr>
      <w:r w:rsidRPr="009C2345">
        <w:rPr>
          <w:sz w:val="20"/>
          <w:szCs w:val="20"/>
        </w:rPr>
        <w:t xml:space="preserve">The Court will not be sitting during the weeks of </w:t>
      </w:r>
      <w:r w:rsidR="00546E37" w:rsidRPr="009C2345">
        <w:rPr>
          <w:sz w:val="20"/>
          <w:szCs w:val="20"/>
        </w:rPr>
        <w:t>May</w:t>
      </w:r>
      <w:r w:rsidRPr="009C2345">
        <w:rPr>
          <w:sz w:val="20"/>
          <w:szCs w:val="20"/>
        </w:rPr>
        <w:t xml:space="preserve"> </w:t>
      </w:r>
      <w:r w:rsidR="00546E37" w:rsidRPr="009C2345">
        <w:rPr>
          <w:sz w:val="20"/>
          <w:szCs w:val="20"/>
        </w:rPr>
        <w:t>2, 9</w:t>
      </w:r>
      <w:r w:rsidRPr="009C2345">
        <w:rPr>
          <w:sz w:val="20"/>
          <w:szCs w:val="20"/>
        </w:rPr>
        <w:t xml:space="preserve"> and </w:t>
      </w:r>
      <w:r w:rsidR="00546E37" w:rsidRPr="009C2345">
        <w:rPr>
          <w:sz w:val="20"/>
          <w:szCs w:val="20"/>
        </w:rPr>
        <w:t>3</w:t>
      </w:r>
      <w:r w:rsidR="006003E4" w:rsidRPr="009C2345">
        <w:rPr>
          <w:sz w:val="20"/>
          <w:szCs w:val="20"/>
        </w:rPr>
        <w:t>0</w:t>
      </w:r>
      <w:r w:rsidRPr="009C2345">
        <w:rPr>
          <w:sz w:val="20"/>
          <w:szCs w:val="20"/>
        </w:rPr>
        <w:t>, 201</w:t>
      </w:r>
      <w:r w:rsidR="00546E37" w:rsidRPr="009C2345">
        <w:rPr>
          <w:sz w:val="20"/>
          <w:szCs w:val="20"/>
        </w:rPr>
        <w:t>6</w:t>
      </w:r>
      <w:r w:rsidRPr="009C2345">
        <w:rPr>
          <w:sz w:val="20"/>
          <w:szCs w:val="20"/>
        </w:rPr>
        <w:t>.</w:t>
      </w:r>
    </w:p>
    <w:p w:rsidR="005F1ED8" w:rsidRPr="009C2345" w:rsidRDefault="005F1ED8" w:rsidP="005F1ED8">
      <w:pPr>
        <w:rPr>
          <w:sz w:val="20"/>
          <w:szCs w:val="20"/>
          <w:lang w:val="fr-CA"/>
        </w:rPr>
      </w:pPr>
      <w:r w:rsidRPr="009C2345">
        <w:rPr>
          <w:sz w:val="20"/>
          <w:szCs w:val="20"/>
          <w:lang w:val="fr-CA"/>
        </w:rPr>
        <w:t xml:space="preserve">La Cour ne siègera pas pendant les semaines du </w:t>
      </w:r>
      <w:r w:rsidR="00546E37" w:rsidRPr="009C2345">
        <w:rPr>
          <w:sz w:val="20"/>
          <w:szCs w:val="20"/>
          <w:lang w:val="fr-CA"/>
        </w:rPr>
        <w:t>2, 9</w:t>
      </w:r>
      <w:r w:rsidRPr="009C2345">
        <w:rPr>
          <w:sz w:val="20"/>
          <w:szCs w:val="20"/>
          <w:lang w:val="fr-CA"/>
        </w:rPr>
        <w:t xml:space="preserve"> et du </w:t>
      </w:r>
      <w:r w:rsidR="00546E37" w:rsidRPr="009C2345">
        <w:rPr>
          <w:sz w:val="20"/>
          <w:szCs w:val="20"/>
          <w:lang w:val="fr-CA"/>
        </w:rPr>
        <w:t>3</w:t>
      </w:r>
      <w:r w:rsidR="006003E4" w:rsidRPr="009C2345">
        <w:rPr>
          <w:sz w:val="20"/>
          <w:szCs w:val="20"/>
          <w:lang w:val="fr-CA"/>
        </w:rPr>
        <w:t>0</w:t>
      </w:r>
      <w:r w:rsidRPr="009C2345">
        <w:rPr>
          <w:sz w:val="20"/>
          <w:szCs w:val="20"/>
          <w:lang w:val="fr-CA"/>
        </w:rPr>
        <w:t xml:space="preserve"> </w:t>
      </w:r>
      <w:r w:rsidR="00546E37" w:rsidRPr="009C2345">
        <w:rPr>
          <w:sz w:val="20"/>
          <w:szCs w:val="20"/>
          <w:lang w:val="fr-CA"/>
        </w:rPr>
        <w:t>mai</w:t>
      </w:r>
      <w:r w:rsidRPr="009C2345">
        <w:rPr>
          <w:sz w:val="20"/>
          <w:szCs w:val="20"/>
          <w:lang w:val="fr-CA"/>
        </w:rPr>
        <w:t xml:space="preserve"> 201</w:t>
      </w:r>
      <w:r w:rsidR="00546E37" w:rsidRPr="009C2345">
        <w:rPr>
          <w:sz w:val="20"/>
          <w:szCs w:val="20"/>
          <w:lang w:val="fr-CA"/>
        </w:rPr>
        <w:t>6</w:t>
      </w:r>
      <w:r w:rsidRPr="009C2345">
        <w:rPr>
          <w:sz w:val="20"/>
          <w:szCs w:val="20"/>
          <w:lang w:val="fr-CA"/>
        </w:rPr>
        <w:t>.</w:t>
      </w:r>
    </w:p>
    <w:p w:rsidR="004B66B4" w:rsidRPr="009C2345" w:rsidRDefault="0082006E" w:rsidP="004B66B4">
      <w:pPr>
        <w:rPr>
          <w:sz w:val="20"/>
          <w:szCs w:val="20"/>
        </w:rPr>
      </w:pPr>
      <w:r>
        <w:rPr>
          <w:sz w:val="20"/>
          <w:szCs w:val="20"/>
        </w:rPr>
        <w:pict>
          <v:rect id="_x0000_i1100" style="width:480.95pt;height:1pt" o:hralign="center" o:hrstd="t" o:hrnoshade="t" o:hr="t" fillcolor="black [3213]" stroked="f"/>
        </w:pict>
      </w:r>
    </w:p>
    <w:p w:rsidR="004B66B4" w:rsidRPr="009C2345" w:rsidRDefault="004B66B4" w:rsidP="004B66B4">
      <w:pPr>
        <w:rPr>
          <w:sz w:val="20"/>
          <w:szCs w:val="20"/>
          <w:lang w:val="fr-CA"/>
        </w:rPr>
      </w:pPr>
    </w:p>
    <w:tbl>
      <w:tblPr>
        <w:tblStyle w:val="TableGrid"/>
        <w:tblW w:w="9576" w:type="dxa"/>
        <w:tblBorders>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E8652D" w:rsidRPr="0082006E" w:rsidTr="00017A3C">
        <w:trPr>
          <w:cantSplit/>
        </w:trPr>
        <w:tc>
          <w:tcPr>
            <w:tcW w:w="2398" w:type="dxa"/>
          </w:tcPr>
          <w:p w:rsidR="00E8652D" w:rsidRPr="009C2345" w:rsidRDefault="00E8652D" w:rsidP="00017A3C">
            <w:pPr>
              <w:rPr>
                <w:sz w:val="20"/>
                <w:szCs w:val="20"/>
              </w:rPr>
            </w:pPr>
            <w:r w:rsidRPr="009C2345">
              <w:rPr>
                <w:sz w:val="20"/>
                <w:szCs w:val="20"/>
              </w:rPr>
              <w:t>DATE OF HEARING /</w:t>
            </w:r>
          </w:p>
          <w:p w:rsidR="00E8652D" w:rsidRPr="009C2345" w:rsidRDefault="00E8652D" w:rsidP="00017A3C">
            <w:pPr>
              <w:rPr>
                <w:sz w:val="20"/>
                <w:szCs w:val="20"/>
              </w:rPr>
            </w:pPr>
            <w:r w:rsidRPr="009C2345">
              <w:rPr>
                <w:sz w:val="20"/>
                <w:szCs w:val="20"/>
              </w:rPr>
              <w:t>DATE D’AUDITION</w:t>
            </w:r>
          </w:p>
        </w:tc>
        <w:tc>
          <w:tcPr>
            <w:tcW w:w="7178" w:type="dxa"/>
          </w:tcPr>
          <w:p w:rsidR="00E8652D" w:rsidRPr="009C2345" w:rsidRDefault="00E8652D" w:rsidP="00017A3C">
            <w:pPr>
              <w:rPr>
                <w:sz w:val="20"/>
                <w:szCs w:val="20"/>
                <w:lang w:val="fr-CA"/>
              </w:rPr>
            </w:pPr>
            <w:r w:rsidRPr="009C2345">
              <w:rPr>
                <w:sz w:val="20"/>
                <w:szCs w:val="20"/>
                <w:lang w:val="fr-CA"/>
              </w:rPr>
              <w:t>NAME AND CASE NUMBER /</w:t>
            </w:r>
          </w:p>
          <w:p w:rsidR="00E8652D" w:rsidRPr="009C2345" w:rsidRDefault="00E8652D" w:rsidP="00017A3C">
            <w:pPr>
              <w:rPr>
                <w:sz w:val="20"/>
                <w:szCs w:val="20"/>
                <w:lang w:val="fr-CA"/>
              </w:rPr>
            </w:pPr>
            <w:r w:rsidRPr="009C2345">
              <w:rPr>
                <w:sz w:val="20"/>
                <w:szCs w:val="20"/>
                <w:lang w:val="fr-CA"/>
              </w:rPr>
              <w:t>NOM DE LA CAUSE ET NUMÉRO</w:t>
            </w:r>
          </w:p>
        </w:tc>
      </w:tr>
      <w:tr w:rsidR="00E8652D" w:rsidRPr="0082006E" w:rsidTr="00017A3C">
        <w:trPr>
          <w:cantSplit/>
        </w:trPr>
        <w:tc>
          <w:tcPr>
            <w:tcW w:w="2398" w:type="dxa"/>
          </w:tcPr>
          <w:p w:rsidR="00E8652D" w:rsidRPr="009C2345" w:rsidRDefault="00E8652D" w:rsidP="00017A3C">
            <w:pPr>
              <w:rPr>
                <w:sz w:val="20"/>
                <w:szCs w:val="20"/>
              </w:rPr>
            </w:pPr>
            <w:r w:rsidRPr="009C2345">
              <w:rPr>
                <w:sz w:val="20"/>
                <w:szCs w:val="20"/>
              </w:rPr>
              <w:t>2016-05-18</w:t>
            </w:r>
          </w:p>
        </w:tc>
        <w:tc>
          <w:tcPr>
            <w:tcW w:w="7178" w:type="dxa"/>
          </w:tcPr>
          <w:p w:rsidR="00E8652D" w:rsidRPr="009C2345" w:rsidRDefault="00E8652D" w:rsidP="001525A4">
            <w:pPr>
              <w:jc w:val="both"/>
              <w:rPr>
                <w:sz w:val="20"/>
                <w:szCs w:val="20"/>
                <w:lang w:val="fr-CA"/>
              </w:rPr>
            </w:pPr>
            <w:r w:rsidRPr="009C2345">
              <w:rPr>
                <w:rStyle w:val="SCCSsocChar"/>
                <w:lang w:val="fr-CA"/>
              </w:rPr>
              <w:t>Groupe Jean Coutu (PJC) inc. c. Procureur général du Canada</w:t>
            </w:r>
            <w:r w:rsidRPr="009C2345">
              <w:rPr>
                <w:sz w:val="20"/>
                <w:szCs w:val="20"/>
                <w:lang w:val="fr-CA"/>
              </w:rPr>
              <w:t xml:space="preserve"> (Qc) (Civile) (Autorisation) </w:t>
            </w:r>
            <w:r w:rsidRPr="009C2345">
              <w:rPr>
                <w:sz w:val="20"/>
                <w:lang w:val="fr-CA"/>
              </w:rPr>
              <w:t>(</w:t>
            </w:r>
            <w:hyperlink r:id="rId137" w:history="1">
              <w:r w:rsidRPr="009C2345">
                <w:rPr>
                  <w:rStyle w:val="Hyperlink"/>
                  <w:sz w:val="20"/>
                  <w:lang w:val="fr-CA"/>
                </w:rPr>
                <w:t>36505</w:t>
              </w:r>
            </w:hyperlink>
            <w:r w:rsidRPr="009C2345">
              <w:rPr>
                <w:sz w:val="20"/>
                <w:lang w:val="fr-CA"/>
              </w:rPr>
              <w:t>)</w:t>
            </w:r>
          </w:p>
        </w:tc>
      </w:tr>
      <w:tr w:rsidR="00E8652D" w:rsidRPr="009C2345" w:rsidTr="00017A3C">
        <w:trPr>
          <w:cantSplit/>
        </w:trPr>
        <w:tc>
          <w:tcPr>
            <w:tcW w:w="2398" w:type="dxa"/>
          </w:tcPr>
          <w:p w:rsidR="00E8652D" w:rsidRPr="009C2345" w:rsidRDefault="00E8652D" w:rsidP="00017A3C">
            <w:pPr>
              <w:rPr>
                <w:sz w:val="20"/>
                <w:szCs w:val="20"/>
              </w:rPr>
            </w:pPr>
            <w:r w:rsidRPr="009C2345">
              <w:rPr>
                <w:sz w:val="20"/>
                <w:szCs w:val="20"/>
              </w:rPr>
              <w:t>2016-05-18</w:t>
            </w:r>
          </w:p>
        </w:tc>
        <w:tc>
          <w:tcPr>
            <w:tcW w:w="7178" w:type="dxa"/>
          </w:tcPr>
          <w:p w:rsidR="00E8652D" w:rsidRPr="009C2345" w:rsidRDefault="00E8652D" w:rsidP="001525A4">
            <w:pPr>
              <w:jc w:val="both"/>
              <w:rPr>
                <w:sz w:val="20"/>
                <w:szCs w:val="20"/>
              </w:rPr>
            </w:pPr>
            <w:r w:rsidRPr="009C2345">
              <w:rPr>
                <w:rStyle w:val="SCCSsocChar"/>
              </w:rPr>
              <w:t>Attorney General of Canada v. Fairmont Hotels Inc. et al.</w:t>
            </w:r>
            <w:r w:rsidRPr="009C2345">
              <w:rPr>
                <w:sz w:val="20"/>
                <w:szCs w:val="20"/>
              </w:rPr>
              <w:t xml:space="preserve"> (Ont.) (Civil) (By Leave) </w:t>
            </w:r>
            <w:r w:rsidRPr="009C2345">
              <w:rPr>
                <w:sz w:val="20"/>
              </w:rPr>
              <w:t>(</w:t>
            </w:r>
            <w:hyperlink r:id="rId138" w:history="1">
              <w:r w:rsidRPr="009C2345">
                <w:rPr>
                  <w:rStyle w:val="Hyperlink"/>
                  <w:sz w:val="20"/>
                </w:rPr>
                <w:t>36606</w:t>
              </w:r>
            </w:hyperlink>
            <w:r w:rsidRPr="009C2345">
              <w:rPr>
                <w:sz w:val="20"/>
              </w:rPr>
              <w:t>)</w:t>
            </w:r>
          </w:p>
        </w:tc>
      </w:tr>
      <w:tr w:rsidR="00E8652D" w:rsidRPr="009C2345" w:rsidTr="00017A3C">
        <w:trPr>
          <w:cantSplit/>
        </w:trPr>
        <w:tc>
          <w:tcPr>
            <w:tcW w:w="2398" w:type="dxa"/>
          </w:tcPr>
          <w:p w:rsidR="00E8652D" w:rsidRPr="009C2345" w:rsidRDefault="00E8652D" w:rsidP="00017A3C">
            <w:pPr>
              <w:rPr>
                <w:sz w:val="20"/>
                <w:szCs w:val="20"/>
              </w:rPr>
            </w:pPr>
            <w:r w:rsidRPr="009C2345">
              <w:rPr>
                <w:sz w:val="20"/>
                <w:szCs w:val="20"/>
              </w:rPr>
              <w:t>2016-05-19</w:t>
            </w:r>
          </w:p>
        </w:tc>
        <w:tc>
          <w:tcPr>
            <w:tcW w:w="7178" w:type="dxa"/>
          </w:tcPr>
          <w:p w:rsidR="00E8652D" w:rsidRPr="009C2345" w:rsidRDefault="00E8652D" w:rsidP="001525A4">
            <w:pPr>
              <w:jc w:val="both"/>
              <w:rPr>
                <w:sz w:val="20"/>
                <w:szCs w:val="20"/>
              </w:rPr>
            </w:pPr>
            <w:r w:rsidRPr="009C2345">
              <w:rPr>
                <w:rStyle w:val="SCCSsocChar"/>
              </w:rPr>
              <w:t>Anita Endean, as representative plaintiff v. Her Majesty the Queen in Right of the Province of British Columbia et al.</w:t>
            </w:r>
            <w:r w:rsidRPr="009C2345">
              <w:rPr>
                <w:sz w:val="20"/>
                <w:szCs w:val="20"/>
              </w:rPr>
              <w:t xml:space="preserve"> (B.C.) (Civil) (By Leave) </w:t>
            </w:r>
            <w:r w:rsidRPr="009C2345">
              <w:rPr>
                <w:sz w:val="20"/>
              </w:rPr>
              <w:t>(</w:t>
            </w:r>
            <w:hyperlink r:id="rId139" w:history="1">
              <w:r w:rsidRPr="009C2345">
                <w:rPr>
                  <w:rStyle w:val="Hyperlink"/>
                  <w:sz w:val="20"/>
                </w:rPr>
                <w:t>35843</w:t>
              </w:r>
            </w:hyperlink>
            <w:r w:rsidRPr="009C2345">
              <w:rPr>
                <w:sz w:val="20"/>
              </w:rPr>
              <w:t>)</w:t>
            </w:r>
          </w:p>
        </w:tc>
      </w:tr>
      <w:tr w:rsidR="00E8652D" w:rsidRPr="009C2345" w:rsidTr="00017A3C">
        <w:trPr>
          <w:cantSplit/>
        </w:trPr>
        <w:tc>
          <w:tcPr>
            <w:tcW w:w="2398" w:type="dxa"/>
          </w:tcPr>
          <w:p w:rsidR="00E8652D" w:rsidRPr="009C2345" w:rsidRDefault="00E8652D" w:rsidP="00017A3C">
            <w:pPr>
              <w:rPr>
                <w:sz w:val="20"/>
                <w:szCs w:val="20"/>
              </w:rPr>
            </w:pPr>
            <w:r w:rsidRPr="009C2345">
              <w:rPr>
                <w:sz w:val="20"/>
                <w:szCs w:val="20"/>
              </w:rPr>
              <w:t>2016-05-19</w:t>
            </w:r>
          </w:p>
        </w:tc>
        <w:tc>
          <w:tcPr>
            <w:tcW w:w="7178" w:type="dxa"/>
          </w:tcPr>
          <w:p w:rsidR="00E8652D" w:rsidRPr="009C2345" w:rsidRDefault="00E8652D" w:rsidP="001525A4">
            <w:pPr>
              <w:jc w:val="both"/>
              <w:rPr>
                <w:sz w:val="20"/>
                <w:szCs w:val="20"/>
              </w:rPr>
            </w:pPr>
            <w:r w:rsidRPr="009C2345">
              <w:rPr>
                <w:rStyle w:val="SCCSsocChar"/>
              </w:rPr>
              <w:t>Dianna Louise Parsons, deceased by her Estate Administrator, William John Forsyth et al. v. Her Majesty the Queen in Right of Ontario et al.</w:t>
            </w:r>
            <w:r w:rsidRPr="009C2345">
              <w:rPr>
                <w:sz w:val="20"/>
                <w:szCs w:val="20"/>
              </w:rPr>
              <w:t xml:space="preserve"> (Ont.) (Civil) (By Leave) </w:t>
            </w:r>
            <w:r w:rsidRPr="009C2345">
              <w:rPr>
                <w:sz w:val="20"/>
              </w:rPr>
              <w:t>(</w:t>
            </w:r>
            <w:hyperlink r:id="rId140" w:history="1">
              <w:r w:rsidRPr="009C2345">
                <w:rPr>
                  <w:rStyle w:val="Hyperlink"/>
                  <w:sz w:val="20"/>
                </w:rPr>
                <w:t>36456</w:t>
              </w:r>
            </w:hyperlink>
            <w:r w:rsidRPr="009C2345">
              <w:rPr>
                <w:sz w:val="20"/>
              </w:rPr>
              <w:t>)</w:t>
            </w:r>
          </w:p>
        </w:tc>
      </w:tr>
      <w:tr w:rsidR="00E8652D" w:rsidRPr="009C2345" w:rsidTr="00017A3C">
        <w:trPr>
          <w:cantSplit/>
        </w:trPr>
        <w:tc>
          <w:tcPr>
            <w:tcW w:w="2398" w:type="dxa"/>
          </w:tcPr>
          <w:p w:rsidR="00E8652D" w:rsidRPr="009C2345" w:rsidRDefault="00E8652D" w:rsidP="00017A3C">
            <w:pPr>
              <w:rPr>
                <w:sz w:val="20"/>
                <w:szCs w:val="20"/>
              </w:rPr>
            </w:pPr>
            <w:r w:rsidRPr="009C2345">
              <w:rPr>
                <w:sz w:val="20"/>
                <w:szCs w:val="20"/>
              </w:rPr>
              <w:t>2016-05-20</w:t>
            </w:r>
          </w:p>
        </w:tc>
        <w:tc>
          <w:tcPr>
            <w:tcW w:w="7178" w:type="dxa"/>
          </w:tcPr>
          <w:p w:rsidR="00E8652D" w:rsidRPr="009C2345" w:rsidRDefault="00E8652D" w:rsidP="001525A4">
            <w:pPr>
              <w:jc w:val="both"/>
              <w:rPr>
                <w:sz w:val="20"/>
                <w:szCs w:val="20"/>
              </w:rPr>
            </w:pPr>
            <w:r w:rsidRPr="009C2345">
              <w:rPr>
                <w:rStyle w:val="SCCSsocChar"/>
              </w:rPr>
              <w:t>Shane Rayshawn Vassell v. Her Majesty the Queen</w:t>
            </w:r>
            <w:r w:rsidRPr="009C2345">
              <w:rPr>
                <w:sz w:val="20"/>
                <w:szCs w:val="20"/>
              </w:rPr>
              <w:t xml:space="preserve"> (Alta.) (Criminal) (As of Right) </w:t>
            </w:r>
            <w:r w:rsidRPr="009C2345">
              <w:rPr>
                <w:sz w:val="20"/>
              </w:rPr>
              <w:t>(</w:t>
            </w:r>
            <w:hyperlink r:id="rId141" w:history="1">
              <w:r w:rsidRPr="009C2345">
                <w:rPr>
                  <w:rStyle w:val="Hyperlink"/>
                  <w:sz w:val="20"/>
                </w:rPr>
                <w:t>36792</w:t>
              </w:r>
            </w:hyperlink>
            <w:r w:rsidRPr="009C2345">
              <w:rPr>
                <w:sz w:val="20"/>
              </w:rPr>
              <w:t>)</w:t>
            </w:r>
          </w:p>
        </w:tc>
      </w:tr>
    </w:tbl>
    <w:p w:rsidR="00E8652D" w:rsidRPr="009C2345" w:rsidRDefault="00E8652D" w:rsidP="004B66B4">
      <w:pPr>
        <w:rPr>
          <w:sz w:val="20"/>
          <w:szCs w:val="20"/>
          <w:lang w:val="fr-CA"/>
        </w:rPr>
      </w:pPr>
    </w:p>
    <w:p w:rsidR="004B66B4" w:rsidRPr="009C2345" w:rsidRDefault="0082006E" w:rsidP="002868D0">
      <w:pPr>
        <w:jc w:val="both"/>
        <w:rPr>
          <w:sz w:val="20"/>
          <w:szCs w:val="20"/>
        </w:rPr>
      </w:pPr>
      <w:r>
        <w:rPr>
          <w:sz w:val="20"/>
          <w:szCs w:val="20"/>
          <w:lang w:val="fr-CA"/>
        </w:rPr>
        <w:pict>
          <v:rect id="_x0000_i1101" style="width:2in;height:1pt" o:hrpct="0" o:hralign="center" o:hrstd="t" o:hrnoshade="t" o:hr="t" fillcolor="black [3213]" stroked="f"/>
        </w:pict>
      </w:r>
    </w:p>
    <w:p w:rsidR="004B66B4" w:rsidRPr="009C2345" w:rsidRDefault="004B66B4" w:rsidP="004B66B4">
      <w:pPr>
        <w:tabs>
          <w:tab w:val="left" w:pos="1980"/>
        </w:tabs>
        <w:jc w:val="both"/>
        <w:rPr>
          <w:sz w:val="20"/>
          <w:szCs w:val="20"/>
        </w:rPr>
      </w:pPr>
    </w:p>
    <w:p w:rsidR="004B66B4" w:rsidRPr="009C2345" w:rsidRDefault="004B66B4" w:rsidP="001525A4">
      <w:pPr>
        <w:jc w:val="both"/>
        <w:rPr>
          <w:sz w:val="20"/>
          <w:szCs w:val="20"/>
        </w:rPr>
      </w:pPr>
      <w:r w:rsidRPr="009C2345">
        <w:rPr>
          <w:b/>
          <w:sz w:val="20"/>
          <w:szCs w:val="20"/>
        </w:rPr>
        <w:t>NOTE:</w:t>
      </w:r>
      <w:r w:rsidRPr="009C2345">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w:t>
      </w:r>
      <w:r w:rsidR="001F6B2D" w:rsidRPr="009C2345">
        <w:rPr>
          <w:sz w:val="20"/>
          <w:szCs w:val="20"/>
        </w:rPr>
        <w:t>-</w:t>
      </w:r>
      <w:r w:rsidRPr="009C2345">
        <w:rPr>
          <w:sz w:val="20"/>
          <w:szCs w:val="20"/>
        </w:rPr>
        <w:t xml:space="preserve"> 996-8666.</w:t>
      </w:r>
    </w:p>
    <w:p w:rsidR="004B66B4" w:rsidRPr="009C2345" w:rsidRDefault="004B66B4" w:rsidP="004B66B4">
      <w:pPr>
        <w:jc w:val="both"/>
        <w:rPr>
          <w:sz w:val="20"/>
          <w:szCs w:val="20"/>
        </w:rPr>
      </w:pPr>
    </w:p>
    <w:p w:rsidR="004B66B4" w:rsidRPr="009C2345" w:rsidRDefault="004B66B4" w:rsidP="004B66B4">
      <w:pPr>
        <w:jc w:val="both"/>
        <w:rPr>
          <w:sz w:val="20"/>
          <w:szCs w:val="20"/>
          <w:lang w:val="fr-CA"/>
        </w:rPr>
      </w:pPr>
      <w:r w:rsidRPr="009C2345">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C50A5C" w:rsidRPr="009C2345" w:rsidRDefault="00C50A5C" w:rsidP="0022323B">
      <w:pPr>
        <w:rPr>
          <w:sz w:val="20"/>
          <w:szCs w:val="20"/>
          <w:lang w:val="fr-CA"/>
        </w:rPr>
      </w:pPr>
    </w:p>
    <w:p w:rsidR="00102926" w:rsidRPr="009C2345" w:rsidRDefault="00102926" w:rsidP="00782AE4">
      <w:pPr>
        <w:jc w:val="both"/>
        <w:rPr>
          <w:sz w:val="20"/>
          <w:szCs w:val="20"/>
          <w:lang w:val="fr-CA"/>
        </w:rPr>
      </w:pPr>
    </w:p>
    <w:p w:rsidR="0022323B" w:rsidRPr="009C2345" w:rsidRDefault="0022323B" w:rsidP="00782AE4">
      <w:pPr>
        <w:jc w:val="both"/>
        <w:rPr>
          <w:sz w:val="20"/>
          <w:szCs w:val="20"/>
          <w:lang w:val="fr-CA"/>
        </w:rPr>
        <w:sectPr w:rsidR="0022323B" w:rsidRPr="009C2345" w:rsidSect="0022323B">
          <w:headerReference w:type="even" r:id="rId142"/>
          <w:headerReference w:type="default" r:id="rId143"/>
          <w:footerReference w:type="even" r:id="rId144"/>
          <w:footerReference w:type="default" r:id="rId145"/>
          <w:headerReference w:type="first" r:id="rId146"/>
          <w:footerReference w:type="first" r:id="rId14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F263E" w:rsidRPr="009C2345" w:rsidTr="0085476B">
        <w:tc>
          <w:tcPr>
            <w:tcW w:w="4200" w:type="dxa"/>
            <w:shd w:val="clear" w:color="auto" w:fill="auto"/>
            <w:tcMar>
              <w:left w:w="0" w:type="dxa"/>
              <w:right w:w="0" w:type="dxa"/>
            </w:tcMar>
          </w:tcPr>
          <w:p w:rsidR="005F263E" w:rsidRPr="009C2345" w:rsidRDefault="005F263E" w:rsidP="006B6926">
            <w:pPr>
              <w:keepNext/>
              <w:keepLines/>
              <w:rPr>
                <w:b/>
                <w:szCs w:val="24"/>
              </w:rPr>
            </w:pPr>
            <w:r w:rsidRPr="009C2345">
              <w:rPr>
                <w:b/>
                <w:szCs w:val="24"/>
              </w:rPr>
              <w:t>SUMMARIES OF THE CASES</w:t>
            </w:r>
          </w:p>
        </w:tc>
        <w:tc>
          <w:tcPr>
            <w:tcW w:w="1200" w:type="dxa"/>
            <w:shd w:val="clear" w:color="auto" w:fill="auto"/>
            <w:tcMar>
              <w:left w:w="0" w:type="dxa"/>
              <w:right w:w="0" w:type="dxa"/>
            </w:tcMar>
          </w:tcPr>
          <w:p w:rsidR="005F263E" w:rsidRPr="009C2345"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9C2345"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9C2345"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9C2345">
              <w:rPr>
                <w:b/>
                <w:szCs w:val="24"/>
                <w:lang w:val="fr-CA"/>
              </w:rPr>
              <w:t>RÉSUMÉS DES AFFAIRES</w:t>
            </w:r>
          </w:p>
        </w:tc>
      </w:tr>
    </w:tbl>
    <w:p w:rsidR="000B3C9A" w:rsidRPr="009C2345" w:rsidRDefault="000B3C9A" w:rsidP="000B3C9A">
      <w:pPr>
        <w:tabs>
          <w:tab w:val="left" w:pos="-1440"/>
          <w:tab w:val="left" w:pos="-720"/>
        </w:tabs>
        <w:ind w:left="720" w:hanging="720"/>
        <w:jc w:val="both"/>
        <w:rPr>
          <w:lang w:val="fr-CA"/>
        </w:rPr>
      </w:pPr>
    </w:p>
    <w:bookmarkStart w:id="5" w:name="1"/>
    <w:bookmarkEnd w:id="5"/>
    <w:p w:rsidR="00C809AC" w:rsidRPr="009C2345" w:rsidRDefault="00C809AC" w:rsidP="00C809AC">
      <w:pPr>
        <w:pStyle w:val="SCCLsocParty"/>
        <w:rPr>
          <w:sz w:val="20"/>
          <w:szCs w:val="20"/>
          <w:lang w:val="en-CA"/>
        </w:rPr>
      </w:pPr>
      <w:r w:rsidRPr="009C2345">
        <w:rPr>
          <w:b w:val="0"/>
          <w:sz w:val="20"/>
          <w:szCs w:val="20"/>
          <w:lang w:val="en-CA"/>
        </w:rPr>
        <w:fldChar w:fldCharType="begin"/>
      </w:r>
      <w:r w:rsidRPr="009C2345">
        <w:rPr>
          <w:sz w:val="20"/>
          <w:szCs w:val="20"/>
          <w:lang w:val="en-CA"/>
        </w:rPr>
        <w:instrText xml:space="preserve"> SEQ CHAPTER \h \r 1</w:instrText>
      </w:r>
      <w:r w:rsidRPr="009C2345">
        <w:rPr>
          <w:b w:val="0"/>
          <w:sz w:val="20"/>
          <w:szCs w:val="20"/>
          <w:lang w:val="en-CA"/>
        </w:rPr>
        <w:fldChar w:fldCharType="end"/>
      </w:r>
      <w:r w:rsidRPr="009C2345">
        <w:rPr>
          <w:sz w:val="20"/>
          <w:szCs w:val="20"/>
          <w:lang w:val="en-CA"/>
        </w:rPr>
        <w:t>36505</w:t>
      </w:r>
      <w:r w:rsidRPr="009C2345">
        <w:rPr>
          <w:sz w:val="20"/>
          <w:szCs w:val="20"/>
          <w:lang w:val="en-CA"/>
        </w:rPr>
        <w:tab/>
      </w:r>
      <w:bookmarkStart w:id="6" w:name="3"/>
      <w:bookmarkEnd w:id="6"/>
      <w:r w:rsidRPr="009C2345">
        <w:rPr>
          <w:i/>
          <w:sz w:val="20"/>
          <w:szCs w:val="20"/>
          <w:lang w:val="en-US"/>
        </w:rPr>
        <w:t>Jean</w:t>
      </w:r>
      <w:r w:rsidRPr="009C2345">
        <w:rPr>
          <w:i/>
          <w:sz w:val="20"/>
          <w:szCs w:val="20"/>
          <w:lang w:val="en-CA"/>
        </w:rPr>
        <w:t xml:space="preserve"> Coutu Group (PJC) Inc. v. Attorney General of Canada </w:t>
      </w:r>
      <w:r w:rsidRPr="009C2345">
        <w:rPr>
          <w:b w:val="0"/>
          <w:sz w:val="20"/>
          <w:szCs w:val="20"/>
          <w:lang w:val="en-CA"/>
        </w:rPr>
        <w:t>(Que.) (Civil) (By Leave)</w:t>
      </w:r>
    </w:p>
    <w:p w:rsidR="00C809AC" w:rsidRPr="009C2345" w:rsidRDefault="00C809AC" w:rsidP="00C809AC">
      <w:pPr>
        <w:widowControl w:val="0"/>
        <w:jc w:val="both"/>
        <w:rPr>
          <w:sz w:val="20"/>
          <w:szCs w:val="20"/>
        </w:rPr>
      </w:pPr>
    </w:p>
    <w:p w:rsidR="00C809AC" w:rsidRPr="009C2345" w:rsidRDefault="00C809AC" w:rsidP="00C809AC">
      <w:pPr>
        <w:jc w:val="both"/>
        <w:rPr>
          <w:sz w:val="20"/>
          <w:szCs w:val="20"/>
        </w:rPr>
      </w:pPr>
      <w:r w:rsidRPr="009C2345">
        <w:rPr>
          <w:sz w:val="20"/>
          <w:szCs w:val="20"/>
        </w:rPr>
        <w:t>Taxation - Income tax - Contract - Interpretation - Intention of parties - Rectification - Error made by professionals - Intention stated in transaction documents not reflecting common intention of parties - Transactions having unintended tax consequences - Conditions under which court may agree or refuse to rectify contract documents once it has been proven that documents represent incorrect expression of common intention of parties.</w:t>
      </w:r>
    </w:p>
    <w:p w:rsidR="00C809AC" w:rsidRPr="009C2345" w:rsidRDefault="00C809AC" w:rsidP="00C809AC">
      <w:pPr>
        <w:widowControl w:val="0"/>
        <w:jc w:val="both"/>
        <w:rPr>
          <w:sz w:val="20"/>
          <w:szCs w:val="20"/>
        </w:rPr>
      </w:pPr>
    </w:p>
    <w:p w:rsidR="00C809AC" w:rsidRPr="009C2345" w:rsidRDefault="00C809AC" w:rsidP="00C809AC">
      <w:pPr>
        <w:spacing w:after="160" w:line="259" w:lineRule="auto"/>
        <w:jc w:val="both"/>
        <w:rPr>
          <w:rFonts w:eastAsia="Calibri"/>
          <w:sz w:val="20"/>
          <w:szCs w:val="20"/>
        </w:rPr>
      </w:pPr>
      <w:r w:rsidRPr="009C2345">
        <w:rPr>
          <w:rFonts w:eastAsia="Calibri"/>
          <w:sz w:val="20"/>
          <w:szCs w:val="20"/>
        </w:rPr>
        <w:t xml:space="preserve">After acquiring a U.S. drugstore chain in 2004, the appellant, The Jean Coutu Group (PJC) Inc., was faced with a problem, namely what accounting approach to take for its U.S. investment in response to fluctuations in the exchange rate between the Canadian and U.S. dollars. In February 2005, in an attempt to find a tax-neutral solution to its currency hedge problem, it orchestrated a series of transactions whose net effect was to transform its net U.S. investment into a net debt. The tax consequences anticipated and agreed to by The Jean Coutu Group (PJC) Inc. and The Jean Coutu Group (PJC) USA Inc. were set out in the documents formalizing the transactions. </w:t>
      </w:r>
    </w:p>
    <w:p w:rsidR="00C809AC" w:rsidRPr="009C2345" w:rsidRDefault="00C809AC" w:rsidP="00C809AC">
      <w:pPr>
        <w:spacing w:after="160" w:line="259" w:lineRule="auto"/>
        <w:jc w:val="both"/>
        <w:rPr>
          <w:rFonts w:eastAsia="Calibri"/>
          <w:sz w:val="20"/>
          <w:szCs w:val="20"/>
        </w:rPr>
      </w:pPr>
      <w:r w:rsidRPr="009C2345">
        <w:rPr>
          <w:rFonts w:eastAsia="Calibri"/>
          <w:sz w:val="20"/>
          <w:szCs w:val="20"/>
        </w:rPr>
        <w:t xml:space="preserve">In 2010, following an audit for the 2005 through 2007 taxation years, the Canada Revenue Agency notified the appellant that the transactions as described in the accounting scenario generated $2.2 million in additional taxes for the three years in question. Thus, the documents had solved the currency hedge problem, but also had tax consequences that the parties had neither foreseen nor agreed to. </w:t>
      </w:r>
    </w:p>
    <w:p w:rsidR="00C809AC" w:rsidRPr="009C2345" w:rsidRDefault="00C809AC" w:rsidP="00C809AC">
      <w:pPr>
        <w:jc w:val="both"/>
        <w:rPr>
          <w:sz w:val="20"/>
          <w:szCs w:val="20"/>
        </w:rPr>
      </w:pPr>
      <w:r w:rsidRPr="009C2345">
        <w:rPr>
          <w:rFonts w:eastAsia="Calibri"/>
          <w:sz w:val="20"/>
          <w:szCs w:val="20"/>
        </w:rPr>
        <w:t>The appellant, arguing that the documents did not properly reflect the common intention of the parties and that its consent was therefore vitiated, filed a motion in the Superior Court for an order to rectify the books and records and for a declaratory judgment. The Jean Coutu Group (PJC) USA Inc. consented to the motion for rectification, but the Attorney General of Canada contested it, arguing that the requested corrections did not meet the conditions for rectification.</w:t>
      </w:r>
    </w:p>
    <w:p w:rsidR="00C809AC" w:rsidRPr="009C2345" w:rsidRDefault="00C809AC" w:rsidP="000B3C9A">
      <w:pPr>
        <w:tabs>
          <w:tab w:val="left" w:pos="-1440"/>
          <w:tab w:val="left" w:pos="-720"/>
        </w:tabs>
        <w:ind w:left="720" w:hanging="720"/>
        <w:jc w:val="both"/>
      </w:pPr>
    </w:p>
    <w:p w:rsidR="00C809AC" w:rsidRPr="009C2345" w:rsidRDefault="0082006E" w:rsidP="000B3C9A">
      <w:pPr>
        <w:tabs>
          <w:tab w:val="left" w:pos="-1440"/>
          <w:tab w:val="left" w:pos="-720"/>
        </w:tabs>
        <w:ind w:left="720" w:hanging="720"/>
        <w:jc w:val="both"/>
      </w:pPr>
      <w:r>
        <w:rPr>
          <w:sz w:val="20"/>
          <w:szCs w:val="20"/>
          <w:lang w:val="fr-CA"/>
        </w:rPr>
        <w:pict>
          <v:rect id="_x0000_i1104" style="width:2in;height:1pt" o:hrpct="0" o:hralign="center" o:hrstd="t" o:hrnoshade="t" o:hr="t" fillcolor="black [3213]" stroked="f"/>
        </w:pict>
      </w:r>
    </w:p>
    <w:p w:rsidR="00C809AC" w:rsidRPr="009C2345" w:rsidRDefault="00C809AC" w:rsidP="000B3C9A">
      <w:pPr>
        <w:tabs>
          <w:tab w:val="left" w:pos="-1440"/>
          <w:tab w:val="left" w:pos="-720"/>
        </w:tabs>
        <w:ind w:left="720" w:hanging="720"/>
        <w:jc w:val="both"/>
      </w:pPr>
    </w:p>
    <w:p w:rsidR="00C809AC" w:rsidRPr="009C2345" w:rsidRDefault="00C809AC" w:rsidP="00C809AC">
      <w:pPr>
        <w:pStyle w:val="SCCLsocParty"/>
        <w:rPr>
          <w:sz w:val="20"/>
          <w:szCs w:val="20"/>
        </w:rPr>
      </w:pPr>
      <w:r w:rsidRPr="009C2345">
        <w:rPr>
          <w:sz w:val="20"/>
          <w:szCs w:val="20"/>
        </w:rPr>
        <w:fldChar w:fldCharType="begin"/>
      </w:r>
      <w:r w:rsidRPr="009C2345">
        <w:rPr>
          <w:sz w:val="20"/>
          <w:szCs w:val="20"/>
        </w:rPr>
        <w:instrText xml:space="preserve"> SEQ CHAPTER \h \r 1</w:instrText>
      </w:r>
      <w:r w:rsidRPr="009C2345">
        <w:rPr>
          <w:sz w:val="20"/>
          <w:szCs w:val="20"/>
        </w:rPr>
        <w:fldChar w:fldCharType="end"/>
      </w:r>
      <w:r w:rsidRPr="009C2345">
        <w:rPr>
          <w:sz w:val="20"/>
          <w:szCs w:val="20"/>
        </w:rPr>
        <w:t>36505</w:t>
      </w:r>
      <w:r w:rsidRPr="009C2345">
        <w:rPr>
          <w:sz w:val="20"/>
          <w:szCs w:val="20"/>
        </w:rPr>
        <w:tab/>
      </w:r>
      <w:r w:rsidRPr="009C2345">
        <w:rPr>
          <w:i/>
          <w:sz w:val="20"/>
          <w:szCs w:val="20"/>
        </w:rPr>
        <w:t xml:space="preserve">Groupe Jean Coutu (PJC) inc. c. Procureur général du Canada </w:t>
      </w:r>
      <w:r w:rsidRPr="009C2345">
        <w:rPr>
          <w:b w:val="0"/>
          <w:sz w:val="20"/>
          <w:szCs w:val="20"/>
        </w:rPr>
        <w:t>(Qc) (Civile) (Autorisation)</w:t>
      </w:r>
    </w:p>
    <w:p w:rsidR="00C809AC" w:rsidRPr="009C2345" w:rsidRDefault="00C809AC" w:rsidP="00C809AC">
      <w:pPr>
        <w:widowControl w:val="0"/>
        <w:jc w:val="both"/>
        <w:rPr>
          <w:sz w:val="20"/>
          <w:szCs w:val="20"/>
          <w:lang w:val="fr-CA"/>
        </w:rPr>
      </w:pPr>
    </w:p>
    <w:p w:rsidR="00C809AC" w:rsidRPr="009C2345" w:rsidRDefault="00C809AC" w:rsidP="00C809AC">
      <w:pPr>
        <w:jc w:val="both"/>
        <w:rPr>
          <w:sz w:val="20"/>
          <w:szCs w:val="20"/>
          <w:lang w:val="fr-CA"/>
        </w:rPr>
      </w:pPr>
      <w:r w:rsidRPr="009C2345">
        <w:rPr>
          <w:sz w:val="20"/>
          <w:szCs w:val="20"/>
          <w:lang w:val="fr-CA"/>
        </w:rPr>
        <w:t>Droit fiscal - Impôt sur le revenu - Contrat - Interprétation - Intention des parties - Rectification - Erreur commise par des professionnels - Volonté déclarée dans des documents relatifs à des transactions ne reflétant pas la commune intention des parties - Transactions entraînant des impacts fiscaux non prévus - À quelles conditions le tribunal peut-il accepter ou refuser de rectifier l’écrit porteur d’un contrat une fois qu’il a été démontré par la preuve que l’écrit constitue une expression erronée de la commune intention des parties?</w:t>
      </w:r>
    </w:p>
    <w:p w:rsidR="00C809AC" w:rsidRPr="009C2345" w:rsidRDefault="00C809AC" w:rsidP="00C809AC">
      <w:pPr>
        <w:widowControl w:val="0"/>
        <w:jc w:val="both"/>
        <w:rPr>
          <w:sz w:val="20"/>
          <w:szCs w:val="20"/>
          <w:lang w:val="fr-CA"/>
        </w:rPr>
      </w:pPr>
    </w:p>
    <w:p w:rsidR="00C809AC" w:rsidRPr="009C2345" w:rsidRDefault="00C809AC" w:rsidP="00C809AC">
      <w:pPr>
        <w:spacing w:after="160" w:line="259" w:lineRule="auto"/>
        <w:jc w:val="both"/>
        <w:rPr>
          <w:rFonts w:eastAsia="Calibri"/>
          <w:sz w:val="20"/>
          <w:szCs w:val="20"/>
          <w:lang w:val="fr-CA"/>
        </w:rPr>
      </w:pPr>
      <w:r w:rsidRPr="009C2345">
        <w:rPr>
          <w:rFonts w:eastAsia="Calibri"/>
          <w:sz w:val="20"/>
          <w:szCs w:val="20"/>
          <w:lang w:val="fr-CA"/>
        </w:rPr>
        <w:t xml:space="preserve">Suivant l’acquisition d’une chaîne de pharmacies américaines en 2004, l’appelante, Le Groupe Jean Coutu (PJC) inc., fait face à un problème de présentation comptable de son investissement américain en raison de la fluctuation du taux de change entre les dollars canadien et américain. En février 2005, dans le but de régler son problème de couverture de change tout en préservant une neutralité fiscale, elle procède à l’instrumentation d’une série d’opérations qui ont pour effet net de transformer son investissement américain net en une dette nette. Les conséquences fiscales anticipées et acceptées par Le Groupe Jean Coutu (PJC) inc et The Jean Coutu Group (PJC) USA Inc. sont mentionnées dans les écrits instrumentant les opérations. </w:t>
      </w:r>
    </w:p>
    <w:p w:rsidR="00C809AC" w:rsidRPr="009C2345" w:rsidRDefault="00C809AC" w:rsidP="00C809AC">
      <w:pPr>
        <w:spacing w:after="160" w:line="259" w:lineRule="auto"/>
        <w:jc w:val="both"/>
        <w:rPr>
          <w:rFonts w:eastAsia="Calibri"/>
          <w:sz w:val="20"/>
          <w:szCs w:val="20"/>
          <w:lang w:val="fr-CA"/>
        </w:rPr>
      </w:pPr>
      <w:r w:rsidRPr="009C2345">
        <w:rPr>
          <w:rFonts w:eastAsia="Calibri"/>
          <w:sz w:val="20"/>
          <w:szCs w:val="20"/>
          <w:lang w:val="fr-CA"/>
        </w:rPr>
        <w:t xml:space="preserve">En 2010, suivant une vérification fiscale pour les années d’impositions 2005 à 2007, l’Agence du revenu du Canada avise l’appelante que les opérations telles que décrites dans le scénario comptable génèrent des impôts additionnels de l’ordre de 2,2 M $ pour les trois années visées. Les écrits ont pour effet de régler le problème de couverture de change, mais génèrent également une conséquence fiscale n’ayant ni été envisagée ni acceptée par les parties. </w:t>
      </w:r>
    </w:p>
    <w:p w:rsidR="00C809AC" w:rsidRPr="009C2345" w:rsidRDefault="00C809AC" w:rsidP="00C809AC">
      <w:pPr>
        <w:jc w:val="both"/>
        <w:rPr>
          <w:sz w:val="20"/>
          <w:szCs w:val="20"/>
          <w:lang w:val="fr-CA"/>
        </w:rPr>
      </w:pPr>
      <w:r w:rsidRPr="009C2345">
        <w:rPr>
          <w:rFonts w:eastAsia="Calibri"/>
          <w:sz w:val="20"/>
          <w:szCs w:val="20"/>
          <w:lang w:val="fr-CA"/>
        </w:rPr>
        <w:t>Considérant que la commune intention des parties n’est pas correctement reflétée dans les écrits et que son consentement a été vicié, l’appelante s’adresse à la Cour supérieure au moyen d’une requête pour une ordonnance de rectification des livres et registres et pour jugement déclaratoire. The Jean Coutu Group (PJC) USA Inc. consent à la demande de rectification, alors que le Procureur général du Canada s’y oppose, prétendant que les corrections demandées ne respectent pas les conditions donnant ouverture à la rectification.</w:t>
      </w:r>
    </w:p>
    <w:p w:rsidR="00C809AC" w:rsidRPr="009C2345" w:rsidRDefault="0082006E" w:rsidP="000B3C9A">
      <w:pPr>
        <w:tabs>
          <w:tab w:val="left" w:pos="-1440"/>
          <w:tab w:val="left" w:pos="-720"/>
        </w:tabs>
        <w:ind w:left="720" w:hanging="720"/>
        <w:jc w:val="both"/>
        <w:rPr>
          <w:lang w:val="fr-CA"/>
        </w:rPr>
      </w:pPr>
      <w:r>
        <w:rPr>
          <w:sz w:val="20"/>
          <w:szCs w:val="20"/>
          <w:lang w:val="fr-CA"/>
        </w:rPr>
        <w:pict>
          <v:rect id="_x0000_i1105" style="width:2in;height:1pt" o:hrpct="0" o:hralign="center" o:hrstd="t" o:hrnoshade="t" o:hr="t" fillcolor="black [3213]" stroked="f"/>
        </w:pict>
      </w:r>
    </w:p>
    <w:p w:rsidR="00C809AC" w:rsidRPr="009C2345" w:rsidRDefault="00C809AC" w:rsidP="00905E00">
      <w:pPr>
        <w:widowControl w:val="0"/>
        <w:ind w:left="720" w:hanging="720"/>
        <w:jc w:val="both"/>
        <w:rPr>
          <w:b/>
          <w:i/>
          <w:sz w:val="20"/>
          <w:szCs w:val="20"/>
        </w:rPr>
      </w:pPr>
      <w:r w:rsidRPr="009C2345">
        <w:rPr>
          <w:b/>
          <w:sz w:val="20"/>
          <w:szCs w:val="20"/>
        </w:rPr>
        <w:fldChar w:fldCharType="begin"/>
      </w:r>
      <w:r w:rsidRPr="009C2345">
        <w:rPr>
          <w:b/>
          <w:sz w:val="20"/>
          <w:szCs w:val="20"/>
        </w:rPr>
        <w:instrText xml:space="preserve"> SEQ CHAPTER \h \r 1</w:instrText>
      </w:r>
      <w:r w:rsidRPr="009C2345">
        <w:rPr>
          <w:b/>
          <w:sz w:val="20"/>
          <w:szCs w:val="20"/>
        </w:rPr>
        <w:fldChar w:fldCharType="end"/>
      </w:r>
      <w:r w:rsidRPr="009C2345">
        <w:rPr>
          <w:b/>
          <w:sz w:val="20"/>
          <w:szCs w:val="20"/>
        </w:rPr>
        <w:t>36606</w:t>
      </w:r>
      <w:r w:rsidRPr="009C2345">
        <w:rPr>
          <w:sz w:val="20"/>
          <w:szCs w:val="20"/>
        </w:rPr>
        <w:tab/>
      </w:r>
      <w:r w:rsidRPr="009C2345">
        <w:rPr>
          <w:b/>
          <w:i/>
          <w:sz w:val="20"/>
          <w:szCs w:val="20"/>
        </w:rPr>
        <w:t>Attorney General of Canada v. Fairmont Hotels Inc., FHIW Hotel Investments (Canada) Inc. and FHIS Hotel Investments (Canada) Inc.</w:t>
      </w:r>
      <w:r w:rsidR="00905E00" w:rsidRPr="009C2345">
        <w:rPr>
          <w:b/>
          <w:i/>
          <w:sz w:val="20"/>
          <w:szCs w:val="20"/>
        </w:rPr>
        <w:t xml:space="preserve"> </w:t>
      </w:r>
      <w:r w:rsidRPr="009C2345">
        <w:rPr>
          <w:sz w:val="20"/>
          <w:szCs w:val="20"/>
        </w:rPr>
        <w:t>(Ont.) (Civil) (By Leave)</w:t>
      </w:r>
    </w:p>
    <w:p w:rsidR="00C809AC" w:rsidRPr="009C2345" w:rsidRDefault="00C809AC" w:rsidP="00C809AC">
      <w:pPr>
        <w:widowControl w:val="0"/>
        <w:jc w:val="both"/>
        <w:rPr>
          <w:sz w:val="20"/>
          <w:szCs w:val="20"/>
        </w:rPr>
      </w:pPr>
    </w:p>
    <w:p w:rsidR="00C809AC" w:rsidRPr="009C2345" w:rsidRDefault="00C809AC" w:rsidP="00C809AC">
      <w:pPr>
        <w:spacing w:after="160" w:line="259" w:lineRule="auto"/>
        <w:jc w:val="both"/>
        <w:rPr>
          <w:rFonts w:eastAsia="Calibri"/>
          <w:sz w:val="20"/>
          <w:szCs w:val="20"/>
        </w:rPr>
      </w:pPr>
      <w:r w:rsidRPr="009C2345">
        <w:rPr>
          <w:rFonts w:eastAsia="Calibri"/>
          <w:sz w:val="20"/>
          <w:szCs w:val="20"/>
        </w:rPr>
        <w:t>Commercial law - Corporations - Taxation - Rectification of corporate records - Rectification to change documentation relating to internal unilateral share redemption - Whether the equitable remedy of rectification may be used to replace one transaction with another to obtain intended tax consequences.</w:t>
      </w:r>
    </w:p>
    <w:p w:rsidR="00C809AC" w:rsidRPr="009C2345" w:rsidRDefault="00C809AC" w:rsidP="00C809AC">
      <w:pPr>
        <w:jc w:val="both"/>
        <w:rPr>
          <w:sz w:val="20"/>
          <w:szCs w:val="20"/>
        </w:rPr>
      </w:pPr>
      <w:r w:rsidRPr="009C2345">
        <w:rPr>
          <w:sz w:val="20"/>
          <w:szCs w:val="20"/>
        </w:rPr>
        <w:t>The Respondents were involved in the financing of Legacy Hotel’s purchase of two American hotels in return for obtaining management rights. The arrangement resulted in reciprocal loans rendered neutral for accounting purposes and Fairmont’s global operations were acquired and its shares ceased to be publicly traded. As the acquisition would cause Fairmont to realize a deemed foreign exchange loss, the purchasers agreed to a modified plan in which Fairmont realized its accrued foreign exchange gains and losses and allowed its foreign exchange exposure to be hedged. The plan, however, did not address the foreign exchange exposure of the Canadian affiliates. In 2007, Legacy wished to terminate the reciprocal loan arrangements to allow the sale of the hotels. Consequently, the Respondents redeemed their preferred shares under the mistaken assumption that the original arrangement was still in place. The redemptions triggered taxable foreign exchange gains. The transactions were reported as if the original 2006 foreign exchange plan had been implemented. The mistake was learned after the CRA undertook an audit. The Respondents sought the equitable remedy of rectification to change the documentation relating to the share redemption to reflect that the transaction was intended to occur on a tax-free basis without the triggering of a taxable foreign exchange gain.</w:t>
      </w:r>
    </w:p>
    <w:p w:rsidR="00C809AC" w:rsidRPr="009C2345" w:rsidRDefault="00C809AC" w:rsidP="000B3C9A">
      <w:pPr>
        <w:tabs>
          <w:tab w:val="left" w:pos="-1440"/>
          <w:tab w:val="left" w:pos="-720"/>
        </w:tabs>
        <w:ind w:left="720" w:hanging="720"/>
        <w:jc w:val="both"/>
      </w:pPr>
    </w:p>
    <w:p w:rsidR="00C809AC" w:rsidRPr="009C2345" w:rsidRDefault="0082006E" w:rsidP="000B3C9A">
      <w:pPr>
        <w:tabs>
          <w:tab w:val="left" w:pos="-1440"/>
          <w:tab w:val="left" w:pos="-720"/>
        </w:tabs>
        <w:ind w:left="720" w:hanging="720"/>
        <w:jc w:val="both"/>
      </w:pPr>
      <w:r>
        <w:rPr>
          <w:sz w:val="20"/>
          <w:szCs w:val="20"/>
          <w:lang w:val="fr-CA"/>
        </w:rPr>
        <w:pict>
          <v:rect id="_x0000_i1106" style="width:2in;height:1pt" o:hrpct="0" o:hralign="center" o:hrstd="t" o:hrnoshade="t" o:hr="t" fillcolor="black [3213]" stroked="f"/>
        </w:pict>
      </w:r>
    </w:p>
    <w:p w:rsidR="005F263E" w:rsidRDefault="005F263E" w:rsidP="00782AE4">
      <w:pPr>
        <w:jc w:val="both"/>
        <w:rPr>
          <w:sz w:val="20"/>
          <w:szCs w:val="20"/>
        </w:rPr>
      </w:pPr>
    </w:p>
    <w:p w:rsidR="005B47A9" w:rsidRPr="009C2345" w:rsidRDefault="005B47A9" w:rsidP="00782AE4">
      <w:pPr>
        <w:jc w:val="both"/>
        <w:rPr>
          <w:sz w:val="20"/>
          <w:szCs w:val="20"/>
        </w:rPr>
      </w:pPr>
    </w:p>
    <w:p w:rsidR="00C809AC" w:rsidRPr="009C2345" w:rsidRDefault="00C809AC" w:rsidP="00905E00">
      <w:pPr>
        <w:widowControl w:val="0"/>
        <w:ind w:left="720" w:hanging="720"/>
        <w:jc w:val="both"/>
        <w:rPr>
          <w:sz w:val="20"/>
          <w:szCs w:val="20"/>
          <w:lang w:val="fr-CA"/>
        </w:rPr>
      </w:pPr>
      <w:r w:rsidRPr="009C2345">
        <w:rPr>
          <w:b/>
          <w:sz w:val="20"/>
          <w:szCs w:val="20"/>
        </w:rPr>
        <w:fldChar w:fldCharType="begin"/>
      </w:r>
      <w:r w:rsidRPr="009C2345">
        <w:rPr>
          <w:b/>
          <w:sz w:val="20"/>
          <w:szCs w:val="20"/>
          <w:lang w:val="fr-CA"/>
        </w:rPr>
        <w:instrText xml:space="preserve"> SEQ CHAPTER \h \r 1</w:instrText>
      </w:r>
      <w:r w:rsidRPr="009C2345">
        <w:rPr>
          <w:b/>
          <w:sz w:val="20"/>
          <w:szCs w:val="20"/>
          <w:lang w:val="en-US"/>
        </w:rPr>
        <w:fldChar w:fldCharType="end"/>
      </w:r>
      <w:r w:rsidRPr="009C2345">
        <w:rPr>
          <w:b/>
          <w:sz w:val="20"/>
          <w:szCs w:val="20"/>
          <w:lang w:val="fr-CA"/>
        </w:rPr>
        <w:t>36606</w:t>
      </w:r>
      <w:r w:rsidRPr="009C2345">
        <w:rPr>
          <w:sz w:val="20"/>
          <w:szCs w:val="20"/>
          <w:lang w:val="fr-CA"/>
        </w:rPr>
        <w:tab/>
      </w:r>
      <w:r w:rsidRPr="009C2345">
        <w:rPr>
          <w:b/>
          <w:i/>
          <w:sz w:val="20"/>
          <w:szCs w:val="20"/>
          <w:lang w:val="fr-CA"/>
        </w:rPr>
        <w:t>Procureur général du Canada c. Fairmont Hotels Inc., FHIW Hotel Investments (Canada) Inc. et FHIS Hotel Investments (Canada) Inc.</w:t>
      </w:r>
      <w:r w:rsidR="00905E00" w:rsidRPr="009C2345">
        <w:rPr>
          <w:b/>
          <w:i/>
          <w:sz w:val="20"/>
          <w:szCs w:val="20"/>
          <w:lang w:val="fr-CA"/>
        </w:rPr>
        <w:t xml:space="preserve"> </w:t>
      </w:r>
      <w:r w:rsidR="00905E00" w:rsidRPr="009C2345">
        <w:rPr>
          <w:b/>
          <w:sz w:val="20"/>
          <w:szCs w:val="20"/>
          <w:lang w:val="fr-CA"/>
        </w:rPr>
        <w:t>(</w:t>
      </w:r>
      <w:r w:rsidRPr="009C2345">
        <w:rPr>
          <w:sz w:val="20"/>
          <w:szCs w:val="20"/>
          <w:lang w:val="fr-CA"/>
        </w:rPr>
        <w:t>Ont.) (Civile) (Sur autorisation)</w:t>
      </w:r>
    </w:p>
    <w:p w:rsidR="00C809AC" w:rsidRPr="009C2345" w:rsidRDefault="00C809AC" w:rsidP="00C809AC">
      <w:pPr>
        <w:widowControl w:val="0"/>
        <w:jc w:val="both"/>
        <w:rPr>
          <w:sz w:val="20"/>
          <w:szCs w:val="20"/>
          <w:lang w:val="fr-CA"/>
        </w:rPr>
      </w:pPr>
    </w:p>
    <w:p w:rsidR="00C809AC" w:rsidRPr="009C2345" w:rsidRDefault="00C809AC" w:rsidP="00C809AC">
      <w:pPr>
        <w:spacing w:after="160" w:line="256" w:lineRule="auto"/>
        <w:jc w:val="both"/>
        <w:rPr>
          <w:rFonts w:eastAsia="Calibri"/>
          <w:sz w:val="20"/>
          <w:szCs w:val="20"/>
          <w:lang w:val="fr-CA"/>
        </w:rPr>
      </w:pPr>
      <w:r w:rsidRPr="009C2345">
        <w:rPr>
          <w:rFonts w:eastAsia="Calibri"/>
          <w:sz w:val="20"/>
          <w:szCs w:val="20"/>
          <w:lang w:val="fr-CA"/>
        </w:rPr>
        <w:t>Droit commercial - Sociétés par actions - Droit fiscal - Rectification de documents d’entreprise - Rectification effectuée pour modifier des documents relatifs au rachat unilatéral interne d’actions - La réparation en equity que constitue la rectification peut-elle être utilisée pour remplacer une opération par une autre afin d’obtenir les conséquences fiscales voulues?</w:t>
      </w:r>
    </w:p>
    <w:p w:rsidR="00C809AC" w:rsidRPr="009C2345" w:rsidRDefault="00C809AC" w:rsidP="00C809AC">
      <w:pPr>
        <w:jc w:val="both"/>
        <w:rPr>
          <w:rFonts w:eastAsia="Times New Roman"/>
          <w:sz w:val="20"/>
          <w:szCs w:val="20"/>
          <w:lang w:val="fr-CA" w:eastAsia="en-CA"/>
        </w:rPr>
      </w:pPr>
      <w:r w:rsidRPr="009C2345">
        <w:rPr>
          <w:sz w:val="20"/>
          <w:szCs w:val="20"/>
          <w:lang w:val="fr-CA"/>
        </w:rPr>
        <w:t>Les intimées ont participé au financement de l’achat, par Legacy Hotel, de deux hôtels américains en contrepartie de droits de gestion. Le montage financier a donné lieu à des prêts réciproques rendus neutres sur le plan fiscal, les opérations mondiales de Fairmont ont été acquises et ses actions ont cessé d’être négociées sur le marché. Puisque l’acquisition amènerait Fairmont à réaliser une perte sur change présumée, les acquéreurs ont accepté un projet modifié par lequel Fairmont réalisait ses gains et pertes sur change accumulés et qui permettait la couverture de sa position de change. Toutefois, le projet ne traitait pas la position de change des membres canadiens du groupe. En 2007, Legacy a voulu résilier les montages financiers réciproques pour permettre la vente des hôtels. En conséquence, les intimées ont racheté leurs actions privilégiées en présumant à tort que le montage initial était toujours en vigueur. Les rachats ont engendré des gains sur change imposables. Les opérations ont été déclarées comme si le projet de change initial de 2006 avait été mis en œuvre. L’erreur a été découverte après une vérification de l’ARC. Les intimées ont sollicité la réparation en equity que constitue la rectification pour modifier les documents relatifs au rachat des actions pour refléter que l’opération était censée se produire en franchise d’impôt, sans engendrer de gain sur change imposable.</w:t>
      </w:r>
    </w:p>
    <w:p w:rsidR="00C809AC" w:rsidRPr="009C2345" w:rsidRDefault="00C809AC" w:rsidP="00782AE4">
      <w:pPr>
        <w:jc w:val="both"/>
        <w:rPr>
          <w:sz w:val="20"/>
          <w:szCs w:val="20"/>
          <w:lang w:val="fr-CA"/>
        </w:rPr>
      </w:pPr>
    </w:p>
    <w:p w:rsidR="00C809AC" w:rsidRPr="009C2345" w:rsidRDefault="0082006E" w:rsidP="00782AE4">
      <w:pPr>
        <w:jc w:val="both"/>
        <w:rPr>
          <w:sz w:val="20"/>
          <w:szCs w:val="20"/>
          <w:lang w:val="fr-CA"/>
        </w:rPr>
      </w:pPr>
      <w:r>
        <w:rPr>
          <w:sz w:val="20"/>
          <w:szCs w:val="20"/>
          <w:lang w:val="fr-CA"/>
        </w:rPr>
        <w:pict>
          <v:rect id="_x0000_i1107" style="width:2in;height:1pt" o:hrpct="0" o:hralign="center" o:hrstd="t" o:hrnoshade="t" o:hr="t" fillcolor="black [3213]" stroked="f"/>
        </w:pict>
      </w:r>
    </w:p>
    <w:p w:rsidR="00C809AC" w:rsidRPr="009C2345" w:rsidRDefault="00C809AC">
      <w:pPr>
        <w:rPr>
          <w:sz w:val="20"/>
          <w:szCs w:val="20"/>
          <w:lang w:val="fr-CA"/>
        </w:rPr>
      </w:pPr>
      <w:r w:rsidRPr="009C2345">
        <w:rPr>
          <w:sz w:val="20"/>
          <w:szCs w:val="20"/>
          <w:lang w:val="fr-CA"/>
        </w:rPr>
        <w:br w:type="page"/>
      </w:r>
    </w:p>
    <w:p w:rsidR="00C809AC" w:rsidRPr="009C2345" w:rsidRDefault="00C809AC" w:rsidP="00C809AC">
      <w:pPr>
        <w:widowControl w:val="0"/>
        <w:ind w:left="720" w:hanging="720"/>
        <w:jc w:val="both"/>
        <w:rPr>
          <w:sz w:val="20"/>
          <w:szCs w:val="20"/>
        </w:rPr>
      </w:pPr>
      <w:r w:rsidRPr="009C2345">
        <w:rPr>
          <w:b/>
          <w:sz w:val="20"/>
          <w:szCs w:val="20"/>
        </w:rPr>
        <w:fldChar w:fldCharType="begin"/>
      </w:r>
      <w:r w:rsidRPr="009C2345">
        <w:rPr>
          <w:b/>
          <w:sz w:val="20"/>
          <w:szCs w:val="20"/>
        </w:rPr>
        <w:instrText xml:space="preserve"> SEQ CHAPTER \h \r 1</w:instrText>
      </w:r>
      <w:r w:rsidRPr="009C2345">
        <w:rPr>
          <w:b/>
          <w:sz w:val="20"/>
          <w:szCs w:val="20"/>
        </w:rPr>
        <w:fldChar w:fldCharType="end"/>
      </w:r>
      <w:r w:rsidRPr="009C2345">
        <w:rPr>
          <w:b/>
          <w:sz w:val="20"/>
          <w:szCs w:val="20"/>
        </w:rPr>
        <w:t>35843</w:t>
      </w:r>
      <w:r w:rsidRPr="009C2345">
        <w:rPr>
          <w:sz w:val="20"/>
          <w:szCs w:val="20"/>
        </w:rPr>
        <w:tab/>
      </w:r>
      <w:r w:rsidRPr="009C2345">
        <w:rPr>
          <w:b/>
          <w:i/>
          <w:sz w:val="20"/>
          <w:szCs w:val="20"/>
        </w:rPr>
        <w:t xml:space="preserve">Anita Endean, as representative plaintiff v. Her Majesty the Queen in Right of the Province of British Columbia and Attorney General of Canada </w:t>
      </w:r>
      <w:r w:rsidRPr="009C2345">
        <w:rPr>
          <w:sz w:val="20"/>
          <w:szCs w:val="20"/>
        </w:rPr>
        <w:t>(B.C.) (Civil) (By Leave)</w:t>
      </w:r>
    </w:p>
    <w:p w:rsidR="00C809AC" w:rsidRPr="009C2345" w:rsidRDefault="00C809AC" w:rsidP="00C809AC">
      <w:pPr>
        <w:widowControl w:val="0"/>
        <w:jc w:val="both"/>
        <w:rPr>
          <w:sz w:val="20"/>
          <w:szCs w:val="20"/>
        </w:rPr>
      </w:pPr>
    </w:p>
    <w:p w:rsidR="00C809AC" w:rsidRPr="009C2345" w:rsidRDefault="00C809AC" w:rsidP="00C809AC">
      <w:pPr>
        <w:jc w:val="both"/>
        <w:rPr>
          <w:sz w:val="20"/>
          <w:szCs w:val="20"/>
        </w:rPr>
      </w:pPr>
      <w:r w:rsidRPr="009C2345">
        <w:rPr>
          <w:sz w:val="20"/>
          <w:szCs w:val="20"/>
        </w:rPr>
        <w:t>Courts - Jurisdiction - Provincial and territorial superior courts - Civil procedure - Class actions - National settlement agreement to class actions assigning supervisory role over settlement to superior court judges in Quebec, Ontario and British Columbia - Class counsel for representative plaintiffs in these three provinces applying for directions from their respective courts on whether applications under settlement agreement can be heard simultaneously by supervisory judges in a fourth province - Whether there is a prohibition against a superior court judge sitting outside his or her province to hear an application - Whether it is within the inherent jurisdiction of the court to sit outside the home province to hear an application - If yes, whether it is necessary to have a video or other electronic link from the place of sitting to an open courtroom in the home province - If the court has the discretion to sit outside its boundaries, what factors should it consider when exercising this discretion - Whether the three superior court judges erred in determining they had jurisdiction to sit together in Alberta to hear the applications at issue in this case.</w:t>
      </w:r>
    </w:p>
    <w:p w:rsidR="00C809AC" w:rsidRPr="009C2345" w:rsidRDefault="00C809AC" w:rsidP="00C809AC">
      <w:pPr>
        <w:jc w:val="both"/>
        <w:rPr>
          <w:sz w:val="20"/>
          <w:szCs w:val="20"/>
        </w:rPr>
      </w:pPr>
    </w:p>
    <w:p w:rsidR="00C809AC" w:rsidRPr="009C2345" w:rsidRDefault="00C809AC" w:rsidP="00C809AC">
      <w:pPr>
        <w:jc w:val="both"/>
        <w:rPr>
          <w:sz w:val="20"/>
          <w:szCs w:val="20"/>
        </w:rPr>
      </w:pPr>
      <w:r w:rsidRPr="009C2345">
        <w:rPr>
          <w:sz w:val="20"/>
          <w:szCs w:val="20"/>
        </w:rPr>
        <w:t>In the context of the national Hepatitis C class action, the settlement agreement assigns a supervisory role to superior court judges in Ontario, British Columbia and Quebec. It also provides that although each of the three courts is to exercise an independent supervisory power over the settlement within its own jurisdiction, any order by a court only takes effect once there are materially identical orders of the other two courts. In 2012, contested motions were brought by class action counsel in each of the three provinces pursuant to the settlement agreement. Class counsel in each province proposed that the most efficient and effective procedure for adjudicating the motions would be for the three supervisory judges to sit together in one location. The Attorneys General of the three provinces objected to the judges of their provinces sitting outside the territorial boundaries of their provinces. Class action counsel therefore brought applications for directions in their respective province for a determination on the jurisdictional issue.</w:t>
      </w:r>
    </w:p>
    <w:p w:rsidR="00C809AC" w:rsidRPr="009C2345" w:rsidRDefault="00C809AC" w:rsidP="00C809AC">
      <w:pPr>
        <w:jc w:val="both"/>
        <w:rPr>
          <w:sz w:val="20"/>
          <w:szCs w:val="20"/>
        </w:rPr>
      </w:pPr>
    </w:p>
    <w:p w:rsidR="00C809AC" w:rsidRPr="009C2345" w:rsidRDefault="00C809AC" w:rsidP="00C809AC">
      <w:pPr>
        <w:jc w:val="both"/>
        <w:rPr>
          <w:sz w:val="20"/>
          <w:szCs w:val="20"/>
        </w:rPr>
      </w:pPr>
      <w:r w:rsidRPr="009C2345">
        <w:rPr>
          <w:sz w:val="20"/>
          <w:szCs w:val="20"/>
        </w:rPr>
        <w:t xml:space="preserve">In British Columbia, the British Columbia Supreme Court held that it was appropriate in this case to hear the underlying motion in a location outside British Columbia alongside the other two supervisory judges. The court was of the view that this would be an exercise of the court’s jurisdiction for its territory over persons and a subject matter within its jurisdiction. It was also of the view that the general considerations set out in the British Columbia </w:t>
      </w:r>
      <w:r w:rsidRPr="009C2345">
        <w:rPr>
          <w:i/>
          <w:sz w:val="20"/>
          <w:szCs w:val="20"/>
        </w:rPr>
        <w:t>Supreme Court Civil Rules</w:t>
      </w:r>
      <w:r w:rsidRPr="009C2345">
        <w:rPr>
          <w:sz w:val="20"/>
          <w:szCs w:val="20"/>
        </w:rPr>
        <w:t xml:space="preserve"> and the purpose and objects of class proceedings legislation were well served by this determination. The British Columbia Court of Appeal allowed the Province’s appeal. It concluded that British Columbia judges cannot conduct hearings that take place outside of the province. It held, however, that there was no objection to a judge who is not personally present in the province conducting a hearing taking place in a British Columbia courtroom by telephone, videoconference or other medium. It stated that in the context of these proceedings, a judge of the British Columbia Supreme Court had the discretion to sit outside the province with his or her counterparts to hear concurrent applications under the settlement agreement, but that the hearing of the application in the British Columbia proceeding must be conducted in a British Columbia courtroom, although the judge may actually be present from a location outside of the province.</w:t>
      </w:r>
    </w:p>
    <w:p w:rsidR="00C809AC" w:rsidRPr="009C2345" w:rsidRDefault="00C809AC" w:rsidP="00782AE4">
      <w:pPr>
        <w:jc w:val="both"/>
        <w:rPr>
          <w:sz w:val="20"/>
          <w:szCs w:val="20"/>
        </w:rPr>
      </w:pPr>
    </w:p>
    <w:p w:rsidR="00C809AC" w:rsidRPr="009C2345" w:rsidRDefault="0082006E" w:rsidP="00782AE4">
      <w:pPr>
        <w:jc w:val="both"/>
        <w:rPr>
          <w:sz w:val="20"/>
          <w:szCs w:val="20"/>
        </w:rPr>
      </w:pPr>
      <w:r>
        <w:rPr>
          <w:sz w:val="20"/>
          <w:szCs w:val="20"/>
          <w:lang w:val="fr-CA"/>
        </w:rPr>
        <w:pict>
          <v:rect id="_x0000_i1108" style="width:2in;height:1pt" o:hrpct="0" o:hralign="center" o:hrstd="t" o:hrnoshade="t" o:hr="t" fillcolor="black [3213]" stroked="f"/>
        </w:pict>
      </w:r>
    </w:p>
    <w:p w:rsidR="00C809AC" w:rsidRPr="009C2345" w:rsidRDefault="00C809AC" w:rsidP="00782AE4">
      <w:pPr>
        <w:jc w:val="both"/>
        <w:rPr>
          <w:sz w:val="20"/>
          <w:szCs w:val="20"/>
        </w:rPr>
      </w:pPr>
    </w:p>
    <w:p w:rsidR="00905E00" w:rsidRPr="009C2345" w:rsidRDefault="00905E00">
      <w:pPr>
        <w:rPr>
          <w:sz w:val="20"/>
          <w:szCs w:val="20"/>
        </w:rPr>
      </w:pPr>
      <w:r w:rsidRPr="009C2345">
        <w:rPr>
          <w:sz w:val="20"/>
          <w:szCs w:val="20"/>
        </w:rPr>
        <w:br w:type="page"/>
      </w:r>
    </w:p>
    <w:p w:rsidR="00905E00" w:rsidRPr="009C2345" w:rsidRDefault="00905E00" w:rsidP="00905E00">
      <w:pPr>
        <w:widowControl w:val="0"/>
        <w:ind w:left="720" w:hanging="720"/>
        <w:jc w:val="both"/>
        <w:rPr>
          <w:sz w:val="20"/>
          <w:szCs w:val="20"/>
          <w:lang w:val="fr-CA"/>
        </w:rPr>
      </w:pPr>
      <w:r w:rsidRPr="009C2345">
        <w:rPr>
          <w:b/>
          <w:sz w:val="20"/>
          <w:szCs w:val="20"/>
          <w:lang w:val="fr-CA"/>
        </w:rPr>
        <w:fldChar w:fldCharType="begin"/>
      </w:r>
      <w:r w:rsidRPr="009C2345">
        <w:rPr>
          <w:b/>
          <w:sz w:val="20"/>
          <w:szCs w:val="20"/>
          <w:lang w:val="fr-CA"/>
        </w:rPr>
        <w:instrText xml:space="preserve"> SEQ CHAPTER \h \r 1</w:instrText>
      </w:r>
      <w:r w:rsidRPr="009C2345">
        <w:rPr>
          <w:b/>
          <w:sz w:val="20"/>
          <w:szCs w:val="20"/>
          <w:lang w:val="fr-CA"/>
        </w:rPr>
        <w:fldChar w:fldCharType="end"/>
      </w:r>
      <w:r w:rsidRPr="009C2345">
        <w:rPr>
          <w:b/>
          <w:sz w:val="20"/>
          <w:szCs w:val="20"/>
          <w:lang w:val="fr-CA"/>
        </w:rPr>
        <w:t>35843</w:t>
      </w:r>
      <w:r w:rsidRPr="009C2345">
        <w:rPr>
          <w:sz w:val="20"/>
          <w:szCs w:val="20"/>
          <w:lang w:val="fr-CA"/>
        </w:rPr>
        <w:tab/>
      </w:r>
      <w:r w:rsidRPr="009C2345">
        <w:rPr>
          <w:b/>
          <w:i/>
          <w:sz w:val="20"/>
          <w:szCs w:val="20"/>
          <w:lang w:val="fr-CA"/>
        </w:rPr>
        <w:t xml:space="preserve">Anita Endean, en sa qualité de représentante des demandeurs c. Sa Majesté la Reine du chef de la Colombie-Britannique et procureur général du Canada </w:t>
      </w:r>
      <w:r w:rsidRPr="009C2345">
        <w:rPr>
          <w:sz w:val="20"/>
          <w:szCs w:val="20"/>
          <w:lang w:val="fr-CA"/>
        </w:rPr>
        <w:t>(C.-B.) (Civile) (Sur autorisation)</w:t>
      </w:r>
    </w:p>
    <w:p w:rsidR="00905E00" w:rsidRPr="009C2345" w:rsidRDefault="00905E00" w:rsidP="00905E00">
      <w:pPr>
        <w:widowControl w:val="0"/>
        <w:jc w:val="both"/>
        <w:rPr>
          <w:sz w:val="20"/>
          <w:szCs w:val="20"/>
          <w:lang w:val="fr-CA"/>
        </w:rPr>
      </w:pPr>
    </w:p>
    <w:p w:rsidR="00905E00" w:rsidRPr="009C2345" w:rsidRDefault="00905E00" w:rsidP="00905E00">
      <w:pPr>
        <w:jc w:val="both"/>
        <w:rPr>
          <w:sz w:val="20"/>
          <w:szCs w:val="20"/>
          <w:lang w:val="fr-CA"/>
        </w:rPr>
      </w:pPr>
      <w:r w:rsidRPr="009C2345">
        <w:rPr>
          <w:sz w:val="20"/>
          <w:szCs w:val="20"/>
          <w:lang w:val="fr-CA"/>
        </w:rPr>
        <w:t>Tribunaux - Compétence - Cours supérieures provinciales et territoriales - Procédure civile - Recours collectifs - Une convention nationale de règlement de recours collectifs attribue aux juges des cours supérieures au Québec, en Ontario et en Colombie-Britannique un rôle de supervision du règlement - Dans chacune de ces trois provinces, les avocats du groupe, agissant pour les représentants des demandeurs, ont demandé aux cours respectives de leur donner des directives sur la question de savoir si des demandes faites en application de la convention de règlement pouvaient être entendues simultanément par des juges superviseurs dans une quatrième province - Est-il interdit à un juge d’une cour supérieure de siéger à l’extérieur de sa province pour instruire une demande? - La cour a-t-elle la compétence inhérente pour siéger à l’extérieur de la province d’origine pour instruire une demande? - Dans l’affirmative, faut-il qu’il y ait un lien vidéo ou un autre lien électronique reliant l’endroit où siège le juge à une salle d’audience publique dans la province d’origine? - Si la cour a le pouvoir discrétionnaire de siéger à l’extérieur des limites de sa province, quels facteurs doit-elle prendre en considération dans l’exercice de ce pouvoir? - Les trois juges des cours supérieures ont-ils eu tort de conclure qu’ils avaient compétence pour siéger ensemble en Alberta pour instruire les demandes en l’espèce?</w:t>
      </w:r>
    </w:p>
    <w:p w:rsidR="00905E00" w:rsidRPr="009C2345" w:rsidRDefault="00905E00" w:rsidP="00905E00">
      <w:pPr>
        <w:jc w:val="both"/>
        <w:rPr>
          <w:sz w:val="20"/>
          <w:szCs w:val="20"/>
          <w:lang w:val="fr-CA"/>
        </w:rPr>
      </w:pPr>
    </w:p>
    <w:p w:rsidR="00905E00" w:rsidRPr="009C2345" w:rsidRDefault="00905E00" w:rsidP="00905E00">
      <w:pPr>
        <w:jc w:val="both"/>
        <w:rPr>
          <w:sz w:val="20"/>
          <w:szCs w:val="20"/>
          <w:lang w:val="fr-CA"/>
        </w:rPr>
      </w:pPr>
      <w:r w:rsidRPr="009C2345">
        <w:rPr>
          <w:sz w:val="20"/>
          <w:szCs w:val="20"/>
          <w:lang w:val="fr-CA"/>
        </w:rPr>
        <w:t>Dans le cadre du recours collectif national relatif à l’hépatite C, la convention de règlement attribue un rôle de supervision aux juges des cours supérieures en Ontario, en Colombie-Britannique et au Québec. Le règlement prévoit également que même si chacune des trois cours doit exercer un pouvoir de supervision indépendant à l’égard du règlement à l’intérieur de son propre ressort, l’ordonnance d’une cour ne prend effet que lorsque les deux autres cours ont rendu des ordonnances identiques quant au fond. En 2012, les avocats du groupe ont présenté des requêtes contestées dans chacune des trois provinces en application de la convention de règlement. Les avocats du groupe dans chacune des provinces ont proposé que la procédure la plus efficiente et efficace pour trancher les requêtes serait que les trois juges superviseurs siègent ensemble à un seul endroit. Les procureurs généraux des trois provinces se sont opposés à ce que des juges de leurs provinces siègent à l’extérieur des limites territoriales de leurs provinces. Les avocats du groupe ont donc présenté des demandes en vue d’obtenir des directives dans leurs provinces respectives pour qu’il soit statué sur la question de la compétence.</w:t>
      </w:r>
    </w:p>
    <w:p w:rsidR="00905E00" w:rsidRPr="009C2345" w:rsidRDefault="00905E00" w:rsidP="00905E00">
      <w:pPr>
        <w:jc w:val="both"/>
        <w:rPr>
          <w:sz w:val="20"/>
          <w:szCs w:val="20"/>
          <w:lang w:val="fr-CA"/>
        </w:rPr>
      </w:pPr>
    </w:p>
    <w:p w:rsidR="00905E00" w:rsidRPr="009C2345" w:rsidRDefault="00905E00" w:rsidP="00905E00">
      <w:pPr>
        <w:jc w:val="both"/>
        <w:rPr>
          <w:sz w:val="20"/>
          <w:szCs w:val="20"/>
          <w:lang w:val="fr-CA"/>
        </w:rPr>
      </w:pPr>
      <w:r w:rsidRPr="009C2345">
        <w:rPr>
          <w:sz w:val="20"/>
          <w:szCs w:val="20"/>
          <w:lang w:val="fr-CA"/>
        </w:rPr>
        <w:t xml:space="preserve">En Colombie-Britannique, la Cour suprême de la Colombie-Britannique a statué qu’en l’espèce, il était approprié d’instruire la requête sous-jacente à un endroit à l’extérieur de la Colombie-Britannique avec deux autres juges superviseurs. La Cour était d’avis qu’il s’agirait là de l’exercice de sa compétence, pour son territoire, à l’égard de personnes et de matières qui relevaient de sa compétence. La Cour était également d’avis que cette décision respectait les considérations générales énoncées dans les </w:t>
      </w:r>
      <w:r w:rsidRPr="009C2345">
        <w:rPr>
          <w:i/>
          <w:sz w:val="20"/>
          <w:szCs w:val="20"/>
          <w:lang w:val="fr-CA"/>
        </w:rPr>
        <w:t>Supreme Court Civil Rules</w:t>
      </w:r>
      <w:r w:rsidRPr="009C2345">
        <w:rPr>
          <w:sz w:val="20"/>
          <w:szCs w:val="20"/>
          <w:lang w:val="fr-CA"/>
        </w:rPr>
        <w:t xml:space="preserve"> de la Colombie-Britannique de même que le but et les objets de la législation sur les recours collectifs. La Cour d’appel de la Colombie-Britannique a accueilli l’appel de la Province. Elle a conclu que les juges de la Colombie-Britannique ne pouvaient pas présider des audiences ayant lieu à l’extérieur de la province. Toutefois, la Cour d’appel a statué que rien n’empêchait un juge qui ne se trouvait pas personnellement dans la province de présider une audience qui avait lieu en Colombie-Britannique par téléphone, vidéoconférence ou d’autres moyens. La Cour d’appel a affirmé qu’en l’espèce, le juge de la Cour suprême de la Colombie-Britannique avait le pouvoir discrétionnaire de siéger à l’extérieur de la province avec ses homologues pour entendre des demandes concurrentes en application de la convention de règlement, mais que l’instruction de la demande dans l’instance de la Colombie-Britannique devait avoir lieu dans une salle d’audience de la Colombie-Britannique, même si le juge pouvait se trouver à un endroit à l’extérieur de la province.</w:t>
      </w:r>
    </w:p>
    <w:p w:rsidR="00C809AC" w:rsidRPr="009C2345" w:rsidRDefault="00C809AC" w:rsidP="00782AE4">
      <w:pPr>
        <w:jc w:val="both"/>
        <w:rPr>
          <w:sz w:val="20"/>
          <w:szCs w:val="20"/>
          <w:lang w:val="fr-CA"/>
        </w:rPr>
      </w:pPr>
    </w:p>
    <w:p w:rsidR="00905E00" w:rsidRPr="009C2345" w:rsidRDefault="0082006E" w:rsidP="00782AE4">
      <w:pPr>
        <w:jc w:val="both"/>
        <w:rPr>
          <w:sz w:val="20"/>
          <w:szCs w:val="20"/>
          <w:lang w:val="fr-CA"/>
        </w:rPr>
      </w:pPr>
      <w:r>
        <w:rPr>
          <w:sz w:val="20"/>
          <w:szCs w:val="20"/>
          <w:lang w:val="fr-CA"/>
        </w:rPr>
        <w:pict>
          <v:rect id="_x0000_i1109" style="width:2in;height:1pt" o:hrpct="0" o:hralign="center" o:hrstd="t" o:hrnoshade="t" o:hr="t" fillcolor="black [3213]" stroked="f"/>
        </w:pict>
      </w:r>
    </w:p>
    <w:p w:rsidR="00905E00" w:rsidRPr="009C2345" w:rsidRDefault="00905E00">
      <w:pPr>
        <w:rPr>
          <w:sz w:val="20"/>
          <w:szCs w:val="20"/>
          <w:lang w:val="fr-CA"/>
        </w:rPr>
      </w:pPr>
      <w:r w:rsidRPr="009C2345">
        <w:rPr>
          <w:sz w:val="20"/>
          <w:szCs w:val="20"/>
          <w:lang w:val="fr-CA"/>
        </w:rPr>
        <w:br w:type="page"/>
      </w:r>
    </w:p>
    <w:p w:rsidR="00905E00" w:rsidRPr="009C2345" w:rsidRDefault="00905E00" w:rsidP="00905E00">
      <w:pPr>
        <w:widowControl w:val="0"/>
        <w:tabs>
          <w:tab w:val="left" w:pos="540"/>
        </w:tabs>
        <w:ind w:left="720" w:hanging="720"/>
        <w:jc w:val="both"/>
        <w:rPr>
          <w:sz w:val="20"/>
          <w:szCs w:val="20"/>
        </w:rPr>
      </w:pPr>
      <w:r w:rsidRPr="009C2345">
        <w:rPr>
          <w:b/>
          <w:sz w:val="20"/>
          <w:szCs w:val="20"/>
        </w:rPr>
        <w:fldChar w:fldCharType="begin"/>
      </w:r>
      <w:r w:rsidRPr="009C2345">
        <w:rPr>
          <w:b/>
          <w:sz w:val="20"/>
          <w:szCs w:val="20"/>
        </w:rPr>
        <w:instrText xml:space="preserve"> SEQ CHAPTER \h \r 1</w:instrText>
      </w:r>
      <w:r w:rsidRPr="009C2345">
        <w:rPr>
          <w:b/>
          <w:sz w:val="20"/>
          <w:szCs w:val="20"/>
        </w:rPr>
        <w:fldChar w:fldCharType="end"/>
      </w:r>
      <w:r w:rsidRPr="009C2345">
        <w:rPr>
          <w:b/>
          <w:sz w:val="20"/>
          <w:szCs w:val="20"/>
        </w:rPr>
        <w:t>36456</w:t>
      </w:r>
      <w:r w:rsidRPr="009C2345">
        <w:rPr>
          <w:sz w:val="20"/>
          <w:szCs w:val="20"/>
        </w:rPr>
        <w:tab/>
      </w:r>
      <w:r w:rsidR="004D1F87" w:rsidRPr="009C2345">
        <w:rPr>
          <w:sz w:val="20"/>
          <w:szCs w:val="20"/>
        </w:rPr>
        <w:tab/>
      </w:r>
      <w:r w:rsidRPr="009C2345">
        <w:rPr>
          <w:b/>
          <w:i/>
          <w:sz w:val="20"/>
          <w:szCs w:val="20"/>
        </w:rPr>
        <w:t xml:space="preserve">Dianna Louise Parsons, Michael Herbert Cruickshanks, David Tull, Martin Henry Griffen, Anna Kardish, Elsie Kotyk, Executrix of the Estate of Harry Kotyk, deceased and Elsie Kotyk, personally v. Her Majesty the Queen in Right of Ontario, Attorney General of Canada, Canadian Red Cross Society and Fund Counsel - and between - Her Majesty the Queen in Right of Ontario v. Dianna Louise Parsons, Michael Herbert Cruickshanks, David Tull, Martin Henry Griffen, Anna Kardish, Elsie Kotyk, Executrix of the Estate of Harry Kotyk, deceased and Elsie Kotyk, personally </w:t>
      </w:r>
      <w:r w:rsidRPr="009C2345">
        <w:rPr>
          <w:sz w:val="20"/>
          <w:szCs w:val="20"/>
        </w:rPr>
        <w:t>(Ont.) (Civil) (By Leave)</w:t>
      </w:r>
    </w:p>
    <w:p w:rsidR="00905E00" w:rsidRPr="009C2345" w:rsidRDefault="00905E00" w:rsidP="00905E00">
      <w:pPr>
        <w:widowControl w:val="0"/>
        <w:jc w:val="both"/>
        <w:rPr>
          <w:sz w:val="20"/>
          <w:szCs w:val="20"/>
        </w:rPr>
      </w:pPr>
    </w:p>
    <w:p w:rsidR="00905E00" w:rsidRPr="009C2345" w:rsidRDefault="00905E00" w:rsidP="00905E00">
      <w:pPr>
        <w:jc w:val="both"/>
        <w:rPr>
          <w:sz w:val="20"/>
          <w:szCs w:val="20"/>
        </w:rPr>
      </w:pPr>
      <w:r w:rsidRPr="009C2345">
        <w:rPr>
          <w:sz w:val="20"/>
          <w:szCs w:val="20"/>
        </w:rPr>
        <w:t xml:space="preserve">Courts - Jurisdiction - Provincial and territorial superior courts - Civil procedure - Class actions - National settlement agreement to class actions assigning supervisory role over settlement to superior court judges in Quebec, Ontario and British Columbia - Class counsel for representative plaintiffs in these three provinces applying for directions from their respective courts on whether applications under settlement agreement can be heard simultaneously by supervisory judges in a fourth province - Whether the authority to hold an out-of-province hearing arises from the inherent jurisdiction of the superior court to control and regulate its own process, or from the ability to conduct a hearing by video-conference under Rule 1.08 of the Ontario </w:t>
      </w:r>
      <w:r w:rsidRPr="009C2345">
        <w:rPr>
          <w:i/>
          <w:sz w:val="20"/>
          <w:szCs w:val="20"/>
        </w:rPr>
        <w:t>Rules of Civil Procedure</w:t>
      </w:r>
      <w:r w:rsidRPr="009C2345">
        <w:rPr>
          <w:sz w:val="20"/>
          <w:szCs w:val="20"/>
        </w:rPr>
        <w:t xml:space="preserve"> - Whether the open court principle requires that every out-of-province hearing be video-linked to an open courtroom in Ontario, or whether the need for a video-link is a discretionary decision to be dealt with on a case-by-case basis - Whether absent comprehensive legislation governing national class actions, the courts charged with managing these proceedings are entitled to fill the legislative void by the exercise of their inherent power to do what is necessary, unless limited by statute or regulation, to resolve disputes brought before them in a fair and efficient manner.</w:t>
      </w:r>
    </w:p>
    <w:p w:rsidR="00905E00" w:rsidRPr="009C2345" w:rsidRDefault="00905E00" w:rsidP="00905E00">
      <w:pPr>
        <w:widowControl w:val="0"/>
        <w:jc w:val="both"/>
        <w:rPr>
          <w:sz w:val="20"/>
          <w:szCs w:val="20"/>
        </w:rPr>
      </w:pPr>
    </w:p>
    <w:p w:rsidR="00905E00" w:rsidRPr="009C2345" w:rsidRDefault="00905E00" w:rsidP="00905E00">
      <w:pPr>
        <w:jc w:val="both"/>
        <w:rPr>
          <w:sz w:val="20"/>
          <w:szCs w:val="20"/>
        </w:rPr>
      </w:pPr>
      <w:r w:rsidRPr="009C2345">
        <w:rPr>
          <w:sz w:val="20"/>
          <w:szCs w:val="20"/>
        </w:rPr>
        <w:t>In the context of the national Hepatitis C class action, the settlement agreement assigns a supervisory role to superior court judges in Ontario, British Columbia and Quebec. It also provides that although each of the three courts is to exercise an independent supervisory power over the settlement within its own jurisdiction, any order by a court only takes effect once there are materially identical orders of the other two courts. In 2012, contested motions were brought by class action counsel in each of the three provinces pursuant to the settlement agreement. Class counsel in each province proposed that the most efficient and effective procedure for adjudicating the motions would be for the three supervisory judges to sit together in one location. The Attorneys General of the three provinces objected to the judges of their provinces sitting outside the territorial boundaries of their provinces. Class action counsel therefore brought applications for directions in their respective province for a determination on the jurisdictional issue. In Ontario, the Superior Court of Justice held that a judge of that court may preside over a hearing that is conducted outside Ontario where the Ontario court has personal and subject matter jurisdiction over the parties and issues in the proceeding. It held that this jurisdiction is not lost because the court presided in a location outside the court’s regular territorial limits. It further held that the court’s inherent jurisdiction to control its own process empowered the court to hold a hearing outside its home province, having regard to whether sitting outside the court’s home province promotes the interests of justice in a particular case. It found that the court should exercise its discretion to sit outside its home province in the circumstances of this case. On appeal by the province, the Court of Appeal for Ontario allowed the appeal in part. The majority held that the order of the Superior Court of Justice should be amended to state that when a hearing is conducted from outside Ontario, it must be conducted with the necessity of a video-conference link to a courtroom in Ontario.</w:t>
      </w:r>
    </w:p>
    <w:p w:rsidR="00905E00" w:rsidRPr="009C2345" w:rsidRDefault="00905E00" w:rsidP="00782AE4">
      <w:pPr>
        <w:jc w:val="both"/>
        <w:rPr>
          <w:sz w:val="20"/>
          <w:szCs w:val="20"/>
        </w:rPr>
      </w:pPr>
    </w:p>
    <w:p w:rsidR="00905E00" w:rsidRPr="009C2345" w:rsidRDefault="0082006E" w:rsidP="00782AE4">
      <w:pPr>
        <w:jc w:val="both"/>
        <w:rPr>
          <w:sz w:val="20"/>
          <w:szCs w:val="20"/>
          <w:lang w:val="fr-CA"/>
        </w:rPr>
      </w:pPr>
      <w:r>
        <w:rPr>
          <w:sz w:val="20"/>
          <w:szCs w:val="20"/>
          <w:lang w:val="fr-CA"/>
        </w:rPr>
        <w:pict>
          <v:rect id="_x0000_i1110" style="width:2in;height:1pt" o:hrpct="0" o:hralign="center" o:hrstd="t" o:hrnoshade="t" o:hr="t" fillcolor="black [3213]" stroked="f"/>
        </w:pict>
      </w:r>
    </w:p>
    <w:p w:rsidR="00905E00" w:rsidRPr="009C2345" w:rsidRDefault="00905E00">
      <w:pPr>
        <w:rPr>
          <w:sz w:val="20"/>
          <w:szCs w:val="20"/>
          <w:lang w:val="fr-CA"/>
        </w:rPr>
      </w:pPr>
      <w:r w:rsidRPr="009C2345">
        <w:rPr>
          <w:sz w:val="20"/>
          <w:szCs w:val="20"/>
          <w:lang w:val="fr-CA"/>
        </w:rPr>
        <w:br w:type="page"/>
      </w:r>
    </w:p>
    <w:p w:rsidR="00905E00" w:rsidRPr="009C2345" w:rsidRDefault="00905E00" w:rsidP="00905E00">
      <w:pPr>
        <w:widowControl w:val="0"/>
        <w:tabs>
          <w:tab w:val="left" w:pos="540"/>
        </w:tabs>
        <w:ind w:left="720" w:hanging="720"/>
        <w:jc w:val="both"/>
        <w:rPr>
          <w:sz w:val="20"/>
          <w:szCs w:val="20"/>
          <w:lang w:val="fr-CA"/>
        </w:rPr>
      </w:pPr>
      <w:r w:rsidRPr="009C2345">
        <w:rPr>
          <w:b/>
          <w:sz w:val="20"/>
          <w:szCs w:val="20"/>
          <w:lang w:val="fr-CA"/>
        </w:rPr>
        <w:fldChar w:fldCharType="begin"/>
      </w:r>
      <w:r w:rsidRPr="009C2345">
        <w:rPr>
          <w:b/>
          <w:sz w:val="20"/>
          <w:szCs w:val="20"/>
          <w:lang w:val="fr-CA"/>
        </w:rPr>
        <w:instrText xml:space="preserve"> SEQ CHAPTER \h \r 1</w:instrText>
      </w:r>
      <w:r w:rsidRPr="009C2345">
        <w:rPr>
          <w:b/>
          <w:sz w:val="20"/>
          <w:szCs w:val="20"/>
          <w:lang w:val="fr-CA"/>
        </w:rPr>
        <w:fldChar w:fldCharType="end"/>
      </w:r>
      <w:r w:rsidRPr="009C2345">
        <w:rPr>
          <w:b/>
          <w:sz w:val="20"/>
          <w:szCs w:val="20"/>
          <w:lang w:val="fr-CA"/>
        </w:rPr>
        <w:t>36456</w:t>
      </w:r>
      <w:r w:rsidRPr="009C2345">
        <w:rPr>
          <w:sz w:val="20"/>
          <w:szCs w:val="20"/>
          <w:lang w:val="fr-CA"/>
        </w:rPr>
        <w:tab/>
      </w:r>
      <w:r w:rsidRPr="009C2345">
        <w:rPr>
          <w:sz w:val="20"/>
          <w:szCs w:val="20"/>
          <w:lang w:val="fr-CA"/>
        </w:rPr>
        <w:tab/>
      </w:r>
      <w:r w:rsidRPr="009C2345">
        <w:rPr>
          <w:b/>
          <w:i/>
          <w:sz w:val="20"/>
          <w:szCs w:val="20"/>
          <w:lang w:val="fr-CA"/>
        </w:rPr>
        <w:t xml:space="preserve">Dianna Louise Parsons, Michael Herbert Cruickshanks, David Tull, Martin Henry Griffen, Anna Kardish, Elsie Kotyk, exécutrice de la succession de Harry Kotyk, décédé et Elsie Kotyk, personnellement c. Sa Majesté la Reine du chef de l’Ontario, procureur général du Canada, Société canadienne de la Croix-Rouge et Fund Counsel - et entre - Sa Majesté la Reine du chef de l’Ontario c. Dianna Louise Parsons, Michael Herbert Cruickshanks, David Tull, Martin Henry Griffen, Anna Kardish, Elsie Kotyk, exécutrice de la succession de Harry Kotyk, décédé et Elsie Kotyk, personnellement </w:t>
      </w:r>
      <w:r w:rsidRPr="009C2345">
        <w:rPr>
          <w:sz w:val="20"/>
          <w:szCs w:val="20"/>
          <w:lang w:val="fr-CA"/>
        </w:rPr>
        <w:t>(Ont.) (Civile) (Sur autorisation)</w:t>
      </w:r>
    </w:p>
    <w:p w:rsidR="00905E00" w:rsidRPr="009C2345" w:rsidRDefault="00905E00" w:rsidP="00905E00">
      <w:pPr>
        <w:widowControl w:val="0"/>
        <w:jc w:val="both"/>
        <w:rPr>
          <w:sz w:val="20"/>
          <w:szCs w:val="20"/>
          <w:lang w:val="fr-CA"/>
        </w:rPr>
      </w:pPr>
    </w:p>
    <w:p w:rsidR="00905E00" w:rsidRPr="009C2345" w:rsidRDefault="00905E00" w:rsidP="00905E00">
      <w:pPr>
        <w:jc w:val="both"/>
        <w:rPr>
          <w:sz w:val="20"/>
          <w:szCs w:val="20"/>
          <w:lang w:val="fr-CA"/>
        </w:rPr>
      </w:pPr>
      <w:r w:rsidRPr="009C2345">
        <w:rPr>
          <w:sz w:val="20"/>
          <w:szCs w:val="20"/>
          <w:lang w:val="fr-CA"/>
        </w:rPr>
        <w:t xml:space="preserve">Tribunaux - Compétence - Cours supérieures provinciales et territoriales - Procédure civile - Recours collectifs - Une convention nationale de règlement de recours collectifs attribue aux juges des cours supérieures au Québec, en Ontario et en Colombie-Britannique un rôle de supervision du règlement - Dans chacune de ces trois provinces, les avocats du groupe, agissant pour les représentants des demandeurs, ont demandé aux cours respectives de leur donner des directives sur la question de savoir si des demandes faites en application de la convention de règlement pouvaient être entendues simultanément par des juges superviseurs dans une quatrième province - Le pouvoir de tenir une audience à l’extérieur de la province découle-t-il de la compétence inhérente d’une cour supérieure de faire respecter et de réglementer sa propre procédure ou découle-t-il plutôt de la faculté de mener une audience par vidéoconférence en application de la Règle 1.08 des </w:t>
      </w:r>
      <w:r w:rsidRPr="009C2345">
        <w:rPr>
          <w:i/>
          <w:sz w:val="20"/>
          <w:szCs w:val="20"/>
          <w:lang w:val="fr-CA"/>
        </w:rPr>
        <w:t>Règles de procédure civile</w:t>
      </w:r>
      <w:r w:rsidRPr="009C2345">
        <w:rPr>
          <w:sz w:val="20"/>
          <w:szCs w:val="20"/>
          <w:lang w:val="fr-CA"/>
        </w:rPr>
        <w:t xml:space="preserve"> de l’Ontario? - Le principe de la publicité des débats exige-t-il que toutes les audiences tenues à l’extérieur de la province fassent l’objet d’une liaison vidéo avec une salle d’audience publique en Ontario, ou bien est-ce que la nécessité d’une liaison vidéo relève plutôt d’une décision discrétionnaire qui doit être prise au cas par cas? - En l’absence de législation exhaustive régissant les recours collectifs nationaux, est-il loisible aux tribunaux chargés de gérer ces recours de combler le vide juridique par l’exercice de leur pouvoir inhérent de faire ce qu’il faut, à moins d’en être empêchés par une loi ou un règlement, pour régler équitablement et efficacement les différends dont ils sont saisis?</w:t>
      </w:r>
    </w:p>
    <w:p w:rsidR="00905E00" w:rsidRPr="009C2345" w:rsidRDefault="00905E00" w:rsidP="00905E00">
      <w:pPr>
        <w:widowControl w:val="0"/>
        <w:jc w:val="both"/>
        <w:rPr>
          <w:sz w:val="20"/>
          <w:szCs w:val="20"/>
          <w:lang w:val="fr-CA"/>
        </w:rPr>
      </w:pPr>
    </w:p>
    <w:p w:rsidR="00905E00" w:rsidRPr="009C2345" w:rsidRDefault="00905E00" w:rsidP="00905E00">
      <w:pPr>
        <w:jc w:val="both"/>
        <w:rPr>
          <w:sz w:val="20"/>
          <w:szCs w:val="20"/>
          <w:lang w:val="fr-CA"/>
        </w:rPr>
      </w:pPr>
      <w:r w:rsidRPr="009C2345">
        <w:rPr>
          <w:sz w:val="20"/>
          <w:szCs w:val="20"/>
          <w:lang w:val="fr-CA"/>
        </w:rPr>
        <w:t>Dans le cadre du recours collectif national relatif à l’hépatite C, la convention de règlement attribue un rôle de supervision aux juges des cours supérieures en Ontario, en Colombie-Britannique et au Québec. Le règlement prévoit également que même si chacune des trois cours doit exercer un pouvoir de supervision indépendant à l’égard du règlement à l’intérieur de son propre ressort, l’ordonnance d’une cour ne prend effet que lorsque les deux autres cours ont rendu des ordonnances identiques quant au fond. En 2012, les avocats du groupe ont présenté des requêtes contestées dans chacune des trois provinces en application de la convention de règlement. Les avocats du groupe dans chacune des provinces ont proposé que la procédure la plus efficiente et efficace pour trancher les requêtes serait que les trois juges superviseurs siègent ensemble à un seul endroit. Les procureurs généraux des trois provinces se sont opposés à ce que des juges de leurs provinces siègent à l’extérieur des limites territoriales de leurs provinces. Les avocats du groupe ont donc présenté des demandes en vue d’obtenir des directives dans leurs provinces respectives pour qu’il soit statué sur la question de la compétence. En Ontario, la Cour supérieure de justice a statué qu’un juge de cette cour pouvait présider une audience menée à l’extérieur de l’Ontario dans les cas où la cour ontarienne avait compétence personnelle et matérielle à l’égard des parties et des questions en litige. La Cour supérieure a statué que cette compétence n’était pas perdue parce que la cour avait présidé l’instance à l’extérieur de ses limites territoriales habituelles. La Cour supérieure a statué en outre que la compétence inhérente de la cour de faire respecter sa propre procédure lui donnait le pouvoir de tenir une audience à l’extérieur de sa province d’origine si elle jugeait que les intérêts de la justice l’exigeaient en l’espèce. La Cour supérieure a conclu qu’eu égard aux circonstances en l’espèce, la cour devait exercer son pouvoir discrétionnaire de siéger à l’extérieur de sa province d’origine. La Cour d’appel a accueilli en partie l’appel de la Province. Les juges majoritaires ont statué que l’ordonnance de la Cour supérieure de justice devait être modifiée pour qu’elle affirme que lorsqu’une audience est menée à l’extérieur de l’Ontario, il doit obligatoirement y avoir une liaison par vidéoconférence avec une salle d’audience en Ontario.</w:t>
      </w:r>
    </w:p>
    <w:p w:rsidR="00905E00" w:rsidRPr="009C2345" w:rsidRDefault="00905E00" w:rsidP="00782AE4">
      <w:pPr>
        <w:jc w:val="both"/>
        <w:rPr>
          <w:sz w:val="20"/>
          <w:szCs w:val="20"/>
          <w:lang w:val="fr-CA"/>
        </w:rPr>
      </w:pPr>
    </w:p>
    <w:p w:rsidR="00905E00" w:rsidRPr="009C2345" w:rsidRDefault="0082006E" w:rsidP="00782AE4">
      <w:pPr>
        <w:jc w:val="both"/>
        <w:rPr>
          <w:sz w:val="20"/>
          <w:szCs w:val="20"/>
          <w:lang w:val="fr-CA"/>
        </w:rPr>
      </w:pPr>
      <w:r>
        <w:rPr>
          <w:sz w:val="20"/>
          <w:szCs w:val="20"/>
          <w:lang w:val="fr-CA"/>
        </w:rPr>
        <w:pict>
          <v:rect id="_x0000_i1111" style="width:2in;height:1pt" o:hrpct="0" o:hralign="center" o:hrstd="t" o:hrnoshade="t" o:hr="t" fillcolor="black [3213]" stroked="f"/>
        </w:pict>
      </w:r>
    </w:p>
    <w:p w:rsidR="00905E00" w:rsidRPr="009C2345" w:rsidRDefault="00905E00">
      <w:pPr>
        <w:rPr>
          <w:sz w:val="20"/>
          <w:szCs w:val="20"/>
          <w:lang w:val="fr-CA"/>
        </w:rPr>
      </w:pPr>
      <w:r w:rsidRPr="009C2345">
        <w:rPr>
          <w:sz w:val="20"/>
          <w:szCs w:val="20"/>
          <w:lang w:val="fr-CA"/>
        </w:rPr>
        <w:br w:type="page"/>
      </w:r>
    </w:p>
    <w:p w:rsidR="00905E00" w:rsidRPr="009C2345" w:rsidRDefault="00905E00" w:rsidP="00905E00">
      <w:pPr>
        <w:widowControl w:val="0"/>
        <w:ind w:left="720" w:hanging="720"/>
        <w:jc w:val="both"/>
        <w:rPr>
          <w:sz w:val="20"/>
          <w:szCs w:val="20"/>
        </w:rPr>
      </w:pPr>
      <w:r w:rsidRPr="009C2345">
        <w:rPr>
          <w:b/>
          <w:sz w:val="20"/>
          <w:szCs w:val="20"/>
        </w:rPr>
        <w:fldChar w:fldCharType="begin"/>
      </w:r>
      <w:r w:rsidRPr="009C2345">
        <w:rPr>
          <w:b/>
          <w:sz w:val="20"/>
          <w:szCs w:val="20"/>
        </w:rPr>
        <w:instrText xml:space="preserve"> SEQ CHAPTER \h \r 1</w:instrText>
      </w:r>
      <w:r w:rsidRPr="009C2345">
        <w:rPr>
          <w:b/>
          <w:sz w:val="20"/>
          <w:szCs w:val="20"/>
        </w:rPr>
        <w:fldChar w:fldCharType="end"/>
      </w:r>
      <w:r w:rsidRPr="009C2345">
        <w:rPr>
          <w:b/>
          <w:sz w:val="20"/>
          <w:szCs w:val="20"/>
        </w:rPr>
        <w:t>36792</w:t>
      </w:r>
      <w:r w:rsidRPr="009C2345">
        <w:rPr>
          <w:sz w:val="20"/>
          <w:szCs w:val="20"/>
        </w:rPr>
        <w:tab/>
      </w:r>
      <w:r w:rsidRPr="009C2345">
        <w:rPr>
          <w:b/>
          <w:i/>
          <w:sz w:val="20"/>
          <w:szCs w:val="20"/>
        </w:rPr>
        <w:t xml:space="preserve">Shane Rayshawn Vassell v. Her Majesty The Queen </w:t>
      </w:r>
      <w:r w:rsidRPr="009C2345">
        <w:rPr>
          <w:sz w:val="20"/>
          <w:szCs w:val="20"/>
        </w:rPr>
        <w:t>(Alta.) (Criminal) (As of Right)</w:t>
      </w:r>
    </w:p>
    <w:p w:rsidR="00905E00" w:rsidRPr="009C2345" w:rsidRDefault="00905E00" w:rsidP="00905E00">
      <w:pPr>
        <w:widowControl w:val="0"/>
        <w:jc w:val="both"/>
        <w:rPr>
          <w:sz w:val="20"/>
          <w:szCs w:val="20"/>
        </w:rPr>
      </w:pPr>
    </w:p>
    <w:p w:rsidR="00905E00" w:rsidRPr="009C2345" w:rsidRDefault="00905E00" w:rsidP="00905E00">
      <w:pPr>
        <w:widowControl w:val="0"/>
        <w:jc w:val="both"/>
        <w:rPr>
          <w:sz w:val="20"/>
          <w:szCs w:val="20"/>
        </w:rPr>
      </w:pPr>
      <w:r w:rsidRPr="009C2345">
        <w:rPr>
          <w:sz w:val="20"/>
          <w:szCs w:val="20"/>
        </w:rPr>
        <w:t>Constitutional law - Charter of Rights - Right to be tried within a reasonable time - Arbitrary detention - Right to counsel - Remedy - Whether the trial judge erred in finding that the appellant’s right to be tried in a reasonable time as required by s. 11(</w:t>
      </w:r>
      <w:r w:rsidRPr="009C2345">
        <w:rPr>
          <w:i/>
          <w:sz w:val="20"/>
          <w:szCs w:val="20"/>
        </w:rPr>
        <w:t>b</w:t>
      </w:r>
      <w:r w:rsidRPr="009C2345">
        <w:rPr>
          <w:sz w:val="20"/>
          <w:szCs w:val="20"/>
        </w:rPr>
        <w:t xml:space="preserve">) of the </w:t>
      </w:r>
      <w:r w:rsidRPr="009C2345">
        <w:rPr>
          <w:i/>
          <w:sz w:val="20"/>
          <w:szCs w:val="20"/>
        </w:rPr>
        <w:t>Canadian Charter of Rights and Freedoms</w:t>
      </w:r>
      <w:r w:rsidRPr="009C2345">
        <w:rPr>
          <w:sz w:val="20"/>
          <w:szCs w:val="20"/>
        </w:rPr>
        <w:t xml:space="preserve"> was not infringed and therefore did not warrant a stay of proceedings pursuant to s. 24(1) of the </w:t>
      </w:r>
      <w:r w:rsidRPr="009C2345">
        <w:rPr>
          <w:i/>
          <w:sz w:val="20"/>
          <w:szCs w:val="20"/>
        </w:rPr>
        <w:t>Charter</w:t>
      </w:r>
      <w:r w:rsidRPr="009C2345">
        <w:rPr>
          <w:sz w:val="20"/>
          <w:szCs w:val="20"/>
        </w:rPr>
        <w:t xml:space="preserve"> - Whether the trial judge erred in finding that the appellant was not subject to an arbitrary detention as defined by s. 9 of the </w:t>
      </w:r>
      <w:r w:rsidRPr="009C2345">
        <w:rPr>
          <w:i/>
          <w:sz w:val="20"/>
          <w:szCs w:val="20"/>
        </w:rPr>
        <w:t>Charter</w:t>
      </w:r>
      <w:r w:rsidRPr="009C2345">
        <w:rPr>
          <w:sz w:val="20"/>
          <w:szCs w:val="20"/>
        </w:rPr>
        <w:t xml:space="preserve"> and in his interpretation of s. 503(1) of the </w:t>
      </w:r>
      <w:r w:rsidRPr="009C2345">
        <w:rPr>
          <w:i/>
          <w:sz w:val="20"/>
          <w:szCs w:val="20"/>
        </w:rPr>
        <w:t>Criminal Code</w:t>
      </w:r>
      <w:r w:rsidRPr="009C2345">
        <w:rPr>
          <w:sz w:val="20"/>
          <w:szCs w:val="20"/>
        </w:rPr>
        <w:t>, R.S.C. 1985, c. C-46 - Whether the trial judge erred in finding that the appellant’s right to consult with counsel as guaranteed by s. 10(</w:t>
      </w:r>
      <w:r w:rsidRPr="009C2345">
        <w:rPr>
          <w:i/>
          <w:sz w:val="20"/>
          <w:szCs w:val="20"/>
        </w:rPr>
        <w:t>b</w:t>
      </w:r>
      <w:r w:rsidRPr="009C2345">
        <w:rPr>
          <w:sz w:val="20"/>
          <w:szCs w:val="20"/>
        </w:rPr>
        <w:t xml:space="preserve">) of the </w:t>
      </w:r>
      <w:r w:rsidRPr="009C2345">
        <w:rPr>
          <w:i/>
          <w:sz w:val="20"/>
          <w:szCs w:val="20"/>
        </w:rPr>
        <w:t>Charter</w:t>
      </w:r>
      <w:r w:rsidRPr="009C2345">
        <w:rPr>
          <w:sz w:val="20"/>
          <w:szCs w:val="20"/>
        </w:rPr>
        <w:t xml:space="preserve"> was not infringed when he was subject to a change in jeopardy - Whether the trial judge erred in finding that the appellant’s statement should not be excluded pursuant to s. 24(2) of the </w:t>
      </w:r>
      <w:r w:rsidRPr="009C2345">
        <w:rPr>
          <w:i/>
          <w:sz w:val="20"/>
          <w:szCs w:val="20"/>
        </w:rPr>
        <w:t>Charter</w:t>
      </w:r>
      <w:r w:rsidRPr="009C2345">
        <w:rPr>
          <w:sz w:val="20"/>
          <w:szCs w:val="20"/>
        </w:rPr>
        <w:t>.</w:t>
      </w:r>
    </w:p>
    <w:p w:rsidR="00905E00" w:rsidRPr="009C2345" w:rsidRDefault="00905E00" w:rsidP="00905E00">
      <w:pPr>
        <w:widowControl w:val="0"/>
        <w:jc w:val="both"/>
        <w:rPr>
          <w:sz w:val="20"/>
          <w:szCs w:val="20"/>
        </w:rPr>
      </w:pPr>
    </w:p>
    <w:p w:rsidR="00905E00" w:rsidRPr="009C2345" w:rsidRDefault="00905E00" w:rsidP="00905E00">
      <w:pPr>
        <w:widowControl w:val="0"/>
        <w:jc w:val="both"/>
        <w:rPr>
          <w:sz w:val="20"/>
          <w:szCs w:val="20"/>
        </w:rPr>
      </w:pPr>
      <w:r w:rsidRPr="009C2345">
        <w:rPr>
          <w:sz w:val="20"/>
          <w:szCs w:val="20"/>
        </w:rPr>
        <w:t xml:space="preserve">Mr. Vassell was convicted of one count of possession of cocaine for the purpose of trafficking under s. 5(2) of the </w:t>
      </w:r>
      <w:r w:rsidRPr="009C2345">
        <w:rPr>
          <w:i/>
          <w:sz w:val="20"/>
          <w:szCs w:val="20"/>
        </w:rPr>
        <w:t>Controlled Drugs and Substances Act</w:t>
      </w:r>
      <w:r w:rsidRPr="009C2345">
        <w:rPr>
          <w:sz w:val="20"/>
          <w:szCs w:val="20"/>
        </w:rPr>
        <w:t>, S.C. 1996, c. 19. Cocaine was discovered by police in his bedroom in his residence, which he shared with many other individuals. His trial in the Court of Queen’s Bench began more than three years after he was arrested. The trial judge denied his request for a stay of proceedings based on a breach of his s. 11(</w:t>
      </w:r>
      <w:r w:rsidRPr="009C2345">
        <w:rPr>
          <w:i/>
          <w:sz w:val="20"/>
          <w:szCs w:val="20"/>
        </w:rPr>
        <w:t>b</w:t>
      </w:r>
      <w:r w:rsidRPr="009C2345">
        <w:rPr>
          <w:sz w:val="20"/>
          <w:szCs w:val="20"/>
        </w:rPr>
        <w:t xml:space="preserve">) </w:t>
      </w:r>
      <w:r w:rsidRPr="009C2345">
        <w:rPr>
          <w:i/>
          <w:sz w:val="20"/>
          <w:szCs w:val="20"/>
        </w:rPr>
        <w:t>Charter</w:t>
      </w:r>
      <w:r w:rsidRPr="009C2345">
        <w:rPr>
          <w:sz w:val="20"/>
          <w:szCs w:val="20"/>
        </w:rPr>
        <w:t xml:space="preserve"> right to be tried within a reasonable time. The trial judge also dismissed a motion for a mistrial brought by Mr. Vassell on the basis of a misunderstanding by the trial judge as to telephone intercept evidence. In addition, the trial judge admitted into evidence a recorded interview of Mr. Vassell by the police. Mr. Vassell appealed his conviction on the grounds that the trial judge erred in denying the stay of proceedings, erred in dismissing the mistrial motion, erred in admitting into evidence the recorded interview as it was obtained in breach of Mr. Vassell’s s. 9 </w:t>
      </w:r>
      <w:r w:rsidRPr="009C2345">
        <w:rPr>
          <w:i/>
          <w:sz w:val="20"/>
          <w:szCs w:val="20"/>
        </w:rPr>
        <w:t>Charter</w:t>
      </w:r>
      <w:r w:rsidRPr="009C2345">
        <w:rPr>
          <w:sz w:val="20"/>
          <w:szCs w:val="20"/>
        </w:rPr>
        <w:t xml:space="preserve"> right not to be arbitrarily detained and of his s. 10 </w:t>
      </w:r>
      <w:r w:rsidRPr="009C2345">
        <w:rPr>
          <w:i/>
          <w:sz w:val="20"/>
          <w:szCs w:val="20"/>
        </w:rPr>
        <w:t>Charter</w:t>
      </w:r>
      <w:r w:rsidRPr="009C2345">
        <w:rPr>
          <w:sz w:val="20"/>
          <w:szCs w:val="20"/>
        </w:rPr>
        <w:t xml:space="preserve"> right to counsel, and reached an unreasonable verdict. The majority of the Court of Appeal dismissed the appeal. O’Ferrall J.A., dissenting, agreed with the majority that the trial judge did not err in denying the mistrial motion and did not reach an unreasonable verdict. He was of the view, however, that the trial judge erred in failing to grant a stay of proceedings on the basis of unreasonable delay, and, in the alternative, in admitting Mr. Vassell’s statements to police despite breaches of ss. 9, 10(</w:t>
      </w:r>
      <w:r w:rsidRPr="009C2345">
        <w:rPr>
          <w:i/>
          <w:sz w:val="20"/>
          <w:szCs w:val="20"/>
        </w:rPr>
        <w:t>a</w:t>
      </w:r>
      <w:r w:rsidRPr="009C2345">
        <w:rPr>
          <w:sz w:val="20"/>
          <w:szCs w:val="20"/>
        </w:rPr>
        <w:t>) and 10(</w:t>
      </w:r>
      <w:r w:rsidRPr="009C2345">
        <w:rPr>
          <w:i/>
          <w:sz w:val="20"/>
          <w:szCs w:val="20"/>
        </w:rPr>
        <w:t>b</w:t>
      </w:r>
      <w:r w:rsidRPr="009C2345">
        <w:rPr>
          <w:sz w:val="20"/>
          <w:szCs w:val="20"/>
        </w:rPr>
        <w:t xml:space="preserve">) of the </w:t>
      </w:r>
      <w:r w:rsidRPr="009C2345">
        <w:rPr>
          <w:i/>
          <w:sz w:val="20"/>
          <w:szCs w:val="20"/>
        </w:rPr>
        <w:t>Charter</w:t>
      </w:r>
      <w:r w:rsidRPr="009C2345">
        <w:rPr>
          <w:sz w:val="20"/>
          <w:szCs w:val="20"/>
        </w:rPr>
        <w:t xml:space="preserve">. He would have allowed the appeal, overturned the conviction and granted a stay of proceedings on the basis that Mr. Vassell’s s. 11 </w:t>
      </w:r>
      <w:r w:rsidRPr="009C2345">
        <w:rPr>
          <w:i/>
          <w:sz w:val="20"/>
          <w:szCs w:val="20"/>
        </w:rPr>
        <w:t>Charter</w:t>
      </w:r>
      <w:r w:rsidRPr="009C2345">
        <w:rPr>
          <w:sz w:val="20"/>
          <w:szCs w:val="20"/>
        </w:rPr>
        <w:t xml:space="preserve"> rights were infringed since he was not brought to trial within a reasonable time. In the alternative, he would have ordered a new trial on the basis that Mr. Vassell’s ss. 9 and 10 </w:t>
      </w:r>
      <w:r w:rsidRPr="009C2345">
        <w:rPr>
          <w:i/>
          <w:sz w:val="20"/>
          <w:szCs w:val="20"/>
        </w:rPr>
        <w:t>Charter</w:t>
      </w:r>
      <w:r w:rsidRPr="009C2345">
        <w:rPr>
          <w:sz w:val="20"/>
          <w:szCs w:val="20"/>
        </w:rPr>
        <w:t xml:space="preserve"> rights were breached and his statement to police should have been excluded under s. 24(2) of the </w:t>
      </w:r>
      <w:r w:rsidRPr="009C2345">
        <w:rPr>
          <w:i/>
          <w:sz w:val="20"/>
          <w:szCs w:val="20"/>
        </w:rPr>
        <w:t>Charter</w:t>
      </w:r>
      <w:r w:rsidRPr="009C2345">
        <w:rPr>
          <w:sz w:val="20"/>
          <w:szCs w:val="20"/>
        </w:rPr>
        <w:t>.</w:t>
      </w:r>
    </w:p>
    <w:p w:rsidR="00905E00" w:rsidRPr="009C2345" w:rsidRDefault="00905E00" w:rsidP="00782AE4">
      <w:pPr>
        <w:jc w:val="both"/>
        <w:rPr>
          <w:sz w:val="20"/>
          <w:szCs w:val="20"/>
        </w:rPr>
      </w:pPr>
    </w:p>
    <w:p w:rsidR="00905E00" w:rsidRPr="009C2345" w:rsidRDefault="0082006E" w:rsidP="00782AE4">
      <w:pPr>
        <w:jc w:val="both"/>
        <w:rPr>
          <w:sz w:val="20"/>
          <w:szCs w:val="20"/>
        </w:rPr>
      </w:pPr>
      <w:r>
        <w:rPr>
          <w:sz w:val="20"/>
          <w:szCs w:val="20"/>
          <w:lang w:val="fr-CA"/>
        </w:rPr>
        <w:pict>
          <v:rect id="_x0000_i1112" style="width:2in;height:1pt" o:hrpct="0" o:hralign="center" o:hrstd="t" o:hrnoshade="t" o:hr="t" fillcolor="black [3213]" stroked="f"/>
        </w:pict>
      </w:r>
    </w:p>
    <w:p w:rsidR="00C809AC" w:rsidRPr="009C2345" w:rsidRDefault="00C809AC" w:rsidP="00782AE4">
      <w:pPr>
        <w:jc w:val="both"/>
        <w:rPr>
          <w:sz w:val="20"/>
          <w:szCs w:val="20"/>
        </w:rPr>
      </w:pPr>
    </w:p>
    <w:p w:rsidR="00905E00" w:rsidRPr="009C2345" w:rsidRDefault="00905E00">
      <w:pPr>
        <w:rPr>
          <w:b/>
          <w:sz w:val="20"/>
          <w:szCs w:val="20"/>
        </w:rPr>
      </w:pPr>
      <w:r w:rsidRPr="009C2345">
        <w:rPr>
          <w:b/>
          <w:sz w:val="20"/>
          <w:szCs w:val="20"/>
        </w:rPr>
        <w:br w:type="page"/>
      </w:r>
    </w:p>
    <w:p w:rsidR="00905E00" w:rsidRPr="009C2345" w:rsidRDefault="00905E00" w:rsidP="00905E00">
      <w:pPr>
        <w:widowControl w:val="0"/>
        <w:ind w:left="720" w:hanging="720"/>
        <w:jc w:val="both"/>
        <w:rPr>
          <w:sz w:val="20"/>
          <w:szCs w:val="20"/>
          <w:lang w:val="fr-CA"/>
        </w:rPr>
      </w:pPr>
      <w:r w:rsidRPr="009C2345">
        <w:rPr>
          <w:b/>
          <w:sz w:val="20"/>
          <w:szCs w:val="20"/>
        </w:rPr>
        <w:fldChar w:fldCharType="begin"/>
      </w:r>
      <w:r w:rsidRPr="009C2345">
        <w:rPr>
          <w:b/>
          <w:sz w:val="20"/>
          <w:szCs w:val="20"/>
          <w:lang w:val="fr-CA"/>
        </w:rPr>
        <w:instrText xml:space="preserve"> SEQ CHAPTER \h \r 1</w:instrText>
      </w:r>
      <w:r w:rsidRPr="009C2345">
        <w:rPr>
          <w:b/>
          <w:sz w:val="20"/>
          <w:szCs w:val="20"/>
        </w:rPr>
        <w:fldChar w:fldCharType="end"/>
      </w:r>
      <w:r w:rsidRPr="009C2345">
        <w:rPr>
          <w:b/>
          <w:sz w:val="20"/>
          <w:szCs w:val="20"/>
          <w:lang w:val="fr-CA"/>
        </w:rPr>
        <w:t>36792</w:t>
      </w:r>
      <w:r w:rsidRPr="009C2345">
        <w:rPr>
          <w:sz w:val="20"/>
          <w:szCs w:val="20"/>
          <w:lang w:val="fr-CA"/>
        </w:rPr>
        <w:tab/>
      </w:r>
      <w:r w:rsidRPr="009C2345">
        <w:rPr>
          <w:b/>
          <w:i/>
          <w:sz w:val="20"/>
          <w:szCs w:val="20"/>
          <w:lang w:val="fr-CA"/>
        </w:rPr>
        <w:t xml:space="preserve">Shane Rayshawn Vassell c. Sa Majesté la Reine </w:t>
      </w:r>
      <w:r w:rsidRPr="009C2345">
        <w:rPr>
          <w:sz w:val="20"/>
          <w:szCs w:val="20"/>
          <w:lang w:val="fr-CA"/>
        </w:rPr>
        <w:t>(Alb.) (Criminelle) (De plein droit)</w:t>
      </w:r>
    </w:p>
    <w:p w:rsidR="00905E00" w:rsidRPr="009C2345" w:rsidRDefault="00905E00" w:rsidP="00905E00">
      <w:pPr>
        <w:widowControl w:val="0"/>
        <w:jc w:val="both"/>
        <w:rPr>
          <w:sz w:val="20"/>
          <w:szCs w:val="20"/>
          <w:lang w:val="fr-CA"/>
        </w:rPr>
      </w:pPr>
    </w:p>
    <w:p w:rsidR="00905E00" w:rsidRPr="009C2345" w:rsidRDefault="00905E00" w:rsidP="00905E00">
      <w:pPr>
        <w:widowControl w:val="0"/>
        <w:jc w:val="both"/>
        <w:rPr>
          <w:sz w:val="20"/>
          <w:szCs w:val="20"/>
          <w:lang w:val="fr-CA"/>
        </w:rPr>
      </w:pPr>
      <w:r w:rsidRPr="009C2345">
        <w:rPr>
          <w:sz w:val="20"/>
          <w:szCs w:val="20"/>
          <w:lang w:val="fr-CA"/>
        </w:rPr>
        <w:t>Droit constitutionnel - Charte des droits - Droit d’être jugé dans un délai raisonnable - Détention arbitraire - Droit à l’assistance d’un avocat - Réparation - Le juge de première instance a-t-il commis une erreur en concluant qu’il n’y avait pas eu atteinte au droit de l’appelant d’être jugé dans un délai raisonnable, comme l’exige l’al. 11</w:t>
      </w:r>
      <w:r w:rsidRPr="009C2345">
        <w:rPr>
          <w:i/>
          <w:sz w:val="20"/>
          <w:szCs w:val="20"/>
          <w:lang w:val="fr-CA"/>
        </w:rPr>
        <w:t>b</w:t>
      </w:r>
      <w:r w:rsidRPr="009C2345">
        <w:rPr>
          <w:sz w:val="20"/>
          <w:szCs w:val="20"/>
          <w:lang w:val="fr-CA"/>
        </w:rPr>
        <w:t xml:space="preserve">) de la </w:t>
      </w:r>
      <w:r w:rsidRPr="009C2345">
        <w:rPr>
          <w:i/>
          <w:sz w:val="20"/>
          <w:szCs w:val="20"/>
          <w:lang w:val="fr-CA"/>
        </w:rPr>
        <w:t>Charte canadienne des droits et libertés</w:t>
      </w:r>
      <w:r w:rsidRPr="009C2345">
        <w:rPr>
          <w:sz w:val="20"/>
          <w:szCs w:val="20"/>
          <w:lang w:val="fr-CA"/>
        </w:rPr>
        <w:t>,</w:t>
      </w:r>
      <w:r w:rsidRPr="009C2345">
        <w:rPr>
          <w:i/>
          <w:sz w:val="20"/>
          <w:szCs w:val="20"/>
          <w:lang w:val="fr-CA"/>
        </w:rPr>
        <w:t xml:space="preserve"> </w:t>
      </w:r>
      <w:r w:rsidRPr="009C2345">
        <w:rPr>
          <w:sz w:val="20"/>
          <w:szCs w:val="20"/>
          <w:lang w:val="fr-CA"/>
        </w:rPr>
        <w:t xml:space="preserve">et qu’un arrêt des procédures fondé sur le par. 24(1) de la </w:t>
      </w:r>
      <w:r w:rsidRPr="009C2345">
        <w:rPr>
          <w:i/>
          <w:sz w:val="20"/>
          <w:szCs w:val="20"/>
          <w:lang w:val="fr-CA"/>
        </w:rPr>
        <w:t xml:space="preserve">Charte </w:t>
      </w:r>
      <w:r w:rsidRPr="009C2345">
        <w:rPr>
          <w:sz w:val="20"/>
          <w:szCs w:val="20"/>
          <w:lang w:val="fr-CA"/>
        </w:rPr>
        <w:t xml:space="preserve">n’était donc pas justifié? - Le juge de première instance a-t-il conclu à tort que l’appelant n’avait pas été arbitrairement détenu au sens de l’art. 9 de la </w:t>
      </w:r>
      <w:r w:rsidRPr="009C2345">
        <w:rPr>
          <w:i/>
          <w:sz w:val="20"/>
          <w:szCs w:val="20"/>
          <w:lang w:val="fr-CA"/>
        </w:rPr>
        <w:t>Charte</w:t>
      </w:r>
      <w:r w:rsidRPr="009C2345">
        <w:rPr>
          <w:sz w:val="20"/>
          <w:szCs w:val="20"/>
          <w:lang w:val="fr-CA"/>
        </w:rPr>
        <w:t xml:space="preserve"> et a-t-il mal interprété le par. 503(1) du </w:t>
      </w:r>
      <w:r w:rsidRPr="009C2345">
        <w:rPr>
          <w:i/>
          <w:sz w:val="20"/>
          <w:szCs w:val="20"/>
          <w:lang w:val="fr-CA"/>
        </w:rPr>
        <w:t>Code criminel</w:t>
      </w:r>
      <w:r w:rsidRPr="009C2345">
        <w:rPr>
          <w:sz w:val="20"/>
          <w:szCs w:val="20"/>
          <w:lang w:val="fr-CA"/>
        </w:rPr>
        <w:t>, L.R.C. 1985, c. C-46? - Le juge de première instance a-t-il fait erreur en concluant qu’il n’y avait pas eu atteinte au droit de l’appelant de consulter un avocat, garanti par l’al. 10</w:t>
      </w:r>
      <w:r w:rsidRPr="009C2345">
        <w:rPr>
          <w:i/>
          <w:sz w:val="20"/>
          <w:szCs w:val="20"/>
          <w:lang w:val="fr-CA"/>
        </w:rPr>
        <w:t>b</w:t>
      </w:r>
      <w:r w:rsidRPr="009C2345">
        <w:rPr>
          <w:sz w:val="20"/>
          <w:szCs w:val="20"/>
          <w:lang w:val="fr-CA"/>
        </w:rPr>
        <w:t xml:space="preserve">) de la Charte, lorsque l’appelant a été l’objet d’un changement du risque? - Le juge de première instance a-t-il commis une erreur en concluant qu’il n’y a pas lieu d’écarter la déclaration de l’appelant en application du par. 24(2) de la </w:t>
      </w:r>
      <w:r w:rsidRPr="009C2345">
        <w:rPr>
          <w:i/>
          <w:sz w:val="20"/>
          <w:szCs w:val="20"/>
          <w:lang w:val="fr-CA"/>
        </w:rPr>
        <w:t>Charte</w:t>
      </w:r>
      <w:r w:rsidRPr="009C2345">
        <w:rPr>
          <w:sz w:val="20"/>
          <w:szCs w:val="20"/>
          <w:lang w:val="fr-CA"/>
        </w:rPr>
        <w:t>.</w:t>
      </w:r>
    </w:p>
    <w:p w:rsidR="00905E00" w:rsidRPr="009C2345" w:rsidRDefault="00905E00" w:rsidP="00905E00">
      <w:pPr>
        <w:widowControl w:val="0"/>
        <w:jc w:val="both"/>
        <w:rPr>
          <w:sz w:val="20"/>
          <w:szCs w:val="20"/>
          <w:lang w:val="fr-CA"/>
        </w:rPr>
      </w:pPr>
    </w:p>
    <w:p w:rsidR="00905E00" w:rsidRPr="009C2345" w:rsidRDefault="00905E00" w:rsidP="00905E00">
      <w:pPr>
        <w:widowControl w:val="0"/>
        <w:jc w:val="both"/>
        <w:rPr>
          <w:sz w:val="20"/>
          <w:szCs w:val="20"/>
          <w:lang w:val="fr-CA"/>
        </w:rPr>
      </w:pPr>
      <w:r w:rsidRPr="009C2345">
        <w:rPr>
          <w:sz w:val="20"/>
          <w:szCs w:val="20"/>
          <w:lang w:val="fr-CA"/>
        </w:rPr>
        <w:t xml:space="preserve">Monsieur Vassell a été reconnu coupable d’un chef de possession de cocaïne en vue d’en faire le trafic selon le par. 5(2) de la </w:t>
      </w:r>
      <w:r w:rsidRPr="009C2345">
        <w:rPr>
          <w:i/>
          <w:sz w:val="20"/>
          <w:szCs w:val="20"/>
          <w:lang w:val="fr-CA"/>
        </w:rPr>
        <w:t>Loi réglementant certaines drogues et autres substances</w:t>
      </w:r>
      <w:r w:rsidRPr="009C2345">
        <w:rPr>
          <w:sz w:val="20"/>
          <w:szCs w:val="20"/>
          <w:lang w:val="fr-CA"/>
        </w:rPr>
        <w:t>, L.C. 1996, c. 19. Les policiers ont découvert de la cocaïne dans sa chambre à coucher, dans sa résidence qu’il partageait avec plusieurs autres personnes. Son procès devant la Cour du Banc de la Reine s’est ouvert plus de trois ans après son arrestation. Le juge de première instance a rejeté sa demande d’arrêt des procédures fondée sur une atteinte au droit d’être jugé dans un délai raisonnable, que lui garantit l’al. 11</w:t>
      </w:r>
      <w:r w:rsidRPr="009C2345">
        <w:rPr>
          <w:i/>
          <w:sz w:val="20"/>
          <w:szCs w:val="20"/>
          <w:lang w:val="fr-CA"/>
        </w:rPr>
        <w:t>b</w:t>
      </w:r>
      <w:r w:rsidRPr="009C2345">
        <w:rPr>
          <w:sz w:val="20"/>
          <w:szCs w:val="20"/>
          <w:lang w:val="fr-CA"/>
        </w:rPr>
        <w:t xml:space="preserve">) de la </w:t>
      </w:r>
      <w:r w:rsidRPr="009C2345">
        <w:rPr>
          <w:i/>
          <w:sz w:val="20"/>
          <w:szCs w:val="20"/>
          <w:lang w:val="fr-CA"/>
        </w:rPr>
        <w:t>Charte</w:t>
      </w:r>
      <w:r w:rsidRPr="009C2345">
        <w:rPr>
          <w:sz w:val="20"/>
          <w:szCs w:val="20"/>
          <w:lang w:val="fr-CA"/>
        </w:rPr>
        <w:t xml:space="preserve">. Il a aussi rejeté une requête en annulation du procès présentée par M. Vassell en raison d’une méprise du juge quant à la preuve obtenue par interception d’appels téléphoniques. De plus, le juge de première instance a admis en preuve l’enregistrement de l’interrogatoire qu’a fait subir la police à M. Vassell. Ce dernier a interjeté appel de sa déclaration de culpabilité parce que le juge de première instance avait fait erreur en lui refusant l’arrêt des procédures, en rejetant la requête pour annulation du procès, en admettant en preuve l’enregistrement de l’interrogatoire, car il avait été obtenu en violation du droit, garanti à M. Vassell par l’art. 9 de la </w:t>
      </w:r>
      <w:r w:rsidRPr="009C2345">
        <w:rPr>
          <w:i/>
          <w:sz w:val="20"/>
          <w:szCs w:val="20"/>
          <w:lang w:val="fr-CA"/>
        </w:rPr>
        <w:t>Charte</w:t>
      </w:r>
      <w:r w:rsidRPr="009C2345">
        <w:rPr>
          <w:sz w:val="20"/>
          <w:szCs w:val="20"/>
          <w:lang w:val="fr-CA"/>
        </w:rPr>
        <w:t xml:space="preserve">, de ne pas être arbitrairement détenu et du droit à l’assistance d’un avocat, que lui garantit l’art. 10 de la </w:t>
      </w:r>
      <w:r w:rsidRPr="009C2345">
        <w:rPr>
          <w:i/>
          <w:sz w:val="20"/>
          <w:szCs w:val="20"/>
          <w:lang w:val="fr-CA"/>
        </w:rPr>
        <w:t>Charte</w:t>
      </w:r>
      <w:r w:rsidRPr="009C2345">
        <w:rPr>
          <w:sz w:val="20"/>
          <w:szCs w:val="20"/>
          <w:lang w:val="fr-CA"/>
        </w:rPr>
        <w:t>, et avait rendu un verdict déraisonnable. La majorité de la Cour d’appel a rejeté l’appel. Le juge O’Ferrall, dissident, a partagé l’avis des juges majoritaires que le juge de première instance n’avait pas commis d’erreur en rejetant la requête pour annulation du procès et qu’il n’avait pas rendu un verdict déraisonnable. Il estimait cependant que le juge de première instance avait fait erreur en n’accordant pas un arrêt des procédures pour cause de délai déraisonnable et, subsidiairement, en admettant en preuve les déclarations de M. Vassell à la police malgré les atteintes à l’art. 9 et aux al. 10</w:t>
      </w:r>
      <w:r w:rsidRPr="009C2345">
        <w:rPr>
          <w:i/>
          <w:sz w:val="20"/>
          <w:szCs w:val="20"/>
          <w:lang w:val="fr-CA"/>
        </w:rPr>
        <w:t>a</w:t>
      </w:r>
      <w:r w:rsidRPr="009C2345">
        <w:rPr>
          <w:sz w:val="20"/>
          <w:szCs w:val="20"/>
          <w:lang w:val="fr-CA"/>
        </w:rPr>
        <w:t xml:space="preserve">) et </w:t>
      </w:r>
      <w:r w:rsidRPr="009C2345">
        <w:rPr>
          <w:i/>
          <w:sz w:val="20"/>
          <w:szCs w:val="20"/>
          <w:lang w:val="fr-CA"/>
        </w:rPr>
        <w:t>b</w:t>
      </w:r>
      <w:r w:rsidRPr="009C2345">
        <w:rPr>
          <w:sz w:val="20"/>
          <w:szCs w:val="20"/>
          <w:lang w:val="fr-CA"/>
        </w:rPr>
        <w:t xml:space="preserve">) de la </w:t>
      </w:r>
      <w:r w:rsidRPr="009C2345">
        <w:rPr>
          <w:i/>
          <w:sz w:val="20"/>
          <w:szCs w:val="20"/>
          <w:lang w:val="fr-CA"/>
        </w:rPr>
        <w:t>Charte</w:t>
      </w:r>
      <w:r w:rsidRPr="009C2345">
        <w:rPr>
          <w:sz w:val="20"/>
          <w:szCs w:val="20"/>
          <w:lang w:val="fr-CA"/>
        </w:rPr>
        <w:t xml:space="preserve">. Il était d’avis d’accueillir l’appel, d’infirmer la déclaration de culpabilité et d’accorder un arrêt des procédures pour atteinte aux droits que garantit l’art. 11 de la </w:t>
      </w:r>
      <w:r w:rsidRPr="009C2345">
        <w:rPr>
          <w:i/>
          <w:sz w:val="20"/>
          <w:szCs w:val="20"/>
          <w:lang w:val="fr-CA"/>
        </w:rPr>
        <w:t>Charte</w:t>
      </w:r>
      <w:r w:rsidRPr="009C2345">
        <w:rPr>
          <w:sz w:val="20"/>
          <w:szCs w:val="20"/>
          <w:lang w:val="fr-CA"/>
        </w:rPr>
        <w:t xml:space="preserve"> à M. Vassell car il n’a pas subi son procès dans un délai raisonnable. Il aurait plutôt ordonné la tenue d’un nouveau procès parce qu’il y a eu atteinte aux droits garantis à M. Vassell par les art. 9 et 10 de la </w:t>
      </w:r>
      <w:r w:rsidRPr="009C2345">
        <w:rPr>
          <w:i/>
          <w:sz w:val="20"/>
          <w:szCs w:val="20"/>
          <w:lang w:val="fr-CA"/>
        </w:rPr>
        <w:t>Charte</w:t>
      </w:r>
      <w:r w:rsidRPr="009C2345">
        <w:rPr>
          <w:sz w:val="20"/>
          <w:szCs w:val="20"/>
          <w:lang w:val="fr-CA"/>
        </w:rPr>
        <w:t xml:space="preserve"> et que sa déclaration à la police aurait dû être écartée en application du par. 24(2) de la </w:t>
      </w:r>
      <w:r w:rsidRPr="009C2345">
        <w:rPr>
          <w:i/>
          <w:sz w:val="20"/>
          <w:szCs w:val="20"/>
          <w:lang w:val="fr-CA"/>
        </w:rPr>
        <w:t>Charte</w:t>
      </w:r>
      <w:r w:rsidRPr="009C2345">
        <w:rPr>
          <w:sz w:val="20"/>
          <w:szCs w:val="20"/>
          <w:lang w:val="fr-CA"/>
        </w:rPr>
        <w:t>.</w:t>
      </w:r>
    </w:p>
    <w:p w:rsidR="005F263E" w:rsidRPr="009C2345" w:rsidRDefault="005F263E" w:rsidP="00782AE4">
      <w:pPr>
        <w:jc w:val="both"/>
        <w:rPr>
          <w:sz w:val="20"/>
          <w:szCs w:val="20"/>
          <w:lang w:val="fr-CA"/>
        </w:rPr>
      </w:pPr>
    </w:p>
    <w:p w:rsidR="00905E00" w:rsidRPr="009C2345" w:rsidRDefault="00905E00" w:rsidP="00782AE4">
      <w:pPr>
        <w:jc w:val="both"/>
        <w:rPr>
          <w:sz w:val="20"/>
          <w:szCs w:val="20"/>
          <w:lang w:val="fr-CA"/>
        </w:rPr>
      </w:pPr>
    </w:p>
    <w:p w:rsidR="00905E00" w:rsidRPr="009C2345" w:rsidRDefault="00905E00" w:rsidP="00782AE4">
      <w:pPr>
        <w:jc w:val="both"/>
        <w:rPr>
          <w:sz w:val="20"/>
          <w:szCs w:val="20"/>
          <w:lang w:val="fr-CA"/>
        </w:rPr>
        <w:sectPr w:rsidR="00905E00" w:rsidRPr="009C2345" w:rsidSect="005F263E">
          <w:headerReference w:type="default" r:id="rId148"/>
          <w:footerReference w:type="default" r:id="rId149"/>
          <w:headerReference w:type="first" r:id="rId150"/>
          <w:footerReference w:type="first" r:id="rId151"/>
          <w:pgSz w:w="12240" w:h="15840"/>
          <w:pgMar w:top="720" w:right="965" w:bottom="1080" w:left="1656" w:header="720" w:footer="965" w:gutter="0"/>
          <w:cols w:space="720"/>
          <w:titlePg/>
          <w:docGrid w:linePitch="326"/>
        </w:sectPr>
      </w:pPr>
    </w:p>
    <w:bookmarkStart w:id="7" w:name="QuickMark"/>
    <w:bookmarkEnd w:id="7"/>
    <w:p w:rsidR="008902B1" w:rsidRPr="009C2345" w:rsidRDefault="008902B1" w:rsidP="008902B1">
      <w:pPr>
        <w:widowControl w:val="0"/>
        <w:spacing w:line="180" w:lineRule="auto"/>
        <w:jc w:val="center"/>
        <w:rPr>
          <w:rFonts w:asciiTheme="minorHAnsi" w:hAnsiTheme="minorHAnsi" w:cstheme="minorHAnsi"/>
          <w:b/>
          <w:szCs w:val="24"/>
        </w:rPr>
      </w:pPr>
      <w:r w:rsidRPr="009C2345">
        <w:rPr>
          <w:rFonts w:asciiTheme="minorHAnsi" w:hAnsiTheme="minorHAnsi" w:cstheme="minorHAnsi"/>
          <w:b/>
          <w:szCs w:val="24"/>
        </w:rPr>
        <w:fldChar w:fldCharType="begin"/>
      </w:r>
      <w:r w:rsidRPr="009C2345">
        <w:rPr>
          <w:rFonts w:asciiTheme="minorHAnsi" w:hAnsiTheme="minorHAnsi" w:cstheme="minorHAnsi"/>
          <w:b/>
          <w:szCs w:val="24"/>
        </w:rPr>
        <w:instrText xml:space="preserve"> SEQ CHAPTER \h \r 1</w:instrText>
      </w:r>
      <w:r w:rsidRPr="009C2345">
        <w:rPr>
          <w:rFonts w:asciiTheme="minorHAnsi" w:hAnsiTheme="minorHAnsi" w:cstheme="minorHAnsi"/>
          <w:b/>
          <w:szCs w:val="24"/>
        </w:rPr>
        <w:fldChar w:fldCharType="end"/>
      </w:r>
      <w:r w:rsidRPr="009C2345">
        <w:rPr>
          <w:rFonts w:asciiTheme="minorHAnsi" w:hAnsiTheme="minorHAnsi" w:cstheme="minorHAnsi"/>
          <w:b/>
          <w:szCs w:val="24"/>
        </w:rPr>
        <w:t>SUPREME COURT OF CANADA SCHEDULE / CALENDRIER DE LA COUR SUPREME</w:t>
      </w:r>
    </w:p>
    <w:p w:rsidR="008902B1" w:rsidRPr="009C2345" w:rsidRDefault="008902B1" w:rsidP="008902B1">
      <w:pPr>
        <w:widowControl w:val="0"/>
        <w:spacing w:line="180" w:lineRule="auto"/>
        <w:rPr>
          <w:rFonts w:asciiTheme="minorHAnsi" w:hAnsiTheme="minorHAnsi" w:cstheme="minorHAnsi"/>
          <w:szCs w:val="24"/>
        </w:rPr>
      </w:pPr>
    </w:p>
    <w:p w:rsidR="008902B1" w:rsidRPr="009C2345" w:rsidRDefault="008902B1" w:rsidP="008902B1">
      <w:pPr>
        <w:widowControl w:val="0"/>
        <w:tabs>
          <w:tab w:val="center" w:pos="5400"/>
          <w:tab w:val="right" w:pos="10440"/>
        </w:tabs>
        <w:rPr>
          <w:rFonts w:ascii="Arial" w:hAnsi="Arial"/>
          <w:sz w:val="18"/>
        </w:rPr>
      </w:pPr>
      <w:r w:rsidRPr="009C2345">
        <w:rPr>
          <w:rFonts w:ascii="Arial" w:hAnsi="Arial"/>
          <w:sz w:val="18"/>
        </w:rPr>
        <w:tab/>
      </w:r>
      <w:r w:rsidRPr="009C2345">
        <w:rPr>
          <w:rFonts w:ascii="Arial" w:hAnsi="Arial"/>
          <w:i/>
          <w:sz w:val="36"/>
        </w:rPr>
        <w:t xml:space="preserve">- </w:t>
      </w:r>
      <w:r w:rsidRPr="009C2345">
        <w:rPr>
          <w:rFonts w:ascii="Arial" w:hAnsi="Arial"/>
          <w:b/>
          <w:i/>
          <w:sz w:val="36"/>
        </w:rPr>
        <w:t>2015</w:t>
      </w:r>
      <w:r w:rsidRPr="009C2345">
        <w:rPr>
          <w:rFonts w:ascii="Arial" w:hAnsi="Arial"/>
          <w:i/>
          <w:sz w:val="36"/>
        </w:rPr>
        <w:t xml:space="preserve"> -</w:t>
      </w:r>
      <w:r w:rsidRPr="009C2345">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902B1" w:rsidRPr="009C2345" w:rsidTr="00EE4378">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9C2345" w:rsidRDefault="008902B1" w:rsidP="00EE4378">
            <w:pPr>
              <w:widowControl w:val="0"/>
              <w:jc w:val="center"/>
              <w:rPr>
                <w:rFonts w:ascii="Arial" w:hAnsi="Arial"/>
                <w:sz w:val="14"/>
              </w:rPr>
            </w:pPr>
            <w:r w:rsidRPr="009C2345">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9C2345" w:rsidRDefault="008902B1" w:rsidP="00EE4378">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9C2345" w:rsidRDefault="008902B1" w:rsidP="00EE4378">
            <w:pPr>
              <w:widowControl w:val="0"/>
              <w:jc w:val="center"/>
              <w:rPr>
                <w:rFonts w:ascii="Arial" w:hAnsi="Arial"/>
                <w:sz w:val="14"/>
              </w:rPr>
            </w:pPr>
            <w:r w:rsidRPr="009C2345">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9C2345" w:rsidRDefault="008902B1" w:rsidP="00EE4378">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9C2345" w:rsidRDefault="008902B1" w:rsidP="00EE4378">
            <w:pPr>
              <w:widowControl w:val="0"/>
              <w:jc w:val="center"/>
              <w:rPr>
                <w:rFonts w:ascii="Arial" w:hAnsi="Arial"/>
                <w:sz w:val="14"/>
              </w:rPr>
            </w:pPr>
            <w:r w:rsidRPr="009C2345">
              <w:rPr>
                <w:rFonts w:ascii="Arial" w:hAnsi="Arial"/>
                <w:b/>
                <w:sz w:val="14"/>
              </w:rPr>
              <w:t>DECEMBER - DÉCEMBRE</w:t>
            </w:r>
          </w:p>
        </w:tc>
      </w:tr>
      <w:tr w:rsidR="008902B1" w:rsidRPr="009C2345" w:rsidTr="00EE4378">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r w:rsidRPr="009C2345">
              <w:rPr>
                <w:rFonts w:ascii="Arial" w:hAnsi="Arial"/>
                <w:sz w:val="14"/>
              </w:rPr>
              <w:t>S</w:t>
            </w:r>
          </w:p>
          <w:p w:rsidR="008902B1" w:rsidRPr="009C2345" w:rsidRDefault="008902B1" w:rsidP="00EE4378">
            <w:pPr>
              <w:widowControl w:val="0"/>
              <w:jc w:val="center"/>
              <w:rPr>
                <w:rFonts w:ascii="Arial" w:hAnsi="Arial"/>
                <w:sz w:val="14"/>
              </w:rPr>
            </w:pPr>
            <w:r w:rsidRPr="009C2345">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r w:rsidRPr="009C2345">
              <w:rPr>
                <w:rFonts w:ascii="Arial" w:hAnsi="Arial"/>
                <w:sz w:val="14"/>
              </w:rPr>
              <w:t>M</w:t>
            </w:r>
          </w:p>
          <w:p w:rsidR="008902B1" w:rsidRPr="009C2345" w:rsidRDefault="008902B1" w:rsidP="00EE4378">
            <w:pPr>
              <w:widowControl w:val="0"/>
              <w:jc w:val="center"/>
              <w:rPr>
                <w:rFonts w:ascii="Arial" w:hAnsi="Arial"/>
                <w:sz w:val="14"/>
              </w:rPr>
            </w:pPr>
            <w:r w:rsidRPr="009C2345">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r w:rsidRPr="009C2345">
              <w:rPr>
                <w:rFonts w:ascii="Arial" w:hAnsi="Arial"/>
                <w:sz w:val="14"/>
              </w:rPr>
              <w:t>T</w:t>
            </w:r>
          </w:p>
          <w:p w:rsidR="008902B1" w:rsidRPr="009C2345" w:rsidRDefault="008902B1" w:rsidP="00EE4378">
            <w:pPr>
              <w:widowControl w:val="0"/>
              <w:jc w:val="center"/>
              <w:rPr>
                <w:rFonts w:ascii="Arial" w:hAnsi="Arial"/>
                <w:sz w:val="14"/>
              </w:rPr>
            </w:pPr>
            <w:r w:rsidRPr="009C2345">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r w:rsidRPr="009C2345">
              <w:rPr>
                <w:rFonts w:ascii="Arial" w:hAnsi="Arial"/>
                <w:sz w:val="14"/>
              </w:rPr>
              <w:t>W</w:t>
            </w:r>
          </w:p>
          <w:p w:rsidR="008902B1" w:rsidRPr="009C2345" w:rsidRDefault="008902B1" w:rsidP="00EE4378">
            <w:pPr>
              <w:widowControl w:val="0"/>
              <w:jc w:val="center"/>
              <w:rPr>
                <w:rFonts w:ascii="Arial" w:hAnsi="Arial"/>
                <w:sz w:val="14"/>
              </w:rPr>
            </w:pPr>
            <w:r w:rsidRPr="009C2345">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r w:rsidRPr="009C2345">
              <w:rPr>
                <w:rFonts w:ascii="Arial" w:hAnsi="Arial"/>
                <w:sz w:val="14"/>
              </w:rPr>
              <w:t>T</w:t>
            </w:r>
          </w:p>
          <w:p w:rsidR="008902B1" w:rsidRPr="009C2345" w:rsidRDefault="008902B1" w:rsidP="00EE4378">
            <w:pPr>
              <w:widowControl w:val="0"/>
              <w:jc w:val="center"/>
              <w:rPr>
                <w:rFonts w:ascii="Arial" w:hAnsi="Arial"/>
                <w:sz w:val="14"/>
              </w:rPr>
            </w:pPr>
            <w:r w:rsidRPr="009C2345">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r w:rsidRPr="009C2345">
              <w:rPr>
                <w:rFonts w:ascii="Arial" w:hAnsi="Arial"/>
                <w:sz w:val="14"/>
              </w:rPr>
              <w:t>F</w:t>
            </w:r>
          </w:p>
          <w:p w:rsidR="008902B1" w:rsidRPr="009C2345" w:rsidRDefault="008902B1" w:rsidP="00EE4378">
            <w:pPr>
              <w:widowControl w:val="0"/>
              <w:jc w:val="center"/>
              <w:rPr>
                <w:rFonts w:ascii="Arial" w:hAnsi="Arial"/>
                <w:sz w:val="14"/>
              </w:rPr>
            </w:pPr>
            <w:r w:rsidRPr="009C2345">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r w:rsidRPr="009C2345">
              <w:rPr>
                <w:rFonts w:ascii="Arial" w:hAnsi="Arial"/>
                <w:sz w:val="14"/>
              </w:rPr>
              <w:t>S</w:t>
            </w:r>
          </w:p>
          <w:p w:rsidR="008902B1" w:rsidRPr="009C2345" w:rsidRDefault="008902B1" w:rsidP="00EE4378">
            <w:pPr>
              <w:widowControl w:val="0"/>
              <w:jc w:val="center"/>
              <w:rPr>
                <w:rFonts w:ascii="Arial" w:hAnsi="Arial"/>
                <w:sz w:val="14"/>
              </w:rPr>
            </w:pPr>
            <w:r w:rsidRPr="009C2345">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r w:rsidRPr="009C2345">
              <w:rPr>
                <w:rFonts w:ascii="Arial" w:hAnsi="Arial"/>
                <w:sz w:val="14"/>
              </w:rPr>
              <w:t>S</w:t>
            </w:r>
          </w:p>
          <w:p w:rsidR="008902B1" w:rsidRPr="009C2345" w:rsidRDefault="008902B1" w:rsidP="00EE4378">
            <w:pPr>
              <w:widowControl w:val="0"/>
              <w:jc w:val="center"/>
              <w:rPr>
                <w:rFonts w:ascii="Arial" w:hAnsi="Arial"/>
                <w:sz w:val="14"/>
              </w:rPr>
            </w:pPr>
            <w:r w:rsidRPr="009C2345">
              <w:rPr>
                <w:rFonts w:ascii="Arial" w:hAnsi="Arial"/>
                <w:sz w:val="14"/>
              </w:rPr>
              <w:t>D</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r w:rsidRPr="009C2345">
              <w:rPr>
                <w:rFonts w:ascii="Arial" w:hAnsi="Arial"/>
                <w:sz w:val="14"/>
              </w:rPr>
              <w:t>M</w:t>
            </w:r>
          </w:p>
          <w:p w:rsidR="008902B1" w:rsidRPr="009C2345" w:rsidRDefault="008902B1" w:rsidP="00EE4378">
            <w:pPr>
              <w:widowControl w:val="0"/>
              <w:jc w:val="center"/>
              <w:rPr>
                <w:rFonts w:ascii="Arial" w:hAnsi="Arial"/>
                <w:sz w:val="14"/>
              </w:rPr>
            </w:pPr>
            <w:r w:rsidRPr="009C2345">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r w:rsidRPr="009C2345">
              <w:rPr>
                <w:rFonts w:ascii="Arial" w:hAnsi="Arial"/>
                <w:sz w:val="14"/>
              </w:rPr>
              <w:t>T</w:t>
            </w:r>
          </w:p>
          <w:p w:rsidR="008902B1" w:rsidRPr="009C2345" w:rsidRDefault="008902B1" w:rsidP="00EE4378">
            <w:pPr>
              <w:widowControl w:val="0"/>
              <w:jc w:val="center"/>
              <w:rPr>
                <w:rFonts w:ascii="Arial" w:hAnsi="Arial"/>
                <w:sz w:val="14"/>
              </w:rPr>
            </w:pPr>
            <w:r w:rsidRPr="009C2345">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r w:rsidRPr="009C2345">
              <w:rPr>
                <w:rFonts w:ascii="Arial" w:hAnsi="Arial"/>
                <w:sz w:val="14"/>
              </w:rPr>
              <w:t>W</w:t>
            </w:r>
          </w:p>
          <w:p w:rsidR="008902B1" w:rsidRPr="009C2345" w:rsidRDefault="008902B1" w:rsidP="00EE4378">
            <w:pPr>
              <w:widowControl w:val="0"/>
              <w:jc w:val="center"/>
              <w:rPr>
                <w:rFonts w:ascii="Arial" w:hAnsi="Arial"/>
                <w:sz w:val="14"/>
              </w:rPr>
            </w:pPr>
            <w:r w:rsidRPr="009C2345">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r w:rsidRPr="009C2345">
              <w:rPr>
                <w:rFonts w:ascii="Arial" w:hAnsi="Arial"/>
                <w:sz w:val="14"/>
              </w:rPr>
              <w:t>T</w:t>
            </w:r>
          </w:p>
          <w:p w:rsidR="008902B1" w:rsidRPr="009C2345" w:rsidRDefault="008902B1" w:rsidP="00EE4378">
            <w:pPr>
              <w:widowControl w:val="0"/>
              <w:jc w:val="center"/>
              <w:rPr>
                <w:rFonts w:ascii="Arial" w:hAnsi="Arial"/>
                <w:sz w:val="14"/>
              </w:rPr>
            </w:pPr>
            <w:r w:rsidRPr="009C2345">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r w:rsidRPr="009C2345">
              <w:rPr>
                <w:rFonts w:ascii="Arial" w:hAnsi="Arial"/>
                <w:sz w:val="14"/>
              </w:rPr>
              <w:t>F</w:t>
            </w:r>
          </w:p>
          <w:p w:rsidR="008902B1" w:rsidRPr="009C2345" w:rsidRDefault="008902B1" w:rsidP="00EE4378">
            <w:pPr>
              <w:widowControl w:val="0"/>
              <w:jc w:val="center"/>
              <w:rPr>
                <w:rFonts w:ascii="Arial" w:hAnsi="Arial"/>
                <w:sz w:val="14"/>
              </w:rPr>
            </w:pPr>
            <w:r w:rsidRPr="009C2345">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r w:rsidRPr="009C2345">
              <w:rPr>
                <w:rFonts w:ascii="Arial" w:hAnsi="Arial"/>
                <w:sz w:val="14"/>
              </w:rPr>
              <w:t>S</w:t>
            </w:r>
          </w:p>
          <w:p w:rsidR="008902B1" w:rsidRPr="009C2345" w:rsidRDefault="008902B1" w:rsidP="00EE4378">
            <w:pPr>
              <w:widowControl w:val="0"/>
              <w:jc w:val="center"/>
              <w:rPr>
                <w:rFonts w:ascii="Arial" w:hAnsi="Arial"/>
                <w:sz w:val="14"/>
              </w:rPr>
            </w:pPr>
            <w:r w:rsidRPr="009C2345">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single" w:sz="4" w:space="0" w:color="auto"/>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r w:rsidRPr="009C2345">
              <w:rPr>
                <w:rFonts w:ascii="Arial" w:hAnsi="Arial"/>
                <w:sz w:val="14"/>
              </w:rPr>
              <w:t>S</w:t>
            </w:r>
          </w:p>
          <w:p w:rsidR="008902B1" w:rsidRPr="009C2345" w:rsidRDefault="008902B1" w:rsidP="00EE4378">
            <w:pPr>
              <w:widowControl w:val="0"/>
              <w:jc w:val="center"/>
              <w:rPr>
                <w:rFonts w:ascii="Arial" w:hAnsi="Arial"/>
                <w:sz w:val="14"/>
              </w:rPr>
            </w:pPr>
            <w:r w:rsidRPr="009C2345">
              <w:rPr>
                <w:rFonts w:ascii="Arial" w:hAnsi="Arial"/>
                <w:sz w:val="14"/>
              </w:rPr>
              <w:t>D</w:t>
            </w:r>
          </w:p>
        </w:tc>
        <w:tc>
          <w:tcPr>
            <w:tcW w:w="469" w:type="dxa"/>
            <w:tcBorders>
              <w:top w:val="double" w:sz="8" w:space="0" w:color="000000"/>
              <w:left w:val="single" w:sz="4" w:space="0" w:color="auto"/>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r w:rsidRPr="009C2345">
              <w:rPr>
                <w:rFonts w:ascii="Arial" w:hAnsi="Arial"/>
                <w:sz w:val="14"/>
              </w:rPr>
              <w:t>M</w:t>
            </w:r>
          </w:p>
          <w:p w:rsidR="008902B1" w:rsidRPr="009C2345" w:rsidRDefault="008902B1" w:rsidP="00EE4378">
            <w:pPr>
              <w:widowControl w:val="0"/>
              <w:jc w:val="center"/>
              <w:rPr>
                <w:rFonts w:ascii="Arial" w:hAnsi="Arial"/>
                <w:sz w:val="14"/>
              </w:rPr>
            </w:pPr>
            <w:r w:rsidRPr="009C2345">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r w:rsidRPr="009C2345">
              <w:rPr>
                <w:rFonts w:ascii="Arial" w:hAnsi="Arial"/>
                <w:sz w:val="14"/>
              </w:rPr>
              <w:t>T</w:t>
            </w:r>
          </w:p>
          <w:p w:rsidR="008902B1" w:rsidRPr="009C2345" w:rsidRDefault="008902B1" w:rsidP="00EE4378">
            <w:pPr>
              <w:widowControl w:val="0"/>
              <w:jc w:val="center"/>
              <w:rPr>
                <w:rFonts w:ascii="Arial" w:hAnsi="Arial"/>
                <w:sz w:val="14"/>
              </w:rPr>
            </w:pPr>
            <w:r w:rsidRPr="009C2345">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r w:rsidRPr="009C2345">
              <w:rPr>
                <w:rFonts w:ascii="Arial" w:hAnsi="Arial"/>
                <w:sz w:val="14"/>
              </w:rPr>
              <w:t>W</w:t>
            </w:r>
          </w:p>
          <w:p w:rsidR="008902B1" w:rsidRPr="009C2345" w:rsidRDefault="008902B1" w:rsidP="00EE4378">
            <w:pPr>
              <w:widowControl w:val="0"/>
              <w:jc w:val="center"/>
              <w:rPr>
                <w:rFonts w:ascii="Arial" w:hAnsi="Arial"/>
                <w:sz w:val="14"/>
              </w:rPr>
            </w:pPr>
            <w:r w:rsidRPr="009C2345">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r w:rsidRPr="009C2345">
              <w:rPr>
                <w:rFonts w:ascii="Arial" w:hAnsi="Arial"/>
                <w:sz w:val="14"/>
              </w:rPr>
              <w:t>T</w:t>
            </w:r>
          </w:p>
          <w:p w:rsidR="008902B1" w:rsidRPr="009C2345" w:rsidRDefault="008902B1" w:rsidP="00EE4378">
            <w:pPr>
              <w:widowControl w:val="0"/>
              <w:jc w:val="center"/>
              <w:rPr>
                <w:rFonts w:ascii="Arial" w:hAnsi="Arial"/>
                <w:sz w:val="14"/>
              </w:rPr>
            </w:pPr>
            <w:r w:rsidRPr="009C2345">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r w:rsidRPr="009C2345">
              <w:rPr>
                <w:rFonts w:ascii="Arial" w:hAnsi="Arial"/>
                <w:sz w:val="14"/>
              </w:rPr>
              <w:t>F</w:t>
            </w:r>
          </w:p>
          <w:p w:rsidR="008902B1" w:rsidRPr="009C2345" w:rsidRDefault="008902B1" w:rsidP="00EE4378">
            <w:pPr>
              <w:widowControl w:val="0"/>
              <w:jc w:val="center"/>
              <w:rPr>
                <w:rFonts w:ascii="Arial" w:hAnsi="Arial"/>
                <w:sz w:val="14"/>
              </w:rPr>
            </w:pPr>
            <w:r w:rsidRPr="009C2345">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r w:rsidRPr="009C2345">
              <w:rPr>
                <w:rFonts w:ascii="Arial" w:hAnsi="Arial"/>
                <w:sz w:val="14"/>
              </w:rPr>
              <w:t>S</w:t>
            </w:r>
          </w:p>
          <w:p w:rsidR="008902B1" w:rsidRPr="009C2345" w:rsidRDefault="008902B1" w:rsidP="00EE4378">
            <w:pPr>
              <w:widowControl w:val="0"/>
              <w:jc w:val="center"/>
              <w:rPr>
                <w:rFonts w:ascii="Arial" w:hAnsi="Arial"/>
                <w:sz w:val="14"/>
              </w:rPr>
            </w:pPr>
            <w:r w:rsidRPr="009C2345">
              <w:rPr>
                <w:rFonts w:ascii="Arial" w:hAnsi="Arial"/>
                <w:sz w:val="14"/>
              </w:rPr>
              <w:t>S</w:t>
            </w:r>
          </w:p>
        </w:tc>
      </w:tr>
      <w:tr w:rsidR="008902B1" w:rsidRPr="009C2345" w:rsidTr="00EE4378">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r w:rsidRPr="009C2345">
              <w:rPr>
                <w:rFonts w:ascii="Arial" w:hAnsi="Arial"/>
                <w:b/>
                <w:sz w:val="14"/>
              </w:rPr>
              <w:t>M</w:t>
            </w:r>
          </w:p>
          <w:p w:rsidR="008902B1" w:rsidRPr="009C2345" w:rsidRDefault="008902B1" w:rsidP="00EE4378">
            <w:pPr>
              <w:widowControl w:val="0"/>
              <w:jc w:val="center"/>
              <w:rPr>
                <w:rFonts w:ascii="Arial" w:hAnsi="Arial"/>
                <w:sz w:val="14"/>
              </w:rPr>
            </w:pPr>
            <w:r w:rsidRPr="009C2345">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3</w:t>
            </w:r>
          </w:p>
        </w:tc>
        <w:tc>
          <w:tcPr>
            <w:tcW w:w="470"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5</w:t>
            </w:r>
          </w:p>
        </w:tc>
      </w:tr>
      <w:tr w:rsidR="008902B1" w:rsidRPr="009C2345" w:rsidTr="00EE4378">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9C2345" w:rsidRDefault="008902B1" w:rsidP="00EE4378">
            <w:pPr>
              <w:widowControl w:val="0"/>
              <w:jc w:val="center"/>
              <w:rPr>
                <w:rFonts w:ascii="Arial" w:hAnsi="Arial"/>
                <w:b/>
                <w:sz w:val="14"/>
              </w:rPr>
            </w:pPr>
            <w:r w:rsidRPr="009C2345">
              <w:rPr>
                <w:rFonts w:ascii="Arial" w:hAnsi="Arial"/>
                <w:b/>
                <w:sz w:val="14"/>
              </w:rPr>
              <w:t>M</w:t>
            </w:r>
          </w:p>
          <w:p w:rsidR="008902B1" w:rsidRPr="009C2345" w:rsidRDefault="008902B1" w:rsidP="00EE4378">
            <w:pPr>
              <w:widowControl w:val="0"/>
              <w:jc w:val="center"/>
              <w:rPr>
                <w:rFonts w:ascii="Arial" w:hAnsi="Arial"/>
                <w:sz w:val="14"/>
              </w:rPr>
            </w:pPr>
            <w:r w:rsidRPr="009C2345">
              <w:rPr>
                <w:rFonts w:ascii="Arial" w:hAnsi="Arial"/>
                <w:sz w:val="14"/>
              </w:rPr>
              <w:t>5</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9C2345" w:rsidRDefault="008902B1" w:rsidP="00EE4378">
            <w:pPr>
              <w:widowControl w:val="0"/>
              <w:jc w:val="center"/>
              <w:rPr>
                <w:rFonts w:ascii="Arial" w:hAnsi="Arial"/>
                <w:b/>
                <w:sz w:val="14"/>
              </w:rPr>
            </w:pPr>
          </w:p>
          <w:p w:rsidR="008902B1" w:rsidRPr="009C2345" w:rsidRDefault="008902B1" w:rsidP="00EE4378">
            <w:pPr>
              <w:widowControl w:val="0"/>
              <w:jc w:val="center"/>
              <w:rPr>
                <w:rFonts w:ascii="Arial" w:hAnsi="Arial"/>
                <w:sz w:val="14"/>
              </w:rPr>
            </w:pPr>
            <w:r w:rsidRPr="009C2345">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7</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8</w:t>
            </w:r>
          </w:p>
        </w:tc>
        <w:tc>
          <w:tcPr>
            <w:tcW w:w="47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000000" w:fill="auto"/>
            <w:tcMar>
              <w:top w:w="72" w:type="dxa"/>
              <w:left w:w="0" w:type="dxa"/>
              <w:bottom w:w="43" w:type="dxa"/>
              <w:right w:w="0" w:type="dxa"/>
            </w:tcMar>
          </w:tcPr>
          <w:p w:rsidR="008902B1" w:rsidRPr="009C2345" w:rsidRDefault="008902B1" w:rsidP="00EE4378">
            <w:pPr>
              <w:widowControl w:val="0"/>
              <w:jc w:val="center"/>
              <w:rPr>
                <w:rFonts w:ascii="Arial" w:hAnsi="Arial"/>
                <w:b/>
                <w:sz w:val="14"/>
              </w:rPr>
            </w:pPr>
            <w:r w:rsidRPr="009C2345">
              <w:rPr>
                <w:rFonts w:ascii="Arial" w:hAnsi="Arial"/>
                <w:b/>
                <w:sz w:val="14"/>
              </w:rPr>
              <w:t>H</w:t>
            </w:r>
          </w:p>
          <w:p w:rsidR="008902B1" w:rsidRPr="009C2345" w:rsidRDefault="008902B1" w:rsidP="00EE4378">
            <w:pPr>
              <w:widowControl w:val="0"/>
              <w:jc w:val="center"/>
              <w:rPr>
                <w:rFonts w:ascii="Arial" w:hAnsi="Arial"/>
                <w:sz w:val="14"/>
              </w:rPr>
            </w:pPr>
            <w:r w:rsidRPr="009C2345">
              <w:rPr>
                <w:rFonts w:ascii="Arial" w:hAnsi="Arial"/>
                <w:sz w:val="14"/>
              </w:rPr>
              <w:t>11</w:t>
            </w:r>
          </w:p>
        </w:tc>
        <w:tc>
          <w:tcPr>
            <w:tcW w:w="469" w:type="dxa"/>
            <w:tcBorders>
              <w:top w:val="single" w:sz="8" w:space="0" w:color="000000"/>
              <w:left w:val="double" w:sz="6" w:space="0" w:color="000000"/>
              <w:bottom w:val="nil"/>
              <w:right w:val="single" w:sz="8" w:space="0" w:color="000000"/>
            </w:tcBorders>
            <w:shd w:val="pct30"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12</w:t>
            </w:r>
          </w:p>
        </w:tc>
      </w:tr>
      <w:tr w:rsidR="008902B1" w:rsidRPr="009C2345" w:rsidTr="00EE4378">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11</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9C2345" w:rsidRDefault="008902B1" w:rsidP="00EE4378">
            <w:pPr>
              <w:widowControl w:val="0"/>
              <w:jc w:val="center"/>
              <w:rPr>
                <w:rFonts w:ascii="Arial" w:hAnsi="Arial"/>
                <w:b/>
                <w:sz w:val="14"/>
              </w:rPr>
            </w:pPr>
            <w:r w:rsidRPr="009C2345">
              <w:rPr>
                <w:rFonts w:ascii="Arial" w:hAnsi="Arial"/>
                <w:b/>
                <w:sz w:val="14"/>
              </w:rPr>
              <w:t>H</w:t>
            </w:r>
          </w:p>
          <w:p w:rsidR="008902B1" w:rsidRPr="009C2345" w:rsidRDefault="008902B1" w:rsidP="00EE4378">
            <w:pPr>
              <w:widowControl w:val="0"/>
              <w:jc w:val="center"/>
              <w:rPr>
                <w:rFonts w:ascii="Arial" w:hAnsi="Arial"/>
                <w:sz w:val="14"/>
              </w:rPr>
            </w:pPr>
            <w:r w:rsidRPr="009C2345">
              <w:rPr>
                <w:rFonts w:ascii="Arial" w:hAnsi="Arial"/>
                <w:sz w:val="14"/>
              </w:rPr>
              <w:t>12</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15</w:t>
            </w:r>
          </w:p>
        </w:tc>
        <w:tc>
          <w:tcPr>
            <w:tcW w:w="470" w:type="dxa"/>
            <w:tcBorders>
              <w:top w:val="single" w:sz="8" w:space="0" w:color="000000"/>
              <w:left w:val="single" w:sz="8" w:space="0" w:color="000000"/>
              <w:bottom w:val="single" w:sz="4" w:space="0" w:color="auto"/>
              <w:right w:val="single" w:sz="8" w:space="0" w:color="000000"/>
            </w:tcBorders>
            <w:shd w:val="clear" w:color="auto"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9C2345" w:rsidRDefault="008902B1" w:rsidP="00EE4378">
            <w:pPr>
              <w:widowControl w:val="0"/>
              <w:jc w:val="center"/>
              <w:rPr>
                <w:rFonts w:ascii="Arial" w:hAnsi="Arial"/>
                <w:b/>
                <w:sz w:val="14"/>
              </w:rPr>
            </w:pPr>
          </w:p>
          <w:p w:rsidR="008902B1" w:rsidRPr="009C2345" w:rsidRDefault="008902B1" w:rsidP="00EE4378">
            <w:pPr>
              <w:widowControl w:val="0"/>
              <w:jc w:val="center"/>
              <w:rPr>
                <w:rFonts w:ascii="Arial" w:hAnsi="Arial"/>
                <w:sz w:val="14"/>
              </w:rPr>
            </w:pPr>
            <w:r w:rsidRPr="009C2345">
              <w:rPr>
                <w:rFonts w:ascii="Arial" w:hAnsi="Arial"/>
                <w:sz w:val="14"/>
              </w:rPr>
              <w:t>17</w:t>
            </w:r>
          </w:p>
        </w:tc>
        <w:tc>
          <w:tcPr>
            <w:tcW w:w="470" w:type="dxa"/>
            <w:tcBorders>
              <w:top w:val="double" w:sz="6" w:space="0" w:color="000000"/>
              <w:left w:val="single" w:sz="8" w:space="0" w:color="000000"/>
              <w:bottom w:val="nil"/>
              <w:right w:val="nil"/>
            </w:tcBorders>
            <w:shd w:val="clear" w:color="auto"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19</w:t>
            </w:r>
          </w:p>
        </w:tc>
      </w:tr>
      <w:tr w:rsidR="008902B1" w:rsidRPr="009C2345" w:rsidTr="00EE4378">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22</w:t>
            </w:r>
          </w:p>
        </w:tc>
        <w:tc>
          <w:tcPr>
            <w:tcW w:w="470" w:type="dxa"/>
            <w:tcBorders>
              <w:top w:val="single" w:sz="4" w:space="0" w:color="auto"/>
              <w:left w:val="single" w:sz="8" w:space="0" w:color="000000"/>
              <w:bottom w:val="double" w:sz="6" w:space="0" w:color="000000"/>
              <w:right w:val="nil"/>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24</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26</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22</w:t>
            </w:r>
          </w:p>
        </w:tc>
        <w:tc>
          <w:tcPr>
            <w:tcW w:w="469" w:type="dxa"/>
            <w:tcBorders>
              <w:top w:val="single" w:sz="8" w:space="0" w:color="000000"/>
              <w:left w:val="single" w:sz="8" w:space="0" w:color="000000"/>
              <w:bottom w:val="single" w:sz="8" w:space="0" w:color="auto"/>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b/>
                <w:sz w:val="14"/>
              </w:rPr>
            </w:pPr>
          </w:p>
          <w:p w:rsidR="008902B1" w:rsidRPr="009C2345" w:rsidRDefault="008902B1" w:rsidP="00EE4378">
            <w:pPr>
              <w:widowControl w:val="0"/>
              <w:jc w:val="center"/>
              <w:rPr>
                <w:rFonts w:ascii="Arial" w:hAnsi="Arial"/>
                <w:sz w:val="14"/>
              </w:rPr>
            </w:pPr>
            <w:r w:rsidRPr="009C2345">
              <w:rPr>
                <w:rFonts w:ascii="Arial" w:hAnsi="Arial"/>
                <w:sz w:val="14"/>
              </w:rPr>
              <w:t>23</w:t>
            </w:r>
          </w:p>
        </w:tc>
        <w:tc>
          <w:tcPr>
            <w:tcW w:w="470" w:type="dxa"/>
            <w:tcBorders>
              <w:top w:val="single" w:sz="8" w:space="0" w:color="000000"/>
              <w:left w:val="single" w:sz="8" w:space="0" w:color="000000"/>
              <w:bottom w:val="single" w:sz="8" w:space="0" w:color="auto"/>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b/>
                <w:sz w:val="14"/>
              </w:rPr>
            </w:pPr>
          </w:p>
          <w:p w:rsidR="008902B1" w:rsidRPr="009C2345" w:rsidRDefault="008902B1" w:rsidP="00EE4378">
            <w:pPr>
              <w:widowControl w:val="0"/>
              <w:jc w:val="center"/>
              <w:rPr>
                <w:rFonts w:ascii="Arial" w:hAnsi="Arial"/>
                <w:sz w:val="14"/>
              </w:rPr>
            </w:pPr>
            <w:r w:rsidRPr="009C2345">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b/>
                <w:sz w:val="14"/>
              </w:rPr>
            </w:pPr>
            <w:r w:rsidRPr="009C2345">
              <w:rPr>
                <w:rFonts w:ascii="Arial" w:hAnsi="Arial"/>
                <w:b/>
                <w:sz w:val="14"/>
              </w:rPr>
              <w:t>H</w:t>
            </w:r>
          </w:p>
          <w:p w:rsidR="008902B1" w:rsidRPr="009C2345" w:rsidRDefault="008902B1" w:rsidP="00EE4378">
            <w:pPr>
              <w:widowControl w:val="0"/>
              <w:jc w:val="center"/>
              <w:rPr>
                <w:rFonts w:ascii="Arial" w:hAnsi="Arial"/>
                <w:sz w:val="14"/>
              </w:rPr>
            </w:pPr>
            <w:r w:rsidRPr="009C2345">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26</w:t>
            </w:r>
          </w:p>
        </w:tc>
      </w:tr>
      <w:tr w:rsidR="008902B1" w:rsidRPr="009C2345" w:rsidTr="00EE4378">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30</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29</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9C2345" w:rsidRDefault="008902B1" w:rsidP="00EE4378">
            <w:pPr>
              <w:widowControl w:val="0"/>
              <w:jc w:val="center"/>
              <w:rPr>
                <w:rFonts w:ascii="Arial" w:hAnsi="Arial"/>
                <w:b/>
                <w:sz w:val="14"/>
              </w:rPr>
            </w:pPr>
            <w:r w:rsidRPr="009C2345">
              <w:rPr>
                <w:rFonts w:ascii="Arial" w:hAnsi="Arial"/>
                <w:b/>
                <w:sz w:val="14"/>
              </w:rPr>
              <w:t>M</w:t>
            </w:r>
          </w:p>
          <w:p w:rsidR="008902B1" w:rsidRPr="009C2345" w:rsidRDefault="008902B1" w:rsidP="00EE4378">
            <w:pPr>
              <w:widowControl w:val="0"/>
              <w:jc w:val="center"/>
              <w:rPr>
                <w:rFonts w:ascii="Arial" w:hAnsi="Arial"/>
                <w:sz w:val="14"/>
              </w:rPr>
            </w:pPr>
            <w:r w:rsidRPr="009C2345">
              <w:rPr>
                <w:rFonts w:ascii="Arial" w:hAnsi="Arial"/>
                <w:sz w:val="14"/>
              </w:rPr>
              <w:t>30</w:t>
            </w: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b/>
                <w:sz w:val="14"/>
              </w:rPr>
            </w:pPr>
            <w:r w:rsidRPr="009C2345">
              <w:rPr>
                <w:rFonts w:ascii="Arial" w:hAnsi="Arial"/>
                <w:b/>
                <w:sz w:val="14"/>
              </w:rPr>
              <w:t>H</w:t>
            </w:r>
          </w:p>
          <w:p w:rsidR="008902B1" w:rsidRPr="009C2345" w:rsidRDefault="008902B1" w:rsidP="00EE4378">
            <w:pPr>
              <w:widowControl w:val="0"/>
              <w:jc w:val="center"/>
              <w:rPr>
                <w:rFonts w:ascii="Arial" w:hAnsi="Arial"/>
                <w:sz w:val="14"/>
              </w:rPr>
            </w:pPr>
            <w:r w:rsidRPr="009C2345">
              <w:rPr>
                <w:rFonts w:ascii="Arial" w:hAnsi="Arial"/>
                <w:sz w:val="14"/>
              </w:rPr>
              <w:t>28</w:t>
            </w: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29</w:t>
            </w:r>
          </w:p>
        </w:tc>
        <w:tc>
          <w:tcPr>
            <w:tcW w:w="469" w:type="dxa"/>
            <w:tcBorders>
              <w:top w:val="single" w:sz="8" w:space="0" w:color="auto"/>
              <w:left w:val="single" w:sz="8" w:space="0" w:color="000000"/>
              <w:bottom w:val="double" w:sz="6" w:space="0" w:color="000000"/>
              <w:right w:val="single" w:sz="4" w:space="0" w:color="auto"/>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30</w:t>
            </w:r>
          </w:p>
        </w:tc>
        <w:tc>
          <w:tcPr>
            <w:tcW w:w="470" w:type="dxa"/>
            <w:tcBorders>
              <w:top w:val="single" w:sz="8" w:space="0" w:color="auto"/>
              <w:left w:val="single" w:sz="4" w:space="0" w:color="auto"/>
              <w:bottom w:val="double" w:sz="6"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p>
        </w:tc>
      </w:tr>
    </w:tbl>
    <w:p w:rsidR="008902B1" w:rsidRPr="009C2345" w:rsidRDefault="008902B1" w:rsidP="008902B1">
      <w:pPr>
        <w:widowControl w:val="0"/>
        <w:tabs>
          <w:tab w:val="center" w:pos="5400"/>
        </w:tabs>
        <w:rPr>
          <w:rFonts w:ascii="Arial" w:hAnsi="Arial"/>
          <w:sz w:val="16"/>
        </w:rPr>
      </w:pPr>
      <w:r w:rsidRPr="009C2345">
        <w:rPr>
          <w:rFonts w:ascii="Arial" w:hAnsi="Arial"/>
          <w:sz w:val="18"/>
        </w:rPr>
        <w:tab/>
      </w:r>
      <w:r w:rsidRPr="009C2345">
        <w:rPr>
          <w:rFonts w:ascii="Arial" w:hAnsi="Arial"/>
          <w:i/>
          <w:sz w:val="36"/>
        </w:rPr>
        <w:t xml:space="preserve">- </w:t>
      </w:r>
      <w:r w:rsidRPr="009C2345">
        <w:rPr>
          <w:rFonts w:ascii="Arial" w:hAnsi="Arial"/>
          <w:b/>
          <w:i/>
          <w:sz w:val="36"/>
        </w:rPr>
        <w:t>2016</w:t>
      </w:r>
      <w:r w:rsidRPr="009C2345">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902B1" w:rsidRPr="009C2345" w:rsidTr="00EE4378">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9C2345" w:rsidRDefault="008902B1" w:rsidP="00EE4378">
            <w:pPr>
              <w:widowControl w:val="0"/>
              <w:jc w:val="center"/>
              <w:rPr>
                <w:rFonts w:ascii="Arial" w:hAnsi="Arial"/>
                <w:sz w:val="14"/>
              </w:rPr>
            </w:pPr>
            <w:r w:rsidRPr="009C2345">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9C2345" w:rsidRDefault="008902B1" w:rsidP="00EE4378">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9C2345" w:rsidRDefault="008902B1" w:rsidP="00EE4378">
            <w:pPr>
              <w:widowControl w:val="0"/>
              <w:jc w:val="center"/>
              <w:rPr>
                <w:rFonts w:ascii="Arial" w:hAnsi="Arial"/>
                <w:sz w:val="14"/>
              </w:rPr>
            </w:pPr>
            <w:r w:rsidRPr="009C2345">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9C2345" w:rsidRDefault="008902B1" w:rsidP="00EE4378">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9C2345" w:rsidRDefault="008902B1" w:rsidP="00EE4378">
            <w:pPr>
              <w:widowControl w:val="0"/>
              <w:jc w:val="center"/>
              <w:rPr>
                <w:rFonts w:ascii="Arial" w:hAnsi="Arial"/>
                <w:sz w:val="14"/>
              </w:rPr>
            </w:pPr>
            <w:r w:rsidRPr="009C2345">
              <w:rPr>
                <w:rFonts w:ascii="Arial" w:hAnsi="Arial"/>
                <w:b/>
                <w:sz w:val="14"/>
              </w:rPr>
              <w:t>MARCH - MARS</w:t>
            </w:r>
          </w:p>
        </w:tc>
      </w:tr>
      <w:tr w:rsidR="008902B1" w:rsidRPr="009C2345" w:rsidTr="00EE4378">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r w:rsidRPr="009C2345">
              <w:rPr>
                <w:rFonts w:ascii="Arial" w:hAnsi="Arial"/>
                <w:sz w:val="14"/>
              </w:rPr>
              <w:t>S</w:t>
            </w:r>
          </w:p>
          <w:p w:rsidR="008902B1" w:rsidRPr="009C2345" w:rsidRDefault="008902B1" w:rsidP="00EE4378">
            <w:pPr>
              <w:widowControl w:val="0"/>
              <w:jc w:val="center"/>
              <w:rPr>
                <w:rFonts w:ascii="Arial" w:hAnsi="Arial"/>
                <w:sz w:val="14"/>
              </w:rPr>
            </w:pPr>
            <w:r w:rsidRPr="009C2345">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r w:rsidRPr="009C2345">
              <w:rPr>
                <w:rFonts w:ascii="Arial" w:hAnsi="Arial"/>
                <w:sz w:val="14"/>
              </w:rPr>
              <w:t>M</w:t>
            </w:r>
          </w:p>
          <w:p w:rsidR="008902B1" w:rsidRPr="009C2345" w:rsidRDefault="008902B1" w:rsidP="00EE4378">
            <w:pPr>
              <w:widowControl w:val="0"/>
              <w:jc w:val="center"/>
              <w:rPr>
                <w:rFonts w:ascii="Arial" w:hAnsi="Arial"/>
                <w:sz w:val="14"/>
              </w:rPr>
            </w:pPr>
            <w:r w:rsidRPr="009C2345">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r w:rsidRPr="009C2345">
              <w:rPr>
                <w:rFonts w:ascii="Arial" w:hAnsi="Arial"/>
                <w:sz w:val="14"/>
              </w:rPr>
              <w:t>T</w:t>
            </w:r>
          </w:p>
          <w:p w:rsidR="008902B1" w:rsidRPr="009C2345" w:rsidRDefault="008902B1" w:rsidP="00EE4378">
            <w:pPr>
              <w:widowControl w:val="0"/>
              <w:jc w:val="center"/>
              <w:rPr>
                <w:rFonts w:ascii="Arial" w:hAnsi="Arial"/>
                <w:sz w:val="14"/>
              </w:rPr>
            </w:pPr>
            <w:r w:rsidRPr="009C2345">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r w:rsidRPr="009C2345">
              <w:rPr>
                <w:rFonts w:ascii="Arial" w:hAnsi="Arial"/>
                <w:sz w:val="14"/>
              </w:rPr>
              <w:t>W</w:t>
            </w:r>
          </w:p>
          <w:p w:rsidR="008902B1" w:rsidRPr="009C2345" w:rsidRDefault="008902B1" w:rsidP="00EE4378">
            <w:pPr>
              <w:widowControl w:val="0"/>
              <w:jc w:val="center"/>
              <w:rPr>
                <w:rFonts w:ascii="Arial" w:hAnsi="Arial"/>
                <w:sz w:val="14"/>
              </w:rPr>
            </w:pPr>
            <w:r w:rsidRPr="009C2345">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r w:rsidRPr="009C2345">
              <w:rPr>
                <w:rFonts w:ascii="Arial" w:hAnsi="Arial"/>
                <w:sz w:val="14"/>
              </w:rPr>
              <w:t>T</w:t>
            </w:r>
          </w:p>
          <w:p w:rsidR="008902B1" w:rsidRPr="009C2345" w:rsidRDefault="008902B1" w:rsidP="00EE4378">
            <w:pPr>
              <w:widowControl w:val="0"/>
              <w:jc w:val="center"/>
              <w:rPr>
                <w:rFonts w:ascii="Arial" w:hAnsi="Arial"/>
                <w:sz w:val="14"/>
              </w:rPr>
            </w:pPr>
            <w:r w:rsidRPr="009C2345">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r w:rsidRPr="009C2345">
              <w:rPr>
                <w:rFonts w:ascii="Arial" w:hAnsi="Arial"/>
                <w:sz w:val="14"/>
              </w:rPr>
              <w:t>F</w:t>
            </w:r>
          </w:p>
          <w:p w:rsidR="008902B1" w:rsidRPr="009C2345" w:rsidRDefault="008902B1" w:rsidP="00EE4378">
            <w:pPr>
              <w:widowControl w:val="0"/>
              <w:jc w:val="center"/>
              <w:rPr>
                <w:rFonts w:ascii="Arial" w:hAnsi="Arial"/>
                <w:sz w:val="14"/>
              </w:rPr>
            </w:pPr>
            <w:r w:rsidRPr="009C2345">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r w:rsidRPr="009C2345">
              <w:rPr>
                <w:rFonts w:ascii="Arial" w:hAnsi="Arial"/>
                <w:sz w:val="14"/>
              </w:rPr>
              <w:t>S</w:t>
            </w:r>
          </w:p>
          <w:p w:rsidR="008902B1" w:rsidRPr="009C2345" w:rsidRDefault="008902B1" w:rsidP="00EE4378">
            <w:pPr>
              <w:widowControl w:val="0"/>
              <w:jc w:val="center"/>
              <w:rPr>
                <w:rFonts w:ascii="Arial" w:hAnsi="Arial"/>
                <w:sz w:val="14"/>
              </w:rPr>
            </w:pPr>
            <w:r w:rsidRPr="009C2345">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r w:rsidRPr="009C2345">
              <w:rPr>
                <w:rFonts w:ascii="Arial" w:hAnsi="Arial"/>
                <w:sz w:val="14"/>
              </w:rPr>
              <w:t>S</w:t>
            </w:r>
          </w:p>
          <w:p w:rsidR="008902B1" w:rsidRPr="009C2345" w:rsidRDefault="008902B1" w:rsidP="00EE4378">
            <w:pPr>
              <w:widowControl w:val="0"/>
              <w:jc w:val="center"/>
              <w:rPr>
                <w:rFonts w:ascii="Arial" w:hAnsi="Arial"/>
                <w:sz w:val="14"/>
              </w:rPr>
            </w:pPr>
            <w:r w:rsidRPr="009C2345">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r w:rsidRPr="009C2345">
              <w:rPr>
                <w:rFonts w:ascii="Arial" w:hAnsi="Arial"/>
                <w:sz w:val="14"/>
              </w:rPr>
              <w:t>M</w:t>
            </w:r>
          </w:p>
          <w:p w:rsidR="008902B1" w:rsidRPr="009C2345" w:rsidRDefault="008902B1" w:rsidP="00EE4378">
            <w:pPr>
              <w:widowControl w:val="0"/>
              <w:jc w:val="center"/>
              <w:rPr>
                <w:rFonts w:ascii="Arial" w:hAnsi="Arial"/>
                <w:sz w:val="14"/>
              </w:rPr>
            </w:pPr>
            <w:r w:rsidRPr="009C2345">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r w:rsidRPr="009C2345">
              <w:rPr>
                <w:rFonts w:ascii="Arial" w:hAnsi="Arial"/>
                <w:sz w:val="14"/>
              </w:rPr>
              <w:t>T</w:t>
            </w:r>
          </w:p>
          <w:p w:rsidR="008902B1" w:rsidRPr="009C2345" w:rsidRDefault="008902B1" w:rsidP="00EE4378">
            <w:pPr>
              <w:widowControl w:val="0"/>
              <w:jc w:val="center"/>
              <w:rPr>
                <w:rFonts w:ascii="Arial" w:hAnsi="Arial"/>
                <w:sz w:val="14"/>
              </w:rPr>
            </w:pPr>
            <w:r w:rsidRPr="009C2345">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r w:rsidRPr="009C2345">
              <w:rPr>
                <w:rFonts w:ascii="Arial" w:hAnsi="Arial"/>
                <w:sz w:val="14"/>
              </w:rPr>
              <w:t>W</w:t>
            </w:r>
          </w:p>
          <w:p w:rsidR="008902B1" w:rsidRPr="009C2345" w:rsidRDefault="008902B1" w:rsidP="00EE4378">
            <w:pPr>
              <w:widowControl w:val="0"/>
              <w:jc w:val="center"/>
              <w:rPr>
                <w:rFonts w:ascii="Arial" w:hAnsi="Arial"/>
                <w:sz w:val="14"/>
              </w:rPr>
            </w:pPr>
            <w:r w:rsidRPr="009C2345">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r w:rsidRPr="009C2345">
              <w:rPr>
                <w:rFonts w:ascii="Arial" w:hAnsi="Arial"/>
                <w:sz w:val="14"/>
              </w:rPr>
              <w:t>T</w:t>
            </w:r>
          </w:p>
          <w:p w:rsidR="008902B1" w:rsidRPr="009C2345" w:rsidRDefault="008902B1" w:rsidP="00EE4378">
            <w:pPr>
              <w:widowControl w:val="0"/>
              <w:jc w:val="center"/>
              <w:rPr>
                <w:rFonts w:ascii="Arial" w:hAnsi="Arial"/>
                <w:sz w:val="14"/>
              </w:rPr>
            </w:pPr>
            <w:r w:rsidRPr="009C2345">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r w:rsidRPr="009C2345">
              <w:rPr>
                <w:rFonts w:ascii="Arial" w:hAnsi="Arial"/>
                <w:sz w:val="14"/>
              </w:rPr>
              <w:t>F</w:t>
            </w:r>
          </w:p>
          <w:p w:rsidR="008902B1" w:rsidRPr="009C2345" w:rsidRDefault="008902B1" w:rsidP="00EE4378">
            <w:pPr>
              <w:widowControl w:val="0"/>
              <w:jc w:val="center"/>
              <w:rPr>
                <w:rFonts w:ascii="Arial" w:hAnsi="Arial"/>
                <w:sz w:val="14"/>
              </w:rPr>
            </w:pPr>
            <w:r w:rsidRPr="009C2345">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r w:rsidRPr="009C2345">
              <w:rPr>
                <w:rFonts w:ascii="Arial" w:hAnsi="Arial"/>
                <w:sz w:val="14"/>
              </w:rPr>
              <w:t>S</w:t>
            </w:r>
          </w:p>
          <w:p w:rsidR="008902B1" w:rsidRPr="009C2345" w:rsidRDefault="008902B1" w:rsidP="00EE4378">
            <w:pPr>
              <w:widowControl w:val="0"/>
              <w:jc w:val="center"/>
              <w:rPr>
                <w:rFonts w:ascii="Arial" w:hAnsi="Arial"/>
                <w:sz w:val="14"/>
              </w:rPr>
            </w:pPr>
            <w:r w:rsidRPr="009C2345">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r w:rsidRPr="009C2345">
              <w:rPr>
                <w:rFonts w:ascii="Arial" w:hAnsi="Arial"/>
                <w:sz w:val="14"/>
              </w:rPr>
              <w:t>S</w:t>
            </w:r>
          </w:p>
          <w:p w:rsidR="008902B1" w:rsidRPr="009C2345" w:rsidRDefault="008902B1" w:rsidP="00EE4378">
            <w:pPr>
              <w:widowControl w:val="0"/>
              <w:jc w:val="center"/>
              <w:rPr>
                <w:rFonts w:ascii="Arial" w:hAnsi="Arial"/>
                <w:sz w:val="14"/>
              </w:rPr>
            </w:pPr>
            <w:r w:rsidRPr="009C2345">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r w:rsidRPr="009C2345">
              <w:rPr>
                <w:rFonts w:ascii="Arial" w:hAnsi="Arial"/>
                <w:sz w:val="14"/>
              </w:rPr>
              <w:t>M</w:t>
            </w:r>
          </w:p>
          <w:p w:rsidR="008902B1" w:rsidRPr="009C2345" w:rsidRDefault="008902B1" w:rsidP="00EE4378">
            <w:pPr>
              <w:widowControl w:val="0"/>
              <w:jc w:val="center"/>
              <w:rPr>
                <w:rFonts w:ascii="Arial" w:hAnsi="Arial"/>
                <w:sz w:val="14"/>
              </w:rPr>
            </w:pPr>
            <w:r w:rsidRPr="009C2345">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r w:rsidRPr="009C2345">
              <w:rPr>
                <w:rFonts w:ascii="Arial" w:hAnsi="Arial"/>
                <w:sz w:val="14"/>
              </w:rPr>
              <w:t>T</w:t>
            </w:r>
          </w:p>
          <w:p w:rsidR="008902B1" w:rsidRPr="009C2345" w:rsidRDefault="008902B1" w:rsidP="00EE4378">
            <w:pPr>
              <w:widowControl w:val="0"/>
              <w:jc w:val="center"/>
              <w:rPr>
                <w:rFonts w:ascii="Arial" w:hAnsi="Arial"/>
                <w:sz w:val="14"/>
              </w:rPr>
            </w:pPr>
            <w:r w:rsidRPr="009C2345">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r w:rsidRPr="009C2345">
              <w:rPr>
                <w:rFonts w:ascii="Arial" w:hAnsi="Arial"/>
                <w:sz w:val="14"/>
              </w:rPr>
              <w:t>W</w:t>
            </w:r>
          </w:p>
          <w:p w:rsidR="008902B1" w:rsidRPr="009C2345" w:rsidRDefault="008902B1" w:rsidP="00EE4378">
            <w:pPr>
              <w:widowControl w:val="0"/>
              <w:jc w:val="center"/>
              <w:rPr>
                <w:rFonts w:ascii="Arial" w:hAnsi="Arial"/>
                <w:sz w:val="14"/>
              </w:rPr>
            </w:pPr>
            <w:r w:rsidRPr="009C2345">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r w:rsidRPr="009C2345">
              <w:rPr>
                <w:rFonts w:ascii="Arial" w:hAnsi="Arial"/>
                <w:sz w:val="14"/>
              </w:rPr>
              <w:t>T</w:t>
            </w:r>
          </w:p>
          <w:p w:rsidR="008902B1" w:rsidRPr="009C2345" w:rsidRDefault="008902B1" w:rsidP="00EE4378">
            <w:pPr>
              <w:widowControl w:val="0"/>
              <w:jc w:val="center"/>
              <w:rPr>
                <w:rFonts w:ascii="Arial" w:hAnsi="Arial"/>
                <w:sz w:val="14"/>
              </w:rPr>
            </w:pPr>
            <w:r w:rsidRPr="009C2345">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r w:rsidRPr="009C2345">
              <w:rPr>
                <w:rFonts w:ascii="Arial" w:hAnsi="Arial"/>
                <w:sz w:val="14"/>
              </w:rPr>
              <w:t>F</w:t>
            </w:r>
          </w:p>
          <w:p w:rsidR="008902B1" w:rsidRPr="009C2345" w:rsidRDefault="008902B1" w:rsidP="00EE4378">
            <w:pPr>
              <w:widowControl w:val="0"/>
              <w:jc w:val="center"/>
              <w:rPr>
                <w:rFonts w:ascii="Arial" w:hAnsi="Arial"/>
                <w:sz w:val="14"/>
              </w:rPr>
            </w:pPr>
            <w:r w:rsidRPr="009C2345">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r w:rsidRPr="009C2345">
              <w:rPr>
                <w:rFonts w:ascii="Arial" w:hAnsi="Arial"/>
                <w:sz w:val="14"/>
              </w:rPr>
              <w:t>S</w:t>
            </w:r>
          </w:p>
          <w:p w:rsidR="008902B1" w:rsidRPr="009C2345" w:rsidRDefault="008902B1" w:rsidP="00EE4378">
            <w:pPr>
              <w:widowControl w:val="0"/>
              <w:jc w:val="center"/>
              <w:rPr>
                <w:rFonts w:ascii="Arial" w:hAnsi="Arial"/>
                <w:sz w:val="14"/>
              </w:rPr>
            </w:pPr>
            <w:r w:rsidRPr="009C2345">
              <w:rPr>
                <w:rFonts w:ascii="Arial" w:hAnsi="Arial"/>
                <w:sz w:val="14"/>
              </w:rPr>
              <w:t>S</w:t>
            </w:r>
          </w:p>
        </w:tc>
      </w:tr>
      <w:tr w:rsidR="008902B1" w:rsidRPr="009C2345" w:rsidTr="00EE4378">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b/>
                <w:sz w:val="14"/>
              </w:rPr>
            </w:pPr>
          </w:p>
          <w:p w:rsidR="008902B1" w:rsidRPr="009C2345" w:rsidRDefault="008902B1" w:rsidP="00EE4378">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b/>
                <w:sz w:val="14"/>
              </w:rPr>
            </w:pPr>
          </w:p>
          <w:p w:rsidR="008902B1" w:rsidRPr="009C2345" w:rsidRDefault="008902B1" w:rsidP="00EE4378">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b/>
                <w:sz w:val="14"/>
              </w:rPr>
            </w:pPr>
          </w:p>
          <w:p w:rsidR="008902B1" w:rsidRPr="009C2345" w:rsidRDefault="008902B1" w:rsidP="00EE4378">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b/>
                <w:sz w:val="14"/>
              </w:rPr>
            </w:pPr>
            <w:r w:rsidRPr="009C2345">
              <w:rPr>
                <w:rFonts w:ascii="Arial" w:hAnsi="Arial"/>
                <w:b/>
                <w:sz w:val="14"/>
              </w:rPr>
              <w:t>H</w:t>
            </w:r>
          </w:p>
          <w:p w:rsidR="008902B1" w:rsidRPr="009C2345" w:rsidRDefault="008902B1" w:rsidP="00EE4378">
            <w:pPr>
              <w:widowControl w:val="0"/>
              <w:jc w:val="center"/>
              <w:rPr>
                <w:rFonts w:ascii="Arial" w:hAnsi="Arial"/>
                <w:sz w:val="14"/>
              </w:rPr>
            </w:pPr>
            <w:r w:rsidRPr="009C2345">
              <w:rPr>
                <w:rFonts w:ascii="Arial" w:hAnsi="Arial"/>
                <w:sz w:val="14"/>
              </w:rPr>
              <w:t>1</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5</w:t>
            </w:r>
          </w:p>
        </w:tc>
      </w:tr>
      <w:tr w:rsidR="008902B1" w:rsidRPr="009C2345" w:rsidTr="00EE4378">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12</w:t>
            </w:r>
          </w:p>
        </w:tc>
      </w:tr>
      <w:tr w:rsidR="008902B1" w:rsidRPr="009C2345" w:rsidTr="00EE4378">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9C2345" w:rsidRDefault="008902B1" w:rsidP="00EE4378">
            <w:pPr>
              <w:widowControl w:val="0"/>
              <w:jc w:val="center"/>
              <w:rPr>
                <w:rFonts w:ascii="Arial" w:hAnsi="Arial"/>
                <w:b/>
                <w:sz w:val="14"/>
              </w:rPr>
            </w:pPr>
            <w:r w:rsidRPr="009C2345">
              <w:rPr>
                <w:rFonts w:ascii="Arial" w:hAnsi="Arial"/>
                <w:b/>
                <w:sz w:val="14"/>
              </w:rPr>
              <w:t>M</w:t>
            </w:r>
          </w:p>
          <w:p w:rsidR="008902B1" w:rsidRPr="009C2345" w:rsidRDefault="008902B1" w:rsidP="00EE4378">
            <w:pPr>
              <w:widowControl w:val="0"/>
              <w:jc w:val="center"/>
              <w:rPr>
                <w:rFonts w:ascii="Arial" w:hAnsi="Arial"/>
                <w:sz w:val="14"/>
              </w:rPr>
            </w:pPr>
            <w:r w:rsidRPr="009C2345">
              <w:rPr>
                <w:rFonts w:ascii="Arial" w:hAnsi="Arial"/>
                <w:sz w:val="14"/>
              </w:rPr>
              <w:t>11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14</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9C2345" w:rsidRDefault="008902B1" w:rsidP="00EE4378">
            <w:pPr>
              <w:widowControl w:val="0"/>
              <w:jc w:val="center"/>
              <w:rPr>
                <w:rFonts w:ascii="Arial" w:hAnsi="Arial"/>
                <w:b/>
                <w:sz w:val="14"/>
              </w:rPr>
            </w:pPr>
            <w:r w:rsidRPr="009C2345">
              <w:rPr>
                <w:rFonts w:ascii="Arial" w:hAnsi="Arial"/>
                <w:b/>
                <w:sz w:val="14"/>
              </w:rPr>
              <w:t>M</w:t>
            </w:r>
          </w:p>
          <w:p w:rsidR="008902B1" w:rsidRPr="009C2345" w:rsidRDefault="008902B1" w:rsidP="00EE4378">
            <w:pPr>
              <w:widowControl w:val="0"/>
              <w:jc w:val="center"/>
              <w:rPr>
                <w:rFonts w:ascii="Arial" w:hAnsi="Arial"/>
                <w:sz w:val="14"/>
              </w:rPr>
            </w:pPr>
            <w:r w:rsidRPr="009C2345">
              <w:rPr>
                <w:rFonts w:ascii="Arial" w:hAnsi="Arial"/>
                <w:sz w:val="14"/>
              </w:rPr>
              <w:t>15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19</w:t>
            </w:r>
          </w:p>
        </w:tc>
      </w:tr>
      <w:tr w:rsidR="008902B1" w:rsidRPr="009C2345" w:rsidTr="00EE4378">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21</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9C2345" w:rsidRDefault="008902B1" w:rsidP="00EE4378">
            <w:pPr>
              <w:widowControl w:val="0"/>
              <w:jc w:val="center"/>
              <w:rPr>
                <w:rFonts w:ascii="Arial" w:hAnsi="Arial"/>
                <w:b/>
                <w:sz w:val="14"/>
              </w:rPr>
            </w:pPr>
            <w:r w:rsidRPr="009C2345">
              <w:rPr>
                <w:rFonts w:ascii="Arial" w:hAnsi="Arial"/>
                <w:b/>
                <w:sz w:val="14"/>
              </w:rPr>
              <w:t>M</w:t>
            </w:r>
          </w:p>
          <w:p w:rsidR="008902B1" w:rsidRPr="009C2345" w:rsidRDefault="008902B1" w:rsidP="00EE4378">
            <w:pPr>
              <w:widowControl w:val="0"/>
              <w:jc w:val="center"/>
              <w:rPr>
                <w:rFonts w:ascii="Arial" w:hAnsi="Arial"/>
                <w:sz w:val="14"/>
              </w:rPr>
            </w:pPr>
            <w:r w:rsidRPr="009C2345">
              <w:rPr>
                <w:rFonts w:ascii="Arial" w:hAnsi="Arial"/>
                <w:sz w:val="14"/>
              </w:rPr>
              <w:t>21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23</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9C2345" w:rsidRDefault="008902B1" w:rsidP="00EE4378">
            <w:pPr>
              <w:widowControl w:val="0"/>
              <w:jc w:val="center"/>
              <w:rPr>
                <w:rFonts w:ascii="Arial" w:hAnsi="Arial"/>
                <w:b/>
                <w:sz w:val="14"/>
              </w:rPr>
            </w:pPr>
            <w:r w:rsidRPr="009C2345">
              <w:rPr>
                <w:rFonts w:ascii="Arial" w:hAnsi="Arial"/>
                <w:b/>
                <w:sz w:val="14"/>
              </w:rPr>
              <w:t>H</w:t>
            </w:r>
          </w:p>
          <w:p w:rsidR="008902B1" w:rsidRPr="009C2345" w:rsidRDefault="008902B1" w:rsidP="00EE4378">
            <w:pPr>
              <w:widowControl w:val="0"/>
              <w:jc w:val="center"/>
              <w:rPr>
                <w:rFonts w:ascii="Arial" w:hAnsi="Arial"/>
                <w:sz w:val="14"/>
              </w:rPr>
            </w:pPr>
            <w:r w:rsidRPr="009C2345">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26</w:t>
            </w:r>
          </w:p>
        </w:tc>
      </w:tr>
      <w:tr w:rsidR="008902B1" w:rsidRPr="009C2345" w:rsidTr="00EE4378">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9C2345" w:rsidRDefault="008902B1" w:rsidP="00EE4378">
            <w:pPr>
              <w:widowControl w:val="0"/>
              <w:rPr>
                <w:rFonts w:ascii="Arial" w:hAnsi="Arial"/>
                <w:sz w:val="14"/>
              </w:rPr>
            </w:pPr>
            <w:r w:rsidRPr="009C2345">
              <w:rPr>
                <w:rFonts w:ascii="Arial" w:hAnsi="Arial"/>
                <w:sz w:val="14"/>
              </w:rPr>
              <w:t xml:space="preserve"> 24</w:t>
            </w:r>
          </w:p>
          <w:p w:rsidR="008902B1" w:rsidRPr="009C2345" w:rsidRDefault="008902B1" w:rsidP="00EE4378">
            <w:pPr>
              <w:widowControl w:val="0"/>
              <w:jc w:val="center"/>
              <w:rPr>
                <w:rFonts w:ascii="Arial" w:hAnsi="Arial"/>
                <w:sz w:val="14"/>
              </w:rPr>
            </w:pPr>
            <w:r w:rsidRPr="009C2345">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9C2345" w:rsidRDefault="008902B1" w:rsidP="00EE4378">
            <w:pPr>
              <w:widowControl w:val="0"/>
              <w:jc w:val="center"/>
              <w:rPr>
                <w:rFonts w:ascii="Arial" w:hAnsi="Arial"/>
                <w:b/>
                <w:sz w:val="14"/>
              </w:rPr>
            </w:pPr>
            <w:r w:rsidRPr="009C2345">
              <w:rPr>
                <w:rFonts w:ascii="Arial" w:hAnsi="Arial"/>
                <w:b/>
                <w:sz w:val="14"/>
              </w:rPr>
              <w:t>H</w:t>
            </w:r>
          </w:p>
          <w:p w:rsidR="008902B1" w:rsidRPr="009C2345" w:rsidRDefault="008902B1" w:rsidP="00EE4378">
            <w:pPr>
              <w:widowControl w:val="0"/>
              <w:jc w:val="center"/>
              <w:rPr>
                <w:rFonts w:ascii="Arial" w:hAnsi="Arial"/>
                <w:sz w:val="14"/>
              </w:rPr>
            </w:pPr>
            <w:r w:rsidRPr="009C2345">
              <w:rPr>
                <w:rFonts w:ascii="Arial" w:hAnsi="Arial"/>
                <w:sz w:val="14"/>
              </w:rPr>
              <w:t>28</w:t>
            </w:r>
          </w:p>
        </w:tc>
        <w:tc>
          <w:tcPr>
            <w:tcW w:w="469" w:type="dxa"/>
            <w:tcBorders>
              <w:top w:val="single" w:sz="8" w:space="0" w:color="000000"/>
              <w:left w:val="double" w:sz="6"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9C2345" w:rsidRDefault="008902B1" w:rsidP="00EE4378">
            <w:pPr>
              <w:widowControl w:val="0"/>
              <w:jc w:val="center"/>
              <w:rPr>
                <w:rFonts w:ascii="Arial" w:hAnsi="Arial"/>
                <w:b/>
                <w:sz w:val="14"/>
              </w:rPr>
            </w:pPr>
          </w:p>
          <w:p w:rsidR="008902B1" w:rsidRPr="009C2345" w:rsidRDefault="008902B1" w:rsidP="00EE4378">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tc>
      </w:tr>
    </w:tbl>
    <w:p w:rsidR="008902B1" w:rsidRPr="009C2345" w:rsidRDefault="008902B1" w:rsidP="008902B1">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902B1" w:rsidRPr="009C2345" w:rsidTr="00EE4378">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9C2345" w:rsidRDefault="008902B1" w:rsidP="00EE4378">
            <w:pPr>
              <w:widowControl w:val="0"/>
              <w:jc w:val="center"/>
              <w:rPr>
                <w:rFonts w:ascii="Arial" w:hAnsi="Arial"/>
                <w:sz w:val="14"/>
              </w:rPr>
            </w:pPr>
            <w:r w:rsidRPr="009C2345">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9C2345" w:rsidRDefault="008902B1" w:rsidP="00EE4378">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9C2345" w:rsidRDefault="008902B1" w:rsidP="00EE4378">
            <w:pPr>
              <w:widowControl w:val="0"/>
              <w:jc w:val="center"/>
              <w:rPr>
                <w:rFonts w:ascii="Arial" w:hAnsi="Arial"/>
                <w:sz w:val="14"/>
              </w:rPr>
            </w:pPr>
            <w:r w:rsidRPr="009C2345">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9C2345" w:rsidRDefault="008902B1" w:rsidP="00EE4378">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9C2345" w:rsidRDefault="008902B1" w:rsidP="00EE4378">
            <w:pPr>
              <w:widowControl w:val="0"/>
              <w:jc w:val="center"/>
              <w:rPr>
                <w:rFonts w:ascii="Arial" w:hAnsi="Arial"/>
                <w:sz w:val="14"/>
              </w:rPr>
            </w:pPr>
            <w:r w:rsidRPr="009C2345">
              <w:rPr>
                <w:rFonts w:ascii="Arial" w:hAnsi="Arial"/>
                <w:b/>
                <w:sz w:val="14"/>
              </w:rPr>
              <w:t>JUNE - JUIN</w:t>
            </w:r>
          </w:p>
        </w:tc>
      </w:tr>
      <w:tr w:rsidR="008902B1" w:rsidRPr="009C2345" w:rsidTr="00EE4378">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r w:rsidRPr="009C2345">
              <w:rPr>
                <w:rFonts w:ascii="Arial" w:hAnsi="Arial"/>
                <w:sz w:val="14"/>
              </w:rPr>
              <w:t>S</w:t>
            </w:r>
          </w:p>
          <w:p w:rsidR="008902B1" w:rsidRPr="009C2345" w:rsidRDefault="008902B1" w:rsidP="00EE4378">
            <w:pPr>
              <w:widowControl w:val="0"/>
              <w:jc w:val="center"/>
              <w:rPr>
                <w:rFonts w:ascii="Arial" w:hAnsi="Arial"/>
                <w:sz w:val="14"/>
              </w:rPr>
            </w:pPr>
            <w:r w:rsidRPr="009C2345">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r w:rsidRPr="009C2345">
              <w:rPr>
                <w:rFonts w:ascii="Arial" w:hAnsi="Arial"/>
                <w:sz w:val="14"/>
              </w:rPr>
              <w:t>M</w:t>
            </w:r>
          </w:p>
          <w:p w:rsidR="008902B1" w:rsidRPr="009C2345" w:rsidRDefault="008902B1" w:rsidP="00EE4378">
            <w:pPr>
              <w:widowControl w:val="0"/>
              <w:jc w:val="center"/>
              <w:rPr>
                <w:rFonts w:ascii="Arial" w:hAnsi="Arial"/>
                <w:sz w:val="14"/>
              </w:rPr>
            </w:pPr>
            <w:r w:rsidRPr="009C2345">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r w:rsidRPr="009C2345">
              <w:rPr>
                <w:rFonts w:ascii="Arial" w:hAnsi="Arial"/>
                <w:sz w:val="14"/>
              </w:rPr>
              <w:t>T</w:t>
            </w:r>
          </w:p>
          <w:p w:rsidR="008902B1" w:rsidRPr="009C2345" w:rsidRDefault="008902B1" w:rsidP="00EE4378">
            <w:pPr>
              <w:widowControl w:val="0"/>
              <w:jc w:val="center"/>
              <w:rPr>
                <w:rFonts w:ascii="Arial" w:hAnsi="Arial"/>
                <w:sz w:val="14"/>
              </w:rPr>
            </w:pPr>
            <w:r w:rsidRPr="009C2345">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r w:rsidRPr="009C2345">
              <w:rPr>
                <w:rFonts w:ascii="Arial" w:hAnsi="Arial"/>
                <w:sz w:val="14"/>
              </w:rPr>
              <w:t>W</w:t>
            </w:r>
          </w:p>
          <w:p w:rsidR="008902B1" w:rsidRPr="009C2345" w:rsidRDefault="008902B1" w:rsidP="00EE4378">
            <w:pPr>
              <w:widowControl w:val="0"/>
              <w:jc w:val="center"/>
              <w:rPr>
                <w:rFonts w:ascii="Arial" w:hAnsi="Arial"/>
                <w:sz w:val="14"/>
              </w:rPr>
            </w:pPr>
            <w:r w:rsidRPr="009C2345">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r w:rsidRPr="009C2345">
              <w:rPr>
                <w:rFonts w:ascii="Arial" w:hAnsi="Arial"/>
                <w:sz w:val="14"/>
              </w:rPr>
              <w:t>T</w:t>
            </w:r>
          </w:p>
          <w:p w:rsidR="008902B1" w:rsidRPr="009C2345" w:rsidRDefault="008902B1" w:rsidP="00EE4378">
            <w:pPr>
              <w:widowControl w:val="0"/>
              <w:jc w:val="center"/>
              <w:rPr>
                <w:rFonts w:ascii="Arial" w:hAnsi="Arial"/>
                <w:sz w:val="14"/>
              </w:rPr>
            </w:pPr>
            <w:r w:rsidRPr="009C2345">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r w:rsidRPr="009C2345">
              <w:rPr>
                <w:rFonts w:ascii="Arial" w:hAnsi="Arial"/>
                <w:sz w:val="14"/>
              </w:rPr>
              <w:t>F</w:t>
            </w:r>
          </w:p>
          <w:p w:rsidR="008902B1" w:rsidRPr="009C2345" w:rsidRDefault="008902B1" w:rsidP="00EE4378">
            <w:pPr>
              <w:widowControl w:val="0"/>
              <w:jc w:val="center"/>
              <w:rPr>
                <w:rFonts w:ascii="Arial" w:hAnsi="Arial"/>
                <w:sz w:val="14"/>
              </w:rPr>
            </w:pPr>
            <w:r w:rsidRPr="009C2345">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r w:rsidRPr="009C2345">
              <w:rPr>
                <w:rFonts w:ascii="Arial" w:hAnsi="Arial"/>
                <w:sz w:val="14"/>
              </w:rPr>
              <w:t>S</w:t>
            </w:r>
          </w:p>
          <w:p w:rsidR="008902B1" w:rsidRPr="009C2345" w:rsidRDefault="008902B1" w:rsidP="00EE4378">
            <w:pPr>
              <w:widowControl w:val="0"/>
              <w:jc w:val="center"/>
              <w:rPr>
                <w:rFonts w:ascii="Arial" w:hAnsi="Arial"/>
                <w:sz w:val="14"/>
              </w:rPr>
            </w:pPr>
            <w:r w:rsidRPr="009C2345">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r w:rsidRPr="009C2345">
              <w:rPr>
                <w:rFonts w:ascii="Arial" w:hAnsi="Arial"/>
                <w:sz w:val="14"/>
              </w:rPr>
              <w:t>S</w:t>
            </w:r>
          </w:p>
          <w:p w:rsidR="008902B1" w:rsidRPr="009C2345" w:rsidRDefault="008902B1" w:rsidP="00EE4378">
            <w:pPr>
              <w:widowControl w:val="0"/>
              <w:jc w:val="center"/>
              <w:rPr>
                <w:rFonts w:ascii="Arial" w:hAnsi="Arial"/>
                <w:sz w:val="14"/>
              </w:rPr>
            </w:pPr>
            <w:r w:rsidRPr="009C2345">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r w:rsidRPr="009C2345">
              <w:rPr>
                <w:rFonts w:ascii="Arial" w:hAnsi="Arial"/>
                <w:sz w:val="14"/>
              </w:rPr>
              <w:t>M</w:t>
            </w:r>
          </w:p>
          <w:p w:rsidR="008902B1" w:rsidRPr="009C2345" w:rsidRDefault="008902B1" w:rsidP="00EE4378">
            <w:pPr>
              <w:widowControl w:val="0"/>
              <w:jc w:val="center"/>
              <w:rPr>
                <w:rFonts w:ascii="Arial" w:hAnsi="Arial"/>
                <w:sz w:val="14"/>
              </w:rPr>
            </w:pPr>
            <w:r w:rsidRPr="009C2345">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r w:rsidRPr="009C2345">
              <w:rPr>
                <w:rFonts w:ascii="Arial" w:hAnsi="Arial"/>
                <w:sz w:val="14"/>
              </w:rPr>
              <w:t>T</w:t>
            </w:r>
          </w:p>
          <w:p w:rsidR="008902B1" w:rsidRPr="009C2345" w:rsidRDefault="008902B1" w:rsidP="00EE4378">
            <w:pPr>
              <w:widowControl w:val="0"/>
              <w:jc w:val="center"/>
              <w:rPr>
                <w:rFonts w:ascii="Arial" w:hAnsi="Arial"/>
                <w:sz w:val="14"/>
              </w:rPr>
            </w:pPr>
            <w:r w:rsidRPr="009C2345">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r w:rsidRPr="009C2345">
              <w:rPr>
                <w:rFonts w:ascii="Arial" w:hAnsi="Arial"/>
                <w:sz w:val="14"/>
              </w:rPr>
              <w:t>W</w:t>
            </w:r>
          </w:p>
          <w:p w:rsidR="008902B1" w:rsidRPr="009C2345" w:rsidRDefault="008902B1" w:rsidP="00EE4378">
            <w:pPr>
              <w:widowControl w:val="0"/>
              <w:jc w:val="center"/>
              <w:rPr>
                <w:rFonts w:ascii="Arial" w:hAnsi="Arial"/>
                <w:sz w:val="14"/>
              </w:rPr>
            </w:pPr>
            <w:r w:rsidRPr="009C2345">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r w:rsidRPr="009C2345">
              <w:rPr>
                <w:rFonts w:ascii="Arial" w:hAnsi="Arial"/>
                <w:sz w:val="14"/>
              </w:rPr>
              <w:t>T</w:t>
            </w:r>
          </w:p>
          <w:p w:rsidR="008902B1" w:rsidRPr="009C2345" w:rsidRDefault="008902B1" w:rsidP="00EE4378">
            <w:pPr>
              <w:widowControl w:val="0"/>
              <w:jc w:val="center"/>
              <w:rPr>
                <w:rFonts w:ascii="Arial" w:hAnsi="Arial"/>
                <w:sz w:val="14"/>
              </w:rPr>
            </w:pPr>
            <w:r w:rsidRPr="009C2345">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r w:rsidRPr="009C2345">
              <w:rPr>
                <w:rFonts w:ascii="Arial" w:hAnsi="Arial"/>
                <w:sz w:val="14"/>
              </w:rPr>
              <w:t>F</w:t>
            </w:r>
          </w:p>
          <w:p w:rsidR="008902B1" w:rsidRPr="009C2345" w:rsidRDefault="008902B1" w:rsidP="00EE4378">
            <w:pPr>
              <w:widowControl w:val="0"/>
              <w:jc w:val="center"/>
              <w:rPr>
                <w:rFonts w:ascii="Arial" w:hAnsi="Arial"/>
                <w:sz w:val="14"/>
              </w:rPr>
            </w:pPr>
            <w:r w:rsidRPr="009C2345">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r w:rsidRPr="009C2345">
              <w:rPr>
                <w:rFonts w:ascii="Arial" w:hAnsi="Arial"/>
                <w:sz w:val="14"/>
              </w:rPr>
              <w:t>S</w:t>
            </w:r>
          </w:p>
          <w:p w:rsidR="008902B1" w:rsidRPr="009C2345" w:rsidRDefault="008902B1" w:rsidP="00EE4378">
            <w:pPr>
              <w:widowControl w:val="0"/>
              <w:jc w:val="center"/>
              <w:rPr>
                <w:rFonts w:ascii="Arial" w:hAnsi="Arial"/>
                <w:sz w:val="14"/>
              </w:rPr>
            </w:pPr>
            <w:r w:rsidRPr="009C2345">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r w:rsidRPr="009C2345">
              <w:rPr>
                <w:rFonts w:ascii="Arial" w:hAnsi="Arial"/>
                <w:sz w:val="14"/>
              </w:rPr>
              <w:t>S</w:t>
            </w:r>
          </w:p>
          <w:p w:rsidR="008902B1" w:rsidRPr="009C2345" w:rsidRDefault="008902B1" w:rsidP="00EE4378">
            <w:pPr>
              <w:widowControl w:val="0"/>
              <w:jc w:val="center"/>
              <w:rPr>
                <w:rFonts w:ascii="Arial" w:hAnsi="Arial"/>
                <w:sz w:val="14"/>
              </w:rPr>
            </w:pPr>
            <w:r w:rsidRPr="009C2345">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r w:rsidRPr="009C2345">
              <w:rPr>
                <w:rFonts w:ascii="Arial" w:hAnsi="Arial"/>
                <w:sz w:val="14"/>
              </w:rPr>
              <w:t>M</w:t>
            </w:r>
          </w:p>
          <w:p w:rsidR="008902B1" w:rsidRPr="009C2345" w:rsidRDefault="008902B1" w:rsidP="00EE4378">
            <w:pPr>
              <w:widowControl w:val="0"/>
              <w:jc w:val="center"/>
              <w:rPr>
                <w:rFonts w:ascii="Arial" w:hAnsi="Arial"/>
                <w:sz w:val="14"/>
              </w:rPr>
            </w:pPr>
            <w:r w:rsidRPr="009C2345">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r w:rsidRPr="009C2345">
              <w:rPr>
                <w:rFonts w:ascii="Arial" w:hAnsi="Arial"/>
                <w:sz w:val="14"/>
              </w:rPr>
              <w:t>T</w:t>
            </w:r>
          </w:p>
          <w:p w:rsidR="008902B1" w:rsidRPr="009C2345" w:rsidRDefault="008902B1" w:rsidP="00EE4378">
            <w:pPr>
              <w:widowControl w:val="0"/>
              <w:jc w:val="center"/>
              <w:rPr>
                <w:rFonts w:ascii="Arial" w:hAnsi="Arial"/>
                <w:sz w:val="14"/>
              </w:rPr>
            </w:pPr>
            <w:r w:rsidRPr="009C2345">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r w:rsidRPr="009C2345">
              <w:rPr>
                <w:rFonts w:ascii="Arial" w:hAnsi="Arial"/>
                <w:sz w:val="14"/>
              </w:rPr>
              <w:t>W</w:t>
            </w:r>
          </w:p>
          <w:p w:rsidR="008902B1" w:rsidRPr="009C2345" w:rsidRDefault="008902B1" w:rsidP="00EE4378">
            <w:pPr>
              <w:widowControl w:val="0"/>
              <w:jc w:val="center"/>
              <w:rPr>
                <w:rFonts w:ascii="Arial" w:hAnsi="Arial"/>
                <w:sz w:val="14"/>
              </w:rPr>
            </w:pPr>
            <w:r w:rsidRPr="009C2345">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r w:rsidRPr="009C2345">
              <w:rPr>
                <w:rFonts w:ascii="Arial" w:hAnsi="Arial"/>
                <w:sz w:val="14"/>
              </w:rPr>
              <w:t>T</w:t>
            </w:r>
          </w:p>
          <w:p w:rsidR="008902B1" w:rsidRPr="009C2345" w:rsidRDefault="008902B1" w:rsidP="00EE4378">
            <w:pPr>
              <w:widowControl w:val="0"/>
              <w:jc w:val="center"/>
              <w:rPr>
                <w:rFonts w:ascii="Arial" w:hAnsi="Arial"/>
                <w:sz w:val="14"/>
              </w:rPr>
            </w:pPr>
            <w:r w:rsidRPr="009C2345">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r w:rsidRPr="009C2345">
              <w:rPr>
                <w:rFonts w:ascii="Arial" w:hAnsi="Arial"/>
                <w:sz w:val="14"/>
              </w:rPr>
              <w:t>F</w:t>
            </w:r>
          </w:p>
          <w:p w:rsidR="008902B1" w:rsidRPr="009C2345" w:rsidRDefault="008902B1" w:rsidP="00EE4378">
            <w:pPr>
              <w:widowControl w:val="0"/>
              <w:jc w:val="center"/>
              <w:rPr>
                <w:rFonts w:ascii="Arial" w:hAnsi="Arial"/>
                <w:sz w:val="14"/>
              </w:rPr>
            </w:pPr>
            <w:r w:rsidRPr="009C2345">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r w:rsidRPr="009C2345">
              <w:rPr>
                <w:rFonts w:ascii="Arial" w:hAnsi="Arial"/>
                <w:sz w:val="14"/>
              </w:rPr>
              <w:t>S</w:t>
            </w:r>
          </w:p>
          <w:p w:rsidR="008902B1" w:rsidRPr="009C2345" w:rsidRDefault="008902B1" w:rsidP="00EE4378">
            <w:pPr>
              <w:widowControl w:val="0"/>
              <w:jc w:val="center"/>
              <w:rPr>
                <w:rFonts w:ascii="Arial" w:hAnsi="Arial"/>
                <w:sz w:val="14"/>
              </w:rPr>
            </w:pPr>
            <w:r w:rsidRPr="009C2345">
              <w:rPr>
                <w:rFonts w:ascii="Arial" w:hAnsi="Arial"/>
                <w:sz w:val="14"/>
              </w:rPr>
              <w:t>S</w:t>
            </w:r>
          </w:p>
        </w:tc>
      </w:tr>
      <w:tr w:rsidR="008902B1" w:rsidRPr="009C2345" w:rsidTr="00EE4378">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b/>
                <w:sz w:val="14"/>
              </w:rPr>
            </w:pPr>
          </w:p>
          <w:p w:rsidR="008902B1" w:rsidRPr="009C2345" w:rsidRDefault="008902B1" w:rsidP="00EE4378">
            <w:pPr>
              <w:widowControl w:val="0"/>
              <w:jc w:val="center"/>
              <w:rPr>
                <w:rFonts w:ascii="Arial" w:hAnsi="Arial"/>
                <w:sz w:val="14"/>
              </w:rPr>
            </w:pPr>
            <w:r w:rsidRPr="009C2345">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4</w:t>
            </w:r>
          </w:p>
        </w:tc>
      </w:tr>
      <w:tr w:rsidR="008902B1" w:rsidRPr="009C2345" w:rsidTr="00EE4378">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11</w:t>
            </w:r>
          </w:p>
        </w:tc>
      </w:tr>
      <w:tr w:rsidR="008902B1" w:rsidRPr="009C2345" w:rsidTr="00EE4378">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9C2345" w:rsidRDefault="008902B1" w:rsidP="00EE4378">
            <w:pPr>
              <w:widowControl w:val="0"/>
              <w:jc w:val="center"/>
              <w:rPr>
                <w:rFonts w:ascii="Arial" w:hAnsi="Arial"/>
                <w:b/>
                <w:sz w:val="14"/>
              </w:rPr>
            </w:pPr>
          </w:p>
          <w:p w:rsidR="008902B1" w:rsidRPr="009C2345" w:rsidRDefault="008902B1" w:rsidP="00EE4378">
            <w:pPr>
              <w:widowControl w:val="0"/>
              <w:jc w:val="center"/>
              <w:rPr>
                <w:rFonts w:ascii="Arial" w:hAnsi="Arial"/>
                <w:sz w:val="14"/>
              </w:rPr>
            </w:pPr>
            <w:r w:rsidRPr="009C2345">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9C2345" w:rsidRDefault="008902B1" w:rsidP="00EE4378">
            <w:pPr>
              <w:widowControl w:val="0"/>
              <w:jc w:val="center"/>
              <w:rPr>
                <w:rFonts w:ascii="Arial" w:hAnsi="Arial"/>
                <w:b/>
                <w:sz w:val="14"/>
              </w:rPr>
            </w:pPr>
            <w:r w:rsidRPr="009C2345">
              <w:rPr>
                <w:rFonts w:ascii="Arial" w:hAnsi="Arial"/>
                <w:b/>
                <w:sz w:val="14"/>
              </w:rPr>
              <w:t>M</w:t>
            </w:r>
          </w:p>
          <w:p w:rsidR="008902B1" w:rsidRPr="009C2345" w:rsidRDefault="008902B1" w:rsidP="00EE4378">
            <w:pPr>
              <w:widowControl w:val="0"/>
              <w:jc w:val="center"/>
              <w:rPr>
                <w:rFonts w:ascii="Arial" w:hAnsi="Arial"/>
                <w:sz w:val="14"/>
              </w:rPr>
            </w:pPr>
            <w:r w:rsidRPr="009C2345">
              <w:rPr>
                <w:rFonts w:ascii="Arial" w:hAnsi="Arial"/>
                <w:sz w:val="14"/>
              </w:rPr>
              <w:t>16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9C2345" w:rsidRDefault="008902B1" w:rsidP="00EE4378">
            <w:pPr>
              <w:widowControl w:val="0"/>
              <w:jc w:val="center"/>
              <w:rPr>
                <w:rFonts w:ascii="Arial" w:hAnsi="Arial"/>
                <w:b/>
                <w:sz w:val="14"/>
              </w:rPr>
            </w:pPr>
            <w:r w:rsidRPr="009C2345">
              <w:rPr>
                <w:rFonts w:ascii="Arial" w:hAnsi="Arial"/>
                <w:b/>
                <w:sz w:val="14"/>
              </w:rPr>
              <w:t>M</w:t>
            </w:r>
          </w:p>
          <w:p w:rsidR="008902B1" w:rsidRPr="009C2345" w:rsidRDefault="008902B1" w:rsidP="00EE4378">
            <w:pPr>
              <w:widowControl w:val="0"/>
              <w:jc w:val="center"/>
              <w:rPr>
                <w:rFonts w:ascii="Arial" w:hAnsi="Arial"/>
                <w:sz w:val="14"/>
              </w:rPr>
            </w:pPr>
            <w:r w:rsidRPr="009C2345">
              <w:rPr>
                <w:rFonts w:ascii="Arial" w:hAnsi="Arial"/>
                <w:sz w:val="14"/>
              </w:rPr>
              <w:t>13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18</w:t>
            </w:r>
          </w:p>
        </w:tc>
      </w:tr>
      <w:tr w:rsidR="008902B1" w:rsidRPr="009C2345" w:rsidTr="00EE4378">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vAlign w:val="center"/>
          </w:tcPr>
          <w:p w:rsidR="008902B1" w:rsidRPr="009C2345" w:rsidRDefault="008902B1" w:rsidP="00EE4378">
            <w:pPr>
              <w:widowControl w:val="0"/>
              <w:jc w:val="center"/>
              <w:rPr>
                <w:rFonts w:ascii="Arial" w:hAnsi="Arial"/>
                <w:b/>
                <w:sz w:val="14"/>
              </w:rPr>
            </w:pPr>
            <w:r w:rsidRPr="009C2345">
              <w:rPr>
                <w:rFonts w:ascii="Arial" w:hAnsi="Arial"/>
                <w:b/>
                <w:sz w:val="14"/>
              </w:rPr>
              <w:t>M</w:t>
            </w:r>
          </w:p>
          <w:p w:rsidR="008902B1" w:rsidRPr="009C2345" w:rsidRDefault="008902B1" w:rsidP="00EE4378">
            <w:pPr>
              <w:widowControl w:val="0"/>
              <w:jc w:val="center"/>
              <w:rPr>
                <w:rFonts w:ascii="Arial" w:hAnsi="Arial"/>
                <w:sz w:val="14"/>
              </w:rPr>
            </w:pPr>
            <w:r w:rsidRPr="009C2345">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9C2345" w:rsidRDefault="008902B1" w:rsidP="00EE4378">
            <w:pPr>
              <w:widowControl w:val="0"/>
              <w:jc w:val="center"/>
              <w:rPr>
                <w:rFonts w:ascii="Arial" w:hAnsi="Arial"/>
                <w:b/>
                <w:sz w:val="14"/>
              </w:rPr>
            </w:pPr>
            <w:r w:rsidRPr="009C2345">
              <w:rPr>
                <w:rFonts w:ascii="Arial" w:hAnsi="Arial"/>
                <w:b/>
                <w:sz w:val="14"/>
              </w:rPr>
              <w:t>H</w:t>
            </w:r>
          </w:p>
          <w:p w:rsidR="008902B1" w:rsidRPr="009C2345" w:rsidRDefault="008902B1" w:rsidP="00EE4378">
            <w:pPr>
              <w:widowControl w:val="0"/>
              <w:jc w:val="center"/>
              <w:rPr>
                <w:rFonts w:ascii="Arial" w:hAnsi="Arial"/>
                <w:sz w:val="14"/>
              </w:rPr>
            </w:pPr>
            <w:r w:rsidRPr="009C2345">
              <w:rPr>
                <w:rFonts w:ascii="Arial" w:hAnsi="Arial"/>
                <w:sz w:val="14"/>
              </w:rPr>
              <w:t>23</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25</w:t>
            </w:r>
          </w:p>
        </w:tc>
      </w:tr>
      <w:tr w:rsidR="008902B1" w:rsidRPr="009C2345" w:rsidTr="00EE4378">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24</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29</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r w:rsidRPr="009C2345">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9C2345" w:rsidRDefault="008902B1" w:rsidP="00EE4378">
            <w:pPr>
              <w:widowControl w:val="0"/>
              <w:jc w:val="center"/>
              <w:rPr>
                <w:rFonts w:ascii="Arial" w:hAnsi="Arial"/>
                <w:sz w:val="14"/>
              </w:rPr>
            </w:pPr>
          </w:p>
          <w:p w:rsidR="008902B1" w:rsidRPr="009C2345" w:rsidRDefault="008902B1" w:rsidP="00EE4378">
            <w:pPr>
              <w:widowControl w:val="0"/>
              <w:jc w:val="center"/>
              <w:rPr>
                <w:rFonts w:ascii="Arial" w:hAnsi="Arial"/>
                <w:sz w:val="14"/>
              </w:rPr>
            </w:pPr>
          </w:p>
        </w:tc>
      </w:tr>
    </w:tbl>
    <w:p w:rsidR="008902B1" w:rsidRPr="009C2345" w:rsidRDefault="008902B1" w:rsidP="008902B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902B1" w:rsidRPr="009C2345" w:rsidTr="00EE4378">
        <w:trPr>
          <w:cantSplit/>
        </w:trPr>
        <w:tc>
          <w:tcPr>
            <w:tcW w:w="1710" w:type="dxa"/>
            <w:tcBorders>
              <w:top w:val="nil"/>
              <w:left w:val="nil"/>
              <w:bottom w:val="nil"/>
              <w:right w:val="nil"/>
            </w:tcBorders>
            <w:tcMar>
              <w:top w:w="43" w:type="dxa"/>
              <w:left w:w="120" w:type="dxa"/>
              <w:bottom w:w="29" w:type="dxa"/>
              <w:right w:w="120" w:type="dxa"/>
            </w:tcMar>
          </w:tcPr>
          <w:p w:rsidR="008902B1" w:rsidRPr="009C2345" w:rsidRDefault="008902B1" w:rsidP="00EE4378">
            <w:pPr>
              <w:widowControl w:val="0"/>
              <w:rPr>
                <w:rFonts w:ascii="Arial" w:hAnsi="Arial"/>
                <w:sz w:val="16"/>
              </w:rPr>
            </w:pPr>
            <w:r w:rsidRPr="009C2345">
              <w:rPr>
                <w:rFonts w:ascii="Arial" w:hAnsi="Arial"/>
                <w:sz w:val="16"/>
              </w:rPr>
              <w:t>Sittings of the court:</w:t>
            </w:r>
          </w:p>
          <w:p w:rsidR="008902B1" w:rsidRPr="009C2345" w:rsidRDefault="008902B1" w:rsidP="00EE4378">
            <w:pPr>
              <w:widowControl w:val="0"/>
              <w:rPr>
                <w:rFonts w:ascii="Arial" w:hAnsi="Arial"/>
                <w:sz w:val="16"/>
              </w:rPr>
            </w:pPr>
            <w:r w:rsidRPr="009C2345">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902B1" w:rsidRPr="009C2345" w:rsidRDefault="008902B1" w:rsidP="00EE4378">
            <w:pPr>
              <w:widowControl w:val="0"/>
              <w:rPr>
                <w:rFonts w:ascii="Arial" w:hAnsi="Arial"/>
                <w:sz w:val="16"/>
              </w:rPr>
            </w:pPr>
          </w:p>
          <w:p w:rsidR="008902B1" w:rsidRPr="009C2345" w:rsidRDefault="008902B1" w:rsidP="00EE4378">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902B1" w:rsidRPr="009C2345" w:rsidRDefault="008902B1" w:rsidP="00EE4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9C2345">
              <w:rPr>
                <w:rFonts w:ascii="Arial" w:hAnsi="Arial"/>
                <w:b/>
                <w:sz w:val="16"/>
              </w:rPr>
              <w:tab/>
            </w:r>
            <w:r w:rsidRPr="009C2345">
              <w:rPr>
                <w:rFonts w:ascii="Arial" w:hAnsi="Arial"/>
                <w:b/>
                <w:sz w:val="16"/>
                <w:lang w:val="fr-CA"/>
              </w:rPr>
              <w:t>18  sitting weeks / semaines séances de la cour</w:t>
            </w:r>
          </w:p>
          <w:p w:rsidR="008902B1" w:rsidRPr="009C2345" w:rsidRDefault="008902B1" w:rsidP="00EE4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9C2345">
              <w:rPr>
                <w:rFonts w:ascii="Arial" w:hAnsi="Arial"/>
                <w:b/>
                <w:sz w:val="16"/>
                <w:lang w:val="fr-CA"/>
              </w:rPr>
              <w:tab/>
              <w:t>85  sitting days / journées séances de la cour</w:t>
            </w:r>
          </w:p>
          <w:p w:rsidR="008902B1" w:rsidRPr="009C2345" w:rsidRDefault="008902B1" w:rsidP="00EE4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9C2345">
              <w:rPr>
                <w:rFonts w:ascii="Arial" w:hAnsi="Arial"/>
                <w:b/>
                <w:sz w:val="16"/>
                <w:lang w:val="fr-CA"/>
              </w:rPr>
              <w:tab/>
              <w:t>9    motion and conference days / journées des requêtes et des conférences</w:t>
            </w:r>
          </w:p>
          <w:p w:rsidR="008902B1" w:rsidRPr="009C2345" w:rsidRDefault="008902B1" w:rsidP="00EE4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9C2345">
              <w:rPr>
                <w:rFonts w:ascii="Arial" w:hAnsi="Arial"/>
                <w:b/>
                <w:sz w:val="16"/>
                <w:lang w:val="fr-CA"/>
              </w:rPr>
              <w:tab/>
              <w:t>5</w:t>
            </w:r>
            <w:r w:rsidRPr="009C2345">
              <w:rPr>
                <w:rFonts w:ascii="Arial" w:hAnsi="Arial"/>
                <w:b/>
                <w:sz w:val="16"/>
              </w:rPr>
              <w:t xml:space="preserve">    holidays during sitting days / jours fériés durant les sessions</w:t>
            </w:r>
          </w:p>
          <w:p w:rsidR="008902B1" w:rsidRPr="009C2345" w:rsidRDefault="008902B1" w:rsidP="00EE4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9C2345" w:rsidTr="00EE4378">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9C2345" w:rsidRDefault="008902B1" w:rsidP="00EE4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9C2345">
              <w:rPr>
                <w:rFonts w:ascii="Arial" w:hAnsi="Arial"/>
                <w:sz w:val="16"/>
              </w:rPr>
              <w:t>Motions:</w:t>
            </w:r>
          </w:p>
          <w:p w:rsidR="008902B1" w:rsidRPr="009C2345" w:rsidRDefault="008902B1" w:rsidP="00EE4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9C2345">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902B1" w:rsidRPr="009C2345" w:rsidRDefault="008902B1" w:rsidP="00EE4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9C2345">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9C2345" w:rsidRDefault="008902B1" w:rsidP="00EE4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EE4378">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9C2345" w:rsidRDefault="008902B1" w:rsidP="00EE4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9C2345">
              <w:rPr>
                <w:rFonts w:ascii="Arial" w:hAnsi="Arial"/>
                <w:sz w:val="16"/>
              </w:rPr>
              <w:t>Holidays:</w:t>
            </w:r>
          </w:p>
          <w:p w:rsidR="008902B1" w:rsidRPr="009C2345" w:rsidRDefault="008902B1" w:rsidP="00EE4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9C2345">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902B1" w:rsidRPr="002E0C7E" w:rsidRDefault="008902B1" w:rsidP="00EE4378">
            <w:pPr>
              <w:widowControl w:val="0"/>
              <w:tabs>
                <w:tab w:val="center" w:pos="150"/>
              </w:tabs>
              <w:rPr>
                <w:rFonts w:ascii="Arial" w:hAnsi="Arial"/>
                <w:sz w:val="16"/>
              </w:rPr>
            </w:pPr>
            <w:r w:rsidRPr="009C2345">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EE43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902B1" w:rsidRPr="002E0C7E" w:rsidRDefault="008902B1" w:rsidP="008902B1">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152"/>
      <w:footerReference w:type="default" r:id="rId153"/>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2C5" w:rsidRDefault="00DC42C5" w:rsidP="00A87207">
      <w:r>
        <w:separator/>
      </w:r>
    </w:p>
  </w:endnote>
  <w:endnote w:type="continuationSeparator" w:id="0">
    <w:p w:rsidR="00DC42C5" w:rsidRDefault="00DC42C5"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C5" w:rsidRDefault="00DC42C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C5" w:rsidRDefault="0082006E">
    <w:pPr>
      <w:pStyle w:val="Footer"/>
      <w:rPr>
        <w:lang w:val="fr-CA"/>
      </w:rPr>
    </w:pPr>
    <w:r>
      <w:rPr>
        <w:lang w:val="fr-CA"/>
      </w:rPr>
      <w:pict>
        <v:rect id="_x0000_i1081" style="width:480.95pt;height:1pt" o:hralign="center" o:hrstd="t" o:hrnoshade="t" o:hr="t" fillcolor="black [3213]" stroked="f"/>
      </w:pict>
    </w:r>
  </w:p>
  <w:p w:rsidR="00DC42C5" w:rsidRDefault="00DC42C5" w:rsidP="00245129">
    <w:pPr>
      <w:tabs>
        <w:tab w:val="center" w:pos="4680"/>
      </w:tabs>
    </w:pPr>
    <w:r>
      <w:tab/>
    </w:r>
    <w:r w:rsidRPr="0009648D">
      <w:t xml:space="preserve">- </w:t>
    </w:r>
    <w:r>
      <w:fldChar w:fldCharType="begin"/>
    </w:r>
    <w:r>
      <w:instrText xml:space="preserve"> PAGE   \* MERGEFORMAT </w:instrText>
    </w:r>
    <w:r>
      <w:fldChar w:fldCharType="separate"/>
    </w:r>
    <w:r w:rsidR="0082006E">
      <w:rPr>
        <w:noProof/>
      </w:rPr>
      <w:t>648</w:t>
    </w:r>
    <w:r>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C5" w:rsidRDefault="00DC42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C42C5" w:rsidRDefault="00DC42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C42C5" w:rsidRDefault="00DC42C5">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C5" w:rsidRDefault="0082006E" w:rsidP="00755F22">
    <w:pPr>
      <w:tabs>
        <w:tab w:val="left" w:pos="-1440"/>
        <w:tab w:val="left" w:pos="-720"/>
      </w:tabs>
    </w:pPr>
    <w:r>
      <w:pict>
        <v:rect id="_x0000_i1084" style="width:480.95pt;height:1pt" o:hralign="center" o:hrstd="t" o:hrnoshade="t" o:hr="t" fillcolor="black [3213]" stroked="f"/>
      </w:pict>
    </w:r>
  </w:p>
  <w:p w:rsidR="00DC42C5" w:rsidRDefault="00DC42C5" w:rsidP="00EB2B90">
    <w:pPr>
      <w:tabs>
        <w:tab w:val="center" w:pos="4680"/>
      </w:tabs>
    </w:pPr>
    <w:r>
      <w:tab/>
      <w:t xml:space="preserve">- </w:t>
    </w:r>
    <w:r>
      <w:fldChar w:fldCharType="begin"/>
    </w:r>
    <w:r>
      <w:instrText xml:space="preserve"> PAGE   \* MERGEFORMAT </w:instrText>
    </w:r>
    <w:r>
      <w:fldChar w:fldCharType="separate"/>
    </w:r>
    <w:r w:rsidR="0082006E">
      <w:rPr>
        <w:noProof/>
      </w:rPr>
      <w:t>685</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C5" w:rsidRDefault="0082006E" w:rsidP="00EB2B90">
    <w:pPr>
      <w:tabs>
        <w:tab w:val="center" w:pos="4680"/>
      </w:tabs>
    </w:pPr>
    <w:r>
      <w:pict>
        <v:rect id="_x0000_i1085" style="width:480.95pt;height:1pt" o:hralign="center" o:hrstd="t" o:hrnoshade="t" o:hr="t" fillcolor="black [3213]" stroked="f"/>
      </w:pict>
    </w:r>
  </w:p>
  <w:p w:rsidR="00DC42C5" w:rsidRPr="0031432F" w:rsidRDefault="00DC42C5" w:rsidP="00EB2B90">
    <w:pPr>
      <w:tabs>
        <w:tab w:val="center" w:pos="4680"/>
      </w:tabs>
    </w:pPr>
    <w:r>
      <w:tab/>
      <w:t xml:space="preserve">- </w:t>
    </w:r>
    <w:r>
      <w:fldChar w:fldCharType="begin"/>
    </w:r>
    <w:r>
      <w:instrText xml:space="preserve"> PAGE   \* MERGEFORMAT </w:instrText>
    </w:r>
    <w:r>
      <w:fldChar w:fldCharType="separate"/>
    </w:r>
    <w:r w:rsidR="0082006E">
      <w:rPr>
        <w:noProof/>
      </w:rPr>
      <w:t>684</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C5" w:rsidRDefault="00DC42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C42C5" w:rsidRDefault="00DC42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C42C5" w:rsidRDefault="00DC42C5">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C5" w:rsidRDefault="0082006E" w:rsidP="00732DB7">
    <w:r>
      <w:pict>
        <v:rect id="_x0000_i1088" style="width:480.95pt;height:1pt" o:hralign="center" o:hrstd="t" o:hrnoshade="t" o:hr="t" fillcolor="black" stroked="f"/>
      </w:pict>
    </w:r>
  </w:p>
  <w:p w:rsidR="00DC42C5" w:rsidRDefault="00DC42C5">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C5" w:rsidRDefault="0082006E">
    <w:pPr>
      <w:pStyle w:val="Footer"/>
    </w:pPr>
    <w:r>
      <w:pict>
        <v:rect id="_x0000_i1089" style="width:480.95pt;height:1pt" o:hralign="center" o:hrstd="t" o:hrnoshade="t" o:hr="t" fillcolor="black" stroked="f"/>
      </w:pict>
    </w:r>
  </w:p>
  <w:p w:rsidR="00DC42C5" w:rsidRPr="00283C52" w:rsidRDefault="00DC42C5">
    <w:pPr>
      <w:pStyle w:val="Footer"/>
    </w:pPr>
    <w:r>
      <w:tab/>
    </w:r>
    <w:r w:rsidRPr="00283C52">
      <w:t xml:space="preserve">- </w:t>
    </w:r>
    <w:r w:rsidRPr="00283C52">
      <w:pgNum/>
    </w:r>
    <w:r w:rsidRPr="00283C52">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C5" w:rsidRDefault="00DC42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C42C5" w:rsidRDefault="00DC42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C42C5" w:rsidRDefault="00DC42C5">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C5" w:rsidRDefault="0082006E" w:rsidP="00732DB7">
    <w:r>
      <w:pict>
        <v:rect id="_x0000_i1092" style="width:480.95pt;height:1pt" o:hralign="center" o:hrstd="t" o:hrnoshade="t" o:hr="t" fillcolor="black" stroked="f"/>
      </w:pict>
    </w:r>
  </w:p>
  <w:p w:rsidR="00DC42C5" w:rsidRDefault="00DC42C5">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C5" w:rsidRDefault="0082006E">
    <w:pPr>
      <w:pStyle w:val="Footer"/>
    </w:pPr>
    <w:r>
      <w:pict>
        <v:rect id="_x0000_i1093" style="width:480.95pt;height:1pt" o:hralign="center" o:hrstd="t" o:hrnoshade="t" o:hr="t" fillcolor="black [3213]" stroked="f"/>
      </w:pict>
    </w:r>
  </w:p>
  <w:p w:rsidR="00DC42C5" w:rsidRPr="003C2C0F" w:rsidRDefault="00DC42C5" w:rsidP="00697C62">
    <w:pPr>
      <w:tabs>
        <w:tab w:val="center" w:pos="4680"/>
      </w:tabs>
    </w:pPr>
    <w:r>
      <w:tab/>
      <w:t xml:space="preserve">- </w:t>
    </w:r>
    <w:r>
      <w:fldChar w:fldCharType="begin"/>
    </w:r>
    <w:r>
      <w:instrText xml:space="preserve"> PAGE   \* MERGEFORMAT </w:instrText>
    </w:r>
    <w:r>
      <w:fldChar w:fldCharType="separate"/>
    </w:r>
    <w:r w:rsidR="0082006E">
      <w:rPr>
        <w:noProof/>
      </w:rPr>
      <w:t>689</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C5" w:rsidRDefault="00DC42C5">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C5" w:rsidRDefault="00DC42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C42C5" w:rsidRDefault="00DC42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C42C5" w:rsidRDefault="00DC42C5">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C5" w:rsidRDefault="00DC42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C42C5" w:rsidRDefault="008200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98" style="width:480.95pt;height:1pt" o:hralign="center" o:hrstd="t" o:hrnoshade="t" o:hr="t" fillcolor="black [3213]" stroked="f"/>
      </w:pict>
    </w:r>
  </w:p>
  <w:p w:rsidR="00DC42C5" w:rsidRDefault="00DC42C5"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82006E">
      <w:rPr>
        <w:noProof/>
        <w:szCs w:val="24"/>
      </w:rPr>
      <w:t>699</w:t>
    </w:r>
    <w:r w:rsidRPr="001775C1">
      <w:rPr>
        <w:szCs w:val="24"/>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C5" w:rsidRDefault="0082006E" w:rsidP="00782AE4">
    <w:pPr>
      <w:tabs>
        <w:tab w:val="center" w:pos="4680"/>
      </w:tabs>
    </w:pPr>
    <w:r>
      <w:pict>
        <v:rect id="_x0000_i1099" style="width:480.95pt;height:1pt" o:hralign="center" o:hrstd="t" o:hrnoshade="t" o:hr="t" fillcolor="black [3213]" stroked="f"/>
      </w:pict>
    </w:r>
  </w:p>
  <w:p w:rsidR="00DC42C5" w:rsidRDefault="00DC42C5"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82006E">
      <w:rPr>
        <w:noProof/>
        <w:szCs w:val="24"/>
      </w:rPr>
      <w:t>690</w:t>
    </w:r>
    <w:r w:rsidRPr="001775C1">
      <w:rPr>
        <w:szCs w:val="24"/>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C5" w:rsidRDefault="00DC42C5">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DC42C5" w:rsidRDefault="00DC42C5">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DC42C5" w:rsidRDefault="00DC42C5">
    <w:pPr>
      <w:tabs>
        <w:tab w:val="center" w:pos="4740"/>
      </w:tabs>
    </w:pPr>
    <w:r>
      <w:tab/>
      <w:t xml:space="preserve">- </w:t>
    </w:r>
    <w:r>
      <w:pgNum/>
    </w:r>
    <w: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C5" w:rsidRDefault="0082006E" w:rsidP="0022323B">
    <w:r>
      <w:pict>
        <v:rect id="_x0000_i1102" style="width:480.95pt;height:1pt" o:hralign="center" o:hrstd="t" o:hrnoshade="t" o:hr="t" fillcolor="black [3213]" stroked="f"/>
      </w:pict>
    </w:r>
  </w:p>
  <w:p w:rsidR="00DC42C5" w:rsidRDefault="00DC42C5">
    <w:pPr>
      <w:tabs>
        <w:tab w:val="center" w:pos="4740"/>
      </w:tabs>
      <w:spacing w:line="0" w:lineRule="atLeast"/>
    </w:pPr>
    <w:r>
      <w:tab/>
      <w:t xml:space="preserve">- </w:t>
    </w:r>
    <w:r>
      <w:fldChar w:fldCharType="begin"/>
    </w:r>
    <w:r>
      <w:instrText xml:space="preserve"> PAGE   \* MERGEFORMAT </w:instrText>
    </w:r>
    <w:r>
      <w:fldChar w:fldCharType="separate"/>
    </w:r>
    <w:r>
      <w:rPr>
        <w:noProof/>
      </w:rPr>
      <w:t>802</w:t>
    </w:r>
    <w:r>
      <w:rPr>
        <w:noProof/>
      </w:rPr>
      <w:fldChar w:fldCharType="end"/>
    </w: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C5" w:rsidRDefault="0082006E" w:rsidP="0022323B">
    <w:r>
      <w:pict>
        <v:rect id="_x0000_i1103" style="width:480.95pt;height:1pt" o:hralign="center" o:hrstd="t" o:hrnoshade="t" o:hr="t" fillcolor="black [3213]" stroked="f"/>
      </w:pict>
    </w:r>
  </w:p>
  <w:p w:rsidR="00DC42C5" w:rsidRDefault="00DC42C5" w:rsidP="0022323B">
    <w:pPr>
      <w:tabs>
        <w:tab w:val="center" w:pos="4740"/>
      </w:tabs>
      <w:spacing w:line="0" w:lineRule="atLeast"/>
    </w:pPr>
    <w:r>
      <w:tab/>
      <w:t xml:space="preserve">- </w:t>
    </w:r>
    <w:r>
      <w:fldChar w:fldCharType="begin"/>
    </w:r>
    <w:r>
      <w:instrText xml:space="preserve"> PAGE   \* MERGEFORMAT </w:instrText>
    </w:r>
    <w:r>
      <w:fldChar w:fldCharType="separate"/>
    </w:r>
    <w:r w:rsidR="0082006E">
      <w:rPr>
        <w:noProof/>
      </w:rPr>
      <w:t>700</w:t>
    </w:r>
    <w:r>
      <w:rPr>
        <w:noProof/>
      </w:rPr>
      <w:fldChar w:fldCharType="end"/>
    </w:r>
    <w: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C5" w:rsidRDefault="0082006E" w:rsidP="0022323B">
    <w:r>
      <w:pict>
        <v:rect id="_x0000_i1113" style="width:480.95pt;height:1pt" o:hralign="center" o:hrstd="t" o:hrnoshade="t" o:hr="t" fillcolor="black [3213]" stroked="f"/>
      </w:pict>
    </w:r>
  </w:p>
  <w:p w:rsidR="00DC42C5" w:rsidRDefault="00DC42C5">
    <w:pPr>
      <w:tabs>
        <w:tab w:val="center" w:pos="4740"/>
      </w:tabs>
      <w:spacing w:line="0" w:lineRule="atLeast"/>
    </w:pPr>
    <w:r>
      <w:tab/>
      <w:t xml:space="preserve">- </w:t>
    </w:r>
    <w:r>
      <w:fldChar w:fldCharType="begin"/>
    </w:r>
    <w:r>
      <w:instrText xml:space="preserve"> PAGE   \* MERGEFORMAT </w:instrText>
    </w:r>
    <w:r>
      <w:fldChar w:fldCharType="separate"/>
    </w:r>
    <w:r w:rsidR="0082006E">
      <w:rPr>
        <w:noProof/>
      </w:rPr>
      <w:t>708</w:t>
    </w:r>
    <w:r>
      <w:rPr>
        <w:noProof/>
      </w:rPr>
      <w:fldChar w:fldCharType="end"/>
    </w:r>
    <w: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C5" w:rsidRDefault="0082006E" w:rsidP="0022323B">
    <w:r>
      <w:pict>
        <v:rect id="_x0000_i1114" style="width:480.95pt;height:1pt" o:hralign="center" o:hrstd="t" o:hrnoshade="t" o:hr="t" fillcolor="black [3213]" stroked="f"/>
      </w:pict>
    </w:r>
  </w:p>
  <w:p w:rsidR="00DC42C5" w:rsidRDefault="00DC42C5" w:rsidP="0022323B">
    <w:pPr>
      <w:tabs>
        <w:tab w:val="center" w:pos="4740"/>
      </w:tabs>
      <w:spacing w:line="0" w:lineRule="atLeast"/>
    </w:pPr>
    <w:r>
      <w:tab/>
      <w:t xml:space="preserve">- </w:t>
    </w:r>
    <w:r>
      <w:fldChar w:fldCharType="begin"/>
    </w:r>
    <w:r>
      <w:instrText xml:space="preserve"> PAGE   \* MERGEFORMAT </w:instrText>
    </w:r>
    <w:r>
      <w:fldChar w:fldCharType="separate"/>
    </w:r>
    <w:r w:rsidR="0082006E">
      <w:rPr>
        <w:noProof/>
      </w:rPr>
      <w:t>701</w:t>
    </w:r>
    <w:r>
      <w:rPr>
        <w:noProof/>
      </w:rPr>
      <w:fldChar w:fldCharType="end"/>
    </w:r>
    <w:r>
      <w:t xml:space="preserve">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C5" w:rsidRPr="00924065" w:rsidRDefault="00DC42C5"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C5" w:rsidRDefault="00DC42C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C5" w:rsidRDefault="0082006E" w:rsidP="00A87207">
    <w:pPr>
      <w:pStyle w:val="Footer"/>
    </w:pPr>
    <w:r>
      <w:pict>
        <v:rect id="_x0000_i1035" style="width:480.95pt;height:1pt" o:hralign="center" o:hrstd="t" o:hrnoshade="t" o:hr="t" fillcolor="black [3213]" stroked="f"/>
      </w:pict>
    </w:r>
  </w:p>
  <w:p w:rsidR="00DC42C5" w:rsidRPr="00B7374B" w:rsidRDefault="00DC42C5"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82006E">
      <w:rPr>
        <w:noProof/>
        <w:szCs w:val="24"/>
      </w:rPr>
      <w:t>646</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C5" w:rsidRDefault="0082006E" w:rsidP="00755F22">
    <w:pPr>
      <w:tabs>
        <w:tab w:val="left" w:pos="-1440"/>
        <w:tab w:val="left" w:pos="-720"/>
      </w:tabs>
    </w:pPr>
    <w:r>
      <w:pict>
        <v:rect id="_x0000_i1036" style="width:480.95pt;height:1pt" o:hralign="center" o:hrstd="t" o:hrnoshade="t" o:hr="t" fillcolor="black [3213]" stroked="f"/>
      </w:pict>
    </w:r>
  </w:p>
  <w:p w:rsidR="00DC42C5" w:rsidRPr="00954D22" w:rsidRDefault="00DC42C5"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82006E">
      <w:rPr>
        <w:noProof/>
        <w:szCs w:val="24"/>
      </w:rPr>
      <w:t>645</w:t>
    </w:r>
    <w:r>
      <w:rPr>
        <w:szCs w:val="24"/>
      </w:rPr>
      <w:fldChar w:fldCharType="end"/>
    </w:r>
    <w:r w:rsidRPr="00954D22">
      <w:rPr>
        <w:szCs w:val="24"/>
      </w:rPr>
      <w:t xml:space="preserve"> -</w:t>
    </w:r>
  </w:p>
  <w:p w:rsidR="00DC42C5" w:rsidRDefault="00DC42C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C5" w:rsidRDefault="0082006E" w:rsidP="00A87207">
    <w:pPr>
      <w:pStyle w:val="Footer"/>
    </w:pPr>
    <w:r>
      <w:pict>
        <v:rect id="_x0000_i1038" style="width:480.95pt;height:1pt" o:hralign="center" o:hrstd="t" o:hrnoshade="t" o:hr="t" fillcolor="black [3213]" stroked="f"/>
      </w:pict>
    </w:r>
  </w:p>
  <w:p w:rsidR="00DC42C5" w:rsidRPr="00B7374B" w:rsidRDefault="00DC42C5"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C5" w:rsidRDefault="0082006E"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9" style="width:480.95pt;height:1pt" o:hralign="center" o:hrstd="t" o:hrnoshade="t" o:hr="t" fillcolor="black [3213]" stroked="f"/>
      </w:pict>
    </w:r>
  </w:p>
  <w:p w:rsidR="00DC42C5" w:rsidRPr="00954D22" w:rsidRDefault="00DC42C5"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82006E">
      <w:rPr>
        <w:noProof/>
        <w:szCs w:val="24"/>
      </w:rPr>
      <w:t>647</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C5" w:rsidRDefault="00DC42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DC42C5" w:rsidRDefault="00DC42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C42C5" w:rsidRDefault="00DC42C5">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C5" w:rsidRDefault="008200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0" style="width:480.95pt;height:1pt" o:hralign="center" o:hrstd="t" o:hrnoshade="t" o:hr="t" fillcolor="black [3213]" stroked="f"/>
      </w:pict>
    </w:r>
  </w:p>
  <w:p w:rsidR="00DC42C5" w:rsidRPr="0009648D" w:rsidRDefault="00DC42C5" w:rsidP="00ED7E83">
    <w:pPr>
      <w:tabs>
        <w:tab w:val="center" w:pos="4680"/>
      </w:tabs>
    </w:pPr>
    <w:r>
      <w:tab/>
    </w:r>
    <w:r w:rsidRPr="0009648D">
      <w:t xml:space="preserve">- </w:t>
    </w:r>
    <w:r>
      <w:fldChar w:fldCharType="begin"/>
    </w:r>
    <w:r>
      <w:instrText xml:space="preserve"> PAGE   \* MERGEFORMAT </w:instrText>
    </w:r>
    <w:r>
      <w:fldChar w:fldCharType="separate"/>
    </w:r>
    <w:r w:rsidR="0082006E">
      <w:rPr>
        <w:noProof/>
      </w:rPr>
      <w:t>663</w:t>
    </w:r>
    <w:r>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2C5" w:rsidRDefault="00DC42C5" w:rsidP="00A87207">
      <w:r>
        <w:separator/>
      </w:r>
    </w:p>
  </w:footnote>
  <w:footnote w:type="continuationSeparator" w:id="0">
    <w:p w:rsidR="00DC42C5" w:rsidRDefault="00DC42C5"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C5" w:rsidRDefault="00DC42C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C5" w:rsidRDefault="00DC42C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DC42C5">
      <w:tc>
        <w:tcPr>
          <w:tcW w:w="4230" w:type="dxa"/>
          <w:tcMar>
            <w:left w:w="0" w:type="dxa"/>
            <w:right w:w="0" w:type="dxa"/>
          </w:tcMar>
        </w:tcPr>
        <w:p w:rsidR="00DC42C5" w:rsidRDefault="00DC42C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DC42C5" w:rsidRDefault="00DC42C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C42C5" w:rsidRDefault="00DC42C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DC42C5">
      <w:trPr>
        <w:gridAfter w:val="2"/>
        <w:wAfter w:w="5250" w:type="dxa"/>
      </w:trPr>
      <w:tc>
        <w:tcPr>
          <w:tcW w:w="4230" w:type="dxa"/>
          <w:tcMar>
            <w:left w:w="0" w:type="dxa"/>
            <w:right w:w="0" w:type="dxa"/>
          </w:tcMar>
        </w:tcPr>
        <w:p w:rsidR="00DC42C5" w:rsidRDefault="00DC42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DC42C5" w:rsidRDefault="00DC42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DC42C5" w:rsidRPr="00755F22" w:rsidTr="00245129">
      <w:tc>
        <w:tcPr>
          <w:tcW w:w="4230" w:type="dxa"/>
          <w:tcMar>
            <w:left w:w="0" w:type="dxa"/>
            <w:right w:w="0" w:type="dxa"/>
          </w:tcMar>
        </w:tcPr>
        <w:p w:rsidR="00DC42C5" w:rsidRPr="00755F22" w:rsidRDefault="00DC42C5" w:rsidP="00831CA9">
          <w:pPr>
            <w:keepNext/>
            <w:keepLines/>
            <w:rPr>
              <w:sz w:val="20"/>
              <w:szCs w:val="20"/>
            </w:rPr>
          </w:pPr>
          <w:r w:rsidRPr="00755F22">
            <w:rPr>
              <w:sz w:val="20"/>
              <w:szCs w:val="20"/>
            </w:rPr>
            <w:t>MOTIONS</w:t>
          </w:r>
        </w:p>
      </w:tc>
      <w:tc>
        <w:tcPr>
          <w:tcW w:w="1170" w:type="dxa"/>
          <w:tcMar>
            <w:left w:w="0" w:type="dxa"/>
            <w:right w:w="0" w:type="dxa"/>
          </w:tcMar>
        </w:tcPr>
        <w:p w:rsidR="00DC42C5" w:rsidRPr="00755F22" w:rsidRDefault="00DC42C5" w:rsidP="00831CA9">
          <w:pPr>
            <w:keepLines/>
            <w:jc w:val="center"/>
            <w:rPr>
              <w:sz w:val="20"/>
              <w:szCs w:val="20"/>
            </w:rPr>
          </w:pPr>
        </w:p>
        <w:p w:rsidR="00DC42C5" w:rsidRPr="00755F22" w:rsidRDefault="00DC42C5" w:rsidP="00831CA9">
          <w:pPr>
            <w:keepLines/>
            <w:tabs>
              <w:tab w:val="left" w:pos="-1440"/>
              <w:tab w:val="left" w:pos="-720"/>
            </w:tabs>
            <w:jc w:val="center"/>
            <w:rPr>
              <w:sz w:val="20"/>
              <w:szCs w:val="20"/>
            </w:rPr>
          </w:pPr>
        </w:p>
      </w:tc>
      <w:tc>
        <w:tcPr>
          <w:tcW w:w="4080" w:type="dxa"/>
          <w:tcMar>
            <w:left w:w="0" w:type="dxa"/>
            <w:right w:w="0" w:type="dxa"/>
          </w:tcMar>
        </w:tcPr>
        <w:p w:rsidR="00DC42C5" w:rsidRPr="00BA6468" w:rsidRDefault="00DC42C5" w:rsidP="00BA6468">
          <w:pPr>
            <w:keepLines/>
            <w:rPr>
              <w:sz w:val="20"/>
              <w:szCs w:val="20"/>
              <w:lang w:val="fr-CA"/>
            </w:rPr>
          </w:pPr>
          <w:r w:rsidRPr="00BA6468">
            <w:rPr>
              <w:sz w:val="20"/>
              <w:szCs w:val="20"/>
              <w:lang w:val="fr-CA"/>
            </w:rPr>
            <w:t>REQUÊTES</w:t>
          </w:r>
        </w:p>
      </w:tc>
    </w:tr>
  </w:tbl>
  <w:p w:rsidR="00DC42C5" w:rsidRDefault="00DC42C5"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C5" w:rsidRDefault="00DC42C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DC42C5" w:rsidRPr="0082006E">
      <w:tc>
        <w:tcPr>
          <w:tcW w:w="4200" w:type="dxa"/>
          <w:tcMar>
            <w:left w:w="0" w:type="dxa"/>
            <w:right w:w="0" w:type="dxa"/>
          </w:tcMar>
        </w:tcPr>
        <w:p w:rsidR="00DC42C5" w:rsidRDefault="00DC42C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DC42C5" w:rsidRDefault="00DC42C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C42C5" w:rsidRPr="00283C52" w:rsidRDefault="00DC42C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DC42C5" w:rsidRPr="00283C52" w:rsidRDefault="00DC42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DC42C5" w:rsidRPr="00283C52" w:rsidRDefault="00DC42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DC42C5" w:rsidRPr="0082006E" w:rsidTr="00245129">
      <w:tc>
        <w:tcPr>
          <w:tcW w:w="4200" w:type="dxa"/>
          <w:tcMar>
            <w:left w:w="0" w:type="dxa"/>
            <w:right w:w="0" w:type="dxa"/>
          </w:tcMar>
        </w:tcPr>
        <w:p w:rsidR="00DC42C5" w:rsidRPr="00732DB7" w:rsidRDefault="00DC42C5"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DC42C5" w:rsidRPr="00732DB7" w:rsidRDefault="00DC42C5" w:rsidP="00732DB7">
          <w:pPr>
            <w:keepNext/>
            <w:keepLines/>
            <w:tabs>
              <w:tab w:val="left" w:pos="-1440"/>
              <w:tab w:val="left" w:pos="-720"/>
            </w:tabs>
            <w:jc w:val="center"/>
            <w:rPr>
              <w:sz w:val="20"/>
              <w:szCs w:val="20"/>
            </w:rPr>
          </w:pPr>
        </w:p>
        <w:p w:rsidR="00DC42C5" w:rsidRPr="00732DB7" w:rsidRDefault="00DC42C5" w:rsidP="00732DB7">
          <w:pPr>
            <w:keepNext/>
            <w:keepLines/>
            <w:tabs>
              <w:tab w:val="left" w:pos="-1440"/>
              <w:tab w:val="left" w:pos="-720"/>
            </w:tabs>
            <w:jc w:val="center"/>
            <w:rPr>
              <w:sz w:val="20"/>
              <w:szCs w:val="20"/>
            </w:rPr>
          </w:pPr>
        </w:p>
        <w:p w:rsidR="00DC42C5" w:rsidRPr="00732DB7" w:rsidRDefault="00DC42C5" w:rsidP="00732DB7">
          <w:pPr>
            <w:keepNext/>
            <w:keepLines/>
            <w:tabs>
              <w:tab w:val="left" w:pos="-1440"/>
              <w:tab w:val="left" w:pos="-720"/>
            </w:tabs>
            <w:jc w:val="center"/>
            <w:rPr>
              <w:sz w:val="20"/>
              <w:szCs w:val="20"/>
            </w:rPr>
          </w:pPr>
        </w:p>
      </w:tc>
      <w:tc>
        <w:tcPr>
          <w:tcW w:w="4080" w:type="dxa"/>
          <w:tcMar>
            <w:left w:w="0" w:type="dxa"/>
            <w:right w:w="0" w:type="dxa"/>
          </w:tcMar>
        </w:tcPr>
        <w:p w:rsidR="00DC42C5" w:rsidRPr="00732DB7" w:rsidRDefault="00DC42C5"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DC42C5" w:rsidRPr="00283C52" w:rsidRDefault="00DC42C5"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C5" w:rsidRDefault="00DC42C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DC42C5" w:rsidRPr="0082006E">
      <w:tc>
        <w:tcPr>
          <w:tcW w:w="4200" w:type="dxa"/>
          <w:tcMar>
            <w:left w:w="0" w:type="dxa"/>
            <w:right w:w="0" w:type="dxa"/>
          </w:tcMar>
        </w:tcPr>
        <w:p w:rsidR="00DC42C5" w:rsidRDefault="00DC42C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DC42C5" w:rsidRDefault="00DC42C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DC42C5" w:rsidRDefault="00DC42C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DC42C5" w:rsidRPr="003C2C0F" w:rsidRDefault="00DC42C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DC42C5" w:rsidRPr="003C2C0F" w:rsidRDefault="00DC42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DC42C5" w:rsidRPr="003C2C0F" w:rsidRDefault="00DC42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DC42C5" w:rsidRPr="0082006E" w:rsidTr="00245129">
      <w:tc>
        <w:tcPr>
          <w:tcW w:w="4200" w:type="dxa"/>
          <w:tcMar>
            <w:left w:w="0" w:type="dxa"/>
            <w:right w:w="0" w:type="dxa"/>
          </w:tcMar>
        </w:tcPr>
        <w:p w:rsidR="00DC42C5" w:rsidRPr="00FF6EEC" w:rsidRDefault="00DC42C5" w:rsidP="00FF6EEC">
          <w:pPr>
            <w:rPr>
              <w:sz w:val="20"/>
              <w:szCs w:val="20"/>
            </w:rPr>
          </w:pPr>
          <w:r w:rsidRPr="00FF6EEC">
            <w:rPr>
              <w:sz w:val="20"/>
              <w:szCs w:val="20"/>
            </w:rPr>
            <w:t>PRONOUNCEMENTS OF APPEALS RESERVED</w:t>
          </w:r>
        </w:p>
      </w:tc>
      <w:tc>
        <w:tcPr>
          <w:tcW w:w="1200" w:type="dxa"/>
          <w:tcMar>
            <w:left w:w="0" w:type="dxa"/>
            <w:right w:w="0" w:type="dxa"/>
          </w:tcMar>
        </w:tcPr>
        <w:p w:rsidR="00DC42C5" w:rsidRPr="00FF6EEC" w:rsidRDefault="00DC42C5" w:rsidP="00FF6EEC">
          <w:pPr>
            <w:jc w:val="center"/>
            <w:rPr>
              <w:sz w:val="20"/>
              <w:szCs w:val="20"/>
            </w:rPr>
          </w:pPr>
        </w:p>
        <w:p w:rsidR="00DC42C5" w:rsidRPr="00FF6EEC" w:rsidRDefault="00DC42C5" w:rsidP="00FF6EEC">
          <w:pPr>
            <w:jc w:val="center"/>
            <w:rPr>
              <w:sz w:val="20"/>
              <w:szCs w:val="20"/>
            </w:rPr>
          </w:pPr>
        </w:p>
        <w:p w:rsidR="00DC42C5" w:rsidRPr="00FF6EEC" w:rsidRDefault="00DC42C5" w:rsidP="00FF6EEC">
          <w:pPr>
            <w:jc w:val="center"/>
            <w:rPr>
              <w:sz w:val="20"/>
              <w:szCs w:val="20"/>
            </w:rPr>
          </w:pPr>
        </w:p>
      </w:tc>
      <w:tc>
        <w:tcPr>
          <w:tcW w:w="4080" w:type="dxa"/>
          <w:tcMar>
            <w:left w:w="0" w:type="dxa"/>
            <w:right w:w="0" w:type="dxa"/>
          </w:tcMar>
        </w:tcPr>
        <w:p w:rsidR="00DC42C5" w:rsidRPr="00FF6EEC" w:rsidRDefault="00DC42C5" w:rsidP="00FF6EEC">
          <w:pPr>
            <w:rPr>
              <w:sz w:val="20"/>
              <w:szCs w:val="20"/>
              <w:lang w:val="fr-CA"/>
            </w:rPr>
          </w:pPr>
          <w:r w:rsidRPr="00FF6EEC">
            <w:rPr>
              <w:sz w:val="20"/>
              <w:szCs w:val="20"/>
              <w:lang w:val="fr-CA"/>
            </w:rPr>
            <w:t>JUGEMENTS RENDUS SUR LES APPELS EN DÉLIBÉRÉ</w:t>
          </w:r>
        </w:p>
      </w:tc>
    </w:tr>
  </w:tbl>
  <w:p w:rsidR="00DC42C5" w:rsidRPr="003C2C0F" w:rsidRDefault="00DC42C5"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C5" w:rsidRDefault="00DC42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C5" w:rsidRDefault="00DC42C5">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DC42C5">
      <w:tc>
        <w:tcPr>
          <w:tcW w:w="4230" w:type="dxa"/>
          <w:tcMar>
            <w:left w:w="0" w:type="dxa"/>
            <w:right w:w="0" w:type="dxa"/>
          </w:tcMar>
        </w:tcPr>
        <w:p w:rsidR="00DC42C5" w:rsidRDefault="00DC42C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DC42C5" w:rsidRDefault="00DC42C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DC42C5" w:rsidRDefault="00DC42C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DC42C5" w:rsidRDefault="00DC42C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C42C5" w:rsidRDefault="00DC42C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DC42C5" w:rsidRDefault="00DC42C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DC42C5" w:rsidRDefault="00DC42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DC42C5" w:rsidRDefault="00DC42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DC42C5" w:rsidRPr="00782AE4" w:rsidTr="00245129">
      <w:tc>
        <w:tcPr>
          <w:tcW w:w="4230" w:type="dxa"/>
          <w:tcMar>
            <w:left w:w="0" w:type="dxa"/>
            <w:right w:w="0" w:type="dxa"/>
          </w:tcMar>
        </w:tcPr>
        <w:p w:rsidR="00DC42C5" w:rsidRPr="00782AE4" w:rsidRDefault="00DC42C5" w:rsidP="00102926">
          <w:pPr>
            <w:keepNext/>
            <w:keepLines/>
            <w:tabs>
              <w:tab w:val="left" w:pos="-1440"/>
              <w:tab w:val="left" w:pos="-720"/>
            </w:tabs>
            <w:rPr>
              <w:sz w:val="20"/>
              <w:szCs w:val="20"/>
            </w:rPr>
          </w:pPr>
          <w:r w:rsidRPr="00782AE4">
            <w:rPr>
              <w:sz w:val="20"/>
              <w:szCs w:val="20"/>
            </w:rPr>
            <w:t xml:space="preserve">HEADNOTES OF RECENT </w:t>
          </w:r>
        </w:p>
        <w:p w:rsidR="00DC42C5" w:rsidRPr="00782AE4" w:rsidRDefault="00DC42C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DC42C5" w:rsidRDefault="00DC42C5" w:rsidP="00102926">
          <w:pPr>
            <w:keepNext/>
            <w:keepLines/>
            <w:tabs>
              <w:tab w:val="left" w:pos="-1440"/>
              <w:tab w:val="left" w:pos="-720"/>
            </w:tabs>
            <w:jc w:val="center"/>
            <w:rPr>
              <w:sz w:val="20"/>
              <w:szCs w:val="20"/>
            </w:rPr>
          </w:pPr>
        </w:p>
        <w:p w:rsidR="00DC42C5" w:rsidRDefault="00DC42C5" w:rsidP="00102926">
          <w:pPr>
            <w:keepNext/>
            <w:keepLines/>
            <w:tabs>
              <w:tab w:val="left" w:pos="-1440"/>
              <w:tab w:val="left" w:pos="-720"/>
            </w:tabs>
            <w:jc w:val="center"/>
            <w:rPr>
              <w:sz w:val="20"/>
              <w:szCs w:val="20"/>
            </w:rPr>
          </w:pPr>
        </w:p>
        <w:p w:rsidR="00DC42C5" w:rsidRPr="00782AE4" w:rsidRDefault="00DC42C5" w:rsidP="00102926">
          <w:pPr>
            <w:keepNext/>
            <w:keepLines/>
            <w:tabs>
              <w:tab w:val="left" w:pos="-1440"/>
              <w:tab w:val="left" w:pos="-720"/>
            </w:tabs>
            <w:jc w:val="center"/>
            <w:rPr>
              <w:sz w:val="20"/>
              <w:szCs w:val="20"/>
            </w:rPr>
          </w:pPr>
        </w:p>
      </w:tc>
      <w:tc>
        <w:tcPr>
          <w:tcW w:w="4080" w:type="dxa"/>
          <w:tcMar>
            <w:left w:w="0" w:type="dxa"/>
            <w:right w:w="0" w:type="dxa"/>
          </w:tcMar>
        </w:tcPr>
        <w:p w:rsidR="00DC42C5" w:rsidRPr="00102926" w:rsidRDefault="00DC42C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DC42C5" w:rsidRPr="00782AE4" w:rsidRDefault="00DC42C5" w:rsidP="00102926">
          <w:pPr>
            <w:keepLines/>
            <w:tabs>
              <w:tab w:val="left" w:pos="-1440"/>
              <w:tab w:val="left" w:pos="-720"/>
            </w:tabs>
            <w:rPr>
              <w:sz w:val="20"/>
              <w:szCs w:val="20"/>
            </w:rPr>
          </w:pPr>
          <w:r w:rsidRPr="00102926">
            <w:rPr>
              <w:sz w:val="20"/>
              <w:szCs w:val="20"/>
              <w:lang w:val="fr-CA"/>
            </w:rPr>
            <w:t>RÉCENTS</w:t>
          </w:r>
        </w:p>
      </w:tc>
    </w:tr>
  </w:tbl>
  <w:p w:rsidR="00DC42C5" w:rsidRDefault="00DC42C5"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C5" w:rsidRDefault="00DC42C5">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DC42C5">
      <w:tc>
        <w:tcPr>
          <w:tcW w:w="4200" w:type="dxa"/>
          <w:tcMar>
            <w:left w:w="0" w:type="dxa"/>
            <w:right w:w="0" w:type="dxa"/>
          </w:tcMar>
        </w:tcPr>
        <w:p w:rsidR="00DC42C5" w:rsidRDefault="00DC42C5">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DC42C5" w:rsidRDefault="00DC42C5">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DC42C5" w:rsidRDefault="00DC42C5">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DC42C5" w:rsidRDefault="00DC42C5">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DC42C5" w:rsidRDefault="00DC42C5">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DC42C5" w:rsidRDefault="00DC42C5">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DC42C5" w:rsidRPr="00C50A5C" w:rsidTr="00245129">
      <w:tc>
        <w:tcPr>
          <w:tcW w:w="4200" w:type="dxa"/>
          <w:tcMar>
            <w:left w:w="0" w:type="dxa"/>
            <w:right w:w="0" w:type="dxa"/>
          </w:tcMar>
        </w:tcPr>
        <w:p w:rsidR="00DC42C5" w:rsidRPr="00C50A5C" w:rsidRDefault="00DC42C5"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DC42C5" w:rsidRPr="00C50A5C" w:rsidRDefault="00DC42C5"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DC42C5" w:rsidRPr="00C50A5C" w:rsidRDefault="00DC42C5"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DC42C5" w:rsidRPr="00C50A5C" w:rsidRDefault="00DC42C5"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DC42C5" w:rsidRDefault="00DC42C5"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C5" w:rsidRDefault="00DC42C5">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DC42C5" w:rsidRPr="005F263E" w:rsidTr="00245129">
      <w:tc>
        <w:tcPr>
          <w:tcW w:w="4200" w:type="dxa"/>
          <w:tcMar>
            <w:left w:w="0" w:type="dxa"/>
            <w:right w:w="0" w:type="dxa"/>
          </w:tcMar>
        </w:tcPr>
        <w:p w:rsidR="00DC42C5" w:rsidRPr="005F263E" w:rsidRDefault="00DC42C5"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DC42C5" w:rsidRPr="005F263E" w:rsidRDefault="00DC42C5" w:rsidP="00245129">
          <w:pPr>
            <w:keepNext/>
            <w:keepLines/>
            <w:tabs>
              <w:tab w:val="left" w:pos="-1440"/>
              <w:tab w:val="left" w:pos="-720"/>
            </w:tabs>
            <w:jc w:val="center"/>
            <w:rPr>
              <w:sz w:val="20"/>
              <w:szCs w:val="20"/>
            </w:rPr>
          </w:pPr>
        </w:p>
        <w:p w:rsidR="00DC42C5" w:rsidRPr="005F263E" w:rsidRDefault="00DC42C5" w:rsidP="00245129">
          <w:pPr>
            <w:keepNext/>
            <w:keepLines/>
            <w:tabs>
              <w:tab w:val="left" w:pos="-1440"/>
              <w:tab w:val="left" w:pos="-720"/>
            </w:tabs>
            <w:jc w:val="center"/>
            <w:rPr>
              <w:sz w:val="20"/>
              <w:szCs w:val="20"/>
            </w:rPr>
          </w:pPr>
        </w:p>
      </w:tc>
      <w:tc>
        <w:tcPr>
          <w:tcW w:w="4080" w:type="dxa"/>
          <w:tcMar>
            <w:left w:w="0" w:type="dxa"/>
            <w:right w:w="0" w:type="dxa"/>
          </w:tcMar>
        </w:tcPr>
        <w:p w:rsidR="00DC42C5" w:rsidRPr="005F263E" w:rsidRDefault="00DC42C5" w:rsidP="00245129">
          <w:pPr>
            <w:keepLines/>
            <w:tabs>
              <w:tab w:val="left" w:pos="-1440"/>
              <w:tab w:val="left" w:pos="-720"/>
            </w:tabs>
            <w:rPr>
              <w:sz w:val="20"/>
              <w:szCs w:val="20"/>
            </w:rPr>
          </w:pPr>
          <w:r w:rsidRPr="005F263E">
            <w:rPr>
              <w:sz w:val="20"/>
              <w:szCs w:val="20"/>
            </w:rPr>
            <w:t>RÉSUMÉS DES AFFAIRES</w:t>
          </w:r>
        </w:p>
      </w:tc>
    </w:tr>
  </w:tbl>
  <w:p w:rsidR="00DC42C5" w:rsidRDefault="00DC42C5" w:rsidP="005F263E"/>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C5" w:rsidRDefault="00DC42C5">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C5" w:rsidRDefault="00DC42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C5" w:rsidRDefault="00DC42C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DC42C5" w:rsidRPr="0044776A" w:rsidTr="00245129">
      <w:tc>
        <w:tcPr>
          <w:tcW w:w="4290" w:type="dxa"/>
          <w:tcMar>
            <w:left w:w="0" w:type="dxa"/>
            <w:right w:w="0" w:type="dxa"/>
          </w:tcMar>
        </w:tcPr>
        <w:p w:rsidR="00DC42C5" w:rsidRPr="0044776A" w:rsidRDefault="00DC42C5"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DC42C5" w:rsidRPr="0044776A" w:rsidRDefault="00DC42C5" w:rsidP="002E2327">
          <w:pPr>
            <w:keepNext/>
            <w:keepLines/>
            <w:tabs>
              <w:tab w:val="left" w:pos="-1440"/>
              <w:tab w:val="left" w:pos="-720"/>
            </w:tabs>
            <w:jc w:val="center"/>
            <w:rPr>
              <w:sz w:val="20"/>
              <w:szCs w:val="20"/>
            </w:rPr>
          </w:pPr>
        </w:p>
        <w:p w:rsidR="00DC42C5" w:rsidRPr="0044776A" w:rsidRDefault="00DC42C5" w:rsidP="002E2327">
          <w:pPr>
            <w:keepNext/>
            <w:keepLines/>
            <w:tabs>
              <w:tab w:val="left" w:pos="-1440"/>
              <w:tab w:val="left" w:pos="-720"/>
            </w:tabs>
            <w:jc w:val="center"/>
            <w:rPr>
              <w:sz w:val="20"/>
              <w:szCs w:val="20"/>
            </w:rPr>
          </w:pPr>
        </w:p>
        <w:p w:rsidR="00DC42C5" w:rsidRPr="0044776A" w:rsidRDefault="00DC42C5" w:rsidP="002E2327">
          <w:pPr>
            <w:keepNext/>
            <w:keepLines/>
            <w:tabs>
              <w:tab w:val="left" w:pos="-1440"/>
              <w:tab w:val="left" w:pos="-720"/>
            </w:tabs>
            <w:jc w:val="center"/>
            <w:rPr>
              <w:sz w:val="20"/>
              <w:szCs w:val="20"/>
            </w:rPr>
          </w:pPr>
        </w:p>
      </w:tc>
      <w:tc>
        <w:tcPr>
          <w:tcW w:w="4320" w:type="dxa"/>
          <w:tcMar>
            <w:left w:w="0" w:type="dxa"/>
            <w:right w:w="0" w:type="dxa"/>
          </w:tcMar>
        </w:tcPr>
        <w:p w:rsidR="00DC42C5" w:rsidRPr="0044776A" w:rsidRDefault="00DC42C5" w:rsidP="002E2327">
          <w:pPr>
            <w:keepLines/>
            <w:rPr>
              <w:sz w:val="20"/>
              <w:szCs w:val="20"/>
              <w:lang w:val="fr-CA"/>
            </w:rPr>
          </w:pPr>
          <w:r w:rsidRPr="0044776A">
            <w:rPr>
              <w:sz w:val="20"/>
              <w:szCs w:val="20"/>
              <w:lang w:val="fr-CA"/>
            </w:rPr>
            <w:t>DEMANDES D'AUTORISATION D'APPEL DÉPOSÉES</w:t>
          </w:r>
        </w:p>
      </w:tc>
    </w:tr>
  </w:tbl>
  <w:p w:rsidR="00DC42C5" w:rsidRDefault="00DC42C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C5" w:rsidRDefault="00DC42C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DC42C5" w:rsidRPr="0082006E" w:rsidTr="00245129">
      <w:tc>
        <w:tcPr>
          <w:tcW w:w="4200" w:type="dxa"/>
          <w:tcMar>
            <w:left w:w="0" w:type="dxa"/>
            <w:right w:w="0" w:type="dxa"/>
          </w:tcMar>
        </w:tcPr>
        <w:p w:rsidR="00DC42C5" w:rsidRPr="0044776A" w:rsidRDefault="00DC42C5" w:rsidP="0044776A">
          <w:pPr>
            <w:keepNext/>
            <w:keepLines/>
            <w:widowControl w:val="0"/>
            <w:rPr>
              <w:sz w:val="20"/>
              <w:szCs w:val="20"/>
            </w:rPr>
          </w:pPr>
          <w:r>
            <w:rPr>
              <w:sz w:val="20"/>
              <w:szCs w:val="20"/>
            </w:rPr>
            <w:t>APPLICATIONS FOR LEAVE</w:t>
          </w:r>
        </w:p>
        <w:p w:rsidR="00DC42C5" w:rsidRPr="0044776A" w:rsidRDefault="00DC42C5"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DC42C5" w:rsidRPr="0044776A" w:rsidRDefault="00DC42C5" w:rsidP="0044776A">
          <w:pPr>
            <w:keepNext/>
            <w:keepLines/>
            <w:widowControl w:val="0"/>
            <w:jc w:val="center"/>
            <w:rPr>
              <w:sz w:val="20"/>
              <w:szCs w:val="20"/>
            </w:rPr>
          </w:pPr>
        </w:p>
        <w:p w:rsidR="00DC42C5" w:rsidRPr="0044776A" w:rsidRDefault="00DC42C5" w:rsidP="0044776A">
          <w:pPr>
            <w:keepNext/>
            <w:keepLines/>
            <w:widowControl w:val="0"/>
            <w:jc w:val="center"/>
            <w:rPr>
              <w:sz w:val="20"/>
              <w:szCs w:val="20"/>
            </w:rPr>
          </w:pPr>
        </w:p>
        <w:p w:rsidR="00DC42C5" w:rsidRPr="0044776A" w:rsidRDefault="00DC42C5" w:rsidP="0044776A">
          <w:pPr>
            <w:keepNext/>
            <w:keepLines/>
            <w:widowControl w:val="0"/>
            <w:jc w:val="center"/>
            <w:rPr>
              <w:sz w:val="20"/>
              <w:szCs w:val="20"/>
            </w:rPr>
          </w:pPr>
        </w:p>
      </w:tc>
      <w:tc>
        <w:tcPr>
          <w:tcW w:w="4080" w:type="dxa"/>
          <w:tcMar>
            <w:left w:w="0" w:type="dxa"/>
            <w:right w:w="0" w:type="dxa"/>
          </w:tcMar>
        </w:tcPr>
        <w:p w:rsidR="00DC42C5" w:rsidRPr="0044776A" w:rsidRDefault="00DC42C5" w:rsidP="0044776A">
          <w:pPr>
            <w:keepLines/>
            <w:widowControl w:val="0"/>
            <w:rPr>
              <w:sz w:val="20"/>
              <w:szCs w:val="20"/>
              <w:lang w:val="fr-CA"/>
            </w:rPr>
          </w:pPr>
          <w:r w:rsidRPr="0044776A">
            <w:rPr>
              <w:sz w:val="20"/>
              <w:szCs w:val="20"/>
              <w:lang w:val="fr-CA"/>
            </w:rPr>
            <w:t>DEMANDES SOUMISES À LA COUR DEPUIS LA DERNIÈRE PARUTION</w:t>
          </w:r>
        </w:p>
        <w:p w:rsidR="00DC42C5" w:rsidRPr="0044776A" w:rsidRDefault="00DC42C5" w:rsidP="0044776A">
          <w:pPr>
            <w:widowControl w:val="0"/>
            <w:rPr>
              <w:sz w:val="20"/>
              <w:szCs w:val="20"/>
              <w:lang w:val="fr-CA"/>
            </w:rPr>
          </w:pPr>
        </w:p>
      </w:tc>
    </w:tr>
  </w:tbl>
  <w:p w:rsidR="00DC42C5" w:rsidRPr="002E2327" w:rsidRDefault="00DC42C5">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C5" w:rsidRDefault="00DC42C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DC42C5" w:rsidRPr="0082006E">
      <w:tc>
        <w:tcPr>
          <w:tcW w:w="4200" w:type="dxa"/>
          <w:tcMar>
            <w:left w:w="0" w:type="dxa"/>
            <w:right w:w="0" w:type="dxa"/>
          </w:tcMar>
        </w:tcPr>
        <w:p w:rsidR="00DC42C5" w:rsidRDefault="00DC42C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DC42C5" w:rsidRDefault="00DC42C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DC42C5" w:rsidRDefault="00DC42C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C42C5" w:rsidRPr="00FF6BA5" w:rsidRDefault="00DC42C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DC42C5" w:rsidRPr="00FF6BA5" w:rsidRDefault="00DC42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DC42C5" w:rsidRPr="00FF6BA5" w:rsidRDefault="00DC42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DC42C5" w:rsidRPr="00FF6BA5" w:rsidRDefault="00DC42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DC42C5" w:rsidRPr="0082006E" w:rsidTr="00245129">
      <w:tc>
        <w:tcPr>
          <w:tcW w:w="4200" w:type="dxa"/>
          <w:tcMar>
            <w:left w:w="0" w:type="dxa"/>
            <w:right w:w="0" w:type="dxa"/>
          </w:tcMar>
        </w:tcPr>
        <w:p w:rsidR="00DC42C5" w:rsidRPr="00755F22" w:rsidRDefault="00DC42C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DC42C5" w:rsidRPr="00755F22" w:rsidRDefault="00DC42C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DC42C5" w:rsidRPr="00755F22" w:rsidRDefault="00DC42C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DC42C5" w:rsidRPr="00755F22" w:rsidRDefault="00DC42C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DC42C5" w:rsidRPr="00755F22" w:rsidRDefault="00DC42C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DC42C5" w:rsidRPr="00755F22" w:rsidRDefault="00DC42C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DC42C5" w:rsidRPr="00FF6BA5" w:rsidRDefault="00DC42C5"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F2E60"/>
    <w:multiLevelType w:val="hybridMultilevel"/>
    <w:tmpl w:val="906ABC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2D83D97"/>
    <w:multiLevelType w:val="hybridMultilevel"/>
    <w:tmpl w:val="14D20252"/>
    <w:lvl w:ilvl="0" w:tplc="5D282526">
      <w:start w:val="1"/>
      <w:numFmt w:val="decimal"/>
      <w:lvlText w:val="%1."/>
      <w:lvlJc w:val="left"/>
      <w:pPr>
        <w:ind w:left="720" w:hanging="360"/>
      </w:pPr>
      <w:rPr>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drawingGridHorizontalSpacing w:val="120"/>
  <w:displayHorizontalDrawingGridEvery w:val="2"/>
  <w:characterSpacingControl w:val="doNotCompress"/>
  <w:hdrShapeDefaults>
    <o:shapedefaults v:ext="edit" spidmax="225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7CE"/>
    <w:rsid w:val="00002704"/>
    <w:rsid w:val="0001096E"/>
    <w:rsid w:val="000160DB"/>
    <w:rsid w:val="00017A3C"/>
    <w:rsid w:val="00020DC3"/>
    <w:rsid w:val="000219B8"/>
    <w:rsid w:val="00022972"/>
    <w:rsid w:val="00026223"/>
    <w:rsid w:val="00031F07"/>
    <w:rsid w:val="0003223B"/>
    <w:rsid w:val="0003231B"/>
    <w:rsid w:val="000327B2"/>
    <w:rsid w:val="0003780C"/>
    <w:rsid w:val="00041976"/>
    <w:rsid w:val="0004528B"/>
    <w:rsid w:val="00045AA6"/>
    <w:rsid w:val="00053933"/>
    <w:rsid w:val="00057B83"/>
    <w:rsid w:val="00061949"/>
    <w:rsid w:val="00064FBA"/>
    <w:rsid w:val="000667C9"/>
    <w:rsid w:val="000840CA"/>
    <w:rsid w:val="00091FA6"/>
    <w:rsid w:val="00096BD9"/>
    <w:rsid w:val="000A2E8C"/>
    <w:rsid w:val="000B39F0"/>
    <w:rsid w:val="000B3C9A"/>
    <w:rsid w:val="000B40A2"/>
    <w:rsid w:val="000B4624"/>
    <w:rsid w:val="000B560B"/>
    <w:rsid w:val="000C0ACD"/>
    <w:rsid w:val="000C0D2A"/>
    <w:rsid w:val="000C5CE8"/>
    <w:rsid w:val="000E27A5"/>
    <w:rsid w:val="000E2959"/>
    <w:rsid w:val="000F0B60"/>
    <w:rsid w:val="000F1A6B"/>
    <w:rsid w:val="00102926"/>
    <w:rsid w:val="0010587F"/>
    <w:rsid w:val="0011052D"/>
    <w:rsid w:val="00111C6B"/>
    <w:rsid w:val="00112410"/>
    <w:rsid w:val="0012102B"/>
    <w:rsid w:val="00130A41"/>
    <w:rsid w:val="0013369E"/>
    <w:rsid w:val="00145773"/>
    <w:rsid w:val="001525A4"/>
    <w:rsid w:val="00164E6D"/>
    <w:rsid w:val="00176E62"/>
    <w:rsid w:val="00183454"/>
    <w:rsid w:val="0018605D"/>
    <w:rsid w:val="00191045"/>
    <w:rsid w:val="001A213C"/>
    <w:rsid w:val="001A7BAA"/>
    <w:rsid w:val="001B157C"/>
    <w:rsid w:val="001B27B4"/>
    <w:rsid w:val="001B4006"/>
    <w:rsid w:val="001B5C23"/>
    <w:rsid w:val="001C2A3C"/>
    <w:rsid w:val="001D0D5F"/>
    <w:rsid w:val="001D5CEE"/>
    <w:rsid w:val="001D6B8C"/>
    <w:rsid w:val="001E1F30"/>
    <w:rsid w:val="001F1668"/>
    <w:rsid w:val="001F1F83"/>
    <w:rsid w:val="001F40DF"/>
    <w:rsid w:val="001F6B2D"/>
    <w:rsid w:val="002021A9"/>
    <w:rsid w:val="00202302"/>
    <w:rsid w:val="0020498D"/>
    <w:rsid w:val="002139A7"/>
    <w:rsid w:val="00214D55"/>
    <w:rsid w:val="00215F7C"/>
    <w:rsid w:val="0022323B"/>
    <w:rsid w:val="0022610E"/>
    <w:rsid w:val="0023627A"/>
    <w:rsid w:val="002410B8"/>
    <w:rsid w:val="00242AEE"/>
    <w:rsid w:val="00245129"/>
    <w:rsid w:val="00245879"/>
    <w:rsid w:val="002621A6"/>
    <w:rsid w:val="00267FD5"/>
    <w:rsid w:val="00274D34"/>
    <w:rsid w:val="00282FB3"/>
    <w:rsid w:val="00283ED8"/>
    <w:rsid w:val="002868D0"/>
    <w:rsid w:val="00295B06"/>
    <w:rsid w:val="002A008C"/>
    <w:rsid w:val="002A27D1"/>
    <w:rsid w:val="002A4AFA"/>
    <w:rsid w:val="002B516C"/>
    <w:rsid w:val="002D72EB"/>
    <w:rsid w:val="002E2327"/>
    <w:rsid w:val="002E3583"/>
    <w:rsid w:val="002E5576"/>
    <w:rsid w:val="0030050B"/>
    <w:rsid w:val="00305DBA"/>
    <w:rsid w:val="003076F6"/>
    <w:rsid w:val="00312FB5"/>
    <w:rsid w:val="00313B53"/>
    <w:rsid w:val="00314926"/>
    <w:rsid w:val="00331B52"/>
    <w:rsid w:val="003359D3"/>
    <w:rsid w:val="00335EE3"/>
    <w:rsid w:val="003427CE"/>
    <w:rsid w:val="00347BFC"/>
    <w:rsid w:val="00355967"/>
    <w:rsid w:val="00372D01"/>
    <w:rsid w:val="00382C47"/>
    <w:rsid w:val="00384384"/>
    <w:rsid w:val="003866AE"/>
    <w:rsid w:val="00395A4D"/>
    <w:rsid w:val="003A2925"/>
    <w:rsid w:val="003A4581"/>
    <w:rsid w:val="003A549D"/>
    <w:rsid w:val="003B3973"/>
    <w:rsid w:val="003B3977"/>
    <w:rsid w:val="003C5775"/>
    <w:rsid w:val="003D0915"/>
    <w:rsid w:val="003E1D4C"/>
    <w:rsid w:val="003F0689"/>
    <w:rsid w:val="003F49AC"/>
    <w:rsid w:val="0040694F"/>
    <w:rsid w:val="004137A0"/>
    <w:rsid w:val="00422D9A"/>
    <w:rsid w:val="00432989"/>
    <w:rsid w:val="00435162"/>
    <w:rsid w:val="00440E24"/>
    <w:rsid w:val="0044776A"/>
    <w:rsid w:val="00460AFC"/>
    <w:rsid w:val="0047471F"/>
    <w:rsid w:val="00480D9D"/>
    <w:rsid w:val="004813A5"/>
    <w:rsid w:val="00496668"/>
    <w:rsid w:val="00496D30"/>
    <w:rsid w:val="00497B8B"/>
    <w:rsid w:val="004B134A"/>
    <w:rsid w:val="004B195E"/>
    <w:rsid w:val="004B66B4"/>
    <w:rsid w:val="004B6D8D"/>
    <w:rsid w:val="004B6DEF"/>
    <w:rsid w:val="004B7F60"/>
    <w:rsid w:val="004C1AAC"/>
    <w:rsid w:val="004C7229"/>
    <w:rsid w:val="004D1F87"/>
    <w:rsid w:val="004D61A4"/>
    <w:rsid w:val="004E1E0A"/>
    <w:rsid w:val="004E6EF3"/>
    <w:rsid w:val="004F090E"/>
    <w:rsid w:val="004F713C"/>
    <w:rsid w:val="00501F3C"/>
    <w:rsid w:val="00513477"/>
    <w:rsid w:val="005162CF"/>
    <w:rsid w:val="0052229C"/>
    <w:rsid w:val="00525901"/>
    <w:rsid w:val="00527CC7"/>
    <w:rsid w:val="00546E37"/>
    <w:rsid w:val="00547930"/>
    <w:rsid w:val="00552A85"/>
    <w:rsid w:val="00571CA4"/>
    <w:rsid w:val="00573B47"/>
    <w:rsid w:val="00582136"/>
    <w:rsid w:val="00593988"/>
    <w:rsid w:val="005B47A9"/>
    <w:rsid w:val="005B5DDF"/>
    <w:rsid w:val="005B71FF"/>
    <w:rsid w:val="005C6840"/>
    <w:rsid w:val="005C74A5"/>
    <w:rsid w:val="005D10B6"/>
    <w:rsid w:val="005D4369"/>
    <w:rsid w:val="005F12E5"/>
    <w:rsid w:val="005F1B9B"/>
    <w:rsid w:val="005F1ED8"/>
    <w:rsid w:val="005F263E"/>
    <w:rsid w:val="005F6131"/>
    <w:rsid w:val="00600252"/>
    <w:rsid w:val="006003E4"/>
    <w:rsid w:val="006031FF"/>
    <w:rsid w:val="00605D58"/>
    <w:rsid w:val="00612A40"/>
    <w:rsid w:val="00616675"/>
    <w:rsid w:val="006242D9"/>
    <w:rsid w:val="006248F1"/>
    <w:rsid w:val="0062714A"/>
    <w:rsid w:val="00627DCF"/>
    <w:rsid w:val="00640F12"/>
    <w:rsid w:val="00675479"/>
    <w:rsid w:val="00680709"/>
    <w:rsid w:val="00681F61"/>
    <w:rsid w:val="006951DD"/>
    <w:rsid w:val="00696BF9"/>
    <w:rsid w:val="0069709D"/>
    <w:rsid w:val="00697C62"/>
    <w:rsid w:val="006A329B"/>
    <w:rsid w:val="006A7EB8"/>
    <w:rsid w:val="006B56B1"/>
    <w:rsid w:val="006B62EA"/>
    <w:rsid w:val="006B6926"/>
    <w:rsid w:val="006C3F47"/>
    <w:rsid w:val="006C5F7A"/>
    <w:rsid w:val="006D6238"/>
    <w:rsid w:val="006E06AF"/>
    <w:rsid w:val="006E4D45"/>
    <w:rsid w:val="006E7F89"/>
    <w:rsid w:val="006F350F"/>
    <w:rsid w:val="00705361"/>
    <w:rsid w:val="00711B0E"/>
    <w:rsid w:val="007133FE"/>
    <w:rsid w:val="00732DB7"/>
    <w:rsid w:val="00733B0A"/>
    <w:rsid w:val="00733D71"/>
    <w:rsid w:val="0074238B"/>
    <w:rsid w:val="00745EF7"/>
    <w:rsid w:val="00755F22"/>
    <w:rsid w:val="00766E4A"/>
    <w:rsid w:val="00767069"/>
    <w:rsid w:val="007820CE"/>
    <w:rsid w:val="00782AE4"/>
    <w:rsid w:val="00793629"/>
    <w:rsid w:val="0079724F"/>
    <w:rsid w:val="007A3EAE"/>
    <w:rsid w:val="007B18DD"/>
    <w:rsid w:val="007C04FC"/>
    <w:rsid w:val="007C3DB0"/>
    <w:rsid w:val="007C47C2"/>
    <w:rsid w:val="007D3E0F"/>
    <w:rsid w:val="007E4282"/>
    <w:rsid w:val="007E4B29"/>
    <w:rsid w:val="007F2557"/>
    <w:rsid w:val="007F387B"/>
    <w:rsid w:val="00800107"/>
    <w:rsid w:val="00800514"/>
    <w:rsid w:val="008008E0"/>
    <w:rsid w:val="00802863"/>
    <w:rsid w:val="008112A9"/>
    <w:rsid w:val="0081473A"/>
    <w:rsid w:val="00815867"/>
    <w:rsid w:val="00815B3C"/>
    <w:rsid w:val="0081610A"/>
    <w:rsid w:val="0082006E"/>
    <w:rsid w:val="008211E1"/>
    <w:rsid w:val="00825715"/>
    <w:rsid w:val="0082783A"/>
    <w:rsid w:val="00831CA9"/>
    <w:rsid w:val="0083301A"/>
    <w:rsid w:val="00836E16"/>
    <w:rsid w:val="00850E1F"/>
    <w:rsid w:val="0085476B"/>
    <w:rsid w:val="00854A50"/>
    <w:rsid w:val="0086340B"/>
    <w:rsid w:val="008859E3"/>
    <w:rsid w:val="008902B1"/>
    <w:rsid w:val="00890FEB"/>
    <w:rsid w:val="00893624"/>
    <w:rsid w:val="00895E7E"/>
    <w:rsid w:val="008A5C1A"/>
    <w:rsid w:val="008B5D38"/>
    <w:rsid w:val="008D2181"/>
    <w:rsid w:val="008D292F"/>
    <w:rsid w:val="008E03DC"/>
    <w:rsid w:val="008E74C4"/>
    <w:rsid w:val="00902E51"/>
    <w:rsid w:val="00903D18"/>
    <w:rsid w:val="00905E00"/>
    <w:rsid w:val="00924065"/>
    <w:rsid w:val="00930D68"/>
    <w:rsid w:val="00932DB4"/>
    <w:rsid w:val="00940B1C"/>
    <w:rsid w:val="00941A4B"/>
    <w:rsid w:val="009434B5"/>
    <w:rsid w:val="00946242"/>
    <w:rsid w:val="0095096B"/>
    <w:rsid w:val="009638AC"/>
    <w:rsid w:val="00970CD3"/>
    <w:rsid w:val="009723FA"/>
    <w:rsid w:val="00972E2C"/>
    <w:rsid w:val="00975C9B"/>
    <w:rsid w:val="009815C4"/>
    <w:rsid w:val="00984546"/>
    <w:rsid w:val="00986D6B"/>
    <w:rsid w:val="00996510"/>
    <w:rsid w:val="009B1FFB"/>
    <w:rsid w:val="009B7EF0"/>
    <w:rsid w:val="009C2345"/>
    <w:rsid w:val="009C47B0"/>
    <w:rsid w:val="009D1F15"/>
    <w:rsid w:val="009D3F03"/>
    <w:rsid w:val="009D555E"/>
    <w:rsid w:val="009D67C3"/>
    <w:rsid w:val="009F1975"/>
    <w:rsid w:val="009F3024"/>
    <w:rsid w:val="009F39BA"/>
    <w:rsid w:val="009F7094"/>
    <w:rsid w:val="00A0034B"/>
    <w:rsid w:val="00A0355E"/>
    <w:rsid w:val="00A2146B"/>
    <w:rsid w:val="00A34184"/>
    <w:rsid w:val="00A371F2"/>
    <w:rsid w:val="00A375D1"/>
    <w:rsid w:val="00A51D10"/>
    <w:rsid w:val="00A52A83"/>
    <w:rsid w:val="00A63EBB"/>
    <w:rsid w:val="00A6552C"/>
    <w:rsid w:val="00A67A3D"/>
    <w:rsid w:val="00A87207"/>
    <w:rsid w:val="00A90009"/>
    <w:rsid w:val="00A935AA"/>
    <w:rsid w:val="00A956D3"/>
    <w:rsid w:val="00AA717F"/>
    <w:rsid w:val="00AB2201"/>
    <w:rsid w:val="00AB75CB"/>
    <w:rsid w:val="00AD1D34"/>
    <w:rsid w:val="00AD2024"/>
    <w:rsid w:val="00AD2F26"/>
    <w:rsid w:val="00AD3259"/>
    <w:rsid w:val="00AD78F4"/>
    <w:rsid w:val="00AF1715"/>
    <w:rsid w:val="00AF3904"/>
    <w:rsid w:val="00B010C0"/>
    <w:rsid w:val="00B07335"/>
    <w:rsid w:val="00B13339"/>
    <w:rsid w:val="00B4740D"/>
    <w:rsid w:val="00B475AA"/>
    <w:rsid w:val="00B53685"/>
    <w:rsid w:val="00B61629"/>
    <w:rsid w:val="00B7374B"/>
    <w:rsid w:val="00B90DC0"/>
    <w:rsid w:val="00BA0A35"/>
    <w:rsid w:val="00BA116A"/>
    <w:rsid w:val="00BA5582"/>
    <w:rsid w:val="00BA6468"/>
    <w:rsid w:val="00BB0CCE"/>
    <w:rsid w:val="00BB1D44"/>
    <w:rsid w:val="00BB1DE3"/>
    <w:rsid w:val="00BB61B8"/>
    <w:rsid w:val="00BC0733"/>
    <w:rsid w:val="00BD06DA"/>
    <w:rsid w:val="00BD4217"/>
    <w:rsid w:val="00BD50B7"/>
    <w:rsid w:val="00BD5BDE"/>
    <w:rsid w:val="00BD5BF9"/>
    <w:rsid w:val="00BF25F3"/>
    <w:rsid w:val="00C063FA"/>
    <w:rsid w:val="00C1697B"/>
    <w:rsid w:val="00C21644"/>
    <w:rsid w:val="00C21CB5"/>
    <w:rsid w:val="00C4335E"/>
    <w:rsid w:val="00C45DBA"/>
    <w:rsid w:val="00C46376"/>
    <w:rsid w:val="00C50A5C"/>
    <w:rsid w:val="00C50FDF"/>
    <w:rsid w:val="00C5360A"/>
    <w:rsid w:val="00C63381"/>
    <w:rsid w:val="00C73D06"/>
    <w:rsid w:val="00C73E1B"/>
    <w:rsid w:val="00C758AF"/>
    <w:rsid w:val="00C759B4"/>
    <w:rsid w:val="00C76D71"/>
    <w:rsid w:val="00C77713"/>
    <w:rsid w:val="00C809AC"/>
    <w:rsid w:val="00C831E5"/>
    <w:rsid w:val="00C848CA"/>
    <w:rsid w:val="00C85BB7"/>
    <w:rsid w:val="00C90F6C"/>
    <w:rsid w:val="00CA19C4"/>
    <w:rsid w:val="00CA2DEA"/>
    <w:rsid w:val="00CB3520"/>
    <w:rsid w:val="00CB43D5"/>
    <w:rsid w:val="00CC4D84"/>
    <w:rsid w:val="00CD674C"/>
    <w:rsid w:val="00CE00F7"/>
    <w:rsid w:val="00CE198A"/>
    <w:rsid w:val="00CF08C8"/>
    <w:rsid w:val="00D004FC"/>
    <w:rsid w:val="00D015CA"/>
    <w:rsid w:val="00D07805"/>
    <w:rsid w:val="00D54E41"/>
    <w:rsid w:val="00D54F91"/>
    <w:rsid w:val="00D64901"/>
    <w:rsid w:val="00D6785D"/>
    <w:rsid w:val="00D71DE7"/>
    <w:rsid w:val="00D76BDF"/>
    <w:rsid w:val="00D818B6"/>
    <w:rsid w:val="00D862C1"/>
    <w:rsid w:val="00D9119C"/>
    <w:rsid w:val="00D93B50"/>
    <w:rsid w:val="00D94028"/>
    <w:rsid w:val="00D94670"/>
    <w:rsid w:val="00DA46F6"/>
    <w:rsid w:val="00DC2AD3"/>
    <w:rsid w:val="00DC42C5"/>
    <w:rsid w:val="00DD0B49"/>
    <w:rsid w:val="00DD5F29"/>
    <w:rsid w:val="00DD7D31"/>
    <w:rsid w:val="00DE0502"/>
    <w:rsid w:val="00DE349D"/>
    <w:rsid w:val="00DE5838"/>
    <w:rsid w:val="00E03244"/>
    <w:rsid w:val="00E06DFA"/>
    <w:rsid w:val="00E20A0A"/>
    <w:rsid w:val="00E2385B"/>
    <w:rsid w:val="00E240C2"/>
    <w:rsid w:val="00E356C7"/>
    <w:rsid w:val="00E414CA"/>
    <w:rsid w:val="00E41A5A"/>
    <w:rsid w:val="00E4395B"/>
    <w:rsid w:val="00E4557E"/>
    <w:rsid w:val="00E45FE4"/>
    <w:rsid w:val="00E605CB"/>
    <w:rsid w:val="00E64FA7"/>
    <w:rsid w:val="00E73F45"/>
    <w:rsid w:val="00E770CB"/>
    <w:rsid w:val="00E8652D"/>
    <w:rsid w:val="00E903A1"/>
    <w:rsid w:val="00E940EB"/>
    <w:rsid w:val="00E9703F"/>
    <w:rsid w:val="00EA414F"/>
    <w:rsid w:val="00EB2B90"/>
    <w:rsid w:val="00ED40C3"/>
    <w:rsid w:val="00ED67F5"/>
    <w:rsid w:val="00ED7E83"/>
    <w:rsid w:val="00EE091F"/>
    <w:rsid w:val="00EE4378"/>
    <w:rsid w:val="00EE708D"/>
    <w:rsid w:val="00EF4B63"/>
    <w:rsid w:val="00F0068D"/>
    <w:rsid w:val="00F0576D"/>
    <w:rsid w:val="00F12AB9"/>
    <w:rsid w:val="00F143E7"/>
    <w:rsid w:val="00F14E6D"/>
    <w:rsid w:val="00F15EA8"/>
    <w:rsid w:val="00F16C8D"/>
    <w:rsid w:val="00F21BA6"/>
    <w:rsid w:val="00F26C61"/>
    <w:rsid w:val="00F33CCE"/>
    <w:rsid w:val="00F40249"/>
    <w:rsid w:val="00F41BAB"/>
    <w:rsid w:val="00F47C0D"/>
    <w:rsid w:val="00F47EF5"/>
    <w:rsid w:val="00F50E8F"/>
    <w:rsid w:val="00F526C8"/>
    <w:rsid w:val="00F728DC"/>
    <w:rsid w:val="00F761A3"/>
    <w:rsid w:val="00F90596"/>
    <w:rsid w:val="00F9272D"/>
    <w:rsid w:val="00F9518C"/>
    <w:rsid w:val="00FA316E"/>
    <w:rsid w:val="00FA3373"/>
    <w:rsid w:val="00FA38D7"/>
    <w:rsid w:val="00FA59EF"/>
    <w:rsid w:val="00FB19A2"/>
    <w:rsid w:val="00FB4A2E"/>
    <w:rsid w:val="00FF2ACD"/>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link w:val="ParaNoNdepar-AltNChar"/>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061949"/>
    <w:pPr>
      <w:jc w:val="both"/>
    </w:pPr>
    <w:rPr>
      <w:b/>
      <w:lang w:val="fr-CA"/>
    </w:rPr>
  </w:style>
  <w:style w:type="character" w:customStyle="1" w:styleId="SCCLsocPartyChar">
    <w:name w:val="SCC.Lsoc.Party Char"/>
    <w:basedOn w:val="DefaultParagraphFont"/>
    <w:link w:val="SCCLsocParty"/>
    <w:rsid w:val="00061949"/>
    <w:rPr>
      <w:b/>
      <w:lang w:val="fr-CA"/>
    </w:rPr>
  </w:style>
  <w:style w:type="paragraph" w:customStyle="1" w:styleId="SCCSsoc">
    <w:name w:val="SCC.Ssoc"/>
    <w:basedOn w:val="Normal"/>
    <w:next w:val="Normal"/>
    <w:link w:val="SCCSsocChar"/>
    <w:rsid w:val="00E8652D"/>
    <w:rPr>
      <w:rFonts w:eastAsia="Calibri" w:cs="Times New Roman"/>
      <w:i/>
      <w:sz w:val="20"/>
      <w:szCs w:val="20"/>
    </w:rPr>
  </w:style>
  <w:style w:type="character" w:customStyle="1" w:styleId="SCCSsocChar">
    <w:name w:val="SCC.Ssoc Char"/>
    <w:link w:val="SCCSsoc"/>
    <w:rsid w:val="00E8652D"/>
    <w:rPr>
      <w:rFonts w:eastAsia="Calibri" w:cs="Times New Roman"/>
      <w:i/>
      <w:sz w:val="20"/>
      <w:szCs w:val="20"/>
      <w:lang w:val="en-CA"/>
    </w:rPr>
  </w:style>
  <w:style w:type="paragraph" w:styleId="BalloonText">
    <w:name w:val="Balloon Text"/>
    <w:basedOn w:val="Normal"/>
    <w:link w:val="BalloonTextChar"/>
    <w:uiPriority w:val="99"/>
    <w:semiHidden/>
    <w:unhideWhenUsed/>
    <w:rsid w:val="00B536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685"/>
    <w:rPr>
      <w:rFonts w:ascii="Segoe UI" w:hAnsi="Segoe UI" w:cs="Segoe UI"/>
      <w:sz w:val="18"/>
      <w:szCs w:val="18"/>
      <w:lang w:val="en-CA"/>
    </w:rPr>
  </w:style>
  <w:style w:type="character" w:styleId="FollowedHyperlink">
    <w:name w:val="FollowedHyperlink"/>
    <w:basedOn w:val="DefaultParagraphFont"/>
    <w:uiPriority w:val="99"/>
    <w:semiHidden/>
    <w:unhideWhenUsed/>
    <w:rsid w:val="007F2557"/>
    <w:rPr>
      <w:color w:val="800080" w:themeColor="followedHyperlink"/>
      <w:u w:val="single"/>
    </w:rPr>
  </w:style>
  <w:style w:type="character" w:customStyle="1" w:styleId="ParaNoNdepar-AltNChar">
    <w:name w:val="Para. No. / Nº de par. - Alt N Char"/>
    <w:basedOn w:val="DefaultParagraphFont"/>
    <w:link w:val="ParaNoNdepar-AltN"/>
    <w:rsid w:val="00F41BAB"/>
    <w:rPr>
      <w:rFonts w:eastAsiaTheme="minorEastAsia"/>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71821">
      <w:bodyDiv w:val="1"/>
      <w:marLeft w:val="0"/>
      <w:marRight w:val="0"/>
      <w:marTop w:val="0"/>
      <w:marBottom w:val="0"/>
      <w:divBdr>
        <w:top w:val="none" w:sz="0" w:space="0" w:color="auto"/>
        <w:left w:val="none" w:sz="0" w:space="0" w:color="auto"/>
        <w:bottom w:val="none" w:sz="0" w:space="0" w:color="auto"/>
        <w:right w:val="none" w:sz="0" w:space="0" w:color="auto"/>
      </w:divBdr>
    </w:div>
    <w:div w:id="778450378">
      <w:bodyDiv w:val="1"/>
      <w:marLeft w:val="0"/>
      <w:marRight w:val="0"/>
      <w:marTop w:val="0"/>
      <w:marBottom w:val="0"/>
      <w:divBdr>
        <w:top w:val="none" w:sz="0" w:space="0" w:color="auto"/>
        <w:left w:val="none" w:sz="0" w:space="0" w:color="auto"/>
        <w:bottom w:val="none" w:sz="0" w:space="0" w:color="auto"/>
        <w:right w:val="none" w:sz="0" w:space="0" w:color="auto"/>
      </w:divBdr>
    </w:div>
    <w:div w:id="9778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qc/qcca/doc/2015/2015qcca1069/2015qcca1069.html?autocompleteStr=groupe-sutton%20qcca%20&amp;autocompletePos=14" TargetMode="External"/><Relationship Id="rId117" Type="http://schemas.openxmlformats.org/officeDocument/2006/relationships/header" Target="header14.xml"/><Relationship Id="rId21" Type="http://schemas.openxmlformats.org/officeDocument/2006/relationships/header" Target="header6.xml"/><Relationship Id="rId42" Type="http://schemas.openxmlformats.org/officeDocument/2006/relationships/hyperlink" Target="http://canlii.ca/t/gkwxp" TargetMode="External"/><Relationship Id="rId47" Type="http://schemas.openxmlformats.org/officeDocument/2006/relationships/hyperlink" Target="https://www.canlii.org/en/on/onca/doc/2015/2015onca643/2015onca643.html?autocompleteStr=musyoki&amp;autocompletePos=1" TargetMode="External"/><Relationship Id="rId63" Type="http://schemas.openxmlformats.org/officeDocument/2006/relationships/hyperlink" Target="http://www.canlii.org/en/on/onca/doc/2015/2015onca681/2015onca681.html?autocompleteStr=2015%20ONCA%20681&amp;autocompletePos=1" TargetMode="External"/><Relationship Id="rId68" Type="http://schemas.openxmlformats.org/officeDocument/2006/relationships/hyperlink" Target="http://www.canlii.org/en/ca/fca/doc/2015/2015fca232/2015fca232.html?searchUrlHash=AAAAAAAAAAEAFTIwMTQgRkMgMTIyNCAoQ2FuTElJKQAAAAEADC8yMDE0ZmN0MTIyNAE&amp;resultIndex=1" TargetMode="External"/><Relationship Id="rId84" Type="http://schemas.openxmlformats.org/officeDocument/2006/relationships/hyperlink" Target="http://www.canlii.org/en/on/onca/doc/2015/2015onca764/2015onca764.html?autocompleteStr=2015%20ONCA%20764&amp;autocompletePos=1" TargetMode="External"/><Relationship Id="rId89" Type="http://schemas.openxmlformats.org/officeDocument/2006/relationships/hyperlink" Target="http://canlii.ca/t/gncg1" TargetMode="External"/><Relationship Id="rId112" Type="http://schemas.openxmlformats.org/officeDocument/2006/relationships/footer" Target="footer12.xml"/><Relationship Id="rId133" Type="http://schemas.openxmlformats.org/officeDocument/2006/relationships/footer" Target="footer20.xml"/><Relationship Id="rId138" Type="http://schemas.openxmlformats.org/officeDocument/2006/relationships/hyperlink" Target="http://www.scc-csc.ca/case-dossier/info/sum-som-eng.aspx?cas=36606" TargetMode="External"/><Relationship Id="rId154" Type="http://schemas.openxmlformats.org/officeDocument/2006/relationships/fontTable" Target="fontTable.xml"/><Relationship Id="rId16" Type="http://schemas.openxmlformats.org/officeDocument/2006/relationships/footer" Target="footer3.xml"/><Relationship Id="rId107" Type="http://schemas.openxmlformats.org/officeDocument/2006/relationships/header" Target="header10.xml"/><Relationship Id="rId11" Type="http://schemas.openxmlformats.org/officeDocument/2006/relationships/header" Target="header1.xml"/><Relationship Id="rId32" Type="http://schemas.openxmlformats.org/officeDocument/2006/relationships/hyperlink" Target="http://www.canlii.org/fr/qc/qccs/doc/2014/2014qccs3451/2014qccs3451.html?autocompleteStr=entreprise%20marissa&amp;autocompletePos=1" TargetMode="External"/><Relationship Id="rId37" Type="http://schemas.openxmlformats.org/officeDocument/2006/relationships/hyperlink" Target="http://canlii.ca/t/g84ll" TargetMode="External"/><Relationship Id="rId53" Type="http://schemas.openxmlformats.org/officeDocument/2006/relationships/hyperlink" Target="http://canlii.ca/t/glcp1" TargetMode="External"/><Relationship Id="rId58" Type="http://schemas.openxmlformats.org/officeDocument/2006/relationships/hyperlink" Target="http://canlii.ca/t/glcp1" TargetMode="External"/><Relationship Id="rId74" Type="http://schemas.openxmlformats.org/officeDocument/2006/relationships/hyperlink" Target="http://canlii.ca/t/glvt0" TargetMode="External"/><Relationship Id="rId79" Type="http://schemas.openxmlformats.org/officeDocument/2006/relationships/hyperlink" Target="http://canlii.ca/t/gm271" TargetMode="External"/><Relationship Id="rId102" Type="http://schemas.openxmlformats.org/officeDocument/2006/relationships/hyperlink" Target="http://canlii.ca/t/gmnkr" TargetMode="External"/><Relationship Id="rId123" Type="http://schemas.openxmlformats.org/officeDocument/2006/relationships/header" Target="header17.xml"/><Relationship Id="rId128" Type="http://schemas.openxmlformats.org/officeDocument/2006/relationships/footer" Target="footer19.xml"/><Relationship Id="rId144" Type="http://schemas.openxmlformats.org/officeDocument/2006/relationships/footer" Target="footer23.xml"/><Relationship Id="rId149" Type="http://schemas.openxmlformats.org/officeDocument/2006/relationships/footer" Target="footer26.xml"/><Relationship Id="rId5" Type="http://schemas.openxmlformats.org/officeDocument/2006/relationships/webSettings" Target="webSettings.xml"/><Relationship Id="rId90" Type="http://schemas.openxmlformats.org/officeDocument/2006/relationships/hyperlink" Target="http://canlii.ca/t/glph1" TargetMode="External"/><Relationship Id="rId95" Type="http://schemas.openxmlformats.org/officeDocument/2006/relationships/hyperlink" Target="http://www.canlii.org/fr/qc/qccs/doc/2014/2014qccs3233/2014qccs3233.html" TargetMode="External"/><Relationship Id="rId22" Type="http://schemas.openxmlformats.org/officeDocument/2006/relationships/footer" Target="footer6.xml"/><Relationship Id="rId27" Type="http://schemas.openxmlformats.org/officeDocument/2006/relationships/hyperlink" Target="https://www.canlii.org/fr/qc/qccs/doc/2013/2013qccs5934/2013qccs5934.html?autocompleteStr=groupe-sutton&amp;autocompletePos=14" TargetMode="External"/><Relationship Id="rId43" Type="http://schemas.openxmlformats.org/officeDocument/2006/relationships/hyperlink" Target="http://www.canlii.org/fr/qc/qccs/doc/2013/2013qccs6251/2013qccs6251.html" TargetMode="External"/><Relationship Id="rId48" Type="http://schemas.openxmlformats.org/officeDocument/2006/relationships/hyperlink" Target="https://www.canlii.org/en/on/onca/doc/2015/2015onca643/2015onca643.html?autocompleteStr=musyoki&amp;autocompletePos=1" TargetMode="External"/><Relationship Id="rId64" Type="http://schemas.openxmlformats.org/officeDocument/2006/relationships/hyperlink" Target="http://www.canlii.org/en/on/onsc/doc/2014/2014onsc4777/2014onsc4777.html" TargetMode="External"/><Relationship Id="rId69" Type="http://schemas.openxmlformats.org/officeDocument/2006/relationships/hyperlink" Target="http://www.canlii.org/en/ca/fct/doc/2014/2014fc1224/2014fc1224.html?autocompleteStr=2014%20FC%201224&amp;autocompletePos=1" TargetMode="External"/><Relationship Id="rId113" Type="http://schemas.openxmlformats.org/officeDocument/2006/relationships/header" Target="header13.xml"/><Relationship Id="rId118" Type="http://schemas.openxmlformats.org/officeDocument/2006/relationships/header" Target="header15.xml"/><Relationship Id="rId134" Type="http://schemas.openxmlformats.org/officeDocument/2006/relationships/footer" Target="footer21.xml"/><Relationship Id="rId139" Type="http://schemas.openxmlformats.org/officeDocument/2006/relationships/hyperlink" Target="http://www.scc-csc.ca/case-dossier/info/sum-som-eng.aspx?cas=35843" TargetMode="External"/><Relationship Id="rId80" Type="http://schemas.openxmlformats.org/officeDocument/2006/relationships/hyperlink" Target="http://canlii.ca/t/gm271" TargetMode="External"/><Relationship Id="rId85" Type="http://schemas.openxmlformats.org/officeDocument/2006/relationships/hyperlink" Target="http://www.canlii.org/en/on/onsc/doc/2013/2013onsc5878/2013onsc5878.html?autocompleteStr=2013%20ONSC%205878&amp;autocompletePos=1" TargetMode="External"/><Relationship Id="rId150" Type="http://schemas.openxmlformats.org/officeDocument/2006/relationships/header" Target="header27.xml"/><Relationship Id="rId155" Type="http://schemas.openxmlformats.org/officeDocument/2006/relationships/theme" Target="theme/theme1.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canlii.org/fr/qc/qccs/doc/2013/2013qccs5934/2013qccs5934.html?autocompleteStr=groupe-sutton&amp;autocompletePos=14" TargetMode="External"/><Relationship Id="rId33" Type="http://schemas.openxmlformats.org/officeDocument/2006/relationships/hyperlink" Target="http://www.canlii.org/fr/qc/qcca/doc/2015/2015qcca1400/2015qcca1400.html" TargetMode="External"/><Relationship Id="rId38" Type="http://schemas.openxmlformats.org/officeDocument/2006/relationships/hyperlink" Target="http://canlii.ca/t/gl8hk" TargetMode="External"/><Relationship Id="rId46" Type="http://schemas.openxmlformats.org/officeDocument/2006/relationships/hyperlink" Target="http://www.canlii.org/fr/qc/qcca/doc/2015/2015qcca1427/2015qcca1427.html?autocompleteStr=gosselin%20uni&amp;autocompletePos=2" TargetMode="External"/><Relationship Id="rId59" Type="http://schemas.openxmlformats.org/officeDocument/2006/relationships/hyperlink" Target="http://www.canlii.org/fr/qc/qcca/doc/2015/2015qcca1726/2015qcca1726.html?searchUrlHash=AAAAAQAtImxhIGbDqWTDqXJhdGlvbiBkZXMgbcOpZGVjaW5zIHNww6ljaWFsaXN0ZXMiAAAAAAE&amp;resultIndex=21" TargetMode="External"/><Relationship Id="rId67" Type="http://schemas.openxmlformats.org/officeDocument/2006/relationships/hyperlink" Target="http://www.canlii.org/en/ca/fct/doc/2014/2014fc1224/2014fc1224.html?autocompleteStr=2014%20FC%201224&amp;autocompletePos=1" TargetMode="External"/><Relationship Id="rId103" Type="http://schemas.openxmlformats.org/officeDocument/2006/relationships/header" Target="header8.xml"/><Relationship Id="rId108" Type="http://schemas.openxmlformats.org/officeDocument/2006/relationships/footer" Target="footer10.xml"/><Relationship Id="rId116" Type="http://schemas.openxmlformats.org/officeDocument/2006/relationships/hyperlink" Target="http://www.scc-csc.ca/case-dossier/info/sum-som-fra.aspx?cas=36712" TargetMode="External"/><Relationship Id="rId124" Type="http://schemas.openxmlformats.org/officeDocument/2006/relationships/header" Target="header18.xml"/><Relationship Id="rId129" Type="http://schemas.openxmlformats.org/officeDocument/2006/relationships/hyperlink" Target="http://www.scc-csc.ca/case-dossier/info/sum-som-eng.aspx?cas=36123" TargetMode="External"/><Relationship Id="rId137" Type="http://schemas.openxmlformats.org/officeDocument/2006/relationships/hyperlink" Target="http://www.scc-csc.ca/case-dossier/info/sum-som-fra.aspx?cas=36505" TargetMode="External"/><Relationship Id="rId20" Type="http://schemas.openxmlformats.org/officeDocument/2006/relationships/footer" Target="footer5.xml"/><Relationship Id="rId41" Type="http://schemas.openxmlformats.org/officeDocument/2006/relationships/hyperlink" Target="http://canlii.ca/t/gkwxp" TargetMode="External"/><Relationship Id="rId54" Type="http://schemas.openxmlformats.org/officeDocument/2006/relationships/hyperlink" Target="http://canlii.ca/t/2fhdm" TargetMode="External"/><Relationship Id="rId62" Type="http://schemas.openxmlformats.org/officeDocument/2006/relationships/hyperlink" Target="http://www.canlii.org/en/on/onsc/doc/2014/2014onsc5274/2014onsc5274.html?resultIndex=1" TargetMode="External"/><Relationship Id="rId70" Type="http://schemas.openxmlformats.org/officeDocument/2006/relationships/hyperlink" Target="http://www.canlii.org/en/ca/fca/doc/2015/2015fca232/2015fca232.html?searchUrlHash=AAAAAAAAAAEAFTIwMTQgRkMgMTIyNCAoQ2FuTElJKQAAAAEADC8yMDE0ZmN0MTIyNAE&amp;resultIndex=1" TargetMode="External"/><Relationship Id="rId75" Type="http://schemas.openxmlformats.org/officeDocument/2006/relationships/hyperlink" Target="http://canlii.ca/t/gggv6" TargetMode="External"/><Relationship Id="rId83" Type="http://schemas.openxmlformats.org/officeDocument/2006/relationships/hyperlink" Target="http://www.canlii.org/en/on/onsc/doc/2014/2014onsc3191/2014onsc3191.html?autocompleteStr=2014%20ONSC%203191&amp;autocompletePos=1" TargetMode="External"/><Relationship Id="rId88" Type="http://schemas.openxmlformats.org/officeDocument/2006/relationships/hyperlink" Target="http://www.canlii.org/en/on/onca/doc/2015/2015onca764/2015onca764.html?autocompleteStr=2015%20ONCA%20764&amp;autocompletePos=1" TargetMode="External"/><Relationship Id="rId91" Type="http://schemas.openxmlformats.org/officeDocument/2006/relationships/hyperlink" Target="http://canlii.ca/t/gncg1" TargetMode="External"/><Relationship Id="rId96" Type="http://schemas.openxmlformats.org/officeDocument/2006/relationships/hyperlink" Target="http://www.canlii.org/fr/qc/qcca/doc/2015/2015qcca1957/2015qcca1957.html" TargetMode="External"/><Relationship Id="rId111" Type="http://schemas.openxmlformats.org/officeDocument/2006/relationships/footer" Target="footer11.xml"/><Relationship Id="rId132" Type="http://schemas.openxmlformats.org/officeDocument/2006/relationships/header" Target="header21.xml"/><Relationship Id="rId140" Type="http://schemas.openxmlformats.org/officeDocument/2006/relationships/hyperlink" Target="http://www.scc-csc.ca/case-dossier/info/sum-som-eng.aspx?cas=36456" TargetMode="External"/><Relationship Id="rId145" Type="http://schemas.openxmlformats.org/officeDocument/2006/relationships/footer" Target="footer24.xml"/><Relationship Id="rId153" Type="http://schemas.openxmlformats.org/officeDocument/2006/relationships/footer" Target="footer2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s://www.canlii.org/en/qc/qcca/doc/2015/2015qcca1069/2015qcca1069.html?autocompleteStr=groupe-sutton%20qcca%20&amp;autocompletePos=14" TargetMode="External"/><Relationship Id="rId36" Type="http://schemas.openxmlformats.org/officeDocument/2006/relationships/hyperlink" Target="http://www.canlii.org/fr/qc/qcca/doc/2015/2015qcca1400/2015qcca1400.html" TargetMode="External"/><Relationship Id="rId49" Type="http://schemas.openxmlformats.org/officeDocument/2006/relationships/hyperlink" Target="http://canlii.ca/t/2fhdm" TargetMode="External"/><Relationship Id="rId57" Type="http://schemas.openxmlformats.org/officeDocument/2006/relationships/hyperlink" Target="http://canlii.ca/t/g642z" TargetMode="External"/><Relationship Id="rId106" Type="http://schemas.openxmlformats.org/officeDocument/2006/relationships/footer" Target="footer9.xml"/><Relationship Id="rId114" Type="http://schemas.openxmlformats.org/officeDocument/2006/relationships/footer" Target="footer13.xml"/><Relationship Id="rId119" Type="http://schemas.openxmlformats.org/officeDocument/2006/relationships/footer" Target="footer14.xml"/><Relationship Id="rId127" Type="http://schemas.openxmlformats.org/officeDocument/2006/relationships/header" Target="header19.xml"/><Relationship Id="rId10" Type="http://schemas.openxmlformats.org/officeDocument/2006/relationships/hyperlink" Target="http://www.scc-csc.ca" TargetMode="External"/><Relationship Id="rId31" Type="http://schemas.openxmlformats.org/officeDocument/2006/relationships/hyperlink" Target="http://www.canlii.org/en/ca/citt/doc/2011/2011canlii93786/2011canlii93786.html" TargetMode="External"/><Relationship Id="rId44" Type="http://schemas.openxmlformats.org/officeDocument/2006/relationships/hyperlink" Target="http://www.canlii.org/fr/qc/qcca/doc/2015/2015qcca1427/2015qcca1427.html?autocompleteStr=gosselin%20uni&amp;autocompletePos=2" TargetMode="External"/><Relationship Id="rId52" Type="http://schemas.openxmlformats.org/officeDocument/2006/relationships/hyperlink" Target="http://canlii.ca/t/g642z" TargetMode="External"/><Relationship Id="rId60" Type="http://schemas.openxmlformats.org/officeDocument/2006/relationships/hyperlink" Target="http://www.canlii.org/fr/qc/qcca/doc/2015/2015qcca1726/2015qcca1726.html?searchUrlHash=AAAAAQAtImxhIGbDqWTDqXJhdGlvbiBkZXMgbcOpZGVjaW5zIHNww6ljaWFsaXN0ZXMiAAAAAAE&amp;resultIndex=21" TargetMode="External"/><Relationship Id="rId65" Type="http://schemas.openxmlformats.org/officeDocument/2006/relationships/hyperlink" Target="http://www.canlii.org/en/on/onsc/doc/2014/2014onsc5274/2014onsc5274.html?resultIndex=1" TargetMode="External"/><Relationship Id="rId73" Type="http://schemas.openxmlformats.org/officeDocument/2006/relationships/hyperlink" Target="http://canlii.ca/t/gkq45" TargetMode="External"/><Relationship Id="rId78" Type="http://schemas.openxmlformats.org/officeDocument/2006/relationships/hyperlink" Target="http://canlii.ca/t/gm0m6" TargetMode="External"/><Relationship Id="rId81" Type="http://schemas.openxmlformats.org/officeDocument/2006/relationships/hyperlink" Target="http://www.canlii.org/en/on/onsc/doc/2014/2014onsc3191/2014onsc3191.html?autocompleteStr=2014%20ONSC%203191&amp;autocompletePos=1" TargetMode="External"/><Relationship Id="rId86" Type="http://schemas.openxmlformats.org/officeDocument/2006/relationships/hyperlink" Target="http://www.canlii.org/en/on/onca/doc/2015/2015onca764/2015onca764.html?autocompleteStr=2015%20ONCA%20764&amp;autocompletePos=1" TargetMode="External"/><Relationship Id="rId94" Type="http://schemas.openxmlformats.org/officeDocument/2006/relationships/hyperlink" Target="http://www.canlii.org/fr/qc/qcca/doc/2015/2015qcca1957/2015qcca1957.html" TargetMode="External"/><Relationship Id="rId99" Type="http://schemas.openxmlformats.org/officeDocument/2006/relationships/hyperlink" Target="http://canlii.ca/t/gjvl2" TargetMode="External"/><Relationship Id="rId101" Type="http://schemas.openxmlformats.org/officeDocument/2006/relationships/hyperlink" Target="http://canlii.ca/t/gjvl2" TargetMode="External"/><Relationship Id="rId122" Type="http://schemas.openxmlformats.org/officeDocument/2006/relationships/footer" Target="footer16.xml"/><Relationship Id="rId130" Type="http://schemas.openxmlformats.org/officeDocument/2006/relationships/hyperlink" Target="http://www.scc-csc.ca/case-dossier/info/sum-som-eng.aspx?cas=36301" TargetMode="External"/><Relationship Id="rId135" Type="http://schemas.openxmlformats.org/officeDocument/2006/relationships/header" Target="header22.xml"/><Relationship Id="rId143" Type="http://schemas.openxmlformats.org/officeDocument/2006/relationships/header" Target="header24.xml"/><Relationship Id="rId148" Type="http://schemas.openxmlformats.org/officeDocument/2006/relationships/header" Target="header26.xml"/><Relationship Id="rId151" Type="http://schemas.openxmlformats.org/officeDocument/2006/relationships/footer" Target="footer27.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yperlink" Target="http://canlii.ca/t/g84ll" TargetMode="External"/><Relationship Id="rId109" Type="http://schemas.openxmlformats.org/officeDocument/2006/relationships/header" Target="header11.xml"/><Relationship Id="rId34" Type="http://schemas.openxmlformats.org/officeDocument/2006/relationships/hyperlink" Target="http://www.canlii.org/fr/ca/tcce/doc/2011/2011canlii93786/2011canlii93786.html?autocompleteStr=entreprise%20marissa&amp;autocompletePos=2" TargetMode="External"/><Relationship Id="rId50" Type="http://schemas.openxmlformats.org/officeDocument/2006/relationships/hyperlink" Target="http://canlii.ca/t/fqcxt" TargetMode="External"/><Relationship Id="rId55" Type="http://schemas.openxmlformats.org/officeDocument/2006/relationships/hyperlink" Target="http://canlii.ca/t/fqcxt" TargetMode="External"/><Relationship Id="rId76" Type="http://schemas.openxmlformats.org/officeDocument/2006/relationships/hyperlink" Target="http://canlii.ca/t/gm0m6" TargetMode="External"/><Relationship Id="rId97" Type="http://schemas.openxmlformats.org/officeDocument/2006/relationships/hyperlink" Target="http://canlii.ca/t/gm91m" TargetMode="External"/><Relationship Id="rId104" Type="http://schemas.openxmlformats.org/officeDocument/2006/relationships/header" Target="header9.xml"/><Relationship Id="rId120" Type="http://schemas.openxmlformats.org/officeDocument/2006/relationships/footer" Target="footer15.xml"/><Relationship Id="rId125" Type="http://schemas.openxmlformats.org/officeDocument/2006/relationships/footer" Target="footer17.xml"/><Relationship Id="rId141" Type="http://schemas.openxmlformats.org/officeDocument/2006/relationships/hyperlink" Target="http://www.scc-csc.ca/case-dossier/info/sum-som-eng.aspx?cas=36792" TargetMode="External"/><Relationship Id="rId146" Type="http://schemas.openxmlformats.org/officeDocument/2006/relationships/header" Target="header25.xml"/><Relationship Id="rId7" Type="http://schemas.openxmlformats.org/officeDocument/2006/relationships/endnotes" Target="endnotes.xml"/><Relationship Id="rId71" Type="http://schemas.openxmlformats.org/officeDocument/2006/relationships/hyperlink" Target="http://canlii.ca/t/gkq45" TargetMode="External"/><Relationship Id="rId92" Type="http://schemas.openxmlformats.org/officeDocument/2006/relationships/hyperlink" Target="http://canlii.ca/t/glph1" TargetMode="External"/><Relationship Id="rId2" Type="http://schemas.openxmlformats.org/officeDocument/2006/relationships/numbering" Target="numbering.xml"/><Relationship Id="rId29" Type="http://schemas.openxmlformats.org/officeDocument/2006/relationships/hyperlink" Target="http://www.canlii.org/fr/qc/qcca/doc/2015/2015qcca1183/2015qcca1183.html?searchUrlHash=AAAAAQAPInRvYmJ5IGNhcnJpZXIiAAAAAAE&amp;resultIndex=3" TargetMode="External"/><Relationship Id="rId24" Type="http://schemas.openxmlformats.org/officeDocument/2006/relationships/footer" Target="footer7.xml"/><Relationship Id="rId40" Type="http://schemas.openxmlformats.org/officeDocument/2006/relationships/hyperlink" Target="http://canlii.ca/t/gl8hk" TargetMode="External"/><Relationship Id="rId45" Type="http://schemas.openxmlformats.org/officeDocument/2006/relationships/hyperlink" Target="http://www.canlii.org/fr/qc/qccs/doc/2013/2013qccs6251/2013qccs6251.html" TargetMode="External"/><Relationship Id="rId66" Type="http://schemas.openxmlformats.org/officeDocument/2006/relationships/hyperlink" Target="http://www.canlii.org/en/on/onca/doc/2015/2015onca681/2015onca681.html?autocompleteStr=2015%20ONCA%20681&amp;autocompletePos=1" TargetMode="External"/><Relationship Id="rId87" Type="http://schemas.openxmlformats.org/officeDocument/2006/relationships/hyperlink" Target="http://www.canlii.org/en/on/onsc/doc/2013/2013onsc5878/2013onsc5878.html?autocompleteStr=2013%20ONSC%205878&amp;autocompletePos=1" TargetMode="External"/><Relationship Id="rId110" Type="http://schemas.openxmlformats.org/officeDocument/2006/relationships/header" Target="header12.xml"/><Relationship Id="rId115" Type="http://schemas.openxmlformats.org/officeDocument/2006/relationships/hyperlink" Target="http://www.scc-csc.ca/case-dossier/info/sum-som-eng.aspx?cas=36704" TargetMode="External"/><Relationship Id="rId131" Type="http://schemas.openxmlformats.org/officeDocument/2006/relationships/header" Target="header20.xml"/><Relationship Id="rId136" Type="http://schemas.openxmlformats.org/officeDocument/2006/relationships/footer" Target="footer22.xml"/><Relationship Id="rId61" Type="http://schemas.openxmlformats.org/officeDocument/2006/relationships/hyperlink" Target="http://www.canlii.org/en/on/onsc/doc/2014/2014onsc4777/2014onsc4777.html" TargetMode="External"/><Relationship Id="rId82" Type="http://schemas.openxmlformats.org/officeDocument/2006/relationships/hyperlink" Target="http://www.canlii.org/en/on/onca/doc/2015/2015onca764/2015onca764.html?autocompleteStr=2015%20ONCA%20764&amp;autocompletePos=1" TargetMode="External"/><Relationship Id="rId152" Type="http://schemas.openxmlformats.org/officeDocument/2006/relationships/header" Target="header28.xml"/><Relationship Id="rId19" Type="http://schemas.openxmlformats.org/officeDocument/2006/relationships/header" Target="header5.xml"/><Relationship Id="rId14" Type="http://schemas.openxmlformats.org/officeDocument/2006/relationships/footer" Target="footer2.xml"/><Relationship Id="rId30" Type="http://schemas.openxmlformats.org/officeDocument/2006/relationships/hyperlink" Target="http://www.canlii.org/fr/qc/qcca/doc/2015/2015qcca1183/2015qcca1183.html?searchUrlHash=AAAAAQAPInRvYmJ5IGNhcnJpZXIiAAAAAAE&amp;resultIndex=3" TargetMode="External"/><Relationship Id="rId35" Type="http://schemas.openxmlformats.org/officeDocument/2006/relationships/hyperlink" Target="http://www.canlii.org/fr/qc/qccs/doc/2014/2014qccs3451/2014qccs3451.html?autocompleteStr=entreprise%20marissa&amp;autocompletePos=1" TargetMode="External"/><Relationship Id="rId56" Type="http://schemas.openxmlformats.org/officeDocument/2006/relationships/hyperlink" Target="http://canlii.ca/t/fv6vf" TargetMode="External"/><Relationship Id="rId77" Type="http://schemas.openxmlformats.org/officeDocument/2006/relationships/hyperlink" Target="http://canlii.ca/t/gggv6" TargetMode="External"/><Relationship Id="rId100" Type="http://schemas.openxmlformats.org/officeDocument/2006/relationships/hyperlink" Target="http://canlii.ca/t/gmnkr" TargetMode="External"/><Relationship Id="rId105" Type="http://schemas.openxmlformats.org/officeDocument/2006/relationships/footer" Target="footer8.xml"/><Relationship Id="rId126" Type="http://schemas.openxmlformats.org/officeDocument/2006/relationships/footer" Target="footer18.xml"/><Relationship Id="rId147" Type="http://schemas.openxmlformats.org/officeDocument/2006/relationships/footer" Target="footer25.xml"/><Relationship Id="rId8" Type="http://schemas.openxmlformats.org/officeDocument/2006/relationships/image" Target="media/image1.wmf"/><Relationship Id="rId51" Type="http://schemas.openxmlformats.org/officeDocument/2006/relationships/hyperlink" Target="http://canlii.ca/t/fv6vf" TargetMode="External"/><Relationship Id="rId72" Type="http://schemas.openxmlformats.org/officeDocument/2006/relationships/hyperlink" Target="http://canlii.ca/t/glvt0" TargetMode="External"/><Relationship Id="rId93" Type="http://schemas.openxmlformats.org/officeDocument/2006/relationships/hyperlink" Target="http://www.canlii.org/fr/qc/qccs/doc/2014/2014qccs3233/2014qccs3233.html" TargetMode="External"/><Relationship Id="rId98" Type="http://schemas.openxmlformats.org/officeDocument/2006/relationships/hyperlink" Target="http://canlii.ca/t/gm91m" TargetMode="External"/><Relationship Id="rId121" Type="http://schemas.openxmlformats.org/officeDocument/2006/relationships/header" Target="header16.xml"/><Relationship Id="rId142" Type="http://schemas.openxmlformats.org/officeDocument/2006/relationships/header" Target="header23.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503DB-FB59-46C6-859E-B32D99A84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31392</Words>
  <Characters>178937</Characters>
  <Application>Microsoft Office Word</Application>
  <DocSecurity>0</DocSecurity>
  <Lines>1491</Lines>
  <Paragraphs>419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2016-05-03T13:25:00Z</dcterms:created>
  <dcterms:modified xsi:type="dcterms:W3CDTF">2016-05-20T14:04:00Z</dcterms:modified>
</cp:coreProperties>
</file>