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E85E82" w:rsidRDefault="00382C47" w:rsidP="00B407D6">
      <w:pPr>
        <w:jc w:val="center"/>
      </w:pPr>
      <w:r w:rsidRPr="00E85E82">
        <w:rPr>
          <w:noProof/>
          <w:lang w:eastAsia="en-CA"/>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BF25F3" w:rsidRPr="00E85E82" w:rsidRDefault="00BF25F3" w:rsidP="00BF25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E85E82" w:rsidTr="002E5576">
        <w:tc>
          <w:tcPr>
            <w:tcW w:w="4518" w:type="dxa"/>
          </w:tcPr>
          <w:p w:rsidR="00BF25F3" w:rsidRPr="00E85E82" w:rsidRDefault="00BF25F3" w:rsidP="00BF25F3">
            <w:pPr>
              <w:tabs>
                <w:tab w:val="left" w:pos="6075"/>
              </w:tabs>
              <w:jc w:val="center"/>
              <w:rPr>
                <w:b/>
                <w:sz w:val="32"/>
                <w:szCs w:val="32"/>
              </w:rPr>
            </w:pPr>
            <w:bookmarkStart w:id="0" w:name="_GoBack"/>
            <w:bookmarkEnd w:id="0"/>
            <w:r w:rsidRPr="00E85E82">
              <w:rPr>
                <w:b/>
                <w:sz w:val="32"/>
                <w:szCs w:val="32"/>
              </w:rPr>
              <w:t>SUPREME COURT OF CANADA</w:t>
            </w:r>
          </w:p>
        </w:tc>
        <w:tc>
          <w:tcPr>
            <w:tcW w:w="630" w:type="dxa"/>
          </w:tcPr>
          <w:p w:rsidR="00BF25F3" w:rsidRPr="00E85E82" w:rsidRDefault="00BF25F3" w:rsidP="00BF25F3">
            <w:pPr>
              <w:tabs>
                <w:tab w:val="left" w:pos="6075"/>
              </w:tabs>
              <w:jc w:val="center"/>
              <w:rPr>
                <w:sz w:val="32"/>
                <w:szCs w:val="32"/>
              </w:rPr>
            </w:pPr>
          </w:p>
        </w:tc>
        <w:tc>
          <w:tcPr>
            <w:tcW w:w="4428" w:type="dxa"/>
          </w:tcPr>
          <w:p w:rsidR="00BF25F3" w:rsidRPr="00E85E82" w:rsidRDefault="00BF25F3" w:rsidP="00BF25F3">
            <w:pPr>
              <w:tabs>
                <w:tab w:val="left" w:pos="6075"/>
              </w:tabs>
              <w:jc w:val="center"/>
              <w:rPr>
                <w:b/>
                <w:sz w:val="32"/>
                <w:szCs w:val="32"/>
                <w:lang w:val="fr-CA"/>
              </w:rPr>
            </w:pPr>
            <w:r w:rsidRPr="00E85E82">
              <w:rPr>
                <w:b/>
                <w:sz w:val="32"/>
                <w:szCs w:val="32"/>
                <w:lang w:val="fr-CA"/>
              </w:rPr>
              <w:t>COUR SUPRÊME DU CANADA</w:t>
            </w:r>
          </w:p>
        </w:tc>
      </w:tr>
      <w:tr w:rsidR="00BF25F3" w:rsidRPr="00E85E82" w:rsidTr="002E5576">
        <w:tc>
          <w:tcPr>
            <w:tcW w:w="4518" w:type="dxa"/>
          </w:tcPr>
          <w:p w:rsidR="00BF25F3" w:rsidRPr="00E85E82" w:rsidRDefault="00BF25F3" w:rsidP="00BF25F3">
            <w:pPr>
              <w:tabs>
                <w:tab w:val="left" w:pos="6075"/>
              </w:tabs>
            </w:pPr>
          </w:p>
          <w:p w:rsidR="001B5C23" w:rsidRPr="00E85E82" w:rsidRDefault="001B5C23" w:rsidP="00BF25F3">
            <w:pPr>
              <w:tabs>
                <w:tab w:val="left" w:pos="6075"/>
              </w:tabs>
            </w:pPr>
          </w:p>
          <w:p w:rsidR="001B5C23" w:rsidRPr="00E85E82" w:rsidRDefault="001B5C23" w:rsidP="00BF25F3">
            <w:pPr>
              <w:tabs>
                <w:tab w:val="left" w:pos="6075"/>
              </w:tabs>
            </w:pPr>
          </w:p>
        </w:tc>
        <w:tc>
          <w:tcPr>
            <w:tcW w:w="630" w:type="dxa"/>
          </w:tcPr>
          <w:p w:rsidR="00BF25F3" w:rsidRPr="00E85E82" w:rsidRDefault="00BF25F3" w:rsidP="00BF25F3">
            <w:pPr>
              <w:tabs>
                <w:tab w:val="left" w:pos="6075"/>
              </w:tabs>
            </w:pPr>
          </w:p>
        </w:tc>
        <w:tc>
          <w:tcPr>
            <w:tcW w:w="4428" w:type="dxa"/>
          </w:tcPr>
          <w:p w:rsidR="00BF25F3" w:rsidRPr="00E85E82" w:rsidRDefault="00BF25F3" w:rsidP="00BF25F3">
            <w:pPr>
              <w:tabs>
                <w:tab w:val="left" w:pos="6075"/>
              </w:tabs>
              <w:rPr>
                <w:lang w:val="fr-CA"/>
              </w:rPr>
            </w:pPr>
          </w:p>
        </w:tc>
      </w:tr>
      <w:tr w:rsidR="00BF25F3" w:rsidRPr="00E85E82" w:rsidTr="002E5576">
        <w:tc>
          <w:tcPr>
            <w:tcW w:w="4518" w:type="dxa"/>
          </w:tcPr>
          <w:p w:rsidR="001B5C23" w:rsidRPr="00E85E82" w:rsidRDefault="00BF25F3" w:rsidP="00BF25F3">
            <w:pPr>
              <w:tabs>
                <w:tab w:val="left" w:pos="6075"/>
              </w:tabs>
              <w:jc w:val="center"/>
              <w:rPr>
                <w:sz w:val="28"/>
                <w:szCs w:val="28"/>
              </w:rPr>
            </w:pPr>
            <w:r w:rsidRPr="00E85E82">
              <w:rPr>
                <w:sz w:val="28"/>
                <w:szCs w:val="28"/>
              </w:rPr>
              <w:t>BULLETIN OF</w:t>
            </w:r>
          </w:p>
          <w:p w:rsidR="00BF25F3" w:rsidRPr="00E85E82" w:rsidRDefault="00BF25F3" w:rsidP="00BF25F3">
            <w:pPr>
              <w:tabs>
                <w:tab w:val="left" w:pos="6075"/>
              </w:tabs>
              <w:jc w:val="center"/>
              <w:rPr>
                <w:sz w:val="28"/>
                <w:szCs w:val="28"/>
              </w:rPr>
            </w:pPr>
            <w:r w:rsidRPr="00E85E82">
              <w:rPr>
                <w:sz w:val="28"/>
                <w:szCs w:val="28"/>
              </w:rPr>
              <w:t xml:space="preserve"> PROCEEDINGS</w:t>
            </w:r>
          </w:p>
        </w:tc>
        <w:tc>
          <w:tcPr>
            <w:tcW w:w="630" w:type="dxa"/>
          </w:tcPr>
          <w:p w:rsidR="00BF25F3" w:rsidRPr="00E85E82" w:rsidRDefault="00BF25F3" w:rsidP="00BF25F3">
            <w:pPr>
              <w:tabs>
                <w:tab w:val="left" w:pos="6075"/>
              </w:tabs>
            </w:pPr>
          </w:p>
        </w:tc>
        <w:tc>
          <w:tcPr>
            <w:tcW w:w="4428" w:type="dxa"/>
          </w:tcPr>
          <w:p w:rsidR="001B5C23" w:rsidRPr="00E85E82" w:rsidRDefault="00BF25F3" w:rsidP="00BF25F3">
            <w:pPr>
              <w:tabs>
                <w:tab w:val="left" w:pos="6075"/>
              </w:tabs>
              <w:jc w:val="center"/>
              <w:rPr>
                <w:sz w:val="28"/>
                <w:szCs w:val="28"/>
                <w:lang w:val="fr-CA"/>
              </w:rPr>
            </w:pPr>
            <w:r w:rsidRPr="00E85E82">
              <w:rPr>
                <w:sz w:val="28"/>
                <w:szCs w:val="28"/>
                <w:lang w:val="fr-CA"/>
              </w:rPr>
              <w:t>BULLETIN DES</w:t>
            </w:r>
          </w:p>
          <w:p w:rsidR="00BF25F3" w:rsidRPr="00E85E82" w:rsidRDefault="00BF25F3" w:rsidP="00BF25F3">
            <w:pPr>
              <w:tabs>
                <w:tab w:val="left" w:pos="6075"/>
              </w:tabs>
              <w:jc w:val="center"/>
              <w:rPr>
                <w:sz w:val="28"/>
                <w:szCs w:val="28"/>
                <w:lang w:val="fr-CA"/>
              </w:rPr>
            </w:pPr>
            <w:r w:rsidRPr="00E85E82">
              <w:rPr>
                <w:sz w:val="28"/>
                <w:szCs w:val="28"/>
                <w:lang w:val="fr-CA"/>
              </w:rPr>
              <w:t xml:space="preserve"> PROCÉDURES</w:t>
            </w:r>
          </w:p>
        </w:tc>
      </w:tr>
      <w:tr w:rsidR="00BF25F3" w:rsidRPr="00E85E82" w:rsidTr="002E5576">
        <w:tc>
          <w:tcPr>
            <w:tcW w:w="4518" w:type="dxa"/>
          </w:tcPr>
          <w:p w:rsidR="00BF25F3" w:rsidRPr="00E85E82" w:rsidRDefault="00BF25F3" w:rsidP="00BF25F3">
            <w:pPr>
              <w:tabs>
                <w:tab w:val="left" w:pos="6075"/>
              </w:tabs>
            </w:pPr>
          </w:p>
          <w:p w:rsidR="001B5C23" w:rsidRPr="00E85E82" w:rsidRDefault="001B5C23" w:rsidP="00BF25F3">
            <w:pPr>
              <w:tabs>
                <w:tab w:val="left" w:pos="6075"/>
              </w:tabs>
            </w:pPr>
          </w:p>
        </w:tc>
        <w:tc>
          <w:tcPr>
            <w:tcW w:w="630" w:type="dxa"/>
          </w:tcPr>
          <w:p w:rsidR="00BF25F3" w:rsidRPr="00E85E82" w:rsidRDefault="00BF25F3" w:rsidP="00BF25F3">
            <w:pPr>
              <w:tabs>
                <w:tab w:val="left" w:pos="6075"/>
              </w:tabs>
            </w:pPr>
          </w:p>
        </w:tc>
        <w:tc>
          <w:tcPr>
            <w:tcW w:w="4428" w:type="dxa"/>
          </w:tcPr>
          <w:p w:rsidR="00BF25F3" w:rsidRPr="00E85E82" w:rsidRDefault="00BF25F3" w:rsidP="00BF25F3">
            <w:pPr>
              <w:tabs>
                <w:tab w:val="left" w:pos="6075"/>
              </w:tabs>
              <w:rPr>
                <w:lang w:val="fr-CA"/>
              </w:rPr>
            </w:pPr>
          </w:p>
        </w:tc>
      </w:tr>
      <w:tr w:rsidR="00BF25F3" w:rsidRPr="00B407D6" w:rsidTr="002E5576">
        <w:tc>
          <w:tcPr>
            <w:tcW w:w="4518" w:type="dxa"/>
          </w:tcPr>
          <w:p w:rsidR="00BF25F3" w:rsidRPr="00E85E82" w:rsidRDefault="00BF25F3" w:rsidP="00BF25F3">
            <w:pPr>
              <w:tabs>
                <w:tab w:val="left" w:pos="6075"/>
              </w:tabs>
              <w:jc w:val="both"/>
              <w:rPr>
                <w:rFonts w:ascii="Arial" w:hAnsi="Arial" w:cs="Arial"/>
                <w:i/>
                <w:sz w:val="20"/>
                <w:szCs w:val="20"/>
              </w:rPr>
            </w:pPr>
            <w:r w:rsidRPr="00E85E82">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E85E82" w:rsidRDefault="00BF25F3" w:rsidP="00BF25F3">
            <w:pPr>
              <w:tabs>
                <w:tab w:val="left" w:pos="6075"/>
              </w:tabs>
              <w:jc w:val="both"/>
              <w:rPr>
                <w:rFonts w:ascii="Arial" w:hAnsi="Arial" w:cs="Arial"/>
                <w:i/>
                <w:sz w:val="20"/>
                <w:szCs w:val="20"/>
              </w:rPr>
            </w:pPr>
          </w:p>
        </w:tc>
        <w:tc>
          <w:tcPr>
            <w:tcW w:w="4428" w:type="dxa"/>
          </w:tcPr>
          <w:p w:rsidR="00BF25F3" w:rsidRPr="00E85E82" w:rsidRDefault="00BF25F3" w:rsidP="00BF25F3">
            <w:pPr>
              <w:tabs>
                <w:tab w:val="left" w:pos="6075"/>
              </w:tabs>
              <w:jc w:val="both"/>
              <w:rPr>
                <w:rFonts w:ascii="Arial" w:hAnsi="Arial" w:cs="Arial"/>
                <w:i/>
                <w:sz w:val="20"/>
                <w:szCs w:val="20"/>
                <w:lang w:val="fr-CA"/>
              </w:rPr>
            </w:pPr>
            <w:r w:rsidRPr="00E85E82">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407D6" w:rsidTr="002E5576">
        <w:tc>
          <w:tcPr>
            <w:tcW w:w="4518" w:type="dxa"/>
          </w:tcPr>
          <w:p w:rsidR="00BF25F3" w:rsidRPr="00E85E82" w:rsidRDefault="00BF25F3" w:rsidP="00BF25F3">
            <w:pPr>
              <w:tabs>
                <w:tab w:val="left" w:pos="6075"/>
              </w:tabs>
              <w:rPr>
                <w:lang w:val="fr-CA"/>
              </w:rPr>
            </w:pPr>
          </w:p>
          <w:p w:rsidR="00D862C1" w:rsidRPr="00E85E82" w:rsidRDefault="00D862C1" w:rsidP="00BF25F3">
            <w:pPr>
              <w:tabs>
                <w:tab w:val="left" w:pos="6075"/>
              </w:tabs>
              <w:rPr>
                <w:lang w:val="fr-CA"/>
              </w:rPr>
            </w:pPr>
          </w:p>
        </w:tc>
        <w:tc>
          <w:tcPr>
            <w:tcW w:w="630" w:type="dxa"/>
          </w:tcPr>
          <w:p w:rsidR="00BF25F3" w:rsidRPr="00E85E82" w:rsidRDefault="00BF25F3" w:rsidP="00BF25F3">
            <w:pPr>
              <w:tabs>
                <w:tab w:val="left" w:pos="6075"/>
              </w:tabs>
              <w:rPr>
                <w:lang w:val="fr-CA"/>
              </w:rPr>
            </w:pPr>
          </w:p>
        </w:tc>
        <w:tc>
          <w:tcPr>
            <w:tcW w:w="4428" w:type="dxa"/>
          </w:tcPr>
          <w:p w:rsidR="00BF25F3" w:rsidRPr="00E85E82" w:rsidRDefault="00BF25F3" w:rsidP="00BF25F3">
            <w:pPr>
              <w:tabs>
                <w:tab w:val="left" w:pos="6075"/>
              </w:tabs>
              <w:rPr>
                <w:lang w:val="fr-CA"/>
              </w:rPr>
            </w:pPr>
          </w:p>
        </w:tc>
      </w:tr>
      <w:tr w:rsidR="00BF25F3" w:rsidRPr="00B407D6" w:rsidTr="002E5576">
        <w:tc>
          <w:tcPr>
            <w:tcW w:w="4518" w:type="dxa"/>
          </w:tcPr>
          <w:p w:rsidR="00BF25F3" w:rsidRPr="00E85E82" w:rsidRDefault="00BF25F3" w:rsidP="009F3024">
            <w:pPr>
              <w:tabs>
                <w:tab w:val="left" w:pos="6075"/>
              </w:tabs>
              <w:jc w:val="both"/>
              <w:rPr>
                <w:rFonts w:ascii="Arial" w:hAnsi="Arial" w:cs="Arial"/>
                <w:i/>
                <w:sz w:val="20"/>
                <w:szCs w:val="20"/>
              </w:rPr>
            </w:pPr>
            <w:r w:rsidRPr="00E85E82">
              <w:rPr>
                <w:rFonts w:ascii="Arial" w:hAnsi="Arial" w:cs="Arial"/>
                <w:i/>
                <w:sz w:val="20"/>
                <w:szCs w:val="20"/>
              </w:rPr>
              <w:t xml:space="preserve">During Court sessions </w:t>
            </w:r>
            <w:r w:rsidR="009F3024" w:rsidRPr="00E85E82">
              <w:rPr>
                <w:rFonts w:ascii="Arial" w:hAnsi="Arial" w:cs="Arial"/>
                <w:i/>
                <w:sz w:val="20"/>
                <w:szCs w:val="20"/>
              </w:rPr>
              <w:t xml:space="preserve">the Bulletin </w:t>
            </w:r>
            <w:r w:rsidRPr="00E85E82">
              <w:rPr>
                <w:rFonts w:ascii="Arial" w:hAnsi="Arial" w:cs="Arial"/>
                <w:i/>
                <w:sz w:val="20"/>
                <w:szCs w:val="20"/>
              </w:rPr>
              <w:t>is usually issued weekly.</w:t>
            </w:r>
          </w:p>
        </w:tc>
        <w:tc>
          <w:tcPr>
            <w:tcW w:w="630" w:type="dxa"/>
          </w:tcPr>
          <w:p w:rsidR="00BF25F3" w:rsidRPr="00E85E82" w:rsidRDefault="00BF25F3" w:rsidP="00BF25F3">
            <w:pPr>
              <w:tabs>
                <w:tab w:val="left" w:pos="6075"/>
              </w:tabs>
              <w:jc w:val="both"/>
              <w:rPr>
                <w:rFonts w:ascii="Arial" w:hAnsi="Arial" w:cs="Arial"/>
                <w:i/>
                <w:sz w:val="20"/>
                <w:szCs w:val="20"/>
              </w:rPr>
            </w:pPr>
          </w:p>
        </w:tc>
        <w:tc>
          <w:tcPr>
            <w:tcW w:w="4428" w:type="dxa"/>
          </w:tcPr>
          <w:p w:rsidR="00BF25F3" w:rsidRPr="00E85E82" w:rsidRDefault="00BF25F3" w:rsidP="00BF25F3">
            <w:pPr>
              <w:tabs>
                <w:tab w:val="left" w:pos="6075"/>
              </w:tabs>
              <w:jc w:val="both"/>
              <w:rPr>
                <w:rFonts w:ascii="Arial" w:hAnsi="Arial" w:cs="Arial"/>
                <w:i/>
                <w:sz w:val="20"/>
                <w:szCs w:val="20"/>
                <w:lang w:val="fr-CA"/>
              </w:rPr>
            </w:pPr>
            <w:r w:rsidRPr="00E85E82">
              <w:rPr>
                <w:rFonts w:ascii="Arial" w:hAnsi="Arial" w:cs="Arial"/>
                <w:i/>
                <w:sz w:val="20"/>
                <w:szCs w:val="20"/>
                <w:lang w:val="fr-CA"/>
              </w:rPr>
              <w:t>Le Bulletin paraît en principe toutes les semaines pendant les sessions de la Cour.</w:t>
            </w:r>
          </w:p>
        </w:tc>
      </w:tr>
      <w:tr w:rsidR="00BF25F3" w:rsidRPr="00B407D6" w:rsidTr="002E5576">
        <w:tc>
          <w:tcPr>
            <w:tcW w:w="4518" w:type="dxa"/>
          </w:tcPr>
          <w:p w:rsidR="00BF25F3" w:rsidRPr="00E85E82" w:rsidRDefault="00BF25F3" w:rsidP="00BF25F3">
            <w:pPr>
              <w:tabs>
                <w:tab w:val="left" w:pos="6075"/>
              </w:tabs>
              <w:rPr>
                <w:lang w:val="fr-CA"/>
              </w:rPr>
            </w:pPr>
          </w:p>
          <w:p w:rsidR="00D862C1" w:rsidRPr="00E85E82" w:rsidRDefault="00D862C1" w:rsidP="00BF25F3">
            <w:pPr>
              <w:tabs>
                <w:tab w:val="left" w:pos="6075"/>
              </w:tabs>
              <w:rPr>
                <w:lang w:val="fr-CA"/>
              </w:rPr>
            </w:pPr>
          </w:p>
        </w:tc>
        <w:tc>
          <w:tcPr>
            <w:tcW w:w="630" w:type="dxa"/>
          </w:tcPr>
          <w:p w:rsidR="00BF25F3" w:rsidRPr="00E85E82" w:rsidRDefault="00BF25F3" w:rsidP="00BF25F3">
            <w:pPr>
              <w:tabs>
                <w:tab w:val="left" w:pos="6075"/>
              </w:tabs>
              <w:rPr>
                <w:lang w:val="fr-CA"/>
              </w:rPr>
            </w:pPr>
          </w:p>
        </w:tc>
        <w:tc>
          <w:tcPr>
            <w:tcW w:w="4428" w:type="dxa"/>
          </w:tcPr>
          <w:p w:rsidR="00BF25F3" w:rsidRPr="00E85E82" w:rsidRDefault="00BF25F3" w:rsidP="00BF25F3">
            <w:pPr>
              <w:tabs>
                <w:tab w:val="left" w:pos="6075"/>
              </w:tabs>
              <w:rPr>
                <w:lang w:val="fr-CA"/>
              </w:rPr>
            </w:pPr>
          </w:p>
        </w:tc>
      </w:tr>
      <w:tr w:rsidR="00BF25F3" w:rsidRPr="00B407D6" w:rsidTr="002E5576">
        <w:tc>
          <w:tcPr>
            <w:tcW w:w="4518" w:type="dxa"/>
          </w:tcPr>
          <w:p w:rsidR="00BF25F3" w:rsidRPr="00E85E82" w:rsidRDefault="000E27A5" w:rsidP="00BF25F3">
            <w:pPr>
              <w:tabs>
                <w:tab w:val="left" w:pos="6075"/>
              </w:tabs>
              <w:jc w:val="both"/>
              <w:rPr>
                <w:rFonts w:ascii="Arial" w:hAnsi="Arial" w:cs="Arial"/>
                <w:i/>
                <w:sz w:val="20"/>
                <w:szCs w:val="20"/>
              </w:rPr>
            </w:pPr>
            <w:r w:rsidRPr="00E85E82">
              <w:rPr>
                <w:rFonts w:ascii="Arial" w:hAnsi="Arial" w:cs="Arial"/>
                <w:i/>
                <w:sz w:val="20"/>
                <w:szCs w:val="20"/>
              </w:rPr>
              <w:fldChar w:fldCharType="begin"/>
            </w:r>
            <w:r w:rsidR="00BF25F3" w:rsidRPr="00E85E82">
              <w:rPr>
                <w:rFonts w:ascii="Arial" w:hAnsi="Arial" w:cs="Arial"/>
                <w:i/>
                <w:sz w:val="20"/>
                <w:szCs w:val="20"/>
              </w:rPr>
              <w:instrText xml:space="preserve"> SEQ CHAPTER \h \r 1</w:instrText>
            </w:r>
            <w:r w:rsidRPr="00E85E82">
              <w:rPr>
                <w:rFonts w:ascii="Arial" w:hAnsi="Arial" w:cs="Arial"/>
                <w:i/>
                <w:sz w:val="20"/>
                <w:szCs w:val="20"/>
              </w:rPr>
              <w:fldChar w:fldCharType="end"/>
            </w:r>
            <w:r w:rsidR="00BF25F3" w:rsidRPr="00E85E82">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E85E82" w:rsidRDefault="00BF25F3" w:rsidP="00BF25F3">
            <w:pPr>
              <w:tabs>
                <w:tab w:val="left" w:pos="6075"/>
              </w:tabs>
              <w:jc w:val="both"/>
              <w:rPr>
                <w:rFonts w:ascii="Arial" w:hAnsi="Arial" w:cs="Arial"/>
                <w:i/>
                <w:sz w:val="20"/>
                <w:szCs w:val="20"/>
              </w:rPr>
            </w:pPr>
          </w:p>
        </w:tc>
        <w:tc>
          <w:tcPr>
            <w:tcW w:w="4428" w:type="dxa"/>
          </w:tcPr>
          <w:p w:rsidR="00BF25F3" w:rsidRPr="00E85E82" w:rsidRDefault="000E27A5" w:rsidP="00BF25F3">
            <w:pPr>
              <w:tabs>
                <w:tab w:val="left" w:pos="6075"/>
              </w:tabs>
              <w:jc w:val="both"/>
              <w:rPr>
                <w:rFonts w:ascii="Arial" w:hAnsi="Arial" w:cs="Arial"/>
                <w:i/>
                <w:sz w:val="20"/>
                <w:szCs w:val="20"/>
                <w:lang w:val="fr-CA"/>
              </w:rPr>
            </w:pPr>
            <w:r w:rsidRPr="00E85E82">
              <w:rPr>
                <w:rFonts w:ascii="Arial" w:hAnsi="Arial" w:cs="Arial"/>
                <w:i/>
                <w:sz w:val="20"/>
                <w:szCs w:val="20"/>
                <w:lang w:val="fr-CA"/>
              </w:rPr>
              <w:fldChar w:fldCharType="begin"/>
            </w:r>
            <w:r w:rsidR="00BF25F3" w:rsidRPr="00E85E82">
              <w:rPr>
                <w:rFonts w:ascii="Arial" w:hAnsi="Arial" w:cs="Arial"/>
                <w:i/>
                <w:sz w:val="20"/>
                <w:szCs w:val="20"/>
                <w:lang w:val="fr-CA"/>
              </w:rPr>
              <w:instrText xml:space="preserve"> SEQ CHAPTER \h \r 1</w:instrText>
            </w:r>
            <w:r w:rsidRPr="00E85E82">
              <w:rPr>
                <w:rFonts w:ascii="Arial" w:hAnsi="Arial" w:cs="Arial"/>
                <w:i/>
                <w:sz w:val="20"/>
                <w:szCs w:val="20"/>
                <w:lang w:val="fr-CA"/>
              </w:rPr>
              <w:fldChar w:fldCharType="end"/>
            </w:r>
            <w:r w:rsidR="00BF25F3" w:rsidRPr="00E85E82">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407D6" w:rsidTr="002E5576">
        <w:tc>
          <w:tcPr>
            <w:tcW w:w="4518" w:type="dxa"/>
          </w:tcPr>
          <w:p w:rsidR="009F3024" w:rsidRPr="00E85E82" w:rsidRDefault="009F3024" w:rsidP="009F3024">
            <w:pPr>
              <w:tabs>
                <w:tab w:val="left" w:pos="6075"/>
              </w:tabs>
              <w:rPr>
                <w:rFonts w:cs="Times New Roman"/>
                <w:szCs w:val="24"/>
                <w:lang w:val="fr-CA"/>
              </w:rPr>
            </w:pPr>
          </w:p>
          <w:p w:rsidR="009F3024" w:rsidRPr="00E85E82" w:rsidRDefault="009F3024" w:rsidP="009F3024">
            <w:pPr>
              <w:tabs>
                <w:tab w:val="left" w:pos="6075"/>
              </w:tabs>
              <w:rPr>
                <w:rFonts w:cs="Times New Roman"/>
                <w:szCs w:val="24"/>
                <w:lang w:val="fr-CA"/>
              </w:rPr>
            </w:pPr>
          </w:p>
        </w:tc>
        <w:tc>
          <w:tcPr>
            <w:tcW w:w="630" w:type="dxa"/>
          </w:tcPr>
          <w:p w:rsidR="009F3024" w:rsidRPr="00E85E82" w:rsidRDefault="009F3024" w:rsidP="009F3024">
            <w:pPr>
              <w:tabs>
                <w:tab w:val="left" w:pos="6075"/>
              </w:tabs>
              <w:rPr>
                <w:rFonts w:cs="Times New Roman"/>
                <w:szCs w:val="24"/>
                <w:lang w:val="fr-CA"/>
              </w:rPr>
            </w:pPr>
          </w:p>
        </w:tc>
        <w:tc>
          <w:tcPr>
            <w:tcW w:w="4428" w:type="dxa"/>
          </w:tcPr>
          <w:p w:rsidR="009F3024" w:rsidRPr="00E85E82" w:rsidRDefault="009F3024" w:rsidP="009F3024">
            <w:pPr>
              <w:tabs>
                <w:tab w:val="left" w:pos="6075"/>
              </w:tabs>
              <w:rPr>
                <w:rFonts w:cs="Times New Roman"/>
                <w:szCs w:val="24"/>
                <w:lang w:val="fr-CA"/>
              </w:rPr>
            </w:pPr>
          </w:p>
        </w:tc>
      </w:tr>
      <w:tr w:rsidR="009F3024" w:rsidRPr="00B407D6" w:rsidTr="002E5576">
        <w:tc>
          <w:tcPr>
            <w:tcW w:w="4518" w:type="dxa"/>
          </w:tcPr>
          <w:p w:rsidR="009F3024" w:rsidRPr="00E85E82" w:rsidRDefault="009F3024" w:rsidP="00E414CA">
            <w:pPr>
              <w:tabs>
                <w:tab w:val="left" w:pos="6075"/>
              </w:tabs>
              <w:jc w:val="both"/>
              <w:rPr>
                <w:rFonts w:ascii="Arial" w:hAnsi="Arial" w:cs="Arial"/>
                <w:i/>
                <w:sz w:val="20"/>
                <w:szCs w:val="20"/>
              </w:rPr>
            </w:pPr>
            <w:r w:rsidRPr="00E85E82">
              <w:rPr>
                <w:rFonts w:ascii="Arial" w:hAnsi="Arial" w:cs="Arial"/>
                <w:i/>
                <w:sz w:val="20"/>
                <w:szCs w:val="20"/>
              </w:rPr>
              <w:t xml:space="preserve">Consult the Supreme Court of Canada website at </w:t>
            </w:r>
            <w:hyperlink r:id="rId9" w:history="1">
              <w:r w:rsidR="00E414CA" w:rsidRPr="00E85E82">
                <w:rPr>
                  <w:rStyle w:val="Hyperlink"/>
                  <w:rFonts w:ascii="Arial" w:hAnsi="Arial" w:cs="Arial"/>
                  <w:i/>
                  <w:sz w:val="20"/>
                  <w:szCs w:val="20"/>
                </w:rPr>
                <w:t>www.scc-csc.ca</w:t>
              </w:r>
            </w:hyperlink>
            <w:r w:rsidRPr="00E85E82">
              <w:rPr>
                <w:rFonts w:ascii="Arial" w:hAnsi="Arial" w:cs="Arial"/>
                <w:i/>
                <w:sz w:val="20"/>
                <w:szCs w:val="20"/>
              </w:rPr>
              <w:t xml:space="preserve"> for more information.</w:t>
            </w:r>
          </w:p>
        </w:tc>
        <w:tc>
          <w:tcPr>
            <w:tcW w:w="630" w:type="dxa"/>
          </w:tcPr>
          <w:p w:rsidR="009F3024" w:rsidRPr="00E85E82" w:rsidRDefault="009F3024" w:rsidP="00BF25F3">
            <w:pPr>
              <w:tabs>
                <w:tab w:val="left" w:pos="6075"/>
              </w:tabs>
              <w:jc w:val="both"/>
              <w:rPr>
                <w:rFonts w:ascii="Arial" w:hAnsi="Arial" w:cs="Arial"/>
                <w:i/>
                <w:sz w:val="20"/>
                <w:szCs w:val="20"/>
              </w:rPr>
            </w:pPr>
          </w:p>
        </w:tc>
        <w:tc>
          <w:tcPr>
            <w:tcW w:w="4428" w:type="dxa"/>
          </w:tcPr>
          <w:p w:rsidR="009F3024" w:rsidRPr="00E85E82" w:rsidRDefault="009F3024" w:rsidP="00E414CA">
            <w:pPr>
              <w:tabs>
                <w:tab w:val="left" w:pos="6075"/>
              </w:tabs>
              <w:jc w:val="both"/>
              <w:rPr>
                <w:rFonts w:ascii="Arial" w:hAnsi="Arial" w:cs="Arial"/>
                <w:i/>
                <w:sz w:val="20"/>
                <w:szCs w:val="20"/>
                <w:lang w:val="fr-CA"/>
              </w:rPr>
            </w:pPr>
            <w:r w:rsidRPr="00E85E82">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E85E82">
                <w:rPr>
                  <w:rStyle w:val="Hyperlink"/>
                  <w:rFonts w:ascii="Arial" w:hAnsi="Arial" w:cs="Arial"/>
                  <w:i/>
                  <w:sz w:val="20"/>
                  <w:szCs w:val="20"/>
                  <w:lang w:val="fr-CA"/>
                </w:rPr>
                <w:t>www.scc-csc.ca</w:t>
              </w:r>
            </w:hyperlink>
            <w:r w:rsidRPr="00E85E82">
              <w:rPr>
                <w:rFonts w:ascii="Arial" w:hAnsi="Arial" w:cs="Arial"/>
                <w:i/>
                <w:sz w:val="20"/>
                <w:szCs w:val="20"/>
                <w:lang w:val="fr-CA"/>
              </w:rPr>
              <w:t xml:space="preserve"> </w:t>
            </w:r>
          </w:p>
        </w:tc>
      </w:tr>
    </w:tbl>
    <w:p w:rsidR="00BF25F3" w:rsidRPr="00E85E82" w:rsidRDefault="00BF25F3" w:rsidP="00BF25F3">
      <w:pPr>
        <w:tabs>
          <w:tab w:val="left" w:pos="6075"/>
        </w:tabs>
        <w:rPr>
          <w:lang w:val="fr-CA"/>
        </w:rPr>
      </w:pPr>
    </w:p>
    <w:p w:rsidR="00440E24" w:rsidRPr="00E85E82" w:rsidRDefault="00440E24" w:rsidP="00440E24">
      <w:pPr>
        <w:pBdr>
          <w:bottom w:val="single" w:sz="6" w:space="1" w:color="auto"/>
        </w:pBdr>
        <w:tabs>
          <w:tab w:val="left" w:pos="6075"/>
        </w:tabs>
        <w:rPr>
          <w:lang w:val="fr-CA"/>
        </w:rPr>
      </w:pPr>
    </w:p>
    <w:p w:rsidR="00440E24" w:rsidRPr="00E85E82" w:rsidRDefault="00440E24" w:rsidP="00440E24">
      <w:pPr>
        <w:rPr>
          <w:lang w:val="fr-CA"/>
        </w:rPr>
      </w:pPr>
    </w:p>
    <w:p w:rsidR="00600252" w:rsidRPr="00E85E82" w:rsidRDefault="005C7B7B" w:rsidP="00F0068D">
      <w:pPr>
        <w:pBdr>
          <w:bottom w:val="single" w:sz="6" w:space="1" w:color="auto"/>
        </w:pBdr>
        <w:tabs>
          <w:tab w:val="center" w:pos="4680"/>
          <w:tab w:val="right" w:pos="9360"/>
        </w:tabs>
        <w:rPr>
          <w:lang w:val="fr-CA"/>
        </w:rPr>
      </w:pPr>
      <w:proofErr w:type="spellStart"/>
      <w:r w:rsidRPr="00E85E82">
        <w:rPr>
          <w:lang w:val="fr-CA"/>
        </w:rPr>
        <w:t>June</w:t>
      </w:r>
      <w:proofErr w:type="spellEnd"/>
      <w:r w:rsidRPr="00E85E82">
        <w:rPr>
          <w:lang w:val="fr-CA"/>
        </w:rPr>
        <w:t xml:space="preserve"> 24</w:t>
      </w:r>
      <w:r w:rsidR="00440E24" w:rsidRPr="00E85E82">
        <w:rPr>
          <w:lang w:val="fr-CA"/>
        </w:rPr>
        <w:t>, 201</w:t>
      </w:r>
      <w:r w:rsidR="0030050B" w:rsidRPr="00E85E82">
        <w:rPr>
          <w:lang w:val="fr-CA"/>
        </w:rPr>
        <w:t>6</w:t>
      </w:r>
      <w:r w:rsidRPr="00E85E82">
        <w:rPr>
          <w:lang w:val="fr-CA"/>
        </w:rPr>
        <w:tab/>
        <w:t>922</w:t>
      </w:r>
      <w:r w:rsidR="00F0068D" w:rsidRPr="00E85E82">
        <w:rPr>
          <w:lang w:val="fr-CA"/>
        </w:rPr>
        <w:t xml:space="preserve"> </w:t>
      </w:r>
      <w:r w:rsidR="004758F6" w:rsidRPr="00E85E82">
        <w:rPr>
          <w:lang w:val="fr-CA"/>
        </w:rPr>
        <w:t>–</w:t>
      </w:r>
      <w:r w:rsidR="00F0068D" w:rsidRPr="00E85E82">
        <w:rPr>
          <w:lang w:val="fr-CA"/>
        </w:rPr>
        <w:t xml:space="preserve"> </w:t>
      </w:r>
      <w:r w:rsidR="00BF7930" w:rsidRPr="00E85E82">
        <w:rPr>
          <w:lang w:val="fr-CA"/>
        </w:rPr>
        <w:t>97</w:t>
      </w:r>
      <w:r w:rsidR="00E766CB">
        <w:rPr>
          <w:lang w:val="fr-CA"/>
        </w:rPr>
        <w:t>4</w:t>
      </w:r>
      <w:r w:rsidR="00440E24" w:rsidRPr="00E85E82">
        <w:rPr>
          <w:lang w:val="fr-CA"/>
        </w:rPr>
        <w:tab/>
        <w:t>Le</w:t>
      </w:r>
      <w:r w:rsidR="00C73D06" w:rsidRPr="00E85E82">
        <w:rPr>
          <w:lang w:val="fr-CA"/>
        </w:rPr>
        <w:t xml:space="preserve"> </w:t>
      </w:r>
      <w:r w:rsidRPr="00E85E82">
        <w:rPr>
          <w:lang w:val="fr-CA"/>
        </w:rPr>
        <w:t>24</w:t>
      </w:r>
      <w:r w:rsidR="00C73D06" w:rsidRPr="00E85E82">
        <w:rPr>
          <w:lang w:val="fr-CA"/>
        </w:rPr>
        <w:t xml:space="preserve"> j</w:t>
      </w:r>
      <w:r w:rsidRPr="00E85E82">
        <w:rPr>
          <w:lang w:val="fr-CA"/>
        </w:rPr>
        <w:t>uin</w:t>
      </w:r>
      <w:r w:rsidR="00440E24" w:rsidRPr="00E85E82">
        <w:rPr>
          <w:lang w:val="fr-CA"/>
        </w:rPr>
        <w:t xml:space="preserve"> 201</w:t>
      </w:r>
      <w:r w:rsidR="0030050B" w:rsidRPr="00E85E82">
        <w:rPr>
          <w:lang w:val="fr-CA"/>
        </w:rPr>
        <w:t>6</w:t>
      </w:r>
    </w:p>
    <w:p w:rsidR="00440E24" w:rsidRPr="00E85E82" w:rsidRDefault="00440E24" w:rsidP="00440E24">
      <w:pPr>
        <w:pBdr>
          <w:bottom w:val="single" w:sz="6" w:space="1" w:color="auto"/>
        </w:pBdr>
        <w:tabs>
          <w:tab w:val="right" w:pos="9360"/>
        </w:tabs>
        <w:rPr>
          <w:lang w:val="fr-CA"/>
        </w:rPr>
      </w:pPr>
    </w:p>
    <w:p w:rsidR="00440E24" w:rsidRPr="00E85E82" w:rsidRDefault="00440E24" w:rsidP="00440E24">
      <w:pPr>
        <w:pBdr>
          <w:bottom w:val="single" w:sz="6" w:space="1" w:color="auto"/>
        </w:pBdr>
        <w:tabs>
          <w:tab w:val="right" w:pos="9360"/>
        </w:tabs>
        <w:rPr>
          <w:sz w:val="18"/>
          <w:szCs w:val="18"/>
          <w:lang w:val="fr-CA"/>
        </w:rPr>
      </w:pPr>
      <w:r w:rsidRPr="00E85E82">
        <w:rPr>
          <w:sz w:val="18"/>
          <w:szCs w:val="18"/>
          <w:lang w:val="fr-CA"/>
        </w:rPr>
        <w:t xml:space="preserve">© </w:t>
      </w:r>
      <w:proofErr w:type="spellStart"/>
      <w:r w:rsidRPr="00E85E82">
        <w:rPr>
          <w:sz w:val="18"/>
          <w:szCs w:val="18"/>
          <w:lang w:val="fr-CA"/>
        </w:rPr>
        <w:t>Supreme</w:t>
      </w:r>
      <w:proofErr w:type="spellEnd"/>
      <w:r w:rsidRPr="00E85E82">
        <w:rPr>
          <w:sz w:val="18"/>
          <w:szCs w:val="18"/>
          <w:lang w:val="fr-CA"/>
        </w:rPr>
        <w:t xml:space="preserve"> Court of Canada (</w:t>
      </w:r>
      <w:r w:rsidR="0030050B" w:rsidRPr="00E85E82">
        <w:rPr>
          <w:sz w:val="18"/>
          <w:szCs w:val="18"/>
          <w:lang w:val="fr-CA"/>
        </w:rPr>
        <w:t>2016</w:t>
      </w:r>
      <w:r w:rsidRPr="00E85E82">
        <w:rPr>
          <w:sz w:val="18"/>
          <w:szCs w:val="18"/>
          <w:lang w:val="fr-CA"/>
        </w:rPr>
        <w:t>)</w:t>
      </w:r>
      <w:r w:rsidRPr="00E85E82">
        <w:rPr>
          <w:sz w:val="18"/>
          <w:szCs w:val="18"/>
          <w:lang w:val="fr-CA"/>
        </w:rPr>
        <w:tab/>
        <w:t>© Cour suprême du Canada (</w:t>
      </w:r>
      <w:r w:rsidR="0030050B" w:rsidRPr="00E85E82">
        <w:rPr>
          <w:sz w:val="18"/>
          <w:szCs w:val="18"/>
          <w:lang w:val="fr-CA"/>
        </w:rPr>
        <w:t>2016</w:t>
      </w:r>
      <w:r w:rsidRPr="00E85E82">
        <w:rPr>
          <w:sz w:val="18"/>
          <w:szCs w:val="18"/>
          <w:lang w:val="fr-CA"/>
        </w:rPr>
        <w:t>)</w:t>
      </w:r>
    </w:p>
    <w:p w:rsidR="00440E24" w:rsidRPr="00E85E82" w:rsidRDefault="00440E24" w:rsidP="00440E24">
      <w:pPr>
        <w:pBdr>
          <w:bottom w:val="single" w:sz="6" w:space="1" w:color="auto"/>
        </w:pBdr>
        <w:tabs>
          <w:tab w:val="right" w:pos="9360"/>
        </w:tabs>
        <w:rPr>
          <w:sz w:val="18"/>
          <w:szCs w:val="18"/>
          <w:lang w:val="fr-CA"/>
        </w:rPr>
      </w:pPr>
      <w:r w:rsidRPr="00E85E82">
        <w:rPr>
          <w:sz w:val="18"/>
          <w:szCs w:val="18"/>
          <w:lang w:val="fr-CA"/>
        </w:rPr>
        <w:t>ISSN 1918-8358 (Online)</w:t>
      </w:r>
      <w:r w:rsidRPr="00E85E82">
        <w:rPr>
          <w:sz w:val="18"/>
          <w:szCs w:val="18"/>
          <w:lang w:val="fr-CA"/>
        </w:rPr>
        <w:tab/>
        <w:t>ISSN 1918-8358 (En ligne)</w:t>
      </w:r>
    </w:p>
    <w:p w:rsidR="00600252" w:rsidRPr="00E85E82" w:rsidRDefault="00600252" w:rsidP="00BF25F3">
      <w:pPr>
        <w:pBdr>
          <w:bottom w:val="single" w:sz="6" w:space="1" w:color="auto"/>
        </w:pBdr>
        <w:tabs>
          <w:tab w:val="left" w:pos="6075"/>
        </w:tabs>
        <w:rPr>
          <w:lang w:val="fr-CA"/>
        </w:rPr>
      </w:pPr>
    </w:p>
    <w:p w:rsidR="0030050B" w:rsidRPr="00E85E82"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E85E82" w:rsidTr="00245129">
        <w:tc>
          <w:tcPr>
            <w:tcW w:w="4290" w:type="dxa"/>
            <w:shd w:val="clear" w:color="auto" w:fill="auto"/>
            <w:tcMar>
              <w:left w:w="0" w:type="dxa"/>
              <w:right w:w="0" w:type="dxa"/>
            </w:tcMar>
          </w:tcPr>
          <w:p w:rsidR="00245129" w:rsidRPr="00E85E82" w:rsidRDefault="00245129" w:rsidP="00245129">
            <w:pPr>
              <w:jc w:val="both"/>
              <w:rPr>
                <w:rFonts w:eastAsia="Times New Roman" w:cs="Times New Roman"/>
                <w:b/>
                <w:sz w:val="20"/>
                <w:szCs w:val="20"/>
                <w:lang w:val="fr-CA" w:eastAsia="en-CA"/>
              </w:rPr>
            </w:pPr>
            <w:r w:rsidRPr="00E85E82">
              <w:rPr>
                <w:b/>
                <w:lang w:val="fr-CA"/>
              </w:rPr>
              <w:t>CONTENTS</w:t>
            </w:r>
          </w:p>
        </w:tc>
        <w:tc>
          <w:tcPr>
            <w:tcW w:w="1200" w:type="dxa"/>
            <w:shd w:val="clear" w:color="auto" w:fill="auto"/>
            <w:tcMar>
              <w:left w:w="0" w:type="dxa"/>
              <w:right w:w="0" w:type="dxa"/>
            </w:tcMar>
          </w:tcPr>
          <w:p w:rsidR="00245129" w:rsidRPr="00E85E82" w:rsidRDefault="00245129" w:rsidP="00245129">
            <w:pPr>
              <w:jc w:val="center"/>
              <w:rPr>
                <w:rFonts w:eastAsia="Times New Roman" w:cs="Times New Roman"/>
                <w:b/>
                <w:sz w:val="20"/>
                <w:szCs w:val="20"/>
                <w:lang w:val="fr-CA" w:eastAsia="en-CA"/>
              </w:rPr>
            </w:pPr>
          </w:p>
          <w:p w:rsidR="00245129" w:rsidRPr="00E85E82" w:rsidRDefault="00245129" w:rsidP="00245129">
            <w:pPr>
              <w:rPr>
                <w:rFonts w:eastAsia="Times New Roman" w:cs="Times New Roman"/>
                <w:b/>
                <w:sz w:val="20"/>
                <w:szCs w:val="20"/>
                <w:lang w:val="fr-CA" w:eastAsia="en-CA"/>
              </w:rPr>
            </w:pPr>
          </w:p>
        </w:tc>
        <w:tc>
          <w:tcPr>
            <w:tcW w:w="4050" w:type="dxa"/>
            <w:shd w:val="clear" w:color="auto" w:fill="auto"/>
            <w:tcMar>
              <w:left w:w="0" w:type="dxa"/>
              <w:right w:w="0" w:type="dxa"/>
            </w:tcMar>
          </w:tcPr>
          <w:p w:rsidR="00245129" w:rsidRPr="00E85E82" w:rsidRDefault="00245129" w:rsidP="00245129">
            <w:pPr>
              <w:rPr>
                <w:rFonts w:eastAsia="Times New Roman" w:cs="Times New Roman"/>
                <w:b/>
                <w:sz w:val="20"/>
                <w:szCs w:val="20"/>
                <w:lang w:val="fr-CA" w:eastAsia="en-CA"/>
              </w:rPr>
            </w:pPr>
            <w:r w:rsidRPr="00E85E82">
              <w:rPr>
                <w:b/>
                <w:lang w:val="fr-CA"/>
              </w:rPr>
              <w:t>TABLE DES MATIÈRES</w:t>
            </w:r>
          </w:p>
        </w:tc>
      </w:tr>
    </w:tbl>
    <w:p w:rsidR="0095096B" w:rsidRPr="00E85E82"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E85E82" w:rsidTr="00164E6D">
        <w:tc>
          <w:tcPr>
            <w:tcW w:w="3708" w:type="dxa"/>
          </w:tcPr>
          <w:p w:rsidR="0095096B" w:rsidRPr="00E85E82" w:rsidRDefault="0095096B" w:rsidP="0095096B">
            <w:pPr>
              <w:tabs>
                <w:tab w:val="right" w:pos="9360"/>
              </w:tabs>
              <w:rPr>
                <w:rFonts w:cs="Times New Roman"/>
                <w:sz w:val="20"/>
                <w:szCs w:val="20"/>
              </w:rPr>
            </w:pPr>
            <w:r w:rsidRPr="00E85E82">
              <w:rPr>
                <w:rFonts w:cs="Times New Roman"/>
                <w:sz w:val="20"/>
                <w:szCs w:val="20"/>
              </w:rPr>
              <w:t xml:space="preserve">Applications for leave to appeal </w:t>
            </w:r>
          </w:p>
          <w:p w:rsidR="0095096B" w:rsidRPr="00E85E82" w:rsidRDefault="0095096B" w:rsidP="0095096B">
            <w:pPr>
              <w:tabs>
                <w:tab w:val="right" w:pos="9360"/>
              </w:tabs>
              <w:rPr>
                <w:rFonts w:cs="Times New Roman"/>
                <w:sz w:val="20"/>
                <w:szCs w:val="20"/>
              </w:rPr>
            </w:pPr>
            <w:r w:rsidRPr="00E85E82">
              <w:rPr>
                <w:rFonts w:cs="Times New Roman"/>
                <w:sz w:val="20"/>
                <w:szCs w:val="20"/>
              </w:rPr>
              <w:t>filed</w:t>
            </w:r>
          </w:p>
          <w:p w:rsidR="0095096B" w:rsidRPr="00E85E82" w:rsidRDefault="0095096B" w:rsidP="0095096B">
            <w:pPr>
              <w:tabs>
                <w:tab w:val="right" w:pos="9360"/>
              </w:tabs>
              <w:rPr>
                <w:rFonts w:cs="Times New Roman"/>
                <w:sz w:val="20"/>
                <w:szCs w:val="20"/>
              </w:rPr>
            </w:pPr>
          </w:p>
          <w:p w:rsidR="0095096B" w:rsidRPr="00E85E82" w:rsidRDefault="0095096B" w:rsidP="0095096B">
            <w:pPr>
              <w:tabs>
                <w:tab w:val="right" w:pos="9360"/>
              </w:tabs>
              <w:rPr>
                <w:rFonts w:cs="Times New Roman"/>
                <w:sz w:val="20"/>
                <w:szCs w:val="20"/>
              </w:rPr>
            </w:pPr>
            <w:r w:rsidRPr="00E85E82">
              <w:rPr>
                <w:rFonts w:cs="Times New Roman"/>
                <w:sz w:val="20"/>
                <w:szCs w:val="20"/>
              </w:rPr>
              <w:t xml:space="preserve">Applications for leave submitted </w:t>
            </w:r>
          </w:p>
          <w:p w:rsidR="0095096B" w:rsidRPr="00E85E82" w:rsidRDefault="0095096B" w:rsidP="0095096B">
            <w:pPr>
              <w:tabs>
                <w:tab w:val="right" w:pos="9360"/>
              </w:tabs>
              <w:rPr>
                <w:rFonts w:cs="Times New Roman"/>
                <w:sz w:val="20"/>
                <w:szCs w:val="20"/>
              </w:rPr>
            </w:pPr>
            <w:r w:rsidRPr="00E85E82">
              <w:rPr>
                <w:rFonts w:cs="Times New Roman"/>
                <w:sz w:val="20"/>
                <w:szCs w:val="20"/>
              </w:rPr>
              <w:t>to Court since last issue</w:t>
            </w:r>
          </w:p>
          <w:p w:rsidR="0095096B" w:rsidRPr="00E85E82" w:rsidRDefault="0095096B" w:rsidP="0095096B">
            <w:pPr>
              <w:tabs>
                <w:tab w:val="right" w:pos="9360"/>
              </w:tabs>
              <w:rPr>
                <w:rFonts w:cs="Times New Roman"/>
                <w:sz w:val="20"/>
                <w:szCs w:val="20"/>
              </w:rPr>
            </w:pPr>
          </w:p>
          <w:p w:rsidR="0095096B" w:rsidRPr="00E85E82" w:rsidRDefault="0095096B" w:rsidP="0095096B">
            <w:pPr>
              <w:tabs>
                <w:tab w:val="right" w:pos="9360"/>
              </w:tabs>
              <w:rPr>
                <w:rFonts w:cs="Times New Roman"/>
                <w:sz w:val="20"/>
                <w:szCs w:val="20"/>
              </w:rPr>
            </w:pPr>
            <w:r w:rsidRPr="00E85E82">
              <w:rPr>
                <w:rFonts w:cs="Times New Roman"/>
                <w:sz w:val="20"/>
                <w:szCs w:val="20"/>
              </w:rPr>
              <w:t xml:space="preserve">Judgments on applications for </w:t>
            </w:r>
          </w:p>
          <w:p w:rsidR="0095096B" w:rsidRPr="00E85E82" w:rsidRDefault="0095096B" w:rsidP="0095096B">
            <w:pPr>
              <w:tabs>
                <w:tab w:val="right" w:pos="9360"/>
              </w:tabs>
              <w:rPr>
                <w:rFonts w:cs="Times New Roman"/>
                <w:sz w:val="20"/>
                <w:szCs w:val="20"/>
              </w:rPr>
            </w:pPr>
            <w:r w:rsidRPr="00E85E82">
              <w:rPr>
                <w:rFonts w:cs="Times New Roman"/>
                <w:sz w:val="20"/>
                <w:szCs w:val="20"/>
              </w:rPr>
              <w:t>leave</w:t>
            </w:r>
          </w:p>
          <w:p w:rsidR="0095096B" w:rsidRPr="00E85E82" w:rsidRDefault="0095096B" w:rsidP="0095096B">
            <w:pPr>
              <w:tabs>
                <w:tab w:val="right" w:pos="9360"/>
              </w:tabs>
              <w:rPr>
                <w:rFonts w:cs="Times New Roman"/>
                <w:sz w:val="20"/>
                <w:szCs w:val="20"/>
              </w:rPr>
            </w:pPr>
          </w:p>
          <w:p w:rsidR="0095096B" w:rsidRPr="00E85E82" w:rsidRDefault="0095096B" w:rsidP="0095096B">
            <w:pPr>
              <w:tabs>
                <w:tab w:val="right" w:pos="9360"/>
              </w:tabs>
              <w:rPr>
                <w:rFonts w:cs="Times New Roman"/>
                <w:sz w:val="20"/>
                <w:szCs w:val="20"/>
              </w:rPr>
            </w:pPr>
            <w:r w:rsidRPr="00E85E82">
              <w:rPr>
                <w:rFonts w:cs="Times New Roman"/>
                <w:sz w:val="20"/>
                <w:szCs w:val="20"/>
              </w:rPr>
              <w:t>Motions</w:t>
            </w:r>
          </w:p>
          <w:p w:rsidR="0095096B" w:rsidRPr="00E85E82" w:rsidRDefault="0095096B" w:rsidP="0095096B">
            <w:pPr>
              <w:tabs>
                <w:tab w:val="right" w:pos="9360"/>
              </w:tabs>
              <w:rPr>
                <w:rFonts w:cs="Times New Roman"/>
                <w:sz w:val="20"/>
                <w:szCs w:val="20"/>
              </w:rPr>
            </w:pPr>
          </w:p>
          <w:p w:rsidR="0095096B" w:rsidRPr="00E85E82" w:rsidRDefault="0095096B" w:rsidP="0095096B">
            <w:pPr>
              <w:tabs>
                <w:tab w:val="right" w:pos="9360"/>
              </w:tabs>
              <w:rPr>
                <w:rFonts w:cs="Times New Roman"/>
                <w:sz w:val="20"/>
                <w:szCs w:val="20"/>
              </w:rPr>
            </w:pPr>
            <w:r w:rsidRPr="00E85E82">
              <w:rPr>
                <w:rFonts w:cs="Times New Roman"/>
                <w:sz w:val="20"/>
                <w:szCs w:val="20"/>
              </w:rPr>
              <w:t xml:space="preserve">Notices of appeal filed since last </w:t>
            </w:r>
          </w:p>
          <w:p w:rsidR="0095096B" w:rsidRPr="00E85E82" w:rsidRDefault="0095096B" w:rsidP="0095096B">
            <w:pPr>
              <w:tabs>
                <w:tab w:val="right" w:pos="9360"/>
              </w:tabs>
              <w:rPr>
                <w:rFonts w:cs="Times New Roman"/>
                <w:sz w:val="20"/>
                <w:szCs w:val="20"/>
              </w:rPr>
            </w:pPr>
            <w:r w:rsidRPr="00E85E82">
              <w:rPr>
                <w:rFonts w:cs="Times New Roman"/>
                <w:sz w:val="20"/>
                <w:szCs w:val="20"/>
              </w:rPr>
              <w:t>issue</w:t>
            </w:r>
          </w:p>
          <w:p w:rsidR="0095096B" w:rsidRPr="00E85E82" w:rsidRDefault="0095096B" w:rsidP="0095096B">
            <w:pPr>
              <w:tabs>
                <w:tab w:val="right" w:pos="9360"/>
              </w:tabs>
              <w:rPr>
                <w:rFonts w:cs="Times New Roman"/>
                <w:sz w:val="20"/>
                <w:szCs w:val="20"/>
              </w:rPr>
            </w:pPr>
          </w:p>
          <w:p w:rsidR="0095096B" w:rsidRPr="00E85E82" w:rsidRDefault="0095096B" w:rsidP="0095096B">
            <w:pPr>
              <w:tabs>
                <w:tab w:val="right" w:pos="9360"/>
              </w:tabs>
              <w:rPr>
                <w:rFonts w:cs="Times New Roman"/>
                <w:sz w:val="20"/>
                <w:szCs w:val="20"/>
              </w:rPr>
            </w:pPr>
            <w:r w:rsidRPr="00E85E82">
              <w:rPr>
                <w:rFonts w:cs="Times New Roman"/>
                <w:sz w:val="20"/>
                <w:szCs w:val="20"/>
              </w:rPr>
              <w:t>Pronouncements of appeals reserved</w:t>
            </w:r>
          </w:p>
          <w:p w:rsidR="0095096B" w:rsidRPr="00E85E82" w:rsidRDefault="0095096B" w:rsidP="0095096B">
            <w:pPr>
              <w:tabs>
                <w:tab w:val="right" w:pos="9360"/>
              </w:tabs>
              <w:rPr>
                <w:rFonts w:cs="Times New Roman"/>
                <w:sz w:val="20"/>
                <w:szCs w:val="20"/>
              </w:rPr>
            </w:pPr>
          </w:p>
          <w:p w:rsidR="0095096B" w:rsidRPr="00E85E82" w:rsidRDefault="0095096B" w:rsidP="0095096B">
            <w:pPr>
              <w:tabs>
                <w:tab w:val="right" w:pos="9360"/>
              </w:tabs>
              <w:rPr>
                <w:rFonts w:cs="Times New Roman"/>
                <w:sz w:val="20"/>
                <w:szCs w:val="20"/>
              </w:rPr>
            </w:pPr>
          </w:p>
          <w:p w:rsidR="0095096B" w:rsidRPr="00E85E82" w:rsidRDefault="0095096B" w:rsidP="0095096B">
            <w:pPr>
              <w:tabs>
                <w:tab w:val="right" w:pos="9360"/>
              </w:tabs>
              <w:rPr>
                <w:rFonts w:cs="Times New Roman"/>
                <w:sz w:val="20"/>
                <w:szCs w:val="20"/>
              </w:rPr>
            </w:pPr>
            <w:r w:rsidRPr="00E85E82">
              <w:rPr>
                <w:rFonts w:cs="Times New Roman"/>
                <w:sz w:val="20"/>
                <w:szCs w:val="20"/>
              </w:rPr>
              <w:t>Headnotes of recent judgments</w:t>
            </w:r>
          </w:p>
          <w:p w:rsidR="00A87207" w:rsidRPr="00E85E82" w:rsidRDefault="00A87207" w:rsidP="0095096B">
            <w:pPr>
              <w:tabs>
                <w:tab w:val="right" w:pos="9360"/>
              </w:tabs>
              <w:rPr>
                <w:rFonts w:cs="Times New Roman"/>
                <w:sz w:val="20"/>
                <w:szCs w:val="20"/>
              </w:rPr>
            </w:pPr>
          </w:p>
        </w:tc>
        <w:tc>
          <w:tcPr>
            <w:tcW w:w="1980" w:type="dxa"/>
          </w:tcPr>
          <w:p w:rsidR="0095096B" w:rsidRPr="00E85E82" w:rsidRDefault="00157684" w:rsidP="0095096B">
            <w:pPr>
              <w:jc w:val="center"/>
              <w:rPr>
                <w:rFonts w:cs="Times New Roman"/>
                <w:sz w:val="20"/>
                <w:szCs w:val="20"/>
              </w:rPr>
            </w:pPr>
            <w:r w:rsidRPr="00E85E82">
              <w:rPr>
                <w:rFonts w:cs="Times New Roman"/>
                <w:sz w:val="20"/>
                <w:szCs w:val="20"/>
              </w:rPr>
              <w:t xml:space="preserve">922 </w:t>
            </w:r>
            <w:r w:rsidR="000E27A5" w:rsidRPr="00E85E82">
              <w:rPr>
                <w:rFonts w:cs="Times New Roman"/>
                <w:sz w:val="20"/>
                <w:szCs w:val="20"/>
              </w:rPr>
              <w:fldChar w:fldCharType="begin"/>
            </w:r>
            <w:r w:rsidR="0095096B" w:rsidRPr="00E85E82">
              <w:rPr>
                <w:rFonts w:cs="Times New Roman"/>
                <w:sz w:val="20"/>
                <w:szCs w:val="20"/>
              </w:rPr>
              <w:instrText xml:space="preserve"> SEQ CHAPTER \h \r 1</w:instrText>
            </w:r>
            <w:r w:rsidR="000E27A5" w:rsidRPr="00E85E82">
              <w:rPr>
                <w:rFonts w:cs="Times New Roman"/>
                <w:sz w:val="20"/>
                <w:szCs w:val="20"/>
              </w:rPr>
              <w:fldChar w:fldCharType="end"/>
            </w:r>
            <w:r w:rsidR="0095096B" w:rsidRPr="00E85E82">
              <w:rPr>
                <w:rFonts w:cs="Times New Roman"/>
                <w:sz w:val="20"/>
                <w:szCs w:val="20"/>
              </w:rPr>
              <w:t>-</w:t>
            </w:r>
            <w:r w:rsidRPr="00E85E82">
              <w:rPr>
                <w:rFonts w:cs="Times New Roman"/>
                <w:sz w:val="20"/>
                <w:szCs w:val="20"/>
              </w:rPr>
              <w:t xml:space="preserve"> 924</w:t>
            </w:r>
          </w:p>
          <w:p w:rsidR="0095096B" w:rsidRPr="00E85E82" w:rsidRDefault="0095096B" w:rsidP="0095096B">
            <w:pPr>
              <w:jc w:val="center"/>
              <w:rPr>
                <w:rFonts w:cs="Times New Roman"/>
                <w:sz w:val="20"/>
                <w:szCs w:val="20"/>
              </w:rPr>
            </w:pPr>
          </w:p>
          <w:p w:rsidR="0095096B" w:rsidRPr="00E85E82" w:rsidRDefault="0095096B" w:rsidP="0095096B">
            <w:pPr>
              <w:jc w:val="center"/>
              <w:rPr>
                <w:rFonts w:cs="Times New Roman"/>
                <w:sz w:val="20"/>
                <w:szCs w:val="20"/>
              </w:rPr>
            </w:pPr>
          </w:p>
          <w:p w:rsidR="0095096B" w:rsidRPr="00E85E82" w:rsidRDefault="00B229FA" w:rsidP="0095096B">
            <w:pPr>
              <w:jc w:val="center"/>
              <w:rPr>
                <w:rFonts w:cs="Times New Roman"/>
                <w:sz w:val="20"/>
                <w:szCs w:val="20"/>
              </w:rPr>
            </w:pPr>
            <w:r w:rsidRPr="00E85E82">
              <w:rPr>
                <w:rFonts w:cs="Times New Roman"/>
                <w:sz w:val="20"/>
                <w:szCs w:val="20"/>
              </w:rPr>
              <w:t>925</w:t>
            </w:r>
          </w:p>
          <w:p w:rsidR="0095096B" w:rsidRPr="00E85E82" w:rsidRDefault="0095096B" w:rsidP="0095096B">
            <w:pPr>
              <w:jc w:val="center"/>
              <w:rPr>
                <w:rFonts w:cs="Times New Roman"/>
                <w:sz w:val="20"/>
                <w:szCs w:val="20"/>
              </w:rPr>
            </w:pPr>
          </w:p>
          <w:p w:rsidR="0095096B" w:rsidRPr="00E85E82" w:rsidRDefault="0095096B" w:rsidP="0095096B">
            <w:pPr>
              <w:jc w:val="center"/>
              <w:rPr>
                <w:rFonts w:cs="Times New Roman"/>
                <w:sz w:val="20"/>
                <w:szCs w:val="20"/>
              </w:rPr>
            </w:pPr>
          </w:p>
          <w:p w:rsidR="0095096B" w:rsidRPr="00E85E82" w:rsidRDefault="00CC1558" w:rsidP="0095096B">
            <w:pPr>
              <w:jc w:val="center"/>
              <w:rPr>
                <w:rFonts w:cs="Times New Roman"/>
                <w:sz w:val="20"/>
                <w:szCs w:val="20"/>
              </w:rPr>
            </w:pPr>
            <w:r w:rsidRPr="00E85E82">
              <w:rPr>
                <w:rFonts w:cs="Times New Roman"/>
                <w:sz w:val="20"/>
                <w:szCs w:val="20"/>
              </w:rPr>
              <w:t>926 - 95</w:t>
            </w:r>
            <w:r w:rsidR="00E766CB">
              <w:rPr>
                <w:rFonts w:cs="Times New Roman"/>
                <w:sz w:val="20"/>
                <w:szCs w:val="20"/>
              </w:rPr>
              <w:t>3</w:t>
            </w:r>
          </w:p>
          <w:p w:rsidR="0095096B" w:rsidRPr="00E85E82" w:rsidRDefault="0095096B" w:rsidP="0095096B">
            <w:pPr>
              <w:jc w:val="center"/>
              <w:rPr>
                <w:rFonts w:cs="Times New Roman"/>
                <w:sz w:val="20"/>
                <w:szCs w:val="20"/>
              </w:rPr>
            </w:pPr>
          </w:p>
          <w:p w:rsidR="007E42CB" w:rsidRPr="00E85E82" w:rsidRDefault="007E42CB" w:rsidP="0095096B">
            <w:pPr>
              <w:jc w:val="center"/>
              <w:rPr>
                <w:rFonts w:cs="Times New Roman"/>
                <w:sz w:val="20"/>
                <w:szCs w:val="20"/>
              </w:rPr>
            </w:pPr>
          </w:p>
          <w:p w:rsidR="0095096B" w:rsidRPr="00E85E82" w:rsidRDefault="003E42D9" w:rsidP="0095096B">
            <w:pPr>
              <w:jc w:val="center"/>
              <w:rPr>
                <w:rFonts w:cs="Times New Roman"/>
                <w:sz w:val="20"/>
                <w:szCs w:val="20"/>
              </w:rPr>
            </w:pPr>
            <w:r w:rsidRPr="00E85E82">
              <w:rPr>
                <w:rFonts w:cs="Times New Roman"/>
                <w:sz w:val="20"/>
                <w:szCs w:val="20"/>
              </w:rPr>
              <w:t>95</w:t>
            </w:r>
            <w:r w:rsidR="00E766CB">
              <w:rPr>
                <w:rFonts w:cs="Times New Roman"/>
                <w:sz w:val="20"/>
                <w:szCs w:val="20"/>
              </w:rPr>
              <w:t>4</w:t>
            </w:r>
            <w:r w:rsidRPr="00E85E82">
              <w:rPr>
                <w:rFonts w:cs="Times New Roman"/>
                <w:sz w:val="20"/>
                <w:szCs w:val="20"/>
              </w:rPr>
              <w:t xml:space="preserve"> </w:t>
            </w:r>
            <w:r w:rsidR="0095096B" w:rsidRPr="00E85E82">
              <w:rPr>
                <w:rFonts w:cs="Times New Roman"/>
                <w:sz w:val="20"/>
                <w:szCs w:val="20"/>
              </w:rPr>
              <w:t>-</w:t>
            </w:r>
            <w:r w:rsidRPr="00E85E82">
              <w:rPr>
                <w:rFonts w:cs="Times New Roman"/>
                <w:sz w:val="20"/>
                <w:szCs w:val="20"/>
              </w:rPr>
              <w:t xml:space="preserve"> 95</w:t>
            </w:r>
            <w:r w:rsidR="00E766CB">
              <w:rPr>
                <w:rFonts w:cs="Times New Roman"/>
                <w:sz w:val="20"/>
                <w:szCs w:val="20"/>
              </w:rPr>
              <w:t>6</w:t>
            </w:r>
          </w:p>
          <w:p w:rsidR="0095096B" w:rsidRPr="00E85E82" w:rsidRDefault="0095096B" w:rsidP="0095096B">
            <w:pPr>
              <w:jc w:val="center"/>
              <w:rPr>
                <w:rFonts w:cs="Times New Roman"/>
                <w:sz w:val="20"/>
                <w:szCs w:val="20"/>
              </w:rPr>
            </w:pPr>
          </w:p>
          <w:p w:rsidR="0095096B" w:rsidRPr="00E85E82" w:rsidRDefault="003E42D9" w:rsidP="0095096B">
            <w:pPr>
              <w:jc w:val="center"/>
              <w:rPr>
                <w:rFonts w:cs="Times New Roman"/>
                <w:sz w:val="20"/>
                <w:szCs w:val="20"/>
              </w:rPr>
            </w:pPr>
            <w:r w:rsidRPr="00E85E82">
              <w:rPr>
                <w:rFonts w:cs="Times New Roman"/>
                <w:sz w:val="20"/>
                <w:szCs w:val="20"/>
              </w:rPr>
              <w:t>9</w:t>
            </w:r>
            <w:r w:rsidR="00E766CB">
              <w:rPr>
                <w:rFonts w:cs="Times New Roman"/>
                <w:sz w:val="20"/>
                <w:szCs w:val="20"/>
              </w:rPr>
              <w:t>57</w:t>
            </w:r>
          </w:p>
          <w:p w:rsidR="0095096B" w:rsidRPr="00E85E82" w:rsidRDefault="0095096B" w:rsidP="0095096B">
            <w:pPr>
              <w:jc w:val="center"/>
              <w:rPr>
                <w:rFonts w:cs="Times New Roman"/>
                <w:sz w:val="20"/>
                <w:szCs w:val="20"/>
              </w:rPr>
            </w:pPr>
          </w:p>
          <w:p w:rsidR="0095096B" w:rsidRPr="00E85E82" w:rsidRDefault="0095096B" w:rsidP="0095096B">
            <w:pPr>
              <w:jc w:val="center"/>
              <w:rPr>
                <w:rFonts w:cs="Times New Roman"/>
                <w:sz w:val="20"/>
                <w:szCs w:val="20"/>
              </w:rPr>
            </w:pPr>
          </w:p>
          <w:p w:rsidR="0095096B" w:rsidRPr="00E85E82" w:rsidRDefault="003E42D9" w:rsidP="0095096B">
            <w:pPr>
              <w:jc w:val="center"/>
              <w:rPr>
                <w:rFonts w:cs="Times New Roman"/>
                <w:sz w:val="20"/>
                <w:szCs w:val="20"/>
              </w:rPr>
            </w:pPr>
            <w:r w:rsidRPr="00E85E82">
              <w:rPr>
                <w:rFonts w:cs="Times New Roman"/>
                <w:sz w:val="20"/>
                <w:szCs w:val="20"/>
              </w:rPr>
              <w:t>9</w:t>
            </w:r>
            <w:r w:rsidR="00E766CB">
              <w:rPr>
                <w:rFonts w:cs="Times New Roman"/>
                <w:sz w:val="20"/>
                <w:szCs w:val="20"/>
              </w:rPr>
              <w:t>58</w:t>
            </w:r>
          </w:p>
          <w:p w:rsidR="0095096B" w:rsidRPr="00E85E82" w:rsidRDefault="0095096B" w:rsidP="0095096B">
            <w:pPr>
              <w:jc w:val="center"/>
              <w:rPr>
                <w:rFonts w:cs="Times New Roman"/>
                <w:sz w:val="20"/>
                <w:szCs w:val="20"/>
              </w:rPr>
            </w:pPr>
          </w:p>
          <w:p w:rsidR="007E42CB" w:rsidRPr="00E85E82" w:rsidRDefault="007E42CB" w:rsidP="0095096B">
            <w:pPr>
              <w:jc w:val="center"/>
              <w:rPr>
                <w:rFonts w:cs="Times New Roman"/>
                <w:sz w:val="20"/>
                <w:szCs w:val="20"/>
              </w:rPr>
            </w:pPr>
          </w:p>
          <w:p w:rsidR="0095096B" w:rsidRPr="00E85E82" w:rsidRDefault="003E42D9" w:rsidP="0095096B">
            <w:pPr>
              <w:jc w:val="center"/>
              <w:rPr>
                <w:rFonts w:cs="Times New Roman"/>
                <w:sz w:val="20"/>
                <w:szCs w:val="20"/>
              </w:rPr>
            </w:pPr>
            <w:r w:rsidRPr="00E85E82">
              <w:rPr>
                <w:rFonts w:cs="Times New Roman"/>
                <w:sz w:val="20"/>
                <w:szCs w:val="20"/>
              </w:rPr>
              <w:t>9</w:t>
            </w:r>
            <w:r w:rsidR="00E766CB">
              <w:rPr>
                <w:rFonts w:cs="Times New Roman"/>
                <w:sz w:val="20"/>
                <w:szCs w:val="20"/>
              </w:rPr>
              <w:t>59</w:t>
            </w:r>
            <w:r w:rsidRPr="00E85E82">
              <w:rPr>
                <w:rFonts w:cs="Times New Roman"/>
                <w:sz w:val="20"/>
                <w:szCs w:val="20"/>
              </w:rPr>
              <w:t xml:space="preserve"> –</w:t>
            </w:r>
            <w:r w:rsidR="00397F82" w:rsidRPr="00E85E82">
              <w:rPr>
                <w:rFonts w:cs="Times New Roman"/>
                <w:sz w:val="20"/>
                <w:szCs w:val="20"/>
              </w:rPr>
              <w:t xml:space="preserve"> 97</w:t>
            </w:r>
            <w:r w:rsidR="00E766CB">
              <w:rPr>
                <w:rFonts w:cs="Times New Roman"/>
                <w:sz w:val="20"/>
                <w:szCs w:val="20"/>
              </w:rPr>
              <w:t>4</w:t>
            </w:r>
          </w:p>
          <w:p w:rsidR="00A87207" w:rsidRPr="00E85E82" w:rsidRDefault="00A87207" w:rsidP="0079287C">
            <w:pPr>
              <w:jc w:val="center"/>
              <w:rPr>
                <w:rFonts w:cs="Times New Roman"/>
                <w:sz w:val="20"/>
                <w:szCs w:val="20"/>
              </w:rPr>
            </w:pPr>
          </w:p>
        </w:tc>
        <w:tc>
          <w:tcPr>
            <w:tcW w:w="3888" w:type="dxa"/>
          </w:tcPr>
          <w:p w:rsidR="0095096B" w:rsidRPr="00E85E82" w:rsidRDefault="000E27A5" w:rsidP="0095096B">
            <w:pPr>
              <w:rPr>
                <w:rFonts w:cs="Times New Roman"/>
                <w:sz w:val="20"/>
                <w:szCs w:val="20"/>
                <w:lang w:val="fr-CA"/>
              </w:rPr>
            </w:pPr>
            <w:r w:rsidRPr="00E85E82">
              <w:rPr>
                <w:rFonts w:cs="Times New Roman"/>
                <w:sz w:val="20"/>
                <w:szCs w:val="20"/>
                <w:lang w:val="fr-CA"/>
              </w:rPr>
              <w:fldChar w:fldCharType="begin"/>
            </w:r>
            <w:r w:rsidR="0095096B" w:rsidRPr="00E85E82">
              <w:rPr>
                <w:rFonts w:cs="Times New Roman"/>
                <w:sz w:val="20"/>
                <w:szCs w:val="20"/>
                <w:lang w:val="fr-CA"/>
              </w:rPr>
              <w:instrText xml:space="preserve"> SEQ CHAPTER \h \r 1</w:instrText>
            </w:r>
            <w:r w:rsidRPr="00E85E82">
              <w:rPr>
                <w:rFonts w:cs="Times New Roman"/>
                <w:sz w:val="20"/>
                <w:szCs w:val="20"/>
                <w:lang w:val="fr-CA"/>
              </w:rPr>
              <w:fldChar w:fldCharType="end"/>
            </w:r>
            <w:r w:rsidR="0095096B" w:rsidRPr="00E85E82">
              <w:rPr>
                <w:rFonts w:cs="Times New Roman"/>
                <w:sz w:val="20"/>
                <w:szCs w:val="20"/>
                <w:lang w:val="fr-CA"/>
              </w:rPr>
              <w:t>Demandes d</w:t>
            </w:r>
            <w:r w:rsidR="004137A0" w:rsidRPr="00E85E82">
              <w:rPr>
                <w:rFonts w:cs="Times New Roman"/>
                <w:sz w:val="20"/>
                <w:szCs w:val="20"/>
                <w:lang w:val="fr-CA"/>
              </w:rPr>
              <w:t>’</w:t>
            </w:r>
            <w:r w:rsidR="0095096B" w:rsidRPr="00E85E82">
              <w:rPr>
                <w:rFonts w:cs="Times New Roman"/>
                <w:sz w:val="20"/>
                <w:szCs w:val="20"/>
                <w:lang w:val="fr-CA"/>
              </w:rPr>
              <w:t>autorisation d</w:t>
            </w:r>
            <w:r w:rsidR="004137A0" w:rsidRPr="00E85E82">
              <w:rPr>
                <w:rFonts w:cs="Times New Roman"/>
                <w:sz w:val="20"/>
                <w:szCs w:val="20"/>
                <w:lang w:val="fr-CA"/>
              </w:rPr>
              <w:t>’</w:t>
            </w:r>
            <w:r w:rsidR="0095096B" w:rsidRPr="00E85E82">
              <w:rPr>
                <w:rFonts w:cs="Times New Roman"/>
                <w:sz w:val="20"/>
                <w:szCs w:val="20"/>
                <w:lang w:val="fr-CA"/>
              </w:rPr>
              <w:t xml:space="preserve">appel </w:t>
            </w:r>
          </w:p>
          <w:p w:rsidR="0095096B" w:rsidRPr="00E85E82" w:rsidRDefault="0095096B" w:rsidP="0095096B">
            <w:pPr>
              <w:rPr>
                <w:rFonts w:cs="Times New Roman"/>
                <w:sz w:val="20"/>
                <w:szCs w:val="20"/>
                <w:lang w:val="fr-CA"/>
              </w:rPr>
            </w:pPr>
            <w:r w:rsidRPr="00E85E82">
              <w:rPr>
                <w:rFonts w:cs="Times New Roman"/>
                <w:sz w:val="20"/>
                <w:szCs w:val="20"/>
                <w:lang w:val="fr-CA"/>
              </w:rPr>
              <w:t>déposées</w:t>
            </w:r>
          </w:p>
          <w:p w:rsidR="0095096B" w:rsidRPr="00E85E82" w:rsidRDefault="0095096B" w:rsidP="0095096B">
            <w:pPr>
              <w:rPr>
                <w:rFonts w:cs="Times New Roman"/>
                <w:sz w:val="20"/>
                <w:szCs w:val="20"/>
                <w:lang w:val="fr-CA"/>
              </w:rPr>
            </w:pPr>
          </w:p>
          <w:p w:rsidR="0095096B" w:rsidRPr="00E85E82" w:rsidRDefault="0095096B" w:rsidP="0095096B">
            <w:pPr>
              <w:rPr>
                <w:rFonts w:cs="Times New Roman"/>
                <w:sz w:val="20"/>
                <w:szCs w:val="20"/>
                <w:lang w:val="fr-CA"/>
              </w:rPr>
            </w:pPr>
            <w:r w:rsidRPr="00E85E82">
              <w:rPr>
                <w:rFonts w:cs="Times New Roman"/>
                <w:sz w:val="20"/>
                <w:szCs w:val="20"/>
                <w:lang w:val="fr-CA"/>
              </w:rPr>
              <w:t xml:space="preserve">Demandes soumises à la Cour depuis la </w:t>
            </w:r>
          </w:p>
          <w:p w:rsidR="0095096B" w:rsidRPr="00E85E82" w:rsidRDefault="0095096B" w:rsidP="0095096B">
            <w:pPr>
              <w:rPr>
                <w:rFonts w:cs="Times New Roman"/>
                <w:sz w:val="20"/>
                <w:szCs w:val="20"/>
                <w:lang w:val="fr-CA"/>
              </w:rPr>
            </w:pPr>
            <w:r w:rsidRPr="00E85E82">
              <w:rPr>
                <w:rFonts w:cs="Times New Roman"/>
                <w:sz w:val="20"/>
                <w:szCs w:val="20"/>
                <w:lang w:val="fr-CA"/>
              </w:rPr>
              <w:t>dernière parution</w:t>
            </w:r>
          </w:p>
          <w:p w:rsidR="0095096B" w:rsidRPr="00E85E82" w:rsidRDefault="0095096B" w:rsidP="0095096B">
            <w:pPr>
              <w:rPr>
                <w:rFonts w:cs="Times New Roman"/>
                <w:sz w:val="20"/>
                <w:szCs w:val="20"/>
                <w:lang w:val="fr-CA"/>
              </w:rPr>
            </w:pPr>
          </w:p>
          <w:p w:rsidR="0095096B" w:rsidRPr="00E85E82" w:rsidRDefault="0095096B" w:rsidP="0095096B">
            <w:pPr>
              <w:rPr>
                <w:rFonts w:cs="Times New Roman"/>
                <w:sz w:val="20"/>
                <w:szCs w:val="20"/>
                <w:lang w:val="fr-CA"/>
              </w:rPr>
            </w:pPr>
            <w:r w:rsidRPr="00E85E82">
              <w:rPr>
                <w:rFonts w:cs="Times New Roman"/>
                <w:sz w:val="20"/>
                <w:szCs w:val="20"/>
                <w:lang w:val="fr-CA"/>
              </w:rPr>
              <w:t xml:space="preserve">Jugements rendus sur les demandes </w:t>
            </w:r>
          </w:p>
          <w:p w:rsidR="0095096B" w:rsidRPr="00E85E82" w:rsidRDefault="004137A0" w:rsidP="0095096B">
            <w:pPr>
              <w:rPr>
                <w:rFonts w:cs="Times New Roman"/>
                <w:sz w:val="20"/>
                <w:szCs w:val="20"/>
                <w:lang w:val="fr-CA"/>
              </w:rPr>
            </w:pPr>
            <w:r w:rsidRPr="00E85E82">
              <w:rPr>
                <w:rFonts w:cs="Times New Roman"/>
                <w:sz w:val="20"/>
                <w:szCs w:val="20"/>
                <w:lang w:val="fr-CA"/>
              </w:rPr>
              <w:t>d’</w:t>
            </w:r>
            <w:r w:rsidR="0095096B" w:rsidRPr="00E85E82">
              <w:rPr>
                <w:rFonts w:cs="Times New Roman"/>
                <w:sz w:val="20"/>
                <w:szCs w:val="20"/>
                <w:lang w:val="fr-CA"/>
              </w:rPr>
              <w:t>autorisation</w:t>
            </w:r>
          </w:p>
          <w:p w:rsidR="0095096B" w:rsidRPr="00E85E82" w:rsidRDefault="0095096B" w:rsidP="0095096B">
            <w:pPr>
              <w:rPr>
                <w:rFonts w:cs="Times New Roman"/>
                <w:sz w:val="20"/>
                <w:szCs w:val="20"/>
                <w:lang w:val="fr-CA"/>
              </w:rPr>
            </w:pPr>
          </w:p>
          <w:p w:rsidR="0095096B" w:rsidRPr="00E85E82" w:rsidRDefault="0095096B" w:rsidP="0095096B">
            <w:pPr>
              <w:rPr>
                <w:rFonts w:cs="Times New Roman"/>
                <w:sz w:val="20"/>
                <w:szCs w:val="20"/>
                <w:lang w:val="fr-CA"/>
              </w:rPr>
            </w:pPr>
            <w:r w:rsidRPr="00E85E82">
              <w:rPr>
                <w:rFonts w:cs="Times New Roman"/>
                <w:sz w:val="20"/>
                <w:szCs w:val="20"/>
                <w:lang w:val="fr-CA"/>
              </w:rPr>
              <w:t>Requêtes</w:t>
            </w:r>
          </w:p>
          <w:p w:rsidR="0095096B" w:rsidRPr="00E85E82" w:rsidRDefault="0095096B" w:rsidP="0095096B">
            <w:pPr>
              <w:rPr>
                <w:rFonts w:cs="Times New Roman"/>
                <w:sz w:val="20"/>
                <w:szCs w:val="20"/>
                <w:lang w:val="fr-CA"/>
              </w:rPr>
            </w:pPr>
          </w:p>
          <w:p w:rsidR="0095096B" w:rsidRPr="00E85E82" w:rsidRDefault="0095096B" w:rsidP="0095096B">
            <w:pPr>
              <w:rPr>
                <w:rFonts w:cs="Times New Roman"/>
                <w:sz w:val="20"/>
                <w:szCs w:val="20"/>
                <w:lang w:val="fr-CA"/>
              </w:rPr>
            </w:pPr>
            <w:r w:rsidRPr="00E85E82">
              <w:rPr>
                <w:rFonts w:cs="Times New Roman"/>
                <w:sz w:val="20"/>
                <w:szCs w:val="20"/>
                <w:lang w:val="fr-CA"/>
              </w:rPr>
              <w:t>Avis d</w:t>
            </w:r>
            <w:r w:rsidR="004137A0" w:rsidRPr="00E85E82">
              <w:rPr>
                <w:rFonts w:cs="Times New Roman"/>
                <w:sz w:val="20"/>
                <w:szCs w:val="20"/>
                <w:lang w:val="fr-CA"/>
              </w:rPr>
              <w:t>’</w:t>
            </w:r>
            <w:r w:rsidRPr="00E85E82">
              <w:rPr>
                <w:rFonts w:cs="Times New Roman"/>
                <w:sz w:val="20"/>
                <w:szCs w:val="20"/>
                <w:lang w:val="fr-CA"/>
              </w:rPr>
              <w:t xml:space="preserve">appel déposés depuis la dernière </w:t>
            </w:r>
          </w:p>
          <w:p w:rsidR="0095096B" w:rsidRPr="00E85E82" w:rsidRDefault="0095096B" w:rsidP="0095096B">
            <w:pPr>
              <w:rPr>
                <w:rFonts w:cs="Times New Roman"/>
                <w:sz w:val="20"/>
                <w:szCs w:val="20"/>
                <w:lang w:val="fr-CA"/>
              </w:rPr>
            </w:pPr>
            <w:r w:rsidRPr="00E85E82">
              <w:rPr>
                <w:rFonts w:cs="Times New Roman"/>
                <w:sz w:val="20"/>
                <w:szCs w:val="20"/>
                <w:lang w:val="fr-CA"/>
              </w:rPr>
              <w:t>parution</w:t>
            </w:r>
          </w:p>
          <w:p w:rsidR="0095096B" w:rsidRPr="00E85E82" w:rsidRDefault="0095096B" w:rsidP="0095096B">
            <w:pPr>
              <w:rPr>
                <w:rFonts w:cs="Times New Roman"/>
                <w:sz w:val="20"/>
                <w:szCs w:val="20"/>
                <w:lang w:val="fr-CA"/>
              </w:rPr>
            </w:pPr>
          </w:p>
          <w:p w:rsidR="0095096B" w:rsidRPr="00E85E82" w:rsidRDefault="0095096B" w:rsidP="0095096B">
            <w:pPr>
              <w:rPr>
                <w:rFonts w:cs="Times New Roman"/>
                <w:sz w:val="20"/>
                <w:szCs w:val="20"/>
                <w:lang w:val="fr-CA"/>
              </w:rPr>
            </w:pPr>
            <w:r w:rsidRPr="00E85E82">
              <w:rPr>
                <w:rFonts w:cs="Times New Roman"/>
                <w:sz w:val="20"/>
                <w:szCs w:val="20"/>
                <w:lang w:val="fr-CA"/>
              </w:rPr>
              <w:t xml:space="preserve">Jugements rendus sur les appels en </w:t>
            </w:r>
          </w:p>
          <w:p w:rsidR="0095096B" w:rsidRPr="00E85E82" w:rsidRDefault="0095096B" w:rsidP="0095096B">
            <w:pPr>
              <w:rPr>
                <w:rFonts w:cs="Times New Roman"/>
                <w:sz w:val="20"/>
                <w:szCs w:val="20"/>
                <w:lang w:val="fr-CA"/>
              </w:rPr>
            </w:pPr>
            <w:r w:rsidRPr="00E85E82">
              <w:rPr>
                <w:rFonts w:cs="Times New Roman"/>
                <w:sz w:val="20"/>
                <w:szCs w:val="20"/>
                <w:lang w:val="fr-CA"/>
              </w:rPr>
              <w:t>délibéré</w:t>
            </w:r>
          </w:p>
          <w:p w:rsidR="0095096B" w:rsidRPr="00E85E82" w:rsidRDefault="0095096B" w:rsidP="0095096B">
            <w:pPr>
              <w:rPr>
                <w:rFonts w:cs="Times New Roman"/>
                <w:sz w:val="20"/>
                <w:szCs w:val="20"/>
                <w:lang w:val="fr-CA"/>
              </w:rPr>
            </w:pPr>
          </w:p>
          <w:p w:rsidR="0095096B" w:rsidRPr="00E85E82" w:rsidRDefault="0095096B" w:rsidP="0095096B">
            <w:pPr>
              <w:rPr>
                <w:rFonts w:cs="Times New Roman"/>
                <w:sz w:val="20"/>
                <w:szCs w:val="20"/>
                <w:lang w:val="fr-CA"/>
              </w:rPr>
            </w:pPr>
            <w:r w:rsidRPr="00E85E82">
              <w:rPr>
                <w:rFonts w:cs="Times New Roman"/>
                <w:sz w:val="20"/>
                <w:szCs w:val="20"/>
                <w:lang w:val="fr-CA"/>
              </w:rPr>
              <w:t xml:space="preserve">Sommaires de </w:t>
            </w:r>
            <w:r w:rsidR="00C50A5C" w:rsidRPr="00E85E82">
              <w:rPr>
                <w:rFonts w:cs="Times New Roman"/>
                <w:sz w:val="20"/>
                <w:szCs w:val="20"/>
                <w:lang w:val="fr-CA"/>
              </w:rPr>
              <w:t>jugements récents</w:t>
            </w:r>
          </w:p>
          <w:p w:rsidR="00A87207" w:rsidRPr="00E85E82" w:rsidRDefault="00A87207" w:rsidP="0095096B">
            <w:pPr>
              <w:tabs>
                <w:tab w:val="right" w:pos="9360"/>
              </w:tabs>
              <w:rPr>
                <w:rFonts w:cs="Times New Roman"/>
                <w:sz w:val="20"/>
                <w:szCs w:val="20"/>
                <w:lang w:val="fr-CA"/>
              </w:rPr>
            </w:pPr>
          </w:p>
        </w:tc>
      </w:tr>
    </w:tbl>
    <w:p w:rsidR="0095096B" w:rsidRPr="00E85E82"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B407D6" w:rsidTr="0079724F">
        <w:tc>
          <w:tcPr>
            <w:tcW w:w="9576" w:type="dxa"/>
          </w:tcPr>
          <w:p w:rsidR="0079724F" w:rsidRPr="00E85E82" w:rsidRDefault="0079724F" w:rsidP="00215F7C">
            <w:pPr>
              <w:keepNext/>
              <w:tabs>
                <w:tab w:val="right" w:pos="9360"/>
              </w:tabs>
              <w:jc w:val="center"/>
              <w:rPr>
                <w:szCs w:val="24"/>
              </w:rPr>
            </w:pPr>
            <w:r w:rsidRPr="00E85E82">
              <w:rPr>
                <w:szCs w:val="24"/>
              </w:rPr>
              <w:t>NOTICE</w:t>
            </w:r>
          </w:p>
          <w:p w:rsidR="0079724F" w:rsidRPr="00E85E82" w:rsidRDefault="0079724F" w:rsidP="00215F7C">
            <w:pPr>
              <w:keepNext/>
              <w:tabs>
                <w:tab w:val="right" w:pos="9360"/>
              </w:tabs>
              <w:rPr>
                <w:szCs w:val="24"/>
              </w:rPr>
            </w:pPr>
          </w:p>
          <w:p w:rsidR="0079724F" w:rsidRPr="00E85E82" w:rsidRDefault="0079724F" w:rsidP="00215F7C">
            <w:pPr>
              <w:keepNext/>
              <w:tabs>
                <w:tab w:val="right" w:pos="9360"/>
              </w:tabs>
              <w:jc w:val="both"/>
              <w:rPr>
                <w:szCs w:val="24"/>
              </w:rPr>
            </w:pPr>
            <w:r w:rsidRPr="00E85E82">
              <w:rPr>
                <w:szCs w:val="24"/>
              </w:rPr>
              <w:t>Case summaries included in the Bulletin are prepared by the Office of the Registrar of the Supreme Court of Canada (Law Branch) for information purposes only.</w:t>
            </w:r>
          </w:p>
          <w:p w:rsidR="0079724F" w:rsidRPr="00E85E82" w:rsidRDefault="0079724F" w:rsidP="00215F7C">
            <w:pPr>
              <w:keepNext/>
              <w:tabs>
                <w:tab w:val="right" w:pos="9360"/>
              </w:tabs>
              <w:rPr>
                <w:szCs w:val="24"/>
              </w:rPr>
            </w:pPr>
          </w:p>
          <w:p w:rsidR="0079724F" w:rsidRPr="00E85E82" w:rsidRDefault="0079724F" w:rsidP="00215F7C">
            <w:pPr>
              <w:keepNext/>
              <w:tabs>
                <w:tab w:val="right" w:pos="9360"/>
              </w:tabs>
              <w:rPr>
                <w:szCs w:val="24"/>
              </w:rPr>
            </w:pPr>
          </w:p>
          <w:p w:rsidR="0079724F" w:rsidRPr="00E85E82" w:rsidRDefault="0079724F" w:rsidP="00215F7C">
            <w:pPr>
              <w:keepNext/>
              <w:tabs>
                <w:tab w:val="right" w:pos="9360"/>
              </w:tabs>
              <w:jc w:val="center"/>
              <w:rPr>
                <w:szCs w:val="24"/>
                <w:lang w:val="fr-CA"/>
              </w:rPr>
            </w:pPr>
            <w:r w:rsidRPr="00E85E82">
              <w:rPr>
                <w:szCs w:val="24"/>
                <w:lang w:val="fr-CA"/>
              </w:rPr>
              <w:t>AVIS</w:t>
            </w:r>
          </w:p>
          <w:p w:rsidR="0079724F" w:rsidRPr="00E85E82" w:rsidRDefault="0079724F" w:rsidP="00215F7C">
            <w:pPr>
              <w:keepNext/>
              <w:tabs>
                <w:tab w:val="right" w:pos="9360"/>
              </w:tabs>
              <w:rPr>
                <w:szCs w:val="24"/>
                <w:lang w:val="fr-CA"/>
              </w:rPr>
            </w:pPr>
          </w:p>
          <w:p w:rsidR="0079724F" w:rsidRPr="00E85E82" w:rsidRDefault="0079724F" w:rsidP="00215F7C">
            <w:pPr>
              <w:keepNext/>
              <w:tabs>
                <w:tab w:val="right" w:pos="9360"/>
              </w:tabs>
              <w:jc w:val="both"/>
              <w:rPr>
                <w:sz w:val="20"/>
                <w:szCs w:val="20"/>
                <w:lang w:val="fr-CA"/>
              </w:rPr>
            </w:pPr>
            <w:r w:rsidRPr="00E85E82">
              <w:rPr>
                <w:szCs w:val="24"/>
                <w:lang w:val="fr-CA"/>
              </w:rPr>
              <w:t>Les résumés de dossiers publiés dans le bulletin sont préparés par le Bureau du registraire (Direction générale du droit) uniquement à titre d’information.</w:t>
            </w:r>
          </w:p>
        </w:tc>
      </w:tr>
    </w:tbl>
    <w:p w:rsidR="0095096B" w:rsidRPr="00E85E82" w:rsidRDefault="0095096B" w:rsidP="0095096B">
      <w:pPr>
        <w:tabs>
          <w:tab w:val="right" w:pos="9360"/>
        </w:tabs>
        <w:rPr>
          <w:lang w:val="fr-CA"/>
        </w:rPr>
      </w:pPr>
    </w:p>
    <w:p w:rsidR="00A87207" w:rsidRPr="00E85E82" w:rsidRDefault="00A87207" w:rsidP="0095096B">
      <w:pPr>
        <w:tabs>
          <w:tab w:val="right" w:pos="9360"/>
        </w:tabs>
        <w:rPr>
          <w:lang w:val="fr-CA"/>
        </w:rPr>
        <w:sectPr w:rsidR="00A87207" w:rsidRPr="00E85E82"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E85E82" w:rsidTr="00245129">
        <w:tc>
          <w:tcPr>
            <w:tcW w:w="4200" w:type="dxa"/>
            <w:shd w:val="clear" w:color="auto" w:fill="auto"/>
            <w:tcMar>
              <w:left w:w="0" w:type="dxa"/>
              <w:right w:w="0" w:type="dxa"/>
            </w:tcMar>
          </w:tcPr>
          <w:p w:rsidR="00A87207" w:rsidRPr="00E85E82" w:rsidRDefault="00A87207" w:rsidP="00BA6468">
            <w:pPr>
              <w:rPr>
                <w:rFonts w:eastAsia="Times New Roman" w:cs="Times New Roman"/>
                <w:b/>
                <w:sz w:val="20"/>
                <w:szCs w:val="20"/>
                <w:lang w:eastAsia="en-CA"/>
              </w:rPr>
            </w:pPr>
            <w:r w:rsidRPr="00E85E82">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E85E82" w:rsidRDefault="00A87207" w:rsidP="002E2327">
            <w:pPr>
              <w:jc w:val="center"/>
              <w:rPr>
                <w:rFonts w:eastAsia="Times New Roman" w:cs="Times New Roman"/>
                <w:b/>
                <w:sz w:val="20"/>
                <w:szCs w:val="20"/>
                <w:lang w:eastAsia="en-CA"/>
              </w:rPr>
            </w:pPr>
          </w:p>
          <w:p w:rsidR="00A87207" w:rsidRPr="00E85E82" w:rsidRDefault="00A87207" w:rsidP="002E2327">
            <w:pPr>
              <w:jc w:val="center"/>
              <w:rPr>
                <w:rFonts w:eastAsia="Times New Roman" w:cs="Times New Roman"/>
                <w:b/>
                <w:sz w:val="20"/>
                <w:szCs w:val="20"/>
                <w:lang w:eastAsia="en-CA"/>
              </w:rPr>
            </w:pPr>
          </w:p>
          <w:p w:rsidR="00A87207" w:rsidRPr="00E85E82"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E85E82" w:rsidRDefault="00A87207" w:rsidP="00A87207">
            <w:pPr>
              <w:rPr>
                <w:rFonts w:eastAsia="Times New Roman" w:cs="Times New Roman"/>
                <w:b/>
                <w:sz w:val="20"/>
                <w:szCs w:val="20"/>
                <w:lang w:val="fr-CA" w:eastAsia="en-CA"/>
              </w:rPr>
            </w:pPr>
            <w:r w:rsidRPr="00E85E82">
              <w:rPr>
                <w:rFonts w:eastAsia="Times New Roman" w:cs="Times New Roman"/>
                <w:b/>
                <w:szCs w:val="20"/>
                <w:lang w:val="fr-CA" w:eastAsia="en-CA"/>
              </w:rPr>
              <w:t>DEMANDES D’AUTORISATION D’APPEL DÉPOSÉES</w:t>
            </w:r>
          </w:p>
        </w:tc>
      </w:tr>
    </w:tbl>
    <w:p w:rsidR="00A87207" w:rsidRPr="00E85E82"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B407D6" w:rsidTr="003B3977">
        <w:tc>
          <w:tcPr>
            <w:tcW w:w="4320" w:type="dxa"/>
            <w:shd w:val="clear" w:color="auto" w:fill="auto"/>
          </w:tcPr>
          <w:p w:rsidR="00C21644" w:rsidRPr="00E85E82" w:rsidRDefault="00492B53" w:rsidP="005F1ED8">
            <w:pPr>
              <w:rPr>
                <w:b/>
                <w:sz w:val="20"/>
                <w:szCs w:val="20"/>
              </w:rPr>
            </w:pPr>
            <w:r w:rsidRPr="00E85E82">
              <w:rPr>
                <w:b/>
                <w:sz w:val="20"/>
                <w:szCs w:val="20"/>
              </w:rPr>
              <w:t>Her Majesty the Queen</w:t>
            </w:r>
          </w:p>
          <w:p w:rsidR="00C21644" w:rsidRPr="00E85E82" w:rsidRDefault="00C21644" w:rsidP="005F1ED8">
            <w:pPr>
              <w:tabs>
                <w:tab w:val="left" w:pos="-1440"/>
                <w:tab w:val="left" w:pos="-720"/>
              </w:tabs>
              <w:rPr>
                <w:sz w:val="20"/>
                <w:szCs w:val="20"/>
              </w:rPr>
            </w:pPr>
            <w:r w:rsidRPr="00E85E82">
              <w:rPr>
                <w:sz w:val="20"/>
                <w:szCs w:val="20"/>
              </w:rPr>
              <w:tab/>
            </w:r>
            <w:r w:rsidR="00492B53" w:rsidRPr="00E85E82">
              <w:rPr>
                <w:sz w:val="20"/>
                <w:szCs w:val="20"/>
              </w:rPr>
              <w:t>Christine Bartlett-Hughes</w:t>
            </w:r>
            <w:r w:rsidRPr="00E85E82">
              <w:rPr>
                <w:sz w:val="20"/>
                <w:szCs w:val="20"/>
              </w:rPr>
              <w:t xml:space="preserve"> </w:t>
            </w:r>
          </w:p>
          <w:p w:rsidR="00C21644" w:rsidRPr="00C556BB" w:rsidRDefault="00C21644" w:rsidP="005F1ED8">
            <w:pPr>
              <w:tabs>
                <w:tab w:val="left" w:pos="-1440"/>
                <w:tab w:val="left" w:pos="-720"/>
              </w:tabs>
              <w:rPr>
                <w:sz w:val="20"/>
                <w:szCs w:val="20"/>
              </w:rPr>
            </w:pPr>
            <w:r w:rsidRPr="00E85E82">
              <w:rPr>
                <w:sz w:val="20"/>
                <w:szCs w:val="20"/>
              </w:rPr>
              <w:tab/>
            </w:r>
            <w:r w:rsidR="00492B53" w:rsidRPr="00E85E82">
              <w:rPr>
                <w:sz w:val="20"/>
                <w:szCs w:val="20"/>
              </w:rPr>
              <w:t>A.G. of Ontario</w:t>
            </w:r>
          </w:p>
          <w:p w:rsidR="00C21644" w:rsidRPr="00C556BB" w:rsidRDefault="00C21644" w:rsidP="005F1ED8">
            <w:pPr>
              <w:tabs>
                <w:tab w:val="left" w:pos="-1440"/>
                <w:tab w:val="left" w:pos="-720"/>
              </w:tabs>
              <w:rPr>
                <w:sz w:val="20"/>
                <w:szCs w:val="20"/>
              </w:rPr>
            </w:pPr>
          </w:p>
          <w:p w:rsidR="00C21644" w:rsidRPr="00C556BB" w:rsidRDefault="00C21644" w:rsidP="005F1ED8">
            <w:pPr>
              <w:tabs>
                <w:tab w:val="left" w:pos="-1440"/>
                <w:tab w:val="left" w:pos="-720"/>
              </w:tabs>
              <w:rPr>
                <w:sz w:val="20"/>
                <w:szCs w:val="20"/>
              </w:rPr>
            </w:pPr>
            <w:r w:rsidRPr="00C556BB">
              <w:rPr>
                <w:sz w:val="20"/>
                <w:szCs w:val="20"/>
              </w:rPr>
              <w:tab/>
              <w:t>v. (3</w:t>
            </w:r>
            <w:r w:rsidR="00492B53" w:rsidRPr="00C556BB">
              <w:rPr>
                <w:sz w:val="20"/>
                <w:szCs w:val="20"/>
              </w:rPr>
              <w:t>7058</w:t>
            </w:r>
            <w:r w:rsidRPr="00C556BB">
              <w:rPr>
                <w:sz w:val="20"/>
                <w:szCs w:val="20"/>
              </w:rPr>
              <w:t>)</w:t>
            </w:r>
          </w:p>
          <w:p w:rsidR="00C21644" w:rsidRPr="00C556BB" w:rsidRDefault="00C21644" w:rsidP="005F1ED8">
            <w:pPr>
              <w:tabs>
                <w:tab w:val="left" w:pos="-1440"/>
                <w:tab w:val="left" w:pos="-720"/>
              </w:tabs>
              <w:rPr>
                <w:sz w:val="20"/>
                <w:szCs w:val="20"/>
              </w:rPr>
            </w:pPr>
          </w:p>
          <w:p w:rsidR="00C21644" w:rsidRPr="00E85E82" w:rsidRDefault="00492B53" w:rsidP="005F1ED8">
            <w:pPr>
              <w:tabs>
                <w:tab w:val="left" w:pos="-1440"/>
                <w:tab w:val="left" w:pos="-720"/>
              </w:tabs>
              <w:rPr>
                <w:b/>
                <w:sz w:val="20"/>
                <w:szCs w:val="20"/>
              </w:rPr>
            </w:pPr>
            <w:r w:rsidRPr="00C556BB">
              <w:rPr>
                <w:b/>
                <w:sz w:val="20"/>
                <w:szCs w:val="20"/>
              </w:rPr>
              <w:t>Michael Chapman</w:t>
            </w:r>
            <w:r w:rsidR="00C21644" w:rsidRPr="00C556BB">
              <w:rPr>
                <w:sz w:val="20"/>
                <w:szCs w:val="20"/>
              </w:rPr>
              <w:t xml:space="preserve"> </w:t>
            </w:r>
            <w:r w:rsidR="00C21644" w:rsidRPr="00E85E82">
              <w:rPr>
                <w:b/>
                <w:sz w:val="20"/>
                <w:szCs w:val="20"/>
              </w:rPr>
              <w:t>(Ont.)</w:t>
            </w:r>
          </w:p>
          <w:p w:rsidR="00C21644" w:rsidRPr="00E85E82" w:rsidRDefault="00C21644" w:rsidP="005F1ED8">
            <w:pPr>
              <w:tabs>
                <w:tab w:val="left" w:pos="-1440"/>
                <w:tab w:val="left" w:pos="-720"/>
              </w:tabs>
              <w:rPr>
                <w:sz w:val="20"/>
                <w:szCs w:val="20"/>
              </w:rPr>
            </w:pPr>
            <w:r w:rsidRPr="00E85E82">
              <w:rPr>
                <w:sz w:val="20"/>
                <w:szCs w:val="20"/>
              </w:rPr>
              <w:tab/>
            </w:r>
            <w:r w:rsidR="00492B53" w:rsidRPr="00E85E82">
              <w:rPr>
                <w:sz w:val="20"/>
                <w:szCs w:val="20"/>
              </w:rPr>
              <w:t>Brian H. Greenspan</w:t>
            </w:r>
          </w:p>
          <w:p w:rsidR="00C21644" w:rsidRPr="00E85E82" w:rsidRDefault="00C21644" w:rsidP="005F1ED8">
            <w:pPr>
              <w:tabs>
                <w:tab w:val="left" w:pos="-1440"/>
                <w:tab w:val="left" w:pos="-720"/>
              </w:tabs>
              <w:rPr>
                <w:sz w:val="20"/>
                <w:szCs w:val="20"/>
              </w:rPr>
            </w:pPr>
            <w:r w:rsidRPr="00E85E82">
              <w:rPr>
                <w:sz w:val="20"/>
                <w:szCs w:val="20"/>
              </w:rPr>
              <w:tab/>
            </w:r>
            <w:r w:rsidR="00492B53" w:rsidRPr="00E85E82">
              <w:rPr>
                <w:sz w:val="20"/>
                <w:szCs w:val="20"/>
              </w:rPr>
              <w:t xml:space="preserve">Greenspan Humphrey </w:t>
            </w:r>
            <w:proofErr w:type="spellStart"/>
            <w:r w:rsidR="00492B53" w:rsidRPr="00E85E82">
              <w:rPr>
                <w:sz w:val="20"/>
                <w:szCs w:val="20"/>
              </w:rPr>
              <w:t>Lavine</w:t>
            </w:r>
            <w:proofErr w:type="spellEnd"/>
          </w:p>
          <w:p w:rsidR="00C21644" w:rsidRPr="00E85E82" w:rsidRDefault="00C21644" w:rsidP="005F1ED8">
            <w:pPr>
              <w:tabs>
                <w:tab w:val="left" w:pos="-1440"/>
                <w:tab w:val="left" w:pos="-720"/>
              </w:tabs>
              <w:rPr>
                <w:sz w:val="20"/>
                <w:szCs w:val="20"/>
              </w:rPr>
            </w:pPr>
          </w:p>
          <w:p w:rsidR="00C21644" w:rsidRPr="00E85E82" w:rsidRDefault="00C21644" w:rsidP="005F1ED8">
            <w:pPr>
              <w:rPr>
                <w:sz w:val="20"/>
                <w:szCs w:val="20"/>
              </w:rPr>
            </w:pPr>
            <w:r w:rsidRPr="00E85E82">
              <w:rPr>
                <w:sz w:val="20"/>
                <w:szCs w:val="20"/>
              </w:rPr>
              <w:t>FILING DATE: 09.</w:t>
            </w:r>
            <w:r w:rsidR="00492B53" w:rsidRPr="00E85E82">
              <w:rPr>
                <w:sz w:val="20"/>
                <w:szCs w:val="20"/>
              </w:rPr>
              <w:t>06</w:t>
            </w:r>
            <w:r w:rsidRPr="00E85E82">
              <w:rPr>
                <w:sz w:val="20"/>
                <w:szCs w:val="20"/>
              </w:rPr>
              <w:t>.201</w:t>
            </w:r>
            <w:r w:rsidR="00492B53" w:rsidRPr="00E85E82">
              <w:rPr>
                <w:sz w:val="20"/>
                <w:szCs w:val="20"/>
              </w:rPr>
              <w:t>6</w:t>
            </w:r>
          </w:p>
          <w:p w:rsidR="00C21644" w:rsidRPr="00E85E82" w:rsidRDefault="00B407D6"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tc>
        <w:tc>
          <w:tcPr>
            <w:tcW w:w="4320" w:type="dxa"/>
            <w:shd w:val="clear" w:color="auto" w:fill="auto"/>
          </w:tcPr>
          <w:p w:rsidR="00C21644" w:rsidRPr="00E85E82" w:rsidRDefault="00F4466A" w:rsidP="005F1ED8">
            <w:pPr>
              <w:keepNext/>
              <w:keepLines/>
              <w:tabs>
                <w:tab w:val="left" w:pos="-1440"/>
                <w:tab w:val="left" w:pos="-720"/>
              </w:tabs>
              <w:rPr>
                <w:b/>
                <w:sz w:val="20"/>
                <w:szCs w:val="20"/>
                <w:lang w:val="fr-CA"/>
              </w:rPr>
            </w:pPr>
            <w:r w:rsidRPr="00E85E82">
              <w:rPr>
                <w:b/>
                <w:sz w:val="20"/>
                <w:szCs w:val="20"/>
                <w:lang w:val="fr-CA"/>
              </w:rPr>
              <w:t>Jean Duval</w:t>
            </w:r>
          </w:p>
          <w:p w:rsidR="00C21644" w:rsidRPr="00E85E82" w:rsidRDefault="00C21644" w:rsidP="005F1ED8">
            <w:pPr>
              <w:keepNext/>
              <w:keepLines/>
              <w:tabs>
                <w:tab w:val="left" w:pos="-1440"/>
                <w:tab w:val="left" w:pos="-720"/>
              </w:tabs>
              <w:rPr>
                <w:sz w:val="20"/>
                <w:szCs w:val="20"/>
                <w:lang w:val="fr-CA"/>
              </w:rPr>
            </w:pPr>
            <w:r w:rsidRPr="00E85E82">
              <w:rPr>
                <w:sz w:val="20"/>
                <w:szCs w:val="20"/>
                <w:lang w:val="fr-CA"/>
              </w:rPr>
              <w:tab/>
            </w:r>
            <w:r w:rsidR="00F4466A" w:rsidRPr="00E85E82">
              <w:rPr>
                <w:sz w:val="20"/>
                <w:szCs w:val="20"/>
                <w:lang w:val="fr-CA"/>
              </w:rPr>
              <w:t>Jean Duval</w:t>
            </w:r>
          </w:p>
          <w:p w:rsidR="00C21644" w:rsidRPr="00E85E82" w:rsidRDefault="00C21644" w:rsidP="005F1ED8">
            <w:pPr>
              <w:keepNext/>
              <w:keepLines/>
              <w:tabs>
                <w:tab w:val="left" w:pos="-1440"/>
                <w:tab w:val="left" w:pos="-720"/>
              </w:tabs>
              <w:rPr>
                <w:sz w:val="20"/>
                <w:szCs w:val="20"/>
                <w:lang w:val="fr-CA"/>
              </w:rPr>
            </w:pPr>
          </w:p>
          <w:p w:rsidR="00C21644" w:rsidRPr="00E85E82" w:rsidRDefault="00C21644" w:rsidP="005F1ED8">
            <w:pPr>
              <w:keepNext/>
              <w:keepLines/>
              <w:tabs>
                <w:tab w:val="left" w:pos="-1440"/>
                <w:tab w:val="left" w:pos="-720"/>
              </w:tabs>
              <w:rPr>
                <w:sz w:val="20"/>
                <w:szCs w:val="20"/>
                <w:lang w:val="fr-CA"/>
              </w:rPr>
            </w:pPr>
            <w:r w:rsidRPr="00E85E82">
              <w:rPr>
                <w:sz w:val="20"/>
                <w:szCs w:val="20"/>
                <w:lang w:val="fr-CA"/>
              </w:rPr>
              <w:tab/>
              <w:t>c. (3</w:t>
            </w:r>
            <w:r w:rsidR="00F4466A" w:rsidRPr="00E85E82">
              <w:rPr>
                <w:sz w:val="20"/>
                <w:szCs w:val="20"/>
                <w:lang w:val="fr-CA"/>
              </w:rPr>
              <w:t>7068</w:t>
            </w:r>
            <w:r w:rsidRPr="00E85E82">
              <w:rPr>
                <w:sz w:val="20"/>
                <w:szCs w:val="20"/>
                <w:lang w:val="fr-CA"/>
              </w:rPr>
              <w:t>)</w:t>
            </w:r>
          </w:p>
          <w:p w:rsidR="00C21644" w:rsidRPr="00E85E82" w:rsidRDefault="00C21644" w:rsidP="005F1ED8">
            <w:pPr>
              <w:keepNext/>
              <w:keepLines/>
              <w:tabs>
                <w:tab w:val="left" w:pos="-1440"/>
                <w:tab w:val="left" w:pos="-720"/>
              </w:tabs>
              <w:rPr>
                <w:sz w:val="20"/>
                <w:szCs w:val="20"/>
                <w:lang w:val="fr-CA"/>
              </w:rPr>
            </w:pPr>
          </w:p>
          <w:p w:rsidR="00C21644" w:rsidRPr="00E85E82" w:rsidRDefault="00F4466A" w:rsidP="005F1ED8">
            <w:pPr>
              <w:keepNext/>
              <w:keepLines/>
              <w:tabs>
                <w:tab w:val="left" w:pos="-1440"/>
                <w:tab w:val="left" w:pos="-720"/>
              </w:tabs>
              <w:rPr>
                <w:b/>
                <w:sz w:val="20"/>
                <w:szCs w:val="20"/>
                <w:lang w:val="fr-CA"/>
              </w:rPr>
            </w:pPr>
            <w:r w:rsidRPr="00E85E82">
              <w:rPr>
                <w:b/>
                <w:sz w:val="20"/>
                <w:szCs w:val="20"/>
                <w:lang w:val="fr-CA"/>
              </w:rPr>
              <w:t xml:space="preserve">La Capitale assurances générales </w:t>
            </w:r>
            <w:proofErr w:type="spellStart"/>
            <w:r w:rsidRPr="00E85E82">
              <w:rPr>
                <w:b/>
                <w:sz w:val="20"/>
                <w:szCs w:val="20"/>
                <w:lang w:val="fr-CA"/>
              </w:rPr>
              <w:t>inc</w:t>
            </w:r>
            <w:proofErr w:type="spellEnd"/>
            <w:r w:rsidR="00C21644" w:rsidRPr="00E85E82">
              <w:rPr>
                <w:b/>
                <w:sz w:val="20"/>
                <w:szCs w:val="20"/>
                <w:lang w:val="fr-CA"/>
              </w:rPr>
              <w:t xml:space="preserve"> (</w:t>
            </w:r>
            <w:proofErr w:type="spellStart"/>
            <w:r w:rsidR="00C21644" w:rsidRPr="00E85E82">
              <w:rPr>
                <w:b/>
                <w:sz w:val="20"/>
                <w:szCs w:val="20"/>
                <w:lang w:val="fr-CA"/>
              </w:rPr>
              <w:t>Qc</w:t>
            </w:r>
            <w:proofErr w:type="spellEnd"/>
            <w:r w:rsidR="00C21644" w:rsidRPr="00E85E82">
              <w:rPr>
                <w:b/>
                <w:sz w:val="20"/>
                <w:szCs w:val="20"/>
                <w:lang w:val="fr-CA"/>
              </w:rPr>
              <w:t>)</w:t>
            </w:r>
          </w:p>
          <w:p w:rsidR="00C21644" w:rsidRPr="00E85E82" w:rsidRDefault="00C21644" w:rsidP="005F1ED8">
            <w:pPr>
              <w:keepNext/>
              <w:keepLines/>
              <w:tabs>
                <w:tab w:val="left" w:pos="-1440"/>
                <w:tab w:val="left" w:pos="-720"/>
              </w:tabs>
              <w:rPr>
                <w:sz w:val="20"/>
                <w:szCs w:val="20"/>
                <w:lang w:val="fr-CA"/>
              </w:rPr>
            </w:pPr>
            <w:r w:rsidRPr="00E85E82">
              <w:rPr>
                <w:sz w:val="20"/>
                <w:szCs w:val="20"/>
                <w:lang w:val="fr-CA"/>
              </w:rPr>
              <w:tab/>
            </w:r>
            <w:r w:rsidR="00F4466A" w:rsidRPr="00E85E82">
              <w:rPr>
                <w:sz w:val="20"/>
                <w:szCs w:val="20"/>
                <w:lang w:val="fr-CA"/>
              </w:rPr>
              <w:t xml:space="preserve">Guylaine </w:t>
            </w:r>
            <w:proofErr w:type="spellStart"/>
            <w:r w:rsidR="00F4466A" w:rsidRPr="00E85E82">
              <w:rPr>
                <w:sz w:val="20"/>
                <w:szCs w:val="20"/>
                <w:lang w:val="fr-CA"/>
              </w:rPr>
              <w:t>Lacerte</w:t>
            </w:r>
            <w:proofErr w:type="spellEnd"/>
          </w:p>
          <w:p w:rsidR="00C21644" w:rsidRPr="00E85E82" w:rsidRDefault="00C21644" w:rsidP="005F1ED8">
            <w:pPr>
              <w:keepNext/>
              <w:keepLines/>
              <w:tabs>
                <w:tab w:val="left" w:pos="-1440"/>
                <w:tab w:val="left" w:pos="-720"/>
              </w:tabs>
              <w:rPr>
                <w:sz w:val="20"/>
                <w:szCs w:val="20"/>
                <w:lang w:val="fr-CA"/>
              </w:rPr>
            </w:pPr>
            <w:r w:rsidRPr="00E85E82">
              <w:rPr>
                <w:sz w:val="20"/>
                <w:szCs w:val="20"/>
                <w:lang w:val="fr-CA"/>
              </w:rPr>
              <w:tab/>
            </w:r>
            <w:r w:rsidR="00F4466A" w:rsidRPr="00E85E82">
              <w:rPr>
                <w:sz w:val="20"/>
                <w:szCs w:val="20"/>
                <w:lang w:val="fr-CA"/>
              </w:rPr>
              <w:t xml:space="preserve">McCarthy </w:t>
            </w:r>
            <w:proofErr w:type="spellStart"/>
            <w:r w:rsidR="00F4466A" w:rsidRPr="00E85E82">
              <w:rPr>
                <w:sz w:val="20"/>
                <w:szCs w:val="20"/>
                <w:lang w:val="fr-CA"/>
              </w:rPr>
              <w:t>Tétrault</w:t>
            </w:r>
            <w:proofErr w:type="spellEnd"/>
            <w:r w:rsidR="00F4466A" w:rsidRPr="00E85E82">
              <w:rPr>
                <w:sz w:val="20"/>
                <w:szCs w:val="20"/>
                <w:lang w:val="fr-CA"/>
              </w:rPr>
              <w:t xml:space="preserve"> LLP</w:t>
            </w:r>
          </w:p>
          <w:p w:rsidR="00C21644" w:rsidRPr="00E85E82" w:rsidRDefault="00C21644" w:rsidP="005F1ED8">
            <w:pPr>
              <w:keepNext/>
              <w:keepLines/>
              <w:tabs>
                <w:tab w:val="left" w:pos="-1440"/>
                <w:tab w:val="left" w:pos="-720"/>
              </w:tabs>
              <w:rPr>
                <w:sz w:val="20"/>
                <w:szCs w:val="20"/>
                <w:lang w:val="fr-CA"/>
              </w:rPr>
            </w:pPr>
          </w:p>
          <w:p w:rsidR="00C21644" w:rsidRPr="00E85E82" w:rsidRDefault="00C21644" w:rsidP="00F4466A">
            <w:pPr>
              <w:rPr>
                <w:sz w:val="20"/>
                <w:szCs w:val="20"/>
                <w:lang w:val="fr-CA"/>
              </w:rPr>
            </w:pPr>
            <w:r w:rsidRPr="00E85E82">
              <w:rPr>
                <w:sz w:val="20"/>
                <w:szCs w:val="20"/>
                <w:lang w:val="fr-CA"/>
              </w:rPr>
              <w:t xml:space="preserve">DATE DE PRODUCTION: </w:t>
            </w:r>
            <w:r w:rsidR="00F4466A" w:rsidRPr="00E85E82">
              <w:rPr>
                <w:sz w:val="20"/>
                <w:szCs w:val="20"/>
                <w:lang w:val="fr-CA"/>
              </w:rPr>
              <w:t>08</w:t>
            </w:r>
            <w:r w:rsidRPr="00E85E82">
              <w:rPr>
                <w:sz w:val="20"/>
                <w:szCs w:val="20"/>
                <w:lang w:val="fr-CA"/>
              </w:rPr>
              <w:t>.0</w:t>
            </w:r>
            <w:r w:rsidR="00F4466A" w:rsidRPr="00E85E82">
              <w:rPr>
                <w:sz w:val="20"/>
                <w:szCs w:val="20"/>
                <w:lang w:val="fr-CA"/>
              </w:rPr>
              <w:t>2</w:t>
            </w:r>
            <w:r w:rsidRPr="00E85E82">
              <w:rPr>
                <w:sz w:val="20"/>
                <w:szCs w:val="20"/>
                <w:lang w:val="fr-CA"/>
              </w:rPr>
              <w:t>.201</w:t>
            </w:r>
            <w:r w:rsidR="00F4466A" w:rsidRPr="00E85E82">
              <w:rPr>
                <w:sz w:val="20"/>
                <w:szCs w:val="20"/>
                <w:lang w:val="fr-CA"/>
              </w:rPr>
              <w:t>6</w:t>
            </w:r>
            <w:r w:rsidR="00B407D6">
              <w:rPr>
                <w:sz w:val="20"/>
                <w:szCs w:val="20"/>
                <w:lang w:val="fr-CA"/>
              </w:rPr>
              <w:pict>
                <v:rect id="_x0000_i1026" style="width:108pt;height:1pt" o:hrpct="0" o:hralign="center" o:hrstd="t" o:hrnoshade="t" o:hr="t" fillcolor="black [3213]" stroked="f"/>
              </w:pict>
            </w:r>
          </w:p>
        </w:tc>
      </w:tr>
      <w:tr w:rsidR="00C21644" w:rsidRPr="00E85E82" w:rsidTr="003B3977">
        <w:tc>
          <w:tcPr>
            <w:tcW w:w="4320" w:type="dxa"/>
            <w:shd w:val="clear" w:color="auto" w:fill="auto"/>
          </w:tcPr>
          <w:p w:rsidR="00C21644" w:rsidRPr="00C556BB" w:rsidRDefault="007B2728" w:rsidP="003B3977">
            <w:pPr>
              <w:rPr>
                <w:b/>
                <w:sz w:val="20"/>
                <w:szCs w:val="20"/>
              </w:rPr>
            </w:pPr>
            <w:r w:rsidRPr="00C556BB">
              <w:rPr>
                <w:b/>
                <w:sz w:val="20"/>
                <w:szCs w:val="20"/>
              </w:rPr>
              <w:t>Haiyan Gong</w:t>
            </w:r>
          </w:p>
          <w:p w:rsidR="00C21644" w:rsidRPr="00C556BB" w:rsidRDefault="00C21644" w:rsidP="003B3977">
            <w:pPr>
              <w:tabs>
                <w:tab w:val="left" w:pos="-1440"/>
                <w:tab w:val="left" w:pos="-720"/>
              </w:tabs>
              <w:rPr>
                <w:sz w:val="20"/>
                <w:szCs w:val="20"/>
              </w:rPr>
            </w:pPr>
            <w:r w:rsidRPr="00C556BB">
              <w:rPr>
                <w:sz w:val="20"/>
                <w:szCs w:val="20"/>
              </w:rPr>
              <w:tab/>
            </w:r>
            <w:r w:rsidR="007B2728" w:rsidRPr="00C556BB">
              <w:rPr>
                <w:sz w:val="20"/>
                <w:szCs w:val="20"/>
              </w:rPr>
              <w:t>Rocco Galati</w:t>
            </w:r>
          </w:p>
          <w:p w:rsidR="00C21644" w:rsidRPr="00C556BB" w:rsidRDefault="00C21644" w:rsidP="003B3977">
            <w:pPr>
              <w:tabs>
                <w:tab w:val="left" w:pos="-1440"/>
                <w:tab w:val="left" w:pos="-720"/>
              </w:tabs>
              <w:rPr>
                <w:sz w:val="20"/>
                <w:szCs w:val="20"/>
              </w:rPr>
            </w:pPr>
            <w:r w:rsidRPr="00C556BB">
              <w:rPr>
                <w:sz w:val="20"/>
                <w:szCs w:val="20"/>
              </w:rPr>
              <w:tab/>
            </w:r>
            <w:r w:rsidR="007B2728" w:rsidRPr="00C556BB">
              <w:rPr>
                <w:sz w:val="20"/>
                <w:szCs w:val="20"/>
              </w:rPr>
              <w:t xml:space="preserve">Rocco Galati Law Firm Professional </w:t>
            </w:r>
            <w:r w:rsidR="007B2728" w:rsidRPr="00C556BB">
              <w:rPr>
                <w:sz w:val="20"/>
                <w:szCs w:val="20"/>
              </w:rPr>
              <w:tab/>
              <w:t>Corporation</w:t>
            </w:r>
          </w:p>
          <w:p w:rsidR="00C21644" w:rsidRPr="00C556BB" w:rsidRDefault="00C21644" w:rsidP="003B3977">
            <w:pPr>
              <w:tabs>
                <w:tab w:val="left" w:pos="-1440"/>
                <w:tab w:val="left" w:pos="-720"/>
              </w:tabs>
              <w:rPr>
                <w:sz w:val="20"/>
                <w:szCs w:val="20"/>
              </w:rPr>
            </w:pPr>
          </w:p>
          <w:p w:rsidR="00C21644" w:rsidRPr="00E85E82" w:rsidRDefault="00C21644" w:rsidP="003B3977">
            <w:pPr>
              <w:tabs>
                <w:tab w:val="left" w:pos="-1440"/>
                <w:tab w:val="left" w:pos="-720"/>
              </w:tabs>
              <w:rPr>
                <w:sz w:val="20"/>
                <w:szCs w:val="20"/>
              </w:rPr>
            </w:pPr>
            <w:r w:rsidRPr="00C556BB">
              <w:rPr>
                <w:sz w:val="20"/>
                <w:szCs w:val="20"/>
              </w:rPr>
              <w:tab/>
            </w:r>
            <w:r w:rsidRPr="00E85E82">
              <w:rPr>
                <w:sz w:val="20"/>
                <w:szCs w:val="20"/>
              </w:rPr>
              <w:t>v. (3</w:t>
            </w:r>
            <w:r w:rsidR="007B2728" w:rsidRPr="00E85E82">
              <w:rPr>
                <w:sz w:val="20"/>
                <w:szCs w:val="20"/>
              </w:rPr>
              <w:t>7040</w:t>
            </w:r>
            <w:r w:rsidRPr="00E85E82">
              <w:rPr>
                <w:sz w:val="20"/>
                <w:szCs w:val="20"/>
              </w:rPr>
              <w:t>)</w:t>
            </w:r>
          </w:p>
          <w:p w:rsidR="00C21644" w:rsidRPr="00E85E82" w:rsidRDefault="00C21644" w:rsidP="003B3977">
            <w:pPr>
              <w:tabs>
                <w:tab w:val="left" w:pos="-1440"/>
                <w:tab w:val="left" w:pos="-720"/>
              </w:tabs>
              <w:rPr>
                <w:sz w:val="20"/>
                <w:szCs w:val="20"/>
              </w:rPr>
            </w:pPr>
          </w:p>
          <w:p w:rsidR="00C21644" w:rsidRPr="00E85E82" w:rsidRDefault="007B2728" w:rsidP="003B3977">
            <w:pPr>
              <w:tabs>
                <w:tab w:val="left" w:pos="-1440"/>
                <w:tab w:val="left" w:pos="-720"/>
              </w:tabs>
              <w:rPr>
                <w:b/>
                <w:sz w:val="20"/>
                <w:szCs w:val="20"/>
              </w:rPr>
            </w:pPr>
            <w:r w:rsidRPr="00E85E82">
              <w:rPr>
                <w:b/>
                <w:sz w:val="20"/>
                <w:szCs w:val="20"/>
              </w:rPr>
              <w:t xml:space="preserve">Minister of Citizenship and Immigration </w:t>
            </w:r>
            <w:r w:rsidR="00C21644" w:rsidRPr="00E85E82">
              <w:rPr>
                <w:b/>
                <w:sz w:val="20"/>
                <w:szCs w:val="20"/>
              </w:rPr>
              <w:t>(</w:t>
            </w:r>
            <w:r w:rsidRPr="00E85E82">
              <w:rPr>
                <w:b/>
                <w:sz w:val="20"/>
                <w:szCs w:val="20"/>
              </w:rPr>
              <w:t>F.C</w:t>
            </w:r>
            <w:r w:rsidR="00C21644" w:rsidRPr="00E85E82">
              <w:rPr>
                <w:b/>
                <w:sz w:val="20"/>
                <w:szCs w:val="20"/>
              </w:rPr>
              <w:t>.)</w:t>
            </w:r>
          </w:p>
          <w:p w:rsidR="00C21644" w:rsidRPr="00E85E82" w:rsidRDefault="00C21644" w:rsidP="003B3977">
            <w:pPr>
              <w:tabs>
                <w:tab w:val="left" w:pos="-1440"/>
                <w:tab w:val="left" w:pos="-720"/>
              </w:tabs>
              <w:rPr>
                <w:sz w:val="20"/>
                <w:szCs w:val="20"/>
              </w:rPr>
            </w:pPr>
            <w:r w:rsidRPr="00E85E82">
              <w:rPr>
                <w:sz w:val="20"/>
                <w:szCs w:val="20"/>
              </w:rPr>
              <w:tab/>
            </w:r>
            <w:r w:rsidR="007B2728" w:rsidRPr="00E85E82">
              <w:rPr>
                <w:sz w:val="20"/>
                <w:szCs w:val="20"/>
              </w:rPr>
              <w:t>Martin Anderson</w:t>
            </w:r>
          </w:p>
          <w:p w:rsidR="00C21644" w:rsidRPr="00E85E82" w:rsidRDefault="00C21644" w:rsidP="003B3977">
            <w:pPr>
              <w:tabs>
                <w:tab w:val="left" w:pos="-1440"/>
                <w:tab w:val="left" w:pos="-720"/>
              </w:tabs>
              <w:rPr>
                <w:sz w:val="20"/>
                <w:szCs w:val="20"/>
              </w:rPr>
            </w:pPr>
            <w:r w:rsidRPr="00E85E82">
              <w:rPr>
                <w:sz w:val="20"/>
                <w:szCs w:val="20"/>
              </w:rPr>
              <w:tab/>
            </w:r>
            <w:r w:rsidR="007B2728" w:rsidRPr="00E85E82">
              <w:rPr>
                <w:sz w:val="20"/>
                <w:szCs w:val="20"/>
              </w:rPr>
              <w:t>A.G. of Canada</w:t>
            </w:r>
          </w:p>
          <w:p w:rsidR="00C21644" w:rsidRPr="00E85E82" w:rsidRDefault="00C21644" w:rsidP="003B3977">
            <w:pPr>
              <w:tabs>
                <w:tab w:val="left" w:pos="-1440"/>
                <w:tab w:val="left" w:pos="-720"/>
              </w:tabs>
              <w:rPr>
                <w:sz w:val="20"/>
                <w:szCs w:val="20"/>
              </w:rPr>
            </w:pPr>
          </w:p>
          <w:p w:rsidR="00C21644" w:rsidRPr="00E85E82" w:rsidRDefault="00C21644" w:rsidP="003B3977">
            <w:pPr>
              <w:rPr>
                <w:sz w:val="20"/>
                <w:szCs w:val="20"/>
              </w:rPr>
            </w:pPr>
            <w:r w:rsidRPr="00E85E82">
              <w:rPr>
                <w:sz w:val="20"/>
                <w:szCs w:val="20"/>
              </w:rPr>
              <w:t xml:space="preserve">FILING DATE: </w:t>
            </w:r>
            <w:r w:rsidR="007B2728" w:rsidRPr="00E85E82">
              <w:rPr>
                <w:sz w:val="20"/>
                <w:szCs w:val="20"/>
              </w:rPr>
              <w:t>02</w:t>
            </w:r>
            <w:r w:rsidRPr="00E85E82">
              <w:rPr>
                <w:sz w:val="20"/>
                <w:szCs w:val="20"/>
              </w:rPr>
              <w:t>.0</w:t>
            </w:r>
            <w:r w:rsidR="007B2728" w:rsidRPr="00E85E82">
              <w:rPr>
                <w:sz w:val="20"/>
                <w:szCs w:val="20"/>
              </w:rPr>
              <w:t>6</w:t>
            </w:r>
            <w:r w:rsidRPr="00E85E82">
              <w:rPr>
                <w:sz w:val="20"/>
                <w:szCs w:val="20"/>
              </w:rPr>
              <w:t>.201</w:t>
            </w:r>
            <w:r w:rsidR="007B2728" w:rsidRPr="00E85E82">
              <w:rPr>
                <w:sz w:val="20"/>
                <w:szCs w:val="20"/>
              </w:rPr>
              <w:t>6</w:t>
            </w:r>
          </w:p>
          <w:p w:rsidR="00C21644" w:rsidRPr="00E85E82" w:rsidRDefault="00B407D6"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7B2728" w:rsidRPr="00E85E82" w:rsidRDefault="007B2728" w:rsidP="00242AEE">
            <w:pPr>
              <w:jc w:val="center"/>
              <w:rPr>
                <w:sz w:val="20"/>
                <w:szCs w:val="20"/>
              </w:rPr>
            </w:pPr>
          </w:p>
        </w:tc>
        <w:tc>
          <w:tcPr>
            <w:tcW w:w="4320" w:type="dxa"/>
            <w:shd w:val="clear" w:color="auto" w:fill="auto"/>
          </w:tcPr>
          <w:p w:rsidR="00C21644" w:rsidRPr="00C556BB" w:rsidRDefault="00C657FA" w:rsidP="003B3977">
            <w:pPr>
              <w:keepNext/>
              <w:keepLines/>
              <w:tabs>
                <w:tab w:val="left" w:pos="-1440"/>
                <w:tab w:val="left" w:pos="-720"/>
              </w:tabs>
              <w:rPr>
                <w:b/>
                <w:sz w:val="20"/>
                <w:szCs w:val="20"/>
              </w:rPr>
            </w:pPr>
            <w:r w:rsidRPr="00C556BB">
              <w:rPr>
                <w:b/>
                <w:sz w:val="20"/>
                <w:szCs w:val="20"/>
              </w:rPr>
              <w:t>British Columbia Human Rights Tribunal</w:t>
            </w:r>
          </w:p>
          <w:p w:rsidR="00C21644" w:rsidRPr="00C556BB" w:rsidRDefault="00C21644" w:rsidP="003B3977">
            <w:pPr>
              <w:keepNext/>
              <w:keepLines/>
              <w:tabs>
                <w:tab w:val="left" w:pos="-1440"/>
                <w:tab w:val="left" w:pos="-720"/>
              </w:tabs>
              <w:rPr>
                <w:sz w:val="20"/>
                <w:szCs w:val="20"/>
              </w:rPr>
            </w:pPr>
            <w:r w:rsidRPr="00C556BB">
              <w:rPr>
                <w:sz w:val="20"/>
                <w:szCs w:val="20"/>
              </w:rPr>
              <w:tab/>
            </w:r>
            <w:r w:rsidR="00C657FA" w:rsidRPr="00C556BB">
              <w:rPr>
                <w:sz w:val="20"/>
                <w:szCs w:val="20"/>
              </w:rPr>
              <w:t xml:space="preserve">Katherine A. </w:t>
            </w:r>
            <w:proofErr w:type="spellStart"/>
            <w:r w:rsidR="00C657FA" w:rsidRPr="00C556BB">
              <w:rPr>
                <w:sz w:val="20"/>
                <w:szCs w:val="20"/>
              </w:rPr>
              <w:t>Hardie</w:t>
            </w:r>
            <w:proofErr w:type="spellEnd"/>
          </w:p>
          <w:p w:rsidR="00C21644" w:rsidRPr="00E85E82" w:rsidRDefault="00C21644" w:rsidP="003B3977">
            <w:pPr>
              <w:keepNext/>
              <w:keepLines/>
              <w:tabs>
                <w:tab w:val="left" w:pos="-1440"/>
                <w:tab w:val="left" w:pos="-720"/>
              </w:tabs>
              <w:rPr>
                <w:sz w:val="20"/>
                <w:szCs w:val="20"/>
              </w:rPr>
            </w:pPr>
            <w:r w:rsidRPr="00C556BB">
              <w:rPr>
                <w:sz w:val="20"/>
                <w:szCs w:val="20"/>
              </w:rPr>
              <w:tab/>
            </w:r>
            <w:r w:rsidR="00C657FA" w:rsidRPr="00C556BB">
              <w:rPr>
                <w:sz w:val="20"/>
                <w:szCs w:val="20"/>
              </w:rPr>
              <w:t>B.C. Human Rights Tribunal</w:t>
            </w:r>
          </w:p>
          <w:p w:rsidR="00C21644" w:rsidRPr="00E85E82" w:rsidRDefault="00C21644" w:rsidP="003B3977">
            <w:pPr>
              <w:keepNext/>
              <w:keepLines/>
              <w:tabs>
                <w:tab w:val="left" w:pos="-1440"/>
                <w:tab w:val="left" w:pos="-720"/>
              </w:tabs>
              <w:rPr>
                <w:sz w:val="20"/>
                <w:szCs w:val="20"/>
              </w:rPr>
            </w:pPr>
          </w:p>
          <w:p w:rsidR="00C21644" w:rsidRPr="00E85E82" w:rsidRDefault="00C21644" w:rsidP="003B3977">
            <w:pPr>
              <w:keepNext/>
              <w:keepLines/>
              <w:tabs>
                <w:tab w:val="left" w:pos="-1440"/>
                <w:tab w:val="left" w:pos="-720"/>
              </w:tabs>
              <w:rPr>
                <w:sz w:val="20"/>
                <w:szCs w:val="20"/>
              </w:rPr>
            </w:pPr>
            <w:r w:rsidRPr="00E85E82">
              <w:rPr>
                <w:sz w:val="20"/>
                <w:szCs w:val="20"/>
              </w:rPr>
              <w:tab/>
              <w:t>v. (3</w:t>
            </w:r>
            <w:r w:rsidR="00C657FA" w:rsidRPr="00E85E82">
              <w:rPr>
                <w:sz w:val="20"/>
                <w:szCs w:val="20"/>
              </w:rPr>
              <w:t>6041</w:t>
            </w:r>
            <w:r w:rsidRPr="00E85E82">
              <w:rPr>
                <w:sz w:val="20"/>
                <w:szCs w:val="20"/>
              </w:rPr>
              <w:t>)</w:t>
            </w:r>
          </w:p>
          <w:p w:rsidR="00C21644" w:rsidRPr="00E85E82" w:rsidRDefault="00C21644" w:rsidP="003B3977">
            <w:pPr>
              <w:keepNext/>
              <w:keepLines/>
              <w:tabs>
                <w:tab w:val="left" w:pos="-1440"/>
                <w:tab w:val="left" w:pos="-720"/>
              </w:tabs>
              <w:rPr>
                <w:sz w:val="20"/>
                <w:szCs w:val="20"/>
              </w:rPr>
            </w:pPr>
          </w:p>
          <w:p w:rsidR="00C21644" w:rsidRPr="00E85E82" w:rsidRDefault="00C657FA" w:rsidP="003B3977">
            <w:pPr>
              <w:keepNext/>
              <w:keepLines/>
              <w:tabs>
                <w:tab w:val="left" w:pos="-1440"/>
                <w:tab w:val="left" w:pos="-720"/>
              </w:tabs>
              <w:rPr>
                <w:b/>
                <w:sz w:val="20"/>
                <w:szCs w:val="20"/>
              </w:rPr>
            </w:pPr>
            <w:r w:rsidRPr="00E85E82">
              <w:rPr>
                <w:b/>
                <w:sz w:val="20"/>
                <w:szCs w:val="20"/>
              </w:rPr>
              <w:t xml:space="preserve">Edward </w:t>
            </w:r>
            <w:proofErr w:type="spellStart"/>
            <w:r w:rsidRPr="00E85E82">
              <w:rPr>
                <w:b/>
                <w:sz w:val="20"/>
                <w:szCs w:val="20"/>
              </w:rPr>
              <w:t>Schrenk</w:t>
            </w:r>
            <w:proofErr w:type="spellEnd"/>
            <w:r w:rsidRPr="00E85E82">
              <w:rPr>
                <w:b/>
                <w:sz w:val="20"/>
                <w:szCs w:val="20"/>
              </w:rPr>
              <w:t xml:space="preserve"> </w:t>
            </w:r>
            <w:r w:rsidR="00C21644" w:rsidRPr="00E85E82">
              <w:rPr>
                <w:b/>
                <w:sz w:val="20"/>
                <w:szCs w:val="20"/>
              </w:rPr>
              <w:t>(B.C.)</w:t>
            </w:r>
          </w:p>
          <w:p w:rsidR="00C21644" w:rsidRPr="00E85E82" w:rsidRDefault="00C21644" w:rsidP="003B3977">
            <w:pPr>
              <w:keepNext/>
              <w:keepLines/>
              <w:tabs>
                <w:tab w:val="left" w:pos="-1440"/>
                <w:tab w:val="left" w:pos="-720"/>
              </w:tabs>
              <w:rPr>
                <w:sz w:val="20"/>
                <w:szCs w:val="20"/>
              </w:rPr>
            </w:pPr>
            <w:r w:rsidRPr="00E85E82">
              <w:rPr>
                <w:sz w:val="20"/>
                <w:szCs w:val="20"/>
              </w:rPr>
              <w:tab/>
            </w:r>
            <w:r w:rsidR="00C657FA" w:rsidRPr="00E85E82">
              <w:rPr>
                <w:sz w:val="20"/>
                <w:szCs w:val="20"/>
              </w:rPr>
              <w:t xml:space="preserve">Edmund P. </w:t>
            </w:r>
            <w:proofErr w:type="spellStart"/>
            <w:r w:rsidR="00C657FA" w:rsidRPr="00E85E82">
              <w:rPr>
                <w:sz w:val="20"/>
                <w:szCs w:val="20"/>
              </w:rPr>
              <w:t>Caissie</w:t>
            </w:r>
            <w:proofErr w:type="spellEnd"/>
            <w:r w:rsidR="00C657FA" w:rsidRPr="00E85E82">
              <w:rPr>
                <w:sz w:val="20"/>
                <w:szCs w:val="20"/>
              </w:rPr>
              <w:t>, ESQ</w:t>
            </w:r>
          </w:p>
          <w:p w:rsidR="00C21644" w:rsidRPr="00E85E82" w:rsidRDefault="00C21644" w:rsidP="003B3977">
            <w:pPr>
              <w:keepNext/>
              <w:keepLines/>
              <w:tabs>
                <w:tab w:val="left" w:pos="-1440"/>
                <w:tab w:val="left" w:pos="-720"/>
              </w:tabs>
              <w:rPr>
                <w:sz w:val="20"/>
                <w:szCs w:val="20"/>
              </w:rPr>
            </w:pPr>
            <w:r w:rsidRPr="00E85E82">
              <w:rPr>
                <w:sz w:val="20"/>
                <w:szCs w:val="20"/>
              </w:rPr>
              <w:tab/>
            </w:r>
            <w:proofErr w:type="spellStart"/>
            <w:r w:rsidR="00C657FA" w:rsidRPr="00E85E82">
              <w:rPr>
                <w:sz w:val="20"/>
                <w:szCs w:val="20"/>
              </w:rPr>
              <w:t>Caissie</w:t>
            </w:r>
            <w:proofErr w:type="spellEnd"/>
            <w:r w:rsidR="00C657FA" w:rsidRPr="00E85E82">
              <w:rPr>
                <w:sz w:val="20"/>
                <w:szCs w:val="20"/>
              </w:rPr>
              <w:t xml:space="preserve"> and Company, Lawyers</w:t>
            </w:r>
          </w:p>
          <w:p w:rsidR="00C21644" w:rsidRPr="00E85E82" w:rsidRDefault="00C21644" w:rsidP="003B3977">
            <w:pPr>
              <w:keepNext/>
              <w:keepLines/>
              <w:tabs>
                <w:tab w:val="left" w:pos="-1440"/>
                <w:tab w:val="left" w:pos="-720"/>
              </w:tabs>
              <w:rPr>
                <w:sz w:val="20"/>
                <w:szCs w:val="20"/>
              </w:rPr>
            </w:pPr>
          </w:p>
          <w:p w:rsidR="00C21644" w:rsidRPr="00E85E82" w:rsidRDefault="00C21644" w:rsidP="00C657FA">
            <w:pPr>
              <w:rPr>
                <w:sz w:val="20"/>
                <w:szCs w:val="20"/>
              </w:rPr>
            </w:pPr>
            <w:r w:rsidRPr="00E85E82">
              <w:rPr>
                <w:sz w:val="20"/>
                <w:szCs w:val="20"/>
              </w:rPr>
              <w:t xml:space="preserve">FILING DATE: </w:t>
            </w:r>
            <w:r w:rsidR="00C657FA" w:rsidRPr="00E85E82">
              <w:rPr>
                <w:sz w:val="20"/>
                <w:szCs w:val="20"/>
              </w:rPr>
              <w:t>0</w:t>
            </w:r>
            <w:r w:rsidRPr="00E85E82">
              <w:rPr>
                <w:sz w:val="20"/>
                <w:szCs w:val="20"/>
              </w:rPr>
              <w:t>2.0</w:t>
            </w:r>
            <w:r w:rsidR="00C657FA" w:rsidRPr="00E85E82">
              <w:rPr>
                <w:sz w:val="20"/>
                <w:szCs w:val="20"/>
              </w:rPr>
              <w:t>6</w:t>
            </w:r>
            <w:r w:rsidRPr="00E85E82">
              <w:rPr>
                <w:sz w:val="20"/>
                <w:szCs w:val="20"/>
              </w:rPr>
              <w:t>.201</w:t>
            </w:r>
            <w:r w:rsidR="00C657FA" w:rsidRPr="00E85E82">
              <w:rPr>
                <w:sz w:val="20"/>
                <w:szCs w:val="20"/>
              </w:rPr>
              <w:t>6</w:t>
            </w:r>
            <w:r w:rsidR="00B407D6">
              <w:rPr>
                <w:sz w:val="20"/>
                <w:szCs w:val="20"/>
                <w:lang w:val="fr-CA"/>
              </w:rPr>
              <w:pict>
                <v:rect id="_x0000_i1028" style="width:108pt;height:1pt" o:hrpct="0" o:hralign="center" o:hrstd="t" o:hrnoshade="t" o:hr="t" fillcolor="black [3213]" stroked="f"/>
              </w:pict>
            </w:r>
          </w:p>
        </w:tc>
      </w:tr>
      <w:tr w:rsidR="00C21644" w:rsidRPr="00E85E82" w:rsidTr="003B3977">
        <w:tc>
          <w:tcPr>
            <w:tcW w:w="4320" w:type="dxa"/>
            <w:shd w:val="clear" w:color="auto" w:fill="auto"/>
          </w:tcPr>
          <w:p w:rsidR="00C21644" w:rsidRPr="00E85E82" w:rsidRDefault="00574D9C" w:rsidP="005F1ED8">
            <w:pPr>
              <w:rPr>
                <w:b/>
                <w:sz w:val="20"/>
                <w:szCs w:val="20"/>
              </w:rPr>
            </w:pPr>
            <w:r w:rsidRPr="00E85E82">
              <w:rPr>
                <w:b/>
                <w:sz w:val="20"/>
                <w:szCs w:val="20"/>
              </w:rPr>
              <w:t>John C. Turmel</w:t>
            </w:r>
          </w:p>
          <w:p w:rsidR="00C21644" w:rsidRPr="00E85E82" w:rsidRDefault="00C21644" w:rsidP="005F1ED8">
            <w:pPr>
              <w:tabs>
                <w:tab w:val="left" w:pos="-1440"/>
                <w:tab w:val="left" w:pos="-720"/>
              </w:tabs>
              <w:rPr>
                <w:sz w:val="20"/>
                <w:szCs w:val="20"/>
              </w:rPr>
            </w:pPr>
            <w:r w:rsidRPr="00E85E82">
              <w:rPr>
                <w:sz w:val="20"/>
                <w:szCs w:val="20"/>
              </w:rPr>
              <w:tab/>
            </w:r>
            <w:r w:rsidR="00574D9C" w:rsidRPr="00E85E82">
              <w:rPr>
                <w:sz w:val="20"/>
                <w:szCs w:val="20"/>
              </w:rPr>
              <w:t>John C. Turmel</w:t>
            </w:r>
          </w:p>
          <w:p w:rsidR="00C21644" w:rsidRPr="00E85E82" w:rsidRDefault="00C21644" w:rsidP="005F1ED8">
            <w:pPr>
              <w:tabs>
                <w:tab w:val="left" w:pos="-1440"/>
                <w:tab w:val="left" w:pos="-720"/>
              </w:tabs>
              <w:rPr>
                <w:sz w:val="20"/>
                <w:szCs w:val="20"/>
              </w:rPr>
            </w:pPr>
          </w:p>
          <w:p w:rsidR="00C21644" w:rsidRPr="00E85E82" w:rsidRDefault="00C21644" w:rsidP="005F1ED8">
            <w:pPr>
              <w:tabs>
                <w:tab w:val="left" w:pos="-1440"/>
                <w:tab w:val="left" w:pos="-720"/>
              </w:tabs>
              <w:rPr>
                <w:sz w:val="20"/>
                <w:szCs w:val="20"/>
              </w:rPr>
            </w:pPr>
            <w:r w:rsidRPr="00E85E82">
              <w:rPr>
                <w:sz w:val="20"/>
                <w:szCs w:val="20"/>
              </w:rPr>
              <w:tab/>
              <w:t>v. (3</w:t>
            </w:r>
            <w:r w:rsidR="00574D9C" w:rsidRPr="00E85E82">
              <w:rPr>
                <w:sz w:val="20"/>
                <w:szCs w:val="20"/>
              </w:rPr>
              <w:t>7064</w:t>
            </w:r>
            <w:r w:rsidRPr="00E85E82">
              <w:rPr>
                <w:sz w:val="20"/>
                <w:szCs w:val="20"/>
              </w:rPr>
              <w:t>)</w:t>
            </w:r>
          </w:p>
          <w:p w:rsidR="00C21644" w:rsidRPr="00E85E82" w:rsidRDefault="00C21644" w:rsidP="005F1ED8">
            <w:pPr>
              <w:tabs>
                <w:tab w:val="left" w:pos="-1440"/>
                <w:tab w:val="left" w:pos="-720"/>
              </w:tabs>
              <w:rPr>
                <w:sz w:val="20"/>
                <w:szCs w:val="20"/>
              </w:rPr>
            </w:pPr>
          </w:p>
          <w:p w:rsidR="00C21644" w:rsidRPr="00E85E82" w:rsidRDefault="00574D9C" w:rsidP="005F1ED8">
            <w:pPr>
              <w:tabs>
                <w:tab w:val="left" w:pos="-1440"/>
                <w:tab w:val="left" w:pos="-720"/>
              </w:tabs>
              <w:rPr>
                <w:b/>
                <w:sz w:val="20"/>
                <w:szCs w:val="20"/>
              </w:rPr>
            </w:pPr>
            <w:r w:rsidRPr="00E85E82">
              <w:rPr>
                <w:b/>
                <w:sz w:val="20"/>
                <w:szCs w:val="20"/>
              </w:rPr>
              <w:t xml:space="preserve">Her Majesty the Queen </w:t>
            </w:r>
            <w:r w:rsidR="00C21644" w:rsidRPr="00E85E82">
              <w:rPr>
                <w:b/>
                <w:sz w:val="20"/>
                <w:szCs w:val="20"/>
              </w:rPr>
              <w:t>(Ont.)</w:t>
            </w:r>
          </w:p>
          <w:p w:rsidR="00C21644" w:rsidRPr="00E85E82" w:rsidRDefault="00C21644" w:rsidP="005F1ED8">
            <w:pPr>
              <w:tabs>
                <w:tab w:val="left" w:pos="-1440"/>
                <w:tab w:val="left" w:pos="-720"/>
              </w:tabs>
              <w:rPr>
                <w:sz w:val="20"/>
                <w:szCs w:val="20"/>
              </w:rPr>
            </w:pPr>
            <w:r w:rsidRPr="00E85E82">
              <w:rPr>
                <w:sz w:val="20"/>
                <w:szCs w:val="20"/>
              </w:rPr>
              <w:tab/>
            </w:r>
            <w:r w:rsidR="00574D9C" w:rsidRPr="00E85E82">
              <w:rPr>
                <w:sz w:val="20"/>
                <w:szCs w:val="20"/>
              </w:rPr>
              <w:t xml:space="preserve">Howard D. </w:t>
            </w:r>
            <w:proofErr w:type="spellStart"/>
            <w:r w:rsidR="00574D9C" w:rsidRPr="00E85E82">
              <w:rPr>
                <w:sz w:val="20"/>
                <w:szCs w:val="20"/>
              </w:rPr>
              <w:t>Piafsky</w:t>
            </w:r>
            <w:proofErr w:type="spellEnd"/>
          </w:p>
          <w:p w:rsidR="00C21644" w:rsidRPr="00E85E82" w:rsidRDefault="00C21644" w:rsidP="005F1ED8">
            <w:pPr>
              <w:tabs>
                <w:tab w:val="left" w:pos="-1440"/>
                <w:tab w:val="left" w:pos="-720"/>
              </w:tabs>
              <w:rPr>
                <w:sz w:val="20"/>
                <w:szCs w:val="20"/>
              </w:rPr>
            </w:pPr>
            <w:r w:rsidRPr="00E85E82">
              <w:rPr>
                <w:sz w:val="20"/>
                <w:szCs w:val="20"/>
              </w:rPr>
              <w:tab/>
            </w:r>
            <w:r w:rsidR="00574D9C" w:rsidRPr="00E85E82">
              <w:rPr>
                <w:sz w:val="20"/>
                <w:szCs w:val="20"/>
              </w:rPr>
              <w:t>Public Prosecution Service of Canada</w:t>
            </w:r>
          </w:p>
          <w:p w:rsidR="00C21644" w:rsidRPr="00E85E82" w:rsidRDefault="00C21644" w:rsidP="005F1ED8">
            <w:pPr>
              <w:tabs>
                <w:tab w:val="left" w:pos="-1440"/>
                <w:tab w:val="left" w:pos="-720"/>
              </w:tabs>
              <w:rPr>
                <w:sz w:val="20"/>
                <w:szCs w:val="20"/>
              </w:rPr>
            </w:pPr>
          </w:p>
          <w:p w:rsidR="00C21644" w:rsidRPr="00E85E82" w:rsidRDefault="00C21644" w:rsidP="005F1ED8">
            <w:pPr>
              <w:rPr>
                <w:sz w:val="20"/>
                <w:szCs w:val="20"/>
              </w:rPr>
            </w:pPr>
            <w:r w:rsidRPr="00E85E82">
              <w:rPr>
                <w:sz w:val="20"/>
                <w:szCs w:val="20"/>
              </w:rPr>
              <w:t xml:space="preserve">FILING DATE: </w:t>
            </w:r>
            <w:r w:rsidR="00574D9C" w:rsidRPr="00E85E82">
              <w:rPr>
                <w:sz w:val="20"/>
                <w:szCs w:val="20"/>
              </w:rPr>
              <w:t>02</w:t>
            </w:r>
            <w:r w:rsidRPr="00E85E82">
              <w:rPr>
                <w:sz w:val="20"/>
                <w:szCs w:val="20"/>
              </w:rPr>
              <w:t>.0</w:t>
            </w:r>
            <w:r w:rsidR="00574D9C" w:rsidRPr="00E85E82">
              <w:rPr>
                <w:sz w:val="20"/>
                <w:szCs w:val="20"/>
              </w:rPr>
              <w:t>6</w:t>
            </w:r>
            <w:r w:rsidRPr="00E85E82">
              <w:rPr>
                <w:sz w:val="20"/>
                <w:szCs w:val="20"/>
              </w:rPr>
              <w:t>.201</w:t>
            </w:r>
            <w:r w:rsidR="00574D9C" w:rsidRPr="00E85E82">
              <w:rPr>
                <w:sz w:val="20"/>
                <w:szCs w:val="20"/>
              </w:rPr>
              <w:t>6</w:t>
            </w:r>
          </w:p>
          <w:p w:rsidR="00C21644" w:rsidRPr="00E85E82" w:rsidRDefault="00B407D6"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tc>
        <w:tc>
          <w:tcPr>
            <w:tcW w:w="4320" w:type="dxa"/>
            <w:shd w:val="clear" w:color="auto" w:fill="auto"/>
          </w:tcPr>
          <w:p w:rsidR="00C21644" w:rsidRPr="00E85E82" w:rsidRDefault="003A7570" w:rsidP="005F1ED8">
            <w:pPr>
              <w:rPr>
                <w:b/>
                <w:sz w:val="20"/>
                <w:szCs w:val="20"/>
              </w:rPr>
            </w:pPr>
            <w:proofErr w:type="spellStart"/>
            <w:r w:rsidRPr="00E85E82">
              <w:rPr>
                <w:b/>
                <w:sz w:val="20"/>
                <w:szCs w:val="20"/>
              </w:rPr>
              <w:t>Deslaurier</w:t>
            </w:r>
            <w:proofErr w:type="spellEnd"/>
            <w:r w:rsidRPr="00E85E82">
              <w:rPr>
                <w:b/>
                <w:sz w:val="20"/>
                <w:szCs w:val="20"/>
              </w:rPr>
              <w:t xml:space="preserve"> Custom Cabinets Inc.</w:t>
            </w:r>
          </w:p>
          <w:p w:rsidR="00C21644" w:rsidRPr="00E85E82" w:rsidRDefault="00C21644" w:rsidP="005F1ED8">
            <w:pPr>
              <w:tabs>
                <w:tab w:val="left" w:pos="-1440"/>
                <w:tab w:val="left" w:pos="-720"/>
              </w:tabs>
              <w:rPr>
                <w:sz w:val="20"/>
                <w:szCs w:val="20"/>
              </w:rPr>
            </w:pPr>
            <w:r w:rsidRPr="00E85E82">
              <w:rPr>
                <w:sz w:val="20"/>
                <w:szCs w:val="20"/>
              </w:rPr>
              <w:tab/>
            </w:r>
            <w:r w:rsidR="003A7570" w:rsidRPr="00E85E82">
              <w:rPr>
                <w:sz w:val="20"/>
                <w:szCs w:val="20"/>
              </w:rPr>
              <w:t xml:space="preserve">Matthew J. </w:t>
            </w:r>
            <w:proofErr w:type="spellStart"/>
            <w:r w:rsidR="003A7570" w:rsidRPr="00E85E82">
              <w:rPr>
                <w:sz w:val="20"/>
                <w:szCs w:val="20"/>
              </w:rPr>
              <w:t>Halpin</w:t>
            </w:r>
            <w:proofErr w:type="spellEnd"/>
          </w:p>
          <w:p w:rsidR="00C21644" w:rsidRPr="00E85E82" w:rsidRDefault="00C21644" w:rsidP="005F1ED8">
            <w:pPr>
              <w:tabs>
                <w:tab w:val="left" w:pos="-1440"/>
                <w:tab w:val="left" w:pos="-720"/>
              </w:tabs>
              <w:rPr>
                <w:sz w:val="20"/>
                <w:szCs w:val="20"/>
              </w:rPr>
            </w:pPr>
            <w:r w:rsidRPr="00E85E82">
              <w:rPr>
                <w:sz w:val="20"/>
                <w:szCs w:val="20"/>
              </w:rPr>
              <w:tab/>
            </w:r>
            <w:r w:rsidR="003A7570" w:rsidRPr="00E85E82">
              <w:rPr>
                <w:sz w:val="20"/>
                <w:szCs w:val="20"/>
              </w:rPr>
              <w:t>Norton Rose Fulbright Canada LLP</w:t>
            </w:r>
          </w:p>
          <w:p w:rsidR="00C21644" w:rsidRPr="00E85E82" w:rsidRDefault="00C21644" w:rsidP="005F1ED8">
            <w:pPr>
              <w:tabs>
                <w:tab w:val="left" w:pos="-1440"/>
                <w:tab w:val="left" w:pos="-720"/>
              </w:tabs>
              <w:rPr>
                <w:sz w:val="20"/>
                <w:szCs w:val="20"/>
              </w:rPr>
            </w:pPr>
          </w:p>
          <w:p w:rsidR="00C21644" w:rsidRPr="00E85E82" w:rsidRDefault="00C21644" w:rsidP="005F1ED8">
            <w:pPr>
              <w:tabs>
                <w:tab w:val="left" w:pos="-1440"/>
                <w:tab w:val="left" w:pos="-720"/>
              </w:tabs>
              <w:rPr>
                <w:sz w:val="20"/>
                <w:szCs w:val="20"/>
              </w:rPr>
            </w:pPr>
            <w:r w:rsidRPr="00E85E82">
              <w:rPr>
                <w:sz w:val="20"/>
                <w:szCs w:val="20"/>
              </w:rPr>
              <w:tab/>
              <w:t>v. (3</w:t>
            </w:r>
            <w:r w:rsidR="003A7570" w:rsidRPr="00E85E82">
              <w:rPr>
                <w:sz w:val="20"/>
                <w:szCs w:val="20"/>
              </w:rPr>
              <w:t>7039</w:t>
            </w:r>
            <w:r w:rsidRPr="00E85E82">
              <w:rPr>
                <w:sz w:val="20"/>
                <w:szCs w:val="20"/>
              </w:rPr>
              <w:t>)</w:t>
            </w:r>
          </w:p>
          <w:p w:rsidR="00C21644" w:rsidRPr="00E85E82" w:rsidRDefault="00C21644" w:rsidP="005F1ED8">
            <w:pPr>
              <w:tabs>
                <w:tab w:val="left" w:pos="-1440"/>
                <w:tab w:val="left" w:pos="-720"/>
              </w:tabs>
              <w:rPr>
                <w:sz w:val="20"/>
                <w:szCs w:val="20"/>
              </w:rPr>
            </w:pPr>
          </w:p>
          <w:p w:rsidR="00C21644" w:rsidRPr="00E85E82" w:rsidRDefault="003A7570" w:rsidP="005F1ED8">
            <w:pPr>
              <w:tabs>
                <w:tab w:val="left" w:pos="-1440"/>
                <w:tab w:val="left" w:pos="-720"/>
              </w:tabs>
              <w:rPr>
                <w:b/>
                <w:sz w:val="20"/>
                <w:szCs w:val="20"/>
              </w:rPr>
            </w:pPr>
            <w:r w:rsidRPr="00E85E82">
              <w:rPr>
                <w:b/>
                <w:sz w:val="20"/>
                <w:szCs w:val="20"/>
              </w:rPr>
              <w:t xml:space="preserve">1728106 Ontario Inc. </w:t>
            </w:r>
            <w:r w:rsidR="00C21644" w:rsidRPr="00E85E82">
              <w:rPr>
                <w:b/>
                <w:sz w:val="20"/>
                <w:szCs w:val="20"/>
              </w:rPr>
              <w:t>(Ont.)</w:t>
            </w:r>
          </w:p>
          <w:p w:rsidR="00C21644" w:rsidRPr="00E85E82" w:rsidRDefault="00C21644" w:rsidP="005F1ED8">
            <w:pPr>
              <w:tabs>
                <w:tab w:val="left" w:pos="-1440"/>
                <w:tab w:val="left" w:pos="-720"/>
              </w:tabs>
              <w:rPr>
                <w:sz w:val="20"/>
                <w:szCs w:val="20"/>
              </w:rPr>
            </w:pPr>
            <w:r w:rsidRPr="00E85E82">
              <w:rPr>
                <w:sz w:val="20"/>
                <w:szCs w:val="20"/>
              </w:rPr>
              <w:tab/>
            </w:r>
            <w:r w:rsidR="003A7570" w:rsidRPr="00E85E82">
              <w:rPr>
                <w:sz w:val="20"/>
                <w:szCs w:val="20"/>
              </w:rPr>
              <w:t>Donald H. Rogers, Q.C.</w:t>
            </w:r>
          </w:p>
          <w:p w:rsidR="00C21644" w:rsidRPr="00E85E82" w:rsidRDefault="00C21644" w:rsidP="005F1ED8">
            <w:pPr>
              <w:tabs>
                <w:tab w:val="left" w:pos="-1440"/>
                <w:tab w:val="left" w:pos="-720"/>
              </w:tabs>
              <w:rPr>
                <w:sz w:val="20"/>
                <w:szCs w:val="20"/>
              </w:rPr>
            </w:pPr>
            <w:r w:rsidRPr="00E85E82">
              <w:rPr>
                <w:sz w:val="20"/>
                <w:szCs w:val="20"/>
              </w:rPr>
              <w:tab/>
            </w:r>
            <w:r w:rsidR="003A7570" w:rsidRPr="00E85E82">
              <w:rPr>
                <w:sz w:val="20"/>
                <w:szCs w:val="20"/>
              </w:rPr>
              <w:t>Rogers Partners LLP</w:t>
            </w:r>
          </w:p>
          <w:p w:rsidR="00C21644" w:rsidRPr="00E85E82" w:rsidRDefault="00C21644" w:rsidP="005F1ED8">
            <w:pPr>
              <w:tabs>
                <w:tab w:val="left" w:pos="-1440"/>
                <w:tab w:val="left" w:pos="-720"/>
              </w:tabs>
              <w:rPr>
                <w:sz w:val="20"/>
                <w:szCs w:val="20"/>
              </w:rPr>
            </w:pPr>
          </w:p>
          <w:p w:rsidR="00C21644" w:rsidRPr="00E85E82" w:rsidRDefault="00C21644" w:rsidP="005F1ED8">
            <w:pPr>
              <w:rPr>
                <w:sz w:val="20"/>
                <w:szCs w:val="20"/>
              </w:rPr>
            </w:pPr>
            <w:r w:rsidRPr="00E85E82">
              <w:rPr>
                <w:sz w:val="20"/>
                <w:szCs w:val="20"/>
              </w:rPr>
              <w:t xml:space="preserve">FILING DATE: </w:t>
            </w:r>
            <w:r w:rsidR="003A7570" w:rsidRPr="00E85E82">
              <w:rPr>
                <w:sz w:val="20"/>
                <w:szCs w:val="20"/>
              </w:rPr>
              <w:t>03</w:t>
            </w:r>
            <w:r w:rsidRPr="00E85E82">
              <w:rPr>
                <w:sz w:val="20"/>
                <w:szCs w:val="20"/>
              </w:rPr>
              <w:t>.0</w:t>
            </w:r>
            <w:r w:rsidR="003A7570" w:rsidRPr="00E85E82">
              <w:rPr>
                <w:sz w:val="20"/>
                <w:szCs w:val="20"/>
              </w:rPr>
              <w:t>6</w:t>
            </w:r>
            <w:r w:rsidRPr="00E85E82">
              <w:rPr>
                <w:sz w:val="20"/>
                <w:szCs w:val="20"/>
              </w:rPr>
              <w:t>.201</w:t>
            </w:r>
            <w:r w:rsidR="003A7570" w:rsidRPr="00E85E82">
              <w:rPr>
                <w:sz w:val="20"/>
                <w:szCs w:val="20"/>
              </w:rPr>
              <w:t>6</w:t>
            </w:r>
          </w:p>
          <w:p w:rsidR="00C21644" w:rsidRPr="00E85E82" w:rsidRDefault="00B407D6" w:rsidP="005F1ED8">
            <w:pPr>
              <w:rPr>
                <w:sz w:val="20"/>
                <w:szCs w:val="20"/>
              </w:rPr>
            </w:pPr>
            <w:r>
              <w:rPr>
                <w:sz w:val="20"/>
                <w:szCs w:val="20"/>
                <w:lang w:val="fr-CA"/>
              </w:rPr>
              <w:pict>
                <v:rect id="_x0000_i1030" style="width:108pt;height:1pt" o:hrpct="0" o:hralign="center" o:hrstd="t" o:hrnoshade="t" o:hr="t" fillcolor="black [3213]" stroked="f"/>
              </w:pict>
            </w:r>
          </w:p>
        </w:tc>
      </w:tr>
      <w:tr w:rsidR="00C21644" w:rsidRPr="00E85E82" w:rsidTr="003B3977">
        <w:trPr>
          <w:cantSplit/>
        </w:trPr>
        <w:tc>
          <w:tcPr>
            <w:tcW w:w="4320" w:type="dxa"/>
            <w:shd w:val="clear" w:color="auto" w:fill="auto"/>
          </w:tcPr>
          <w:p w:rsidR="00C21644" w:rsidRPr="00C556BB" w:rsidRDefault="00BB55EA" w:rsidP="005F1ED8">
            <w:pPr>
              <w:rPr>
                <w:b/>
                <w:sz w:val="20"/>
                <w:szCs w:val="20"/>
                <w:lang w:val="fr-CA"/>
              </w:rPr>
            </w:pPr>
            <w:r w:rsidRPr="00C556BB">
              <w:rPr>
                <w:b/>
                <w:sz w:val="20"/>
                <w:szCs w:val="20"/>
                <w:lang w:val="fr-CA"/>
              </w:rPr>
              <w:t>Marc-André Larocque</w:t>
            </w:r>
          </w:p>
          <w:p w:rsidR="00C21644" w:rsidRPr="00C556BB" w:rsidRDefault="00C21644" w:rsidP="005F1ED8">
            <w:pPr>
              <w:tabs>
                <w:tab w:val="left" w:pos="-1440"/>
                <w:tab w:val="left" w:pos="-720"/>
              </w:tabs>
              <w:rPr>
                <w:sz w:val="20"/>
                <w:szCs w:val="20"/>
                <w:lang w:val="fr-CA"/>
              </w:rPr>
            </w:pPr>
            <w:r w:rsidRPr="00C556BB">
              <w:rPr>
                <w:sz w:val="20"/>
                <w:szCs w:val="20"/>
                <w:lang w:val="fr-CA"/>
              </w:rPr>
              <w:tab/>
            </w:r>
            <w:r w:rsidR="00BB55EA" w:rsidRPr="00C556BB">
              <w:rPr>
                <w:sz w:val="20"/>
                <w:szCs w:val="20"/>
                <w:lang w:val="fr-CA"/>
              </w:rPr>
              <w:t xml:space="preserve">Étienne </w:t>
            </w:r>
            <w:proofErr w:type="spellStart"/>
            <w:r w:rsidR="00BB55EA" w:rsidRPr="00C556BB">
              <w:rPr>
                <w:sz w:val="20"/>
                <w:szCs w:val="20"/>
                <w:lang w:val="fr-CA"/>
              </w:rPr>
              <w:t>Gadbois</w:t>
            </w:r>
            <w:proofErr w:type="spellEnd"/>
          </w:p>
          <w:p w:rsidR="00C21644" w:rsidRPr="00C556BB" w:rsidRDefault="00C21644" w:rsidP="005F1ED8">
            <w:pPr>
              <w:tabs>
                <w:tab w:val="left" w:pos="-1440"/>
                <w:tab w:val="left" w:pos="-720"/>
              </w:tabs>
              <w:rPr>
                <w:sz w:val="20"/>
                <w:szCs w:val="20"/>
                <w:lang w:val="fr-CA"/>
              </w:rPr>
            </w:pPr>
            <w:r w:rsidRPr="00C556BB">
              <w:rPr>
                <w:sz w:val="20"/>
                <w:szCs w:val="20"/>
                <w:lang w:val="fr-CA"/>
              </w:rPr>
              <w:tab/>
            </w:r>
            <w:r w:rsidR="00BB55EA" w:rsidRPr="00C556BB">
              <w:rPr>
                <w:sz w:val="20"/>
                <w:szCs w:val="20"/>
                <w:lang w:val="fr-CA"/>
              </w:rPr>
              <w:t xml:space="preserve">Dentons Canada </w:t>
            </w:r>
            <w:proofErr w:type="spellStart"/>
            <w:r w:rsidR="00BB55EA" w:rsidRPr="00C556BB">
              <w:rPr>
                <w:sz w:val="20"/>
                <w:szCs w:val="20"/>
                <w:lang w:val="fr-CA"/>
              </w:rPr>
              <w:t>s.e.n.c.r.l</w:t>
            </w:r>
            <w:proofErr w:type="spellEnd"/>
            <w:r w:rsidR="00BB55EA" w:rsidRPr="00C556BB">
              <w:rPr>
                <w:sz w:val="20"/>
                <w:szCs w:val="20"/>
                <w:lang w:val="fr-CA"/>
              </w:rPr>
              <w:t>.</w:t>
            </w:r>
          </w:p>
          <w:p w:rsidR="00C21644" w:rsidRPr="00C556BB" w:rsidRDefault="00C21644" w:rsidP="005F1ED8">
            <w:pPr>
              <w:tabs>
                <w:tab w:val="left" w:pos="-1440"/>
                <w:tab w:val="left" w:pos="-720"/>
              </w:tabs>
              <w:rPr>
                <w:sz w:val="20"/>
                <w:szCs w:val="20"/>
                <w:lang w:val="fr-CA"/>
              </w:rPr>
            </w:pPr>
          </w:p>
          <w:p w:rsidR="00C21644" w:rsidRPr="00C556BB" w:rsidRDefault="00C21644" w:rsidP="005F1ED8">
            <w:pPr>
              <w:tabs>
                <w:tab w:val="left" w:pos="-1440"/>
                <w:tab w:val="left" w:pos="-720"/>
              </w:tabs>
              <w:rPr>
                <w:sz w:val="20"/>
                <w:szCs w:val="20"/>
                <w:lang w:val="fr-CA"/>
              </w:rPr>
            </w:pPr>
            <w:r w:rsidRPr="00C556BB">
              <w:rPr>
                <w:sz w:val="20"/>
                <w:szCs w:val="20"/>
                <w:lang w:val="fr-CA"/>
              </w:rPr>
              <w:tab/>
              <w:t>v. (3</w:t>
            </w:r>
            <w:r w:rsidR="00BB55EA" w:rsidRPr="00C556BB">
              <w:rPr>
                <w:sz w:val="20"/>
                <w:szCs w:val="20"/>
                <w:lang w:val="fr-CA"/>
              </w:rPr>
              <w:t>7043</w:t>
            </w:r>
            <w:r w:rsidRPr="00C556BB">
              <w:rPr>
                <w:sz w:val="20"/>
                <w:szCs w:val="20"/>
                <w:lang w:val="fr-CA"/>
              </w:rPr>
              <w:t>)</w:t>
            </w:r>
          </w:p>
          <w:p w:rsidR="00C21644" w:rsidRPr="00C556BB" w:rsidRDefault="00C21644" w:rsidP="005F1ED8">
            <w:pPr>
              <w:tabs>
                <w:tab w:val="left" w:pos="-1440"/>
                <w:tab w:val="left" w:pos="-720"/>
              </w:tabs>
              <w:rPr>
                <w:sz w:val="20"/>
                <w:szCs w:val="20"/>
                <w:lang w:val="fr-CA"/>
              </w:rPr>
            </w:pPr>
          </w:p>
          <w:p w:rsidR="00C21644" w:rsidRPr="00C556BB" w:rsidRDefault="00BB55EA" w:rsidP="005F1ED8">
            <w:pPr>
              <w:tabs>
                <w:tab w:val="left" w:pos="-1440"/>
                <w:tab w:val="left" w:pos="-720"/>
              </w:tabs>
              <w:rPr>
                <w:b/>
                <w:sz w:val="20"/>
                <w:szCs w:val="20"/>
                <w:lang w:val="fr-CA"/>
              </w:rPr>
            </w:pPr>
            <w:r w:rsidRPr="00C556BB">
              <w:rPr>
                <w:b/>
                <w:sz w:val="20"/>
                <w:szCs w:val="20"/>
                <w:lang w:val="fr-CA"/>
              </w:rPr>
              <w:t xml:space="preserve">Agence </w:t>
            </w:r>
            <w:proofErr w:type="gramStart"/>
            <w:r w:rsidRPr="00C556BB">
              <w:rPr>
                <w:b/>
                <w:sz w:val="20"/>
                <w:szCs w:val="20"/>
                <w:lang w:val="fr-CA"/>
              </w:rPr>
              <w:t>du</w:t>
            </w:r>
            <w:proofErr w:type="gramEnd"/>
            <w:r w:rsidRPr="00C556BB">
              <w:rPr>
                <w:b/>
                <w:sz w:val="20"/>
                <w:szCs w:val="20"/>
                <w:lang w:val="fr-CA"/>
              </w:rPr>
              <w:t xml:space="preserve"> </w:t>
            </w:r>
            <w:proofErr w:type="spellStart"/>
            <w:r w:rsidRPr="00C556BB">
              <w:rPr>
                <w:b/>
                <w:sz w:val="20"/>
                <w:szCs w:val="20"/>
                <w:lang w:val="fr-CA"/>
              </w:rPr>
              <w:t>revenue</w:t>
            </w:r>
            <w:proofErr w:type="spellEnd"/>
            <w:r w:rsidRPr="00C556BB">
              <w:rPr>
                <w:b/>
                <w:sz w:val="20"/>
                <w:szCs w:val="20"/>
                <w:lang w:val="fr-CA"/>
              </w:rPr>
              <w:t xml:space="preserve"> du Québec </w:t>
            </w:r>
            <w:r w:rsidR="00C21644" w:rsidRPr="00C556BB">
              <w:rPr>
                <w:b/>
                <w:sz w:val="20"/>
                <w:szCs w:val="20"/>
                <w:lang w:val="fr-CA"/>
              </w:rPr>
              <w:t>(</w:t>
            </w:r>
            <w:proofErr w:type="spellStart"/>
            <w:r w:rsidRPr="00C556BB">
              <w:rPr>
                <w:b/>
                <w:sz w:val="20"/>
                <w:szCs w:val="20"/>
                <w:lang w:val="fr-CA"/>
              </w:rPr>
              <w:t>Qc</w:t>
            </w:r>
            <w:proofErr w:type="spellEnd"/>
            <w:r w:rsidR="00C21644" w:rsidRPr="00C556BB">
              <w:rPr>
                <w:b/>
                <w:sz w:val="20"/>
                <w:szCs w:val="20"/>
                <w:lang w:val="fr-CA"/>
              </w:rPr>
              <w:t>)</w:t>
            </w:r>
          </w:p>
          <w:p w:rsidR="00C21644" w:rsidRPr="00C556BB" w:rsidRDefault="00C21644" w:rsidP="005F1ED8">
            <w:pPr>
              <w:tabs>
                <w:tab w:val="left" w:pos="-1440"/>
                <w:tab w:val="left" w:pos="-720"/>
              </w:tabs>
              <w:rPr>
                <w:sz w:val="20"/>
                <w:szCs w:val="20"/>
                <w:lang w:val="fr-CA"/>
              </w:rPr>
            </w:pPr>
            <w:r w:rsidRPr="00C556BB">
              <w:rPr>
                <w:sz w:val="20"/>
                <w:szCs w:val="20"/>
                <w:lang w:val="fr-CA"/>
              </w:rPr>
              <w:tab/>
            </w:r>
            <w:r w:rsidR="00BB55EA" w:rsidRPr="00C556BB">
              <w:rPr>
                <w:sz w:val="20"/>
                <w:szCs w:val="20"/>
                <w:lang w:val="fr-CA"/>
              </w:rPr>
              <w:t xml:space="preserve">Philippe </w:t>
            </w:r>
            <w:proofErr w:type="spellStart"/>
            <w:r w:rsidR="00BB55EA" w:rsidRPr="00C556BB">
              <w:rPr>
                <w:sz w:val="20"/>
                <w:szCs w:val="20"/>
                <w:lang w:val="fr-CA"/>
              </w:rPr>
              <w:t>Gilliard</w:t>
            </w:r>
            <w:proofErr w:type="spellEnd"/>
          </w:p>
          <w:p w:rsidR="00C21644" w:rsidRPr="00C556BB" w:rsidRDefault="00C21644" w:rsidP="005F1ED8">
            <w:pPr>
              <w:tabs>
                <w:tab w:val="left" w:pos="-1440"/>
                <w:tab w:val="left" w:pos="-720"/>
              </w:tabs>
              <w:rPr>
                <w:sz w:val="20"/>
                <w:szCs w:val="20"/>
                <w:lang w:val="fr-CA"/>
              </w:rPr>
            </w:pPr>
            <w:r w:rsidRPr="00C556BB">
              <w:rPr>
                <w:sz w:val="20"/>
                <w:szCs w:val="20"/>
                <w:lang w:val="fr-CA"/>
              </w:rPr>
              <w:tab/>
            </w:r>
            <w:r w:rsidR="00BB55EA" w:rsidRPr="00C556BB">
              <w:rPr>
                <w:sz w:val="20"/>
                <w:szCs w:val="20"/>
                <w:lang w:val="fr-CA"/>
              </w:rPr>
              <w:t>Larivière Meunier</w:t>
            </w:r>
          </w:p>
          <w:p w:rsidR="00C21644" w:rsidRPr="00C556BB" w:rsidRDefault="00C21644" w:rsidP="005F1ED8">
            <w:pPr>
              <w:tabs>
                <w:tab w:val="left" w:pos="-1440"/>
                <w:tab w:val="left" w:pos="-720"/>
              </w:tabs>
              <w:rPr>
                <w:sz w:val="20"/>
                <w:szCs w:val="20"/>
                <w:lang w:val="fr-CA"/>
              </w:rPr>
            </w:pPr>
          </w:p>
          <w:p w:rsidR="00C21644" w:rsidRPr="00C556BB" w:rsidRDefault="00BB55EA" w:rsidP="005F1ED8">
            <w:pPr>
              <w:rPr>
                <w:sz w:val="20"/>
                <w:szCs w:val="20"/>
                <w:lang w:val="fr-CA"/>
              </w:rPr>
            </w:pPr>
            <w:r w:rsidRPr="00C556BB">
              <w:rPr>
                <w:sz w:val="20"/>
                <w:szCs w:val="20"/>
                <w:lang w:val="fr-CA"/>
              </w:rPr>
              <w:t>DATE DE PRODUCTION</w:t>
            </w:r>
            <w:r w:rsidR="00C21644" w:rsidRPr="00C556BB">
              <w:rPr>
                <w:sz w:val="20"/>
                <w:szCs w:val="20"/>
                <w:lang w:val="fr-CA"/>
              </w:rPr>
              <w:t xml:space="preserve">: </w:t>
            </w:r>
            <w:r w:rsidRPr="00C556BB">
              <w:rPr>
                <w:sz w:val="20"/>
                <w:szCs w:val="20"/>
                <w:lang w:val="fr-CA"/>
              </w:rPr>
              <w:t>03</w:t>
            </w:r>
            <w:r w:rsidR="00C21644" w:rsidRPr="00C556BB">
              <w:rPr>
                <w:sz w:val="20"/>
                <w:szCs w:val="20"/>
                <w:lang w:val="fr-CA"/>
              </w:rPr>
              <w:t>.0</w:t>
            </w:r>
            <w:r w:rsidRPr="00C556BB">
              <w:rPr>
                <w:sz w:val="20"/>
                <w:szCs w:val="20"/>
                <w:lang w:val="fr-CA"/>
              </w:rPr>
              <w:t>6</w:t>
            </w:r>
            <w:r w:rsidR="00C21644" w:rsidRPr="00C556BB">
              <w:rPr>
                <w:sz w:val="20"/>
                <w:szCs w:val="20"/>
                <w:lang w:val="fr-CA"/>
              </w:rPr>
              <w:t>.201</w:t>
            </w:r>
            <w:r w:rsidRPr="00C556BB">
              <w:rPr>
                <w:sz w:val="20"/>
                <w:szCs w:val="20"/>
                <w:lang w:val="fr-CA"/>
              </w:rPr>
              <w:t>6</w:t>
            </w:r>
          </w:p>
          <w:p w:rsidR="00C21644" w:rsidRPr="00E85E82" w:rsidRDefault="00B407D6" w:rsidP="005F1ED8">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tc>
        <w:tc>
          <w:tcPr>
            <w:tcW w:w="4320" w:type="dxa"/>
            <w:shd w:val="clear" w:color="auto" w:fill="auto"/>
          </w:tcPr>
          <w:p w:rsidR="00C21644" w:rsidRPr="00E85E82" w:rsidRDefault="00635638" w:rsidP="005F1ED8">
            <w:pPr>
              <w:rPr>
                <w:b/>
                <w:sz w:val="20"/>
                <w:szCs w:val="20"/>
              </w:rPr>
            </w:pPr>
            <w:r w:rsidRPr="00E85E82">
              <w:rPr>
                <w:b/>
                <w:sz w:val="20"/>
                <w:szCs w:val="20"/>
              </w:rPr>
              <w:t xml:space="preserve">Celia </w:t>
            </w:r>
            <w:proofErr w:type="spellStart"/>
            <w:r w:rsidRPr="00E85E82">
              <w:rPr>
                <w:b/>
                <w:sz w:val="20"/>
                <w:szCs w:val="20"/>
              </w:rPr>
              <w:t>Sankar</w:t>
            </w:r>
            <w:proofErr w:type="spellEnd"/>
          </w:p>
          <w:p w:rsidR="00C21644" w:rsidRPr="00E85E82" w:rsidRDefault="00C21644" w:rsidP="005F1ED8">
            <w:pPr>
              <w:tabs>
                <w:tab w:val="left" w:pos="-1440"/>
                <w:tab w:val="left" w:pos="-720"/>
              </w:tabs>
              <w:rPr>
                <w:sz w:val="20"/>
                <w:szCs w:val="20"/>
              </w:rPr>
            </w:pPr>
            <w:r w:rsidRPr="00E85E82">
              <w:rPr>
                <w:sz w:val="20"/>
                <w:szCs w:val="20"/>
              </w:rPr>
              <w:tab/>
            </w:r>
            <w:r w:rsidR="00635638" w:rsidRPr="00E85E82">
              <w:rPr>
                <w:sz w:val="20"/>
                <w:szCs w:val="20"/>
              </w:rPr>
              <w:t xml:space="preserve">Louis </w:t>
            </w:r>
            <w:proofErr w:type="spellStart"/>
            <w:r w:rsidR="00635638" w:rsidRPr="00E85E82">
              <w:rPr>
                <w:sz w:val="20"/>
                <w:szCs w:val="20"/>
              </w:rPr>
              <w:t>Sokolov</w:t>
            </w:r>
            <w:proofErr w:type="spellEnd"/>
          </w:p>
          <w:p w:rsidR="00C21644" w:rsidRPr="00E85E82" w:rsidRDefault="00C21644" w:rsidP="005F1ED8">
            <w:pPr>
              <w:tabs>
                <w:tab w:val="left" w:pos="-1440"/>
                <w:tab w:val="left" w:pos="-720"/>
              </w:tabs>
              <w:rPr>
                <w:sz w:val="20"/>
                <w:szCs w:val="20"/>
              </w:rPr>
            </w:pPr>
            <w:r w:rsidRPr="00E85E82">
              <w:rPr>
                <w:sz w:val="20"/>
                <w:szCs w:val="20"/>
              </w:rPr>
              <w:tab/>
            </w:r>
            <w:proofErr w:type="spellStart"/>
            <w:r w:rsidR="00635638" w:rsidRPr="00E85E82">
              <w:rPr>
                <w:sz w:val="20"/>
                <w:szCs w:val="20"/>
              </w:rPr>
              <w:t>Sotos</w:t>
            </w:r>
            <w:proofErr w:type="spellEnd"/>
            <w:r w:rsidR="00635638" w:rsidRPr="00E85E82">
              <w:rPr>
                <w:sz w:val="20"/>
                <w:szCs w:val="20"/>
              </w:rPr>
              <w:t xml:space="preserve"> LLP</w:t>
            </w:r>
          </w:p>
          <w:p w:rsidR="00C21644" w:rsidRPr="00E85E82" w:rsidRDefault="00C21644" w:rsidP="005F1ED8">
            <w:pPr>
              <w:tabs>
                <w:tab w:val="left" w:pos="-1440"/>
                <w:tab w:val="left" w:pos="-720"/>
              </w:tabs>
              <w:rPr>
                <w:sz w:val="20"/>
                <w:szCs w:val="20"/>
              </w:rPr>
            </w:pPr>
          </w:p>
          <w:p w:rsidR="00C21644" w:rsidRPr="00E85E82" w:rsidRDefault="00C21644" w:rsidP="005F1ED8">
            <w:pPr>
              <w:tabs>
                <w:tab w:val="left" w:pos="-1440"/>
                <w:tab w:val="left" w:pos="-720"/>
              </w:tabs>
              <w:rPr>
                <w:sz w:val="20"/>
                <w:szCs w:val="20"/>
              </w:rPr>
            </w:pPr>
            <w:r w:rsidRPr="00E85E82">
              <w:rPr>
                <w:sz w:val="20"/>
                <w:szCs w:val="20"/>
              </w:rPr>
              <w:tab/>
              <w:t>v. (3</w:t>
            </w:r>
            <w:r w:rsidR="00635638" w:rsidRPr="00E85E82">
              <w:rPr>
                <w:sz w:val="20"/>
                <w:szCs w:val="20"/>
              </w:rPr>
              <w:t>7045</w:t>
            </w:r>
            <w:r w:rsidRPr="00E85E82">
              <w:rPr>
                <w:sz w:val="20"/>
                <w:szCs w:val="20"/>
              </w:rPr>
              <w:t>)</w:t>
            </w:r>
          </w:p>
          <w:p w:rsidR="00C21644" w:rsidRPr="00E85E82" w:rsidRDefault="00C21644" w:rsidP="005F1ED8">
            <w:pPr>
              <w:tabs>
                <w:tab w:val="left" w:pos="-1440"/>
                <w:tab w:val="left" w:pos="-720"/>
              </w:tabs>
              <w:rPr>
                <w:sz w:val="20"/>
                <w:szCs w:val="20"/>
              </w:rPr>
            </w:pPr>
          </w:p>
          <w:p w:rsidR="00C21644" w:rsidRPr="00E85E82" w:rsidRDefault="00635638" w:rsidP="005F1ED8">
            <w:pPr>
              <w:tabs>
                <w:tab w:val="left" w:pos="-1440"/>
                <w:tab w:val="left" w:pos="-720"/>
              </w:tabs>
              <w:rPr>
                <w:b/>
                <w:sz w:val="20"/>
                <w:szCs w:val="20"/>
              </w:rPr>
            </w:pPr>
            <w:r w:rsidRPr="00E85E82">
              <w:rPr>
                <w:b/>
                <w:sz w:val="20"/>
                <w:szCs w:val="20"/>
              </w:rPr>
              <w:t xml:space="preserve">Bell Mobility Inc. </w:t>
            </w:r>
            <w:r w:rsidR="00C21644" w:rsidRPr="00E85E82">
              <w:rPr>
                <w:b/>
                <w:sz w:val="20"/>
                <w:szCs w:val="20"/>
              </w:rPr>
              <w:t>(Ont.)</w:t>
            </w:r>
          </w:p>
          <w:p w:rsidR="00C21644" w:rsidRPr="00E85E82" w:rsidRDefault="00C21644" w:rsidP="005F1ED8">
            <w:pPr>
              <w:tabs>
                <w:tab w:val="left" w:pos="-1440"/>
                <w:tab w:val="left" w:pos="-720"/>
              </w:tabs>
              <w:rPr>
                <w:sz w:val="20"/>
                <w:szCs w:val="20"/>
              </w:rPr>
            </w:pPr>
            <w:r w:rsidRPr="00E85E82">
              <w:rPr>
                <w:sz w:val="20"/>
                <w:szCs w:val="20"/>
              </w:rPr>
              <w:tab/>
            </w:r>
            <w:r w:rsidR="00635638" w:rsidRPr="00E85E82">
              <w:rPr>
                <w:sz w:val="20"/>
                <w:szCs w:val="20"/>
              </w:rPr>
              <w:t xml:space="preserve">Steve </w:t>
            </w:r>
            <w:proofErr w:type="spellStart"/>
            <w:r w:rsidR="00635638" w:rsidRPr="00E85E82">
              <w:rPr>
                <w:sz w:val="20"/>
                <w:szCs w:val="20"/>
              </w:rPr>
              <w:t>Tenai</w:t>
            </w:r>
            <w:proofErr w:type="spellEnd"/>
          </w:p>
          <w:p w:rsidR="00C21644" w:rsidRPr="00E85E82" w:rsidRDefault="00C21644" w:rsidP="005F1ED8">
            <w:pPr>
              <w:tabs>
                <w:tab w:val="left" w:pos="-1440"/>
                <w:tab w:val="left" w:pos="-720"/>
              </w:tabs>
              <w:rPr>
                <w:sz w:val="20"/>
                <w:szCs w:val="20"/>
              </w:rPr>
            </w:pPr>
            <w:r w:rsidRPr="00E85E82">
              <w:rPr>
                <w:sz w:val="20"/>
                <w:szCs w:val="20"/>
              </w:rPr>
              <w:tab/>
            </w:r>
            <w:r w:rsidR="00635638" w:rsidRPr="00E85E82">
              <w:rPr>
                <w:sz w:val="20"/>
                <w:szCs w:val="20"/>
              </w:rPr>
              <w:t>Norton Rose Fulbright Canada LLP</w:t>
            </w:r>
          </w:p>
          <w:p w:rsidR="00C21644" w:rsidRPr="00E85E82" w:rsidRDefault="00C21644" w:rsidP="005F1ED8">
            <w:pPr>
              <w:tabs>
                <w:tab w:val="left" w:pos="-1440"/>
                <w:tab w:val="left" w:pos="-720"/>
              </w:tabs>
              <w:rPr>
                <w:sz w:val="20"/>
                <w:szCs w:val="20"/>
              </w:rPr>
            </w:pPr>
          </w:p>
          <w:p w:rsidR="00C21644" w:rsidRPr="00E85E82" w:rsidRDefault="00635638" w:rsidP="005F1ED8">
            <w:pPr>
              <w:rPr>
                <w:sz w:val="20"/>
                <w:szCs w:val="20"/>
              </w:rPr>
            </w:pPr>
            <w:r w:rsidRPr="00E85E82">
              <w:rPr>
                <w:sz w:val="20"/>
                <w:szCs w:val="20"/>
              </w:rPr>
              <w:t>FILING DATE: 03</w:t>
            </w:r>
            <w:r w:rsidR="00C21644" w:rsidRPr="00E85E82">
              <w:rPr>
                <w:sz w:val="20"/>
                <w:szCs w:val="20"/>
              </w:rPr>
              <w:t>.0</w:t>
            </w:r>
            <w:r w:rsidRPr="00E85E82">
              <w:rPr>
                <w:sz w:val="20"/>
                <w:szCs w:val="20"/>
              </w:rPr>
              <w:t>6</w:t>
            </w:r>
            <w:r w:rsidR="00C21644" w:rsidRPr="00E85E82">
              <w:rPr>
                <w:sz w:val="20"/>
                <w:szCs w:val="20"/>
              </w:rPr>
              <w:t>.201</w:t>
            </w:r>
            <w:r w:rsidRPr="00E85E82">
              <w:rPr>
                <w:sz w:val="20"/>
                <w:szCs w:val="20"/>
              </w:rPr>
              <w:t>6</w:t>
            </w:r>
          </w:p>
          <w:p w:rsidR="00C21644" w:rsidRPr="00E85E82" w:rsidRDefault="00B407D6" w:rsidP="005F1ED8">
            <w:pPr>
              <w:rPr>
                <w:sz w:val="20"/>
                <w:szCs w:val="20"/>
              </w:rPr>
            </w:pPr>
            <w:r>
              <w:rPr>
                <w:sz w:val="20"/>
                <w:szCs w:val="20"/>
                <w:lang w:val="fr-CA"/>
              </w:rPr>
              <w:pict>
                <v:rect id="_x0000_i1032" style="width:108pt;height:1pt" o:hrpct="0" o:hralign="center" o:hrstd="t" o:hrnoshade="t" o:hr="t" fillcolor="black [3213]" stroked="f"/>
              </w:pict>
            </w:r>
          </w:p>
        </w:tc>
      </w:tr>
      <w:tr w:rsidR="00C21644" w:rsidRPr="00E85E82" w:rsidTr="003B3977">
        <w:trPr>
          <w:cantSplit/>
        </w:trPr>
        <w:tc>
          <w:tcPr>
            <w:tcW w:w="4320" w:type="dxa"/>
            <w:shd w:val="clear" w:color="auto" w:fill="auto"/>
          </w:tcPr>
          <w:p w:rsidR="00C21644" w:rsidRPr="00C556BB" w:rsidRDefault="00CA27FA" w:rsidP="005F1ED8">
            <w:pPr>
              <w:rPr>
                <w:b/>
                <w:sz w:val="20"/>
                <w:szCs w:val="20"/>
                <w:lang w:val="fr-CA"/>
              </w:rPr>
            </w:pPr>
            <w:r w:rsidRPr="00C556BB">
              <w:rPr>
                <w:b/>
                <w:sz w:val="20"/>
                <w:szCs w:val="20"/>
                <w:lang w:val="fr-CA"/>
              </w:rPr>
              <w:t>Fédération des producteurs acéricoles du Québec</w:t>
            </w:r>
          </w:p>
          <w:p w:rsidR="00C21644" w:rsidRPr="00C556BB" w:rsidRDefault="00C21644" w:rsidP="005F1ED8">
            <w:pPr>
              <w:tabs>
                <w:tab w:val="left" w:pos="-1440"/>
                <w:tab w:val="left" w:pos="-720"/>
              </w:tabs>
              <w:rPr>
                <w:sz w:val="20"/>
                <w:szCs w:val="20"/>
                <w:lang w:val="fr-CA"/>
              </w:rPr>
            </w:pPr>
            <w:r w:rsidRPr="00C556BB">
              <w:rPr>
                <w:sz w:val="20"/>
                <w:szCs w:val="20"/>
                <w:lang w:val="fr-CA"/>
              </w:rPr>
              <w:tab/>
            </w:r>
            <w:r w:rsidR="00CA27FA" w:rsidRPr="00C556BB">
              <w:rPr>
                <w:sz w:val="20"/>
                <w:szCs w:val="20"/>
                <w:lang w:val="fr-CA"/>
              </w:rPr>
              <w:t>Louis Coallier</w:t>
            </w:r>
          </w:p>
          <w:p w:rsidR="00C21644" w:rsidRPr="00C556BB" w:rsidRDefault="00C21644" w:rsidP="005F1ED8">
            <w:pPr>
              <w:tabs>
                <w:tab w:val="left" w:pos="-1440"/>
                <w:tab w:val="left" w:pos="-720"/>
              </w:tabs>
              <w:rPr>
                <w:sz w:val="20"/>
                <w:szCs w:val="20"/>
                <w:lang w:val="fr-CA"/>
              </w:rPr>
            </w:pPr>
            <w:r w:rsidRPr="00C556BB">
              <w:rPr>
                <w:sz w:val="20"/>
                <w:szCs w:val="20"/>
                <w:lang w:val="fr-CA"/>
              </w:rPr>
              <w:tab/>
            </w:r>
            <w:r w:rsidR="00CA27FA" w:rsidRPr="00C556BB">
              <w:rPr>
                <w:sz w:val="20"/>
                <w:szCs w:val="20"/>
                <w:lang w:val="fr-CA"/>
              </w:rPr>
              <w:t>Dufresne Hébert Corneau</w:t>
            </w:r>
          </w:p>
          <w:p w:rsidR="00C21644" w:rsidRPr="00C556BB" w:rsidRDefault="00C21644" w:rsidP="005F1ED8">
            <w:pPr>
              <w:tabs>
                <w:tab w:val="left" w:pos="-1440"/>
                <w:tab w:val="left" w:pos="-720"/>
              </w:tabs>
              <w:rPr>
                <w:sz w:val="20"/>
                <w:szCs w:val="20"/>
                <w:lang w:val="fr-CA"/>
              </w:rPr>
            </w:pPr>
          </w:p>
          <w:p w:rsidR="00C21644" w:rsidRPr="00C556BB" w:rsidRDefault="00C21644" w:rsidP="005F1ED8">
            <w:pPr>
              <w:tabs>
                <w:tab w:val="left" w:pos="-1440"/>
                <w:tab w:val="left" w:pos="-720"/>
              </w:tabs>
              <w:rPr>
                <w:sz w:val="20"/>
                <w:szCs w:val="20"/>
                <w:lang w:val="fr-CA"/>
              </w:rPr>
            </w:pPr>
            <w:r w:rsidRPr="00C556BB">
              <w:rPr>
                <w:sz w:val="20"/>
                <w:szCs w:val="20"/>
                <w:lang w:val="fr-CA"/>
              </w:rPr>
              <w:tab/>
            </w:r>
            <w:r w:rsidR="001D4A84" w:rsidRPr="00C556BB">
              <w:rPr>
                <w:sz w:val="20"/>
                <w:szCs w:val="20"/>
                <w:lang w:val="fr-CA"/>
              </w:rPr>
              <w:t>c</w:t>
            </w:r>
            <w:r w:rsidRPr="00C556BB">
              <w:rPr>
                <w:sz w:val="20"/>
                <w:szCs w:val="20"/>
                <w:lang w:val="fr-CA"/>
              </w:rPr>
              <w:t>. (3</w:t>
            </w:r>
            <w:r w:rsidR="00CA27FA" w:rsidRPr="00C556BB">
              <w:rPr>
                <w:sz w:val="20"/>
                <w:szCs w:val="20"/>
                <w:lang w:val="fr-CA"/>
              </w:rPr>
              <w:t>7047</w:t>
            </w:r>
            <w:r w:rsidRPr="00C556BB">
              <w:rPr>
                <w:sz w:val="20"/>
                <w:szCs w:val="20"/>
                <w:lang w:val="fr-CA"/>
              </w:rPr>
              <w:t>)</w:t>
            </w:r>
          </w:p>
          <w:p w:rsidR="00C21644" w:rsidRPr="00C556BB" w:rsidRDefault="00C21644" w:rsidP="005F1ED8">
            <w:pPr>
              <w:tabs>
                <w:tab w:val="left" w:pos="-1440"/>
                <w:tab w:val="left" w:pos="-720"/>
              </w:tabs>
              <w:rPr>
                <w:sz w:val="20"/>
                <w:szCs w:val="20"/>
                <w:lang w:val="fr-CA"/>
              </w:rPr>
            </w:pPr>
          </w:p>
          <w:p w:rsidR="00C21644" w:rsidRPr="00C556BB" w:rsidRDefault="00CA27FA" w:rsidP="005F1ED8">
            <w:pPr>
              <w:tabs>
                <w:tab w:val="left" w:pos="-1440"/>
                <w:tab w:val="left" w:pos="-720"/>
              </w:tabs>
              <w:rPr>
                <w:b/>
                <w:sz w:val="20"/>
                <w:szCs w:val="20"/>
                <w:lang w:val="fr-CA"/>
              </w:rPr>
            </w:pPr>
            <w:r w:rsidRPr="00C556BB">
              <w:rPr>
                <w:b/>
                <w:sz w:val="20"/>
                <w:szCs w:val="20"/>
                <w:lang w:val="fr-CA"/>
              </w:rPr>
              <w:t xml:space="preserve">Unique </w:t>
            </w:r>
            <w:r w:rsidR="00D45795" w:rsidRPr="00C556BB">
              <w:rPr>
                <w:b/>
                <w:sz w:val="20"/>
                <w:szCs w:val="20"/>
                <w:lang w:val="fr-CA"/>
              </w:rPr>
              <w:t>a</w:t>
            </w:r>
            <w:r w:rsidRPr="00C556BB">
              <w:rPr>
                <w:b/>
                <w:sz w:val="20"/>
                <w:szCs w:val="20"/>
                <w:lang w:val="fr-CA"/>
              </w:rPr>
              <w:t xml:space="preserve">ssurances </w:t>
            </w:r>
            <w:r w:rsidR="00D45795" w:rsidRPr="00C556BB">
              <w:rPr>
                <w:b/>
                <w:sz w:val="20"/>
                <w:szCs w:val="20"/>
                <w:lang w:val="fr-CA"/>
              </w:rPr>
              <w:t>g</w:t>
            </w:r>
            <w:r w:rsidRPr="00C556BB">
              <w:rPr>
                <w:b/>
                <w:sz w:val="20"/>
                <w:szCs w:val="20"/>
                <w:lang w:val="fr-CA"/>
              </w:rPr>
              <w:t xml:space="preserve">énérales </w:t>
            </w:r>
            <w:proofErr w:type="spellStart"/>
            <w:r w:rsidRPr="00C556BB">
              <w:rPr>
                <w:b/>
                <w:sz w:val="20"/>
                <w:szCs w:val="20"/>
                <w:lang w:val="fr-CA"/>
              </w:rPr>
              <w:t>inc.</w:t>
            </w:r>
            <w:proofErr w:type="spellEnd"/>
            <w:r w:rsidRPr="00C556BB">
              <w:rPr>
                <w:b/>
                <w:sz w:val="20"/>
                <w:szCs w:val="20"/>
                <w:lang w:val="fr-CA"/>
              </w:rPr>
              <w:t xml:space="preserve"> et autres </w:t>
            </w:r>
            <w:r w:rsidR="00C21644" w:rsidRPr="00C556BB">
              <w:rPr>
                <w:b/>
                <w:sz w:val="20"/>
                <w:szCs w:val="20"/>
                <w:lang w:val="fr-CA"/>
              </w:rPr>
              <w:t>(</w:t>
            </w:r>
            <w:proofErr w:type="spellStart"/>
            <w:r w:rsidRPr="00C556BB">
              <w:rPr>
                <w:b/>
                <w:sz w:val="20"/>
                <w:szCs w:val="20"/>
                <w:lang w:val="fr-CA"/>
              </w:rPr>
              <w:t>Qc</w:t>
            </w:r>
            <w:proofErr w:type="spellEnd"/>
            <w:r w:rsidR="00C21644" w:rsidRPr="00C556BB">
              <w:rPr>
                <w:b/>
                <w:sz w:val="20"/>
                <w:szCs w:val="20"/>
                <w:lang w:val="fr-CA"/>
              </w:rPr>
              <w:t>)</w:t>
            </w:r>
          </w:p>
          <w:p w:rsidR="00C21644" w:rsidRPr="00C556BB" w:rsidRDefault="00C21644" w:rsidP="005F1ED8">
            <w:pPr>
              <w:tabs>
                <w:tab w:val="left" w:pos="-1440"/>
                <w:tab w:val="left" w:pos="-720"/>
              </w:tabs>
              <w:rPr>
                <w:sz w:val="20"/>
                <w:szCs w:val="20"/>
                <w:lang w:val="fr-CA"/>
              </w:rPr>
            </w:pPr>
            <w:r w:rsidRPr="00C556BB">
              <w:rPr>
                <w:sz w:val="20"/>
                <w:szCs w:val="20"/>
                <w:lang w:val="fr-CA"/>
              </w:rPr>
              <w:tab/>
            </w:r>
            <w:r w:rsidR="00CA27FA" w:rsidRPr="00C556BB">
              <w:rPr>
                <w:sz w:val="20"/>
                <w:szCs w:val="20"/>
                <w:lang w:val="fr-CA"/>
              </w:rPr>
              <w:t>Louis Carrière</w:t>
            </w:r>
          </w:p>
          <w:p w:rsidR="00C21644" w:rsidRPr="00C556BB" w:rsidRDefault="00C21644" w:rsidP="005F1ED8">
            <w:pPr>
              <w:tabs>
                <w:tab w:val="left" w:pos="-1440"/>
                <w:tab w:val="left" w:pos="-720"/>
              </w:tabs>
              <w:rPr>
                <w:sz w:val="20"/>
                <w:szCs w:val="20"/>
                <w:lang w:val="fr-CA"/>
              </w:rPr>
            </w:pPr>
            <w:r w:rsidRPr="00C556BB">
              <w:rPr>
                <w:sz w:val="20"/>
                <w:szCs w:val="20"/>
                <w:lang w:val="fr-CA"/>
              </w:rPr>
              <w:tab/>
            </w:r>
            <w:proofErr w:type="spellStart"/>
            <w:r w:rsidR="00CA27FA" w:rsidRPr="00C556BB">
              <w:rPr>
                <w:sz w:val="20"/>
                <w:szCs w:val="20"/>
                <w:lang w:val="fr-CA"/>
              </w:rPr>
              <w:t>Fasken</w:t>
            </w:r>
            <w:proofErr w:type="spellEnd"/>
            <w:r w:rsidR="00CA27FA" w:rsidRPr="00C556BB">
              <w:rPr>
                <w:sz w:val="20"/>
                <w:szCs w:val="20"/>
                <w:lang w:val="fr-CA"/>
              </w:rPr>
              <w:t xml:space="preserve"> Martineau </w:t>
            </w:r>
            <w:proofErr w:type="spellStart"/>
            <w:r w:rsidR="00CA27FA" w:rsidRPr="00C556BB">
              <w:rPr>
                <w:sz w:val="20"/>
                <w:szCs w:val="20"/>
                <w:lang w:val="fr-CA"/>
              </w:rPr>
              <w:t>DuMoulin</w:t>
            </w:r>
            <w:proofErr w:type="spellEnd"/>
            <w:r w:rsidR="00CA27FA" w:rsidRPr="00C556BB">
              <w:rPr>
                <w:sz w:val="20"/>
                <w:szCs w:val="20"/>
                <w:lang w:val="fr-CA"/>
              </w:rPr>
              <w:t xml:space="preserve"> LLP</w:t>
            </w:r>
          </w:p>
          <w:p w:rsidR="00C21644" w:rsidRPr="00C556BB" w:rsidRDefault="00C21644" w:rsidP="005F1ED8">
            <w:pPr>
              <w:tabs>
                <w:tab w:val="left" w:pos="-1440"/>
                <w:tab w:val="left" w:pos="-720"/>
              </w:tabs>
              <w:rPr>
                <w:sz w:val="20"/>
                <w:szCs w:val="20"/>
                <w:lang w:val="fr-CA"/>
              </w:rPr>
            </w:pPr>
          </w:p>
          <w:p w:rsidR="00C21644" w:rsidRPr="00E85E82" w:rsidRDefault="00CA27FA" w:rsidP="005F1ED8">
            <w:pPr>
              <w:rPr>
                <w:sz w:val="20"/>
                <w:szCs w:val="20"/>
              </w:rPr>
            </w:pPr>
            <w:r w:rsidRPr="00E85E82">
              <w:rPr>
                <w:sz w:val="20"/>
                <w:szCs w:val="20"/>
              </w:rPr>
              <w:t>DATE DE PRODUCTION</w:t>
            </w:r>
            <w:r w:rsidR="00C21644" w:rsidRPr="00E85E82">
              <w:rPr>
                <w:sz w:val="20"/>
                <w:szCs w:val="20"/>
              </w:rPr>
              <w:t xml:space="preserve">: </w:t>
            </w:r>
            <w:r w:rsidRPr="00E85E82">
              <w:rPr>
                <w:sz w:val="20"/>
                <w:szCs w:val="20"/>
              </w:rPr>
              <w:t>03</w:t>
            </w:r>
            <w:r w:rsidR="00C21644" w:rsidRPr="00E85E82">
              <w:rPr>
                <w:sz w:val="20"/>
                <w:szCs w:val="20"/>
              </w:rPr>
              <w:t>.0</w:t>
            </w:r>
            <w:r w:rsidRPr="00E85E82">
              <w:rPr>
                <w:sz w:val="20"/>
                <w:szCs w:val="20"/>
              </w:rPr>
              <w:t>6</w:t>
            </w:r>
            <w:r w:rsidR="00C21644" w:rsidRPr="00E85E82">
              <w:rPr>
                <w:sz w:val="20"/>
                <w:szCs w:val="20"/>
              </w:rPr>
              <w:t>.201</w:t>
            </w:r>
            <w:r w:rsidRPr="00E85E82">
              <w:rPr>
                <w:sz w:val="20"/>
                <w:szCs w:val="20"/>
              </w:rPr>
              <w:t>6</w:t>
            </w:r>
          </w:p>
          <w:p w:rsidR="00C21644" w:rsidRPr="00E85E82" w:rsidRDefault="00B407D6" w:rsidP="005F1ED8">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21644" w:rsidRPr="00E85E82" w:rsidRDefault="00C21644" w:rsidP="00242AEE">
            <w:pPr>
              <w:jc w:val="center"/>
              <w:rPr>
                <w:sz w:val="20"/>
                <w:szCs w:val="20"/>
              </w:rPr>
            </w:pPr>
          </w:p>
          <w:p w:rsidR="00CA27FA" w:rsidRPr="00E85E82" w:rsidRDefault="00CA27FA" w:rsidP="00242AEE">
            <w:pPr>
              <w:jc w:val="center"/>
              <w:rPr>
                <w:sz w:val="20"/>
                <w:szCs w:val="20"/>
              </w:rPr>
            </w:pPr>
          </w:p>
          <w:p w:rsidR="00CA27FA" w:rsidRPr="00E85E82" w:rsidRDefault="00CA27FA" w:rsidP="00242AEE">
            <w:pPr>
              <w:jc w:val="center"/>
              <w:rPr>
                <w:sz w:val="20"/>
                <w:szCs w:val="20"/>
              </w:rPr>
            </w:pPr>
          </w:p>
        </w:tc>
        <w:tc>
          <w:tcPr>
            <w:tcW w:w="4320" w:type="dxa"/>
            <w:shd w:val="clear" w:color="auto" w:fill="auto"/>
          </w:tcPr>
          <w:p w:rsidR="00C21644" w:rsidRPr="00C556BB" w:rsidRDefault="003B3C7B" w:rsidP="005F1ED8">
            <w:pPr>
              <w:rPr>
                <w:b/>
                <w:sz w:val="20"/>
                <w:szCs w:val="20"/>
                <w:lang w:val="fr-CA"/>
              </w:rPr>
            </w:pPr>
            <w:r w:rsidRPr="00C556BB">
              <w:rPr>
                <w:b/>
                <w:sz w:val="20"/>
                <w:szCs w:val="20"/>
                <w:lang w:val="fr-CA"/>
              </w:rPr>
              <w:t xml:space="preserve">Jacqueline </w:t>
            </w:r>
            <w:proofErr w:type="spellStart"/>
            <w:r w:rsidRPr="00C556BB">
              <w:rPr>
                <w:b/>
                <w:sz w:val="20"/>
                <w:szCs w:val="20"/>
                <w:lang w:val="fr-CA"/>
              </w:rPr>
              <w:t>Sanderson</w:t>
            </w:r>
            <w:proofErr w:type="spellEnd"/>
          </w:p>
          <w:p w:rsidR="00C21644" w:rsidRPr="00C556BB" w:rsidRDefault="00C21644" w:rsidP="005F1ED8">
            <w:pPr>
              <w:tabs>
                <w:tab w:val="left" w:pos="-1440"/>
                <w:tab w:val="left" w:pos="-720"/>
              </w:tabs>
              <w:rPr>
                <w:sz w:val="20"/>
                <w:szCs w:val="20"/>
                <w:lang w:val="fr-CA"/>
              </w:rPr>
            </w:pPr>
            <w:r w:rsidRPr="00C556BB">
              <w:rPr>
                <w:sz w:val="20"/>
                <w:szCs w:val="20"/>
                <w:lang w:val="fr-CA"/>
              </w:rPr>
              <w:tab/>
            </w:r>
            <w:r w:rsidR="003B3C7B" w:rsidRPr="00C556BB">
              <w:rPr>
                <w:sz w:val="20"/>
                <w:szCs w:val="20"/>
                <w:lang w:val="fr-CA"/>
              </w:rPr>
              <w:t xml:space="preserve">Jacqueline </w:t>
            </w:r>
            <w:proofErr w:type="spellStart"/>
            <w:r w:rsidR="003B3C7B" w:rsidRPr="00C556BB">
              <w:rPr>
                <w:sz w:val="20"/>
                <w:szCs w:val="20"/>
                <w:lang w:val="fr-CA"/>
              </w:rPr>
              <w:t>Sanderson</w:t>
            </w:r>
            <w:proofErr w:type="spellEnd"/>
          </w:p>
          <w:p w:rsidR="00C21644" w:rsidRPr="00C556BB" w:rsidRDefault="00C21644" w:rsidP="005F1ED8">
            <w:pPr>
              <w:tabs>
                <w:tab w:val="left" w:pos="-1440"/>
                <w:tab w:val="left" w:pos="-720"/>
              </w:tabs>
              <w:rPr>
                <w:sz w:val="20"/>
                <w:szCs w:val="20"/>
                <w:lang w:val="fr-CA"/>
              </w:rPr>
            </w:pPr>
          </w:p>
          <w:p w:rsidR="00C21644" w:rsidRPr="00C556BB" w:rsidRDefault="00C21644" w:rsidP="005F1ED8">
            <w:pPr>
              <w:tabs>
                <w:tab w:val="left" w:pos="-1440"/>
                <w:tab w:val="left" w:pos="-720"/>
              </w:tabs>
              <w:rPr>
                <w:sz w:val="20"/>
                <w:szCs w:val="20"/>
                <w:lang w:val="fr-CA"/>
              </w:rPr>
            </w:pPr>
            <w:r w:rsidRPr="00C556BB">
              <w:rPr>
                <w:sz w:val="20"/>
                <w:szCs w:val="20"/>
                <w:lang w:val="fr-CA"/>
              </w:rPr>
              <w:tab/>
              <w:t>v. (3</w:t>
            </w:r>
            <w:r w:rsidR="003B3C7B" w:rsidRPr="00C556BB">
              <w:rPr>
                <w:sz w:val="20"/>
                <w:szCs w:val="20"/>
                <w:lang w:val="fr-CA"/>
              </w:rPr>
              <w:t>7048)</w:t>
            </w:r>
          </w:p>
          <w:p w:rsidR="003B3C7B" w:rsidRPr="00C556BB" w:rsidRDefault="003B3C7B" w:rsidP="005F1ED8">
            <w:pPr>
              <w:tabs>
                <w:tab w:val="left" w:pos="-1440"/>
                <w:tab w:val="left" w:pos="-720"/>
              </w:tabs>
              <w:rPr>
                <w:sz w:val="20"/>
                <w:szCs w:val="20"/>
                <w:lang w:val="fr-CA"/>
              </w:rPr>
            </w:pPr>
          </w:p>
          <w:p w:rsidR="00C21644" w:rsidRPr="00C556BB" w:rsidRDefault="003B3C7B" w:rsidP="005F1ED8">
            <w:pPr>
              <w:tabs>
                <w:tab w:val="left" w:pos="-1440"/>
                <w:tab w:val="left" w:pos="-720"/>
              </w:tabs>
              <w:rPr>
                <w:b/>
                <w:sz w:val="20"/>
                <w:szCs w:val="20"/>
                <w:lang w:val="fr-CA"/>
              </w:rPr>
            </w:pPr>
            <w:r w:rsidRPr="00C556BB">
              <w:rPr>
                <w:b/>
                <w:sz w:val="20"/>
                <w:szCs w:val="20"/>
                <w:lang w:val="fr-CA"/>
              </w:rPr>
              <w:t xml:space="preserve">May Ostos </w:t>
            </w:r>
            <w:proofErr w:type="spellStart"/>
            <w:r w:rsidRPr="00C556BB">
              <w:rPr>
                <w:b/>
                <w:sz w:val="20"/>
                <w:szCs w:val="20"/>
                <w:lang w:val="fr-CA"/>
              </w:rPr>
              <w:t>Mangadlao</w:t>
            </w:r>
            <w:proofErr w:type="spellEnd"/>
            <w:r w:rsidRPr="00C556BB">
              <w:rPr>
                <w:b/>
                <w:sz w:val="20"/>
                <w:szCs w:val="20"/>
                <w:lang w:val="fr-CA"/>
              </w:rPr>
              <w:t xml:space="preserve"> </w:t>
            </w:r>
            <w:r w:rsidR="00C21644" w:rsidRPr="00C556BB">
              <w:rPr>
                <w:b/>
                <w:sz w:val="20"/>
                <w:szCs w:val="20"/>
                <w:lang w:val="fr-CA"/>
              </w:rPr>
              <w:t>(</w:t>
            </w:r>
            <w:r w:rsidRPr="00C556BB">
              <w:rPr>
                <w:b/>
                <w:sz w:val="20"/>
                <w:szCs w:val="20"/>
                <w:lang w:val="fr-CA"/>
              </w:rPr>
              <w:t>Que</w:t>
            </w:r>
            <w:r w:rsidR="00C21644" w:rsidRPr="00C556BB">
              <w:rPr>
                <w:b/>
                <w:sz w:val="20"/>
                <w:szCs w:val="20"/>
                <w:lang w:val="fr-CA"/>
              </w:rPr>
              <w:t>.)</w:t>
            </w:r>
          </w:p>
          <w:p w:rsidR="00C21644" w:rsidRPr="00C556BB" w:rsidRDefault="00C21644" w:rsidP="005F1ED8">
            <w:pPr>
              <w:tabs>
                <w:tab w:val="left" w:pos="-1440"/>
                <w:tab w:val="left" w:pos="-720"/>
              </w:tabs>
              <w:rPr>
                <w:sz w:val="20"/>
                <w:szCs w:val="20"/>
                <w:lang w:val="fr-CA"/>
              </w:rPr>
            </w:pPr>
            <w:r w:rsidRPr="00C556BB">
              <w:rPr>
                <w:sz w:val="20"/>
                <w:szCs w:val="20"/>
                <w:lang w:val="fr-CA"/>
              </w:rPr>
              <w:tab/>
            </w:r>
            <w:r w:rsidR="003B3C7B" w:rsidRPr="00C556BB">
              <w:rPr>
                <w:sz w:val="20"/>
                <w:szCs w:val="20"/>
                <w:lang w:val="fr-CA"/>
              </w:rPr>
              <w:t>Sylvain Lussier</w:t>
            </w:r>
          </w:p>
          <w:p w:rsidR="00C21644" w:rsidRPr="00E85E82" w:rsidRDefault="00C21644" w:rsidP="005F1ED8">
            <w:pPr>
              <w:tabs>
                <w:tab w:val="left" w:pos="-1440"/>
                <w:tab w:val="left" w:pos="-720"/>
              </w:tabs>
              <w:rPr>
                <w:sz w:val="20"/>
                <w:szCs w:val="20"/>
              </w:rPr>
            </w:pPr>
            <w:r w:rsidRPr="00C556BB">
              <w:rPr>
                <w:sz w:val="20"/>
                <w:szCs w:val="20"/>
                <w:lang w:val="fr-CA"/>
              </w:rPr>
              <w:tab/>
            </w:r>
            <w:r w:rsidR="003B3C7B" w:rsidRPr="00E85E82">
              <w:rPr>
                <w:sz w:val="20"/>
                <w:szCs w:val="20"/>
              </w:rPr>
              <w:t xml:space="preserve">Osler, </w:t>
            </w:r>
            <w:proofErr w:type="spellStart"/>
            <w:r w:rsidR="003B3C7B" w:rsidRPr="00E85E82">
              <w:rPr>
                <w:sz w:val="20"/>
                <w:szCs w:val="20"/>
              </w:rPr>
              <w:t>Hoskin</w:t>
            </w:r>
            <w:proofErr w:type="spellEnd"/>
            <w:r w:rsidR="003B3C7B" w:rsidRPr="00E85E82">
              <w:rPr>
                <w:sz w:val="20"/>
                <w:szCs w:val="20"/>
              </w:rPr>
              <w:t xml:space="preserve"> &amp; Harcourt LLP</w:t>
            </w:r>
          </w:p>
          <w:p w:rsidR="00C21644" w:rsidRPr="00E85E82" w:rsidRDefault="00C21644" w:rsidP="005F1ED8">
            <w:pPr>
              <w:tabs>
                <w:tab w:val="left" w:pos="-1440"/>
                <w:tab w:val="left" w:pos="-720"/>
              </w:tabs>
              <w:rPr>
                <w:sz w:val="20"/>
                <w:szCs w:val="20"/>
              </w:rPr>
            </w:pPr>
          </w:p>
          <w:p w:rsidR="00C21644" w:rsidRPr="00E85E82" w:rsidRDefault="00C21644" w:rsidP="005F1ED8">
            <w:pPr>
              <w:rPr>
                <w:sz w:val="20"/>
                <w:szCs w:val="20"/>
              </w:rPr>
            </w:pPr>
            <w:r w:rsidRPr="00E85E82">
              <w:rPr>
                <w:sz w:val="20"/>
                <w:szCs w:val="20"/>
              </w:rPr>
              <w:t xml:space="preserve">FILING DATE: </w:t>
            </w:r>
            <w:r w:rsidR="003B3C7B" w:rsidRPr="00E85E82">
              <w:rPr>
                <w:sz w:val="20"/>
                <w:szCs w:val="20"/>
              </w:rPr>
              <w:t>03</w:t>
            </w:r>
            <w:r w:rsidRPr="00E85E82">
              <w:rPr>
                <w:sz w:val="20"/>
                <w:szCs w:val="20"/>
              </w:rPr>
              <w:t>.0</w:t>
            </w:r>
            <w:r w:rsidR="003B3C7B" w:rsidRPr="00E85E82">
              <w:rPr>
                <w:sz w:val="20"/>
                <w:szCs w:val="20"/>
              </w:rPr>
              <w:t>6</w:t>
            </w:r>
            <w:r w:rsidRPr="00E85E82">
              <w:rPr>
                <w:sz w:val="20"/>
                <w:szCs w:val="20"/>
              </w:rPr>
              <w:t>.201</w:t>
            </w:r>
            <w:r w:rsidR="003B3C7B" w:rsidRPr="00E85E82">
              <w:rPr>
                <w:sz w:val="20"/>
                <w:szCs w:val="20"/>
              </w:rPr>
              <w:t>6</w:t>
            </w:r>
          </w:p>
          <w:p w:rsidR="00C21644" w:rsidRPr="00E85E82" w:rsidRDefault="00B407D6" w:rsidP="005F1ED8">
            <w:pPr>
              <w:rPr>
                <w:sz w:val="20"/>
                <w:szCs w:val="20"/>
              </w:rPr>
            </w:pPr>
            <w:r>
              <w:rPr>
                <w:sz w:val="20"/>
                <w:szCs w:val="20"/>
                <w:lang w:val="fr-CA"/>
              </w:rPr>
              <w:pict>
                <v:rect id="_x0000_i1034" style="width:108pt;height:1pt" o:hrpct="0" o:hralign="center" o:hrstd="t" o:hrnoshade="t" o:hr="t" fillcolor="black [3213]" stroked="f"/>
              </w:pict>
            </w:r>
          </w:p>
        </w:tc>
      </w:tr>
      <w:tr w:rsidR="00126883" w:rsidRPr="00E85E82" w:rsidTr="003B3977">
        <w:trPr>
          <w:cantSplit/>
        </w:trPr>
        <w:tc>
          <w:tcPr>
            <w:tcW w:w="4320" w:type="dxa"/>
            <w:shd w:val="clear" w:color="auto" w:fill="auto"/>
          </w:tcPr>
          <w:p w:rsidR="00126883" w:rsidRPr="00E85E82" w:rsidRDefault="009A4FB1" w:rsidP="00126883">
            <w:pPr>
              <w:rPr>
                <w:b/>
                <w:sz w:val="20"/>
                <w:szCs w:val="20"/>
              </w:rPr>
            </w:pPr>
            <w:r w:rsidRPr="00E85E82">
              <w:rPr>
                <w:b/>
                <w:sz w:val="20"/>
                <w:szCs w:val="20"/>
              </w:rPr>
              <w:t>Steven Wise</w:t>
            </w:r>
          </w:p>
          <w:p w:rsidR="00126883" w:rsidRPr="00E85E82" w:rsidRDefault="00126883" w:rsidP="00126883">
            <w:pPr>
              <w:tabs>
                <w:tab w:val="left" w:pos="-1440"/>
                <w:tab w:val="left" w:pos="-720"/>
              </w:tabs>
              <w:rPr>
                <w:sz w:val="20"/>
                <w:szCs w:val="20"/>
              </w:rPr>
            </w:pPr>
            <w:r w:rsidRPr="00E85E82">
              <w:rPr>
                <w:sz w:val="20"/>
                <w:szCs w:val="20"/>
              </w:rPr>
              <w:tab/>
            </w:r>
            <w:r w:rsidR="009A4FB1" w:rsidRPr="00E85E82">
              <w:rPr>
                <w:sz w:val="20"/>
                <w:szCs w:val="20"/>
              </w:rPr>
              <w:t xml:space="preserve">Benjamin </w:t>
            </w:r>
            <w:proofErr w:type="spellStart"/>
            <w:r w:rsidR="009A4FB1" w:rsidRPr="00E85E82">
              <w:rPr>
                <w:sz w:val="20"/>
                <w:szCs w:val="20"/>
              </w:rPr>
              <w:t>Salsberg</w:t>
            </w:r>
            <w:proofErr w:type="spellEnd"/>
          </w:p>
          <w:p w:rsidR="00126883" w:rsidRPr="00E85E82" w:rsidRDefault="00126883" w:rsidP="00126883">
            <w:pPr>
              <w:tabs>
                <w:tab w:val="left" w:pos="-1440"/>
                <w:tab w:val="left" w:pos="-720"/>
              </w:tabs>
              <w:rPr>
                <w:sz w:val="20"/>
                <w:szCs w:val="20"/>
              </w:rPr>
            </w:pPr>
          </w:p>
          <w:p w:rsidR="00126883" w:rsidRPr="00E85E82" w:rsidRDefault="00126883" w:rsidP="00126883">
            <w:pPr>
              <w:tabs>
                <w:tab w:val="left" w:pos="-1440"/>
                <w:tab w:val="left" w:pos="-720"/>
              </w:tabs>
              <w:rPr>
                <w:sz w:val="20"/>
                <w:szCs w:val="20"/>
              </w:rPr>
            </w:pPr>
            <w:r w:rsidRPr="00E85E82">
              <w:rPr>
                <w:sz w:val="20"/>
                <w:szCs w:val="20"/>
              </w:rPr>
              <w:tab/>
              <w:t>v. (3</w:t>
            </w:r>
            <w:r w:rsidR="009A4FB1" w:rsidRPr="00E85E82">
              <w:rPr>
                <w:sz w:val="20"/>
                <w:szCs w:val="20"/>
              </w:rPr>
              <w:t>7049</w:t>
            </w:r>
            <w:r w:rsidRPr="00E85E82">
              <w:rPr>
                <w:sz w:val="20"/>
                <w:szCs w:val="20"/>
              </w:rPr>
              <w:t>)</w:t>
            </w:r>
          </w:p>
          <w:p w:rsidR="00126883" w:rsidRPr="00E85E82" w:rsidRDefault="00126883" w:rsidP="00126883">
            <w:pPr>
              <w:tabs>
                <w:tab w:val="left" w:pos="-1440"/>
                <w:tab w:val="left" w:pos="-720"/>
              </w:tabs>
              <w:rPr>
                <w:sz w:val="20"/>
                <w:szCs w:val="20"/>
              </w:rPr>
            </w:pPr>
          </w:p>
          <w:p w:rsidR="00126883" w:rsidRPr="00E85E82" w:rsidRDefault="009A4FB1" w:rsidP="00126883">
            <w:pPr>
              <w:tabs>
                <w:tab w:val="left" w:pos="-1440"/>
                <w:tab w:val="left" w:pos="-720"/>
              </w:tabs>
              <w:rPr>
                <w:b/>
                <w:sz w:val="20"/>
                <w:szCs w:val="20"/>
              </w:rPr>
            </w:pPr>
            <w:r w:rsidRPr="00E85E82">
              <w:rPr>
                <w:b/>
                <w:sz w:val="20"/>
                <w:szCs w:val="20"/>
              </w:rPr>
              <w:t xml:space="preserve">Minister of Public Safety and Emergency Preparedness </w:t>
            </w:r>
            <w:r w:rsidR="00126883" w:rsidRPr="00E85E82">
              <w:rPr>
                <w:b/>
                <w:sz w:val="20"/>
                <w:szCs w:val="20"/>
              </w:rPr>
              <w:t>(</w:t>
            </w:r>
            <w:r w:rsidRPr="00E85E82">
              <w:rPr>
                <w:b/>
                <w:sz w:val="20"/>
                <w:szCs w:val="20"/>
              </w:rPr>
              <w:t>F.C</w:t>
            </w:r>
            <w:r w:rsidR="00126883" w:rsidRPr="00E85E82">
              <w:rPr>
                <w:b/>
                <w:sz w:val="20"/>
                <w:szCs w:val="20"/>
              </w:rPr>
              <w:t>.)</w:t>
            </w:r>
          </w:p>
          <w:p w:rsidR="00126883" w:rsidRPr="00E85E82" w:rsidRDefault="00126883" w:rsidP="00126883">
            <w:pPr>
              <w:tabs>
                <w:tab w:val="left" w:pos="-1440"/>
                <w:tab w:val="left" w:pos="-720"/>
              </w:tabs>
              <w:rPr>
                <w:sz w:val="20"/>
                <w:szCs w:val="20"/>
              </w:rPr>
            </w:pPr>
            <w:r w:rsidRPr="00E85E82">
              <w:rPr>
                <w:sz w:val="20"/>
                <w:szCs w:val="20"/>
              </w:rPr>
              <w:tab/>
            </w:r>
            <w:r w:rsidR="009A4FB1" w:rsidRPr="00E85E82">
              <w:rPr>
                <w:sz w:val="20"/>
                <w:szCs w:val="20"/>
              </w:rPr>
              <w:t>Derek Edwards</w:t>
            </w:r>
          </w:p>
          <w:p w:rsidR="00126883" w:rsidRPr="00E85E82" w:rsidRDefault="00126883" w:rsidP="00126883">
            <w:pPr>
              <w:tabs>
                <w:tab w:val="left" w:pos="-1440"/>
                <w:tab w:val="left" w:pos="-720"/>
              </w:tabs>
              <w:rPr>
                <w:sz w:val="20"/>
                <w:szCs w:val="20"/>
              </w:rPr>
            </w:pPr>
            <w:r w:rsidRPr="00E85E82">
              <w:rPr>
                <w:sz w:val="20"/>
                <w:szCs w:val="20"/>
              </w:rPr>
              <w:tab/>
            </w:r>
            <w:r w:rsidR="009A4FB1" w:rsidRPr="00E85E82">
              <w:rPr>
                <w:sz w:val="20"/>
                <w:szCs w:val="20"/>
              </w:rPr>
              <w:t>A.G. of Canada</w:t>
            </w:r>
          </w:p>
          <w:p w:rsidR="00126883" w:rsidRPr="00E85E82" w:rsidRDefault="00126883" w:rsidP="00126883">
            <w:pPr>
              <w:tabs>
                <w:tab w:val="left" w:pos="-1440"/>
                <w:tab w:val="left" w:pos="-720"/>
              </w:tabs>
              <w:rPr>
                <w:sz w:val="20"/>
                <w:szCs w:val="20"/>
              </w:rPr>
            </w:pPr>
          </w:p>
          <w:p w:rsidR="00126883" w:rsidRPr="00E85E82" w:rsidRDefault="00126883" w:rsidP="00126883">
            <w:pPr>
              <w:rPr>
                <w:sz w:val="20"/>
                <w:szCs w:val="20"/>
              </w:rPr>
            </w:pPr>
            <w:r w:rsidRPr="00E85E82">
              <w:rPr>
                <w:sz w:val="20"/>
                <w:szCs w:val="20"/>
              </w:rPr>
              <w:t xml:space="preserve">FILING DATE: </w:t>
            </w:r>
            <w:r w:rsidR="009A4FB1" w:rsidRPr="00E85E82">
              <w:rPr>
                <w:sz w:val="20"/>
                <w:szCs w:val="20"/>
              </w:rPr>
              <w:t>06</w:t>
            </w:r>
            <w:r w:rsidRPr="00E85E82">
              <w:rPr>
                <w:sz w:val="20"/>
                <w:szCs w:val="20"/>
              </w:rPr>
              <w:t>.0</w:t>
            </w:r>
            <w:r w:rsidR="009A4FB1" w:rsidRPr="00E85E82">
              <w:rPr>
                <w:sz w:val="20"/>
                <w:szCs w:val="20"/>
              </w:rPr>
              <w:t>6</w:t>
            </w:r>
            <w:r w:rsidRPr="00E85E82">
              <w:rPr>
                <w:sz w:val="20"/>
                <w:szCs w:val="20"/>
              </w:rPr>
              <w:t>.201</w:t>
            </w:r>
            <w:r w:rsidR="009A4FB1" w:rsidRPr="00E85E82">
              <w:rPr>
                <w:sz w:val="20"/>
                <w:szCs w:val="20"/>
              </w:rPr>
              <w:t>6</w:t>
            </w:r>
          </w:p>
          <w:p w:rsidR="00126883" w:rsidRPr="00E85E82" w:rsidRDefault="00B407D6" w:rsidP="00126883">
            <w:pPr>
              <w:rPr>
                <w:sz w:val="20"/>
                <w:szCs w:val="20"/>
              </w:rPr>
            </w:pPr>
            <w:r>
              <w:rPr>
                <w:sz w:val="20"/>
                <w:szCs w:val="20"/>
                <w:lang w:val="fr-CA"/>
              </w:rPr>
              <w:pict w14:anchorId="79DEC10F">
                <v:rect id="_x0000_i1035" style="width:108pt;height:1pt" o:hrpct="0" o:hralign="center" o:hrstd="t" o:hrnoshade="t" o:hr="t" fillcolor="black [3213]" stroked="f"/>
              </w:pict>
            </w:r>
          </w:p>
        </w:tc>
        <w:tc>
          <w:tcPr>
            <w:tcW w:w="1181" w:type="dxa"/>
            <w:shd w:val="clear" w:color="auto" w:fill="auto"/>
          </w:tcPr>
          <w:p w:rsidR="00126883" w:rsidRPr="00E85E82" w:rsidRDefault="00126883" w:rsidP="00126883">
            <w:pPr>
              <w:jc w:val="center"/>
              <w:rPr>
                <w:sz w:val="20"/>
                <w:szCs w:val="20"/>
              </w:rPr>
            </w:pPr>
          </w:p>
          <w:p w:rsidR="00126883" w:rsidRPr="00E85E82" w:rsidRDefault="00126883" w:rsidP="00126883">
            <w:pPr>
              <w:jc w:val="center"/>
              <w:rPr>
                <w:sz w:val="20"/>
                <w:szCs w:val="20"/>
              </w:rPr>
            </w:pPr>
          </w:p>
          <w:p w:rsidR="00126883" w:rsidRPr="00E85E82" w:rsidRDefault="00126883" w:rsidP="00126883">
            <w:pPr>
              <w:jc w:val="center"/>
              <w:rPr>
                <w:sz w:val="20"/>
                <w:szCs w:val="20"/>
              </w:rPr>
            </w:pPr>
          </w:p>
          <w:p w:rsidR="00126883" w:rsidRPr="00E85E82" w:rsidRDefault="00126883" w:rsidP="00126883">
            <w:pPr>
              <w:jc w:val="center"/>
              <w:rPr>
                <w:sz w:val="20"/>
                <w:szCs w:val="20"/>
              </w:rPr>
            </w:pPr>
          </w:p>
          <w:p w:rsidR="00126883" w:rsidRPr="00E85E82" w:rsidRDefault="00126883" w:rsidP="00126883">
            <w:pPr>
              <w:jc w:val="center"/>
              <w:rPr>
                <w:sz w:val="20"/>
                <w:szCs w:val="20"/>
              </w:rPr>
            </w:pPr>
          </w:p>
          <w:p w:rsidR="00126883" w:rsidRPr="00E85E82" w:rsidRDefault="00126883" w:rsidP="00126883">
            <w:pPr>
              <w:jc w:val="center"/>
              <w:rPr>
                <w:sz w:val="20"/>
                <w:szCs w:val="20"/>
              </w:rPr>
            </w:pPr>
          </w:p>
          <w:p w:rsidR="00126883" w:rsidRPr="00E85E82" w:rsidRDefault="00126883" w:rsidP="00126883">
            <w:pPr>
              <w:jc w:val="center"/>
              <w:rPr>
                <w:sz w:val="20"/>
                <w:szCs w:val="20"/>
              </w:rPr>
            </w:pPr>
          </w:p>
          <w:p w:rsidR="00126883" w:rsidRPr="00E85E82" w:rsidRDefault="00126883" w:rsidP="00126883">
            <w:pPr>
              <w:jc w:val="center"/>
              <w:rPr>
                <w:sz w:val="20"/>
                <w:szCs w:val="20"/>
              </w:rPr>
            </w:pPr>
          </w:p>
          <w:p w:rsidR="00126883" w:rsidRPr="00E85E82" w:rsidRDefault="00126883" w:rsidP="00126883">
            <w:pPr>
              <w:jc w:val="center"/>
              <w:rPr>
                <w:sz w:val="20"/>
                <w:szCs w:val="20"/>
              </w:rPr>
            </w:pPr>
          </w:p>
          <w:p w:rsidR="00126883" w:rsidRPr="00E85E82" w:rsidRDefault="00126883" w:rsidP="00126883">
            <w:pPr>
              <w:jc w:val="center"/>
              <w:rPr>
                <w:sz w:val="20"/>
                <w:szCs w:val="20"/>
              </w:rPr>
            </w:pPr>
          </w:p>
          <w:p w:rsidR="00126883" w:rsidRPr="00E85E82" w:rsidRDefault="00126883" w:rsidP="00126883">
            <w:pPr>
              <w:jc w:val="center"/>
              <w:rPr>
                <w:sz w:val="20"/>
                <w:szCs w:val="20"/>
              </w:rPr>
            </w:pPr>
          </w:p>
          <w:p w:rsidR="00126883" w:rsidRPr="00E85E82" w:rsidRDefault="00126883" w:rsidP="00126883">
            <w:pPr>
              <w:jc w:val="center"/>
              <w:rPr>
                <w:sz w:val="20"/>
                <w:szCs w:val="20"/>
              </w:rPr>
            </w:pPr>
          </w:p>
          <w:p w:rsidR="00D14EFA" w:rsidRPr="00E85E82" w:rsidRDefault="00D14EFA" w:rsidP="00126883">
            <w:pPr>
              <w:jc w:val="center"/>
              <w:rPr>
                <w:sz w:val="20"/>
                <w:szCs w:val="20"/>
              </w:rPr>
            </w:pPr>
          </w:p>
          <w:p w:rsidR="00126883" w:rsidRPr="00E85E82" w:rsidRDefault="00126883" w:rsidP="00126883">
            <w:pPr>
              <w:jc w:val="center"/>
              <w:rPr>
                <w:sz w:val="20"/>
                <w:szCs w:val="20"/>
              </w:rPr>
            </w:pPr>
          </w:p>
        </w:tc>
        <w:tc>
          <w:tcPr>
            <w:tcW w:w="4320" w:type="dxa"/>
            <w:shd w:val="clear" w:color="auto" w:fill="auto"/>
          </w:tcPr>
          <w:p w:rsidR="00126883" w:rsidRPr="00E85E82" w:rsidRDefault="00D14EFA" w:rsidP="00126883">
            <w:pPr>
              <w:rPr>
                <w:b/>
                <w:sz w:val="20"/>
                <w:szCs w:val="20"/>
              </w:rPr>
            </w:pPr>
            <w:r w:rsidRPr="00E85E82">
              <w:rPr>
                <w:b/>
                <w:sz w:val="20"/>
                <w:szCs w:val="20"/>
              </w:rPr>
              <w:t>Toronto Police Services Board</w:t>
            </w:r>
          </w:p>
          <w:p w:rsidR="00126883" w:rsidRPr="00E85E82" w:rsidRDefault="00126883" w:rsidP="00126883">
            <w:pPr>
              <w:tabs>
                <w:tab w:val="left" w:pos="-1440"/>
                <w:tab w:val="left" w:pos="-720"/>
              </w:tabs>
              <w:rPr>
                <w:sz w:val="20"/>
                <w:szCs w:val="20"/>
              </w:rPr>
            </w:pPr>
            <w:r w:rsidRPr="00E85E82">
              <w:rPr>
                <w:sz w:val="20"/>
                <w:szCs w:val="20"/>
              </w:rPr>
              <w:tab/>
            </w:r>
            <w:r w:rsidR="00D14EFA" w:rsidRPr="00E85E82">
              <w:rPr>
                <w:sz w:val="20"/>
                <w:szCs w:val="20"/>
              </w:rPr>
              <w:t>Kevin McGivney</w:t>
            </w:r>
          </w:p>
          <w:p w:rsidR="00126883" w:rsidRPr="00E85E82" w:rsidRDefault="00126883" w:rsidP="00126883">
            <w:pPr>
              <w:tabs>
                <w:tab w:val="left" w:pos="-1440"/>
                <w:tab w:val="left" w:pos="-720"/>
              </w:tabs>
              <w:rPr>
                <w:sz w:val="20"/>
                <w:szCs w:val="20"/>
              </w:rPr>
            </w:pPr>
            <w:r w:rsidRPr="00E85E82">
              <w:rPr>
                <w:sz w:val="20"/>
                <w:szCs w:val="20"/>
              </w:rPr>
              <w:tab/>
            </w:r>
            <w:r w:rsidR="00D14EFA" w:rsidRPr="00E85E82">
              <w:rPr>
                <w:sz w:val="20"/>
                <w:szCs w:val="20"/>
              </w:rPr>
              <w:t>Borden Ladner Gervais LLP</w:t>
            </w:r>
          </w:p>
          <w:p w:rsidR="00126883" w:rsidRPr="00E85E82" w:rsidRDefault="00126883" w:rsidP="00126883">
            <w:pPr>
              <w:tabs>
                <w:tab w:val="left" w:pos="-1440"/>
                <w:tab w:val="left" w:pos="-720"/>
              </w:tabs>
              <w:rPr>
                <w:sz w:val="20"/>
                <w:szCs w:val="20"/>
              </w:rPr>
            </w:pPr>
          </w:p>
          <w:p w:rsidR="00126883" w:rsidRPr="00E85E82" w:rsidRDefault="00126883" w:rsidP="00126883">
            <w:pPr>
              <w:tabs>
                <w:tab w:val="left" w:pos="-1440"/>
                <w:tab w:val="left" w:pos="-720"/>
              </w:tabs>
              <w:rPr>
                <w:sz w:val="20"/>
                <w:szCs w:val="20"/>
              </w:rPr>
            </w:pPr>
            <w:r w:rsidRPr="00E85E82">
              <w:rPr>
                <w:sz w:val="20"/>
                <w:szCs w:val="20"/>
              </w:rPr>
              <w:tab/>
              <w:t>v. (3</w:t>
            </w:r>
            <w:r w:rsidR="00D14EFA" w:rsidRPr="00E85E82">
              <w:rPr>
                <w:sz w:val="20"/>
                <w:szCs w:val="20"/>
              </w:rPr>
              <w:t>7050</w:t>
            </w:r>
            <w:r w:rsidRPr="00E85E82">
              <w:rPr>
                <w:sz w:val="20"/>
                <w:szCs w:val="20"/>
              </w:rPr>
              <w:t>)</w:t>
            </w:r>
          </w:p>
          <w:p w:rsidR="00126883" w:rsidRPr="00E85E82" w:rsidRDefault="00126883" w:rsidP="00126883">
            <w:pPr>
              <w:tabs>
                <w:tab w:val="left" w:pos="-1440"/>
                <w:tab w:val="left" w:pos="-720"/>
              </w:tabs>
              <w:rPr>
                <w:sz w:val="20"/>
                <w:szCs w:val="20"/>
              </w:rPr>
            </w:pPr>
          </w:p>
          <w:p w:rsidR="00126883" w:rsidRPr="00E85E82" w:rsidRDefault="00D14EFA" w:rsidP="00126883">
            <w:pPr>
              <w:tabs>
                <w:tab w:val="left" w:pos="-1440"/>
                <w:tab w:val="left" w:pos="-720"/>
              </w:tabs>
              <w:rPr>
                <w:b/>
                <w:sz w:val="20"/>
                <w:szCs w:val="20"/>
              </w:rPr>
            </w:pPr>
            <w:r w:rsidRPr="00E85E82">
              <w:rPr>
                <w:b/>
                <w:sz w:val="20"/>
                <w:szCs w:val="20"/>
              </w:rPr>
              <w:t xml:space="preserve">Sherry Good </w:t>
            </w:r>
            <w:r w:rsidR="00126883" w:rsidRPr="00E85E82">
              <w:rPr>
                <w:b/>
                <w:sz w:val="20"/>
                <w:szCs w:val="20"/>
              </w:rPr>
              <w:t>(Ont.)</w:t>
            </w:r>
          </w:p>
          <w:p w:rsidR="00126883" w:rsidRPr="00E85E82" w:rsidRDefault="00126883" w:rsidP="00126883">
            <w:pPr>
              <w:tabs>
                <w:tab w:val="left" w:pos="-1440"/>
                <w:tab w:val="left" w:pos="-720"/>
              </w:tabs>
              <w:rPr>
                <w:sz w:val="20"/>
                <w:szCs w:val="20"/>
              </w:rPr>
            </w:pPr>
            <w:r w:rsidRPr="00E85E82">
              <w:rPr>
                <w:sz w:val="20"/>
                <w:szCs w:val="20"/>
              </w:rPr>
              <w:tab/>
            </w:r>
            <w:r w:rsidR="00D14EFA" w:rsidRPr="00E85E82">
              <w:rPr>
                <w:sz w:val="20"/>
                <w:szCs w:val="20"/>
              </w:rPr>
              <w:t>Eric K. Gillespie</w:t>
            </w:r>
          </w:p>
          <w:p w:rsidR="00126883" w:rsidRPr="00E85E82" w:rsidRDefault="00126883" w:rsidP="00126883">
            <w:pPr>
              <w:tabs>
                <w:tab w:val="left" w:pos="-1440"/>
                <w:tab w:val="left" w:pos="-720"/>
              </w:tabs>
              <w:rPr>
                <w:sz w:val="20"/>
                <w:szCs w:val="20"/>
              </w:rPr>
            </w:pPr>
            <w:r w:rsidRPr="00E85E82">
              <w:rPr>
                <w:sz w:val="20"/>
                <w:szCs w:val="20"/>
              </w:rPr>
              <w:tab/>
            </w:r>
            <w:r w:rsidR="00D14EFA" w:rsidRPr="00E85E82">
              <w:rPr>
                <w:sz w:val="20"/>
                <w:szCs w:val="20"/>
              </w:rPr>
              <w:t xml:space="preserve">Eric K. Gillespie Professional </w:t>
            </w:r>
            <w:r w:rsidR="00D14EFA" w:rsidRPr="00E85E82">
              <w:rPr>
                <w:sz w:val="20"/>
                <w:szCs w:val="20"/>
              </w:rPr>
              <w:tab/>
              <w:t>Corporation</w:t>
            </w:r>
          </w:p>
          <w:p w:rsidR="00126883" w:rsidRPr="00E85E82" w:rsidRDefault="00126883" w:rsidP="00126883">
            <w:pPr>
              <w:tabs>
                <w:tab w:val="left" w:pos="-1440"/>
                <w:tab w:val="left" w:pos="-720"/>
              </w:tabs>
              <w:rPr>
                <w:sz w:val="20"/>
                <w:szCs w:val="20"/>
              </w:rPr>
            </w:pPr>
          </w:p>
          <w:p w:rsidR="00126883" w:rsidRPr="00E85E82" w:rsidRDefault="00126883" w:rsidP="00126883">
            <w:pPr>
              <w:rPr>
                <w:sz w:val="20"/>
                <w:szCs w:val="20"/>
              </w:rPr>
            </w:pPr>
            <w:r w:rsidRPr="00E85E82">
              <w:rPr>
                <w:sz w:val="20"/>
                <w:szCs w:val="20"/>
              </w:rPr>
              <w:t xml:space="preserve">FILING DATE: </w:t>
            </w:r>
            <w:r w:rsidR="00D14EFA" w:rsidRPr="00E85E82">
              <w:rPr>
                <w:sz w:val="20"/>
                <w:szCs w:val="20"/>
              </w:rPr>
              <w:t>06</w:t>
            </w:r>
            <w:r w:rsidRPr="00E85E82">
              <w:rPr>
                <w:sz w:val="20"/>
                <w:szCs w:val="20"/>
              </w:rPr>
              <w:t>.0</w:t>
            </w:r>
            <w:r w:rsidR="00D14EFA" w:rsidRPr="00E85E82">
              <w:rPr>
                <w:sz w:val="20"/>
                <w:szCs w:val="20"/>
              </w:rPr>
              <w:t>6</w:t>
            </w:r>
            <w:r w:rsidRPr="00E85E82">
              <w:rPr>
                <w:sz w:val="20"/>
                <w:szCs w:val="20"/>
              </w:rPr>
              <w:t>.201</w:t>
            </w:r>
            <w:r w:rsidR="00D14EFA" w:rsidRPr="00E85E82">
              <w:rPr>
                <w:sz w:val="20"/>
                <w:szCs w:val="20"/>
              </w:rPr>
              <w:t>6</w:t>
            </w:r>
          </w:p>
          <w:p w:rsidR="00126883" w:rsidRPr="00E85E82" w:rsidRDefault="00B407D6" w:rsidP="00126883">
            <w:pPr>
              <w:rPr>
                <w:sz w:val="20"/>
                <w:szCs w:val="20"/>
              </w:rPr>
            </w:pPr>
            <w:r>
              <w:rPr>
                <w:sz w:val="20"/>
                <w:szCs w:val="20"/>
                <w:lang w:val="fr-CA"/>
              </w:rPr>
              <w:pict w14:anchorId="71A164BE">
                <v:rect id="_x0000_i1036" style="width:108pt;height:1pt" o:hrpct="0" o:hralign="center" o:hrstd="t" o:hrnoshade="t" o:hr="t" fillcolor="black [3213]" stroked="f"/>
              </w:pict>
            </w:r>
          </w:p>
        </w:tc>
      </w:tr>
      <w:tr w:rsidR="00E16A57" w:rsidRPr="00E85E82" w:rsidTr="003B3977">
        <w:trPr>
          <w:cantSplit/>
        </w:trPr>
        <w:tc>
          <w:tcPr>
            <w:tcW w:w="4320" w:type="dxa"/>
            <w:shd w:val="clear" w:color="auto" w:fill="auto"/>
          </w:tcPr>
          <w:p w:rsidR="00E16A57" w:rsidRPr="00E85E82" w:rsidRDefault="00B14CB7" w:rsidP="00E16A57">
            <w:pPr>
              <w:rPr>
                <w:b/>
                <w:sz w:val="20"/>
                <w:szCs w:val="20"/>
              </w:rPr>
            </w:pPr>
            <w:r w:rsidRPr="00E85E82">
              <w:rPr>
                <w:b/>
                <w:sz w:val="20"/>
                <w:szCs w:val="20"/>
              </w:rPr>
              <w:t xml:space="preserve">Harry </w:t>
            </w:r>
            <w:proofErr w:type="spellStart"/>
            <w:r w:rsidRPr="00E85E82">
              <w:rPr>
                <w:b/>
                <w:sz w:val="20"/>
                <w:szCs w:val="20"/>
              </w:rPr>
              <w:t>Mansuy</w:t>
            </w:r>
            <w:proofErr w:type="spellEnd"/>
          </w:p>
          <w:p w:rsidR="00E16A57" w:rsidRPr="00E85E82" w:rsidRDefault="00E16A57" w:rsidP="00E16A57">
            <w:pPr>
              <w:tabs>
                <w:tab w:val="left" w:pos="-1440"/>
                <w:tab w:val="left" w:pos="-720"/>
              </w:tabs>
              <w:rPr>
                <w:sz w:val="20"/>
                <w:szCs w:val="20"/>
              </w:rPr>
            </w:pPr>
            <w:r w:rsidRPr="00E85E82">
              <w:rPr>
                <w:sz w:val="20"/>
                <w:szCs w:val="20"/>
              </w:rPr>
              <w:tab/>
            </w:r>
            <w:r w:rsidR="00B14CB7" w:rsidRPr="00E85E82">
              <w:rPr>
                <w:sz w:val="20"/>
                <w:szCs w:val="20"/>
              </w:rPr>
              <w:t xml:space="preserve">Harry </w:t>
            </w:r>
            <w:proofErr w:type="spellStart"/>
            <w:r w:rsidR="00B14CB7" w:rsidRPr="00E85E82">
              <w:rPr>
                <w:sz w:val="20"/>
                <w:szCs w:val="20"/>
              </w:rPr>
              <w:t>Mansuy</w:t>
            </w:r>
            <w:proofErr w:type="spellEnd"/>
          </w:p>
          <w:p w:rsidR="00E16A57" w:rsidRPr="00E85E82" w:rsidRDefault="00E16A57" w:rsidP="00E16A57">
            <w:pPr>
              <w:tabs>
                <w:tab w:val="left" w:pos="-1440"/>
                <w:tab w:val="left" w:pos="-720"/>
              </w:tabs>
              <w:rPr>
                <w:sz w:val="20"/>
                <w:szCs w:val="20"/>
              </w:rPr>
            </w:pPr>
          </w:p>
          <w:p w:rsidR="00E16A57" w:rsidRPr="00E85E82" w:rsidRDefault="00E16A57" w:rsidP="00E16A57">
            <w:pPr>
              <w:tabs>
                <w:tab w:val="left" w:pos="-1440"/>
                <w:tab w:val="left" w:pos="-720"/>
              </w:tabs>
              <w:rPr>
                <w:sz w:val="20"/>
                <w:szCs w:val="20"/>
              </w:rPr>
            </w:pPr>
            <w:r w:rsidRPr="00E85E82">
              <w:rPr>
                <w:sz w:val="20"/>
                <w:szCs w:val="20"/>
              </w:rPr>
              <w:tab/>
              <w:t>v. (3</w:t>
            </w:r>
            <w:r w:rsidR="00B14CB7" w:rsidRPr="00E85E82">
              <w:rPr>
                <w:sz w:val="20"/>
                <w:szCs w:val="20"/>
              </w:rPr>
              <w:t>7051</w:t>
            </w:r>
            <w:r w:rsidRPr="00E85E82">
              <w:rPr>
                <w:sz w:val="20"/>
                <w:szCs w:val="20"/>
              </w:rPr>
              <w:t>)</w:t>
            </w:r>
          </w:p>
          <w:p w:rsidR="00E16A57" w:rsidRPr="00E85E82" w:rsidRDefault="00E16A57" w:rsidP="00E16A57">
            <w:pPr>
              <w:tabs>
                <w:tab w:val="left" w:pos="-1440"/>
                <w:tab w:val="left" w:pos="-720"/>
              </w:tabs>
              <w:rPr>
                <w:sz w:val="20"/>
                <w:szCs w:val="20"/>
              </w:rPr>
            </w:pPr>
          </w:p>
          <w:p w:rsidR="00E16A57" w:rsidRPr="00C556BB" w:rsidRDefault="00B14CB7" w:rsidP="00E16A57">
            <w:pPr>
              <w:tabs>
                <w:tab w:val="left" w:pos="-1440"/>
                <w:tab w:val="left" w:pos="-720"/>
              </w:tabs>
              <w:rPr>
                <w:b/>
                <w:sz w:val="20"/>
                <w:szCs w:val="20"/>
                <w:lang w:val="fr-CA"/>
              </w:rPr>
            </w:pPr>
            <w:r w:rsidRPr="00C556BB">
              <w:rPr>
                <w:b/>
                <w:sz w:val="20"/>
                <w:szCs w:val="20"/>
                <w:lang w:val="fr-CA"/>
              </w:rPr>
              <w:t xml:space="preserve">Alexandra Abraham en sa qualité de tutrice aux biens de la majeure Ruth Louis </w:t>
            </w:r>
            <w:r w:rsidR="00E16A57" w:rsidRPr="00C556BB">
              <w:rPr>
                <w:b/>
                <w:sz w:val="20"/>
                <w:szCs w:val="20"/>
                <w:lang w:val="fr-CA"/>
              </w:rPr>
              <w:t>(</w:t>
            </w:r>
            <w:proofErr w:type="spellStart"/>
            <w:r w:rsidRPr="00C556BB">
              <w:rPr>
                <w:b/>
                <w:sz w:val="20"/>
                <w:szCs w:val="20"/>
                <w:lang w:val="fr-CA"/>
              </w:rPr>
              <w:t>Qc</w:t>
            </w:r>
            <w:proofErr w:type="spellEnd"/>
            <w:r w:rsidR="00E16A57" w:rsidRPr="00C556BB">
              <w:rPr>
                <w:b/>
                <w:sz w:val="20"/>
                <w:szCs w:val="20"/>
                <w:lang w:val="fr-CA"/>
              </w:rPr>
              <w:t>)</w:t>
            </w:r>
          </w:p>
          <w:p w:rsidR="00E16A57" w:rsidRPr="00C556BB" w:rsidRDefault="00E16A57" w:rsidP="00E16A57">
            <w:pPr>
              <w:tabs>
                <w:tab w:val="left" w:pos="-1440"/>
                <w:tab w:val="left" w:pos="-720"/>
              </w:tabs>
              <w:rPr>
                <w:sz w:val="20"/>
                <w:szCs w:val="20"/>
                <w:lang w:val="fr-CA"/>
              </w:rPr>
            </w:pPr>
            <w:r w:rsidRPr="00C556BB">
              <w:rPr>
                <w:sz w:val="20"/>
                <w:szCs w:val="20"/>
                <w:lang w:val="fr-CA"/>
              </w:rPr>
              <w:tab/>
            </w:r>
            <w:r w:rsidR="00B14CB7" w:rsidRPr="00C556BB">
              <w:rPr>
                <w:sz w:val="20"/>
                <w:szCs w:val="20"/>
                <w:lang w:val="fr-CA"/>
              </w:rPr>
              <w:t>Alexandra Abraham</w:t>
            </w:r>
          </w:p>
          <w:p w:rsidR="001D4A84" w:rsidRPr="00C556BB" w:rsidRDefault="001D4A84" w:rsidP="00E16A57">
            <w:pPr>
              <w:tabs>
                <w:tab w:val="left" w:pos="-1440"/>
                <w:tab w:val="left" w:pos="-720"/>
              </w:tabs>
              <w:rPr>
                <w:sz w:val="20"/>
                <w:szCs w:val="20"/>
                <w:lang w:val="fr-CA"/>
              </w:rPr>
            </w:pPr>
          </w:p>
          <w:p w:rsidR="00E16A57" w:rsidRPr="00C556BB" w:rsidRDefault="00E16A57" w:rsidP="00E16A57">
            <w:pPr>
              <w:rPr>
                <w:sz w:val="20"/>
                <w:szCs w:val="20"/>
                <w:lang w:val="fr-CA"/>
              </w:rPr>
            </w:pPr>
            <w:r w:rsidRPr="00C556BB">
              <w:rPr>
                <w:sz w:val="20"/>
                <w:szCs w:val="20"/>
                <w:lang w:val="fr-CA"/>
              </w:rPr>
              <w:t>DATE</w:t>
            </w:r>
            <w:r w:rsidR="00B14CB7" w:rsidRPr="00C556BB">
              <w:rPr>
                <w:sz w:val="20"/>
                <w:szCs w:val="20"/>
                <w:lang w:val="fr-CA"/>
              </w:rPr>
              <w:t xml:space="preserve"> DE PRODUCTION</w:t>
            </w:r>
            <w:r w:rsidRPr="00C556BB">
              <w:rPr>
                <w:sz w:val="20"/>
                <w:szCs w:val="20"/>
                <w:lang w:val="fr-CA"/>
              </w:rPr>
              <w:t xml:space="preserve">: </w:t>
            </w:r>
            <w:r w:rsidR="00B14CB7" w:rsidRPr="00C556BB">
              <w:rPr>
                <w:sz w:val="20"/>
                <w:szCs w:val="20"/>
                <w:lang w:val="fr-CA"/>
              </w:rPr>
              <w:t>06</w:t>
            </w:r>
            <w:r w:rsidRPr="00C556BB">
              <w:rPr>
                <w:sz w:val="20"/>
                <w:szCs w:val="20"/>
                <w:lang w:val="fr-CA"/>
              </w:rPr>
              <w:t>.0</w:t>
            </w:r>
            <w:r w:rsidR="00B14CB7" w:rsidRPr="00C556BB">
              <w:rPr>
                <w:sz w:val="20"/>
                <w:szCs w:val="20"/>
                <w:lang w:val="fr-CA"/>
              </w:rPr>
              <w:t>6</w:t>
            </w:r>
            <w:r w:rsidRPr="00C556BB">
              <w:rPr>
                <w:sz w:val="20"/>
                <w:szCs w:val="20"/>
                <w:lang w:val="fr-CA"/>
              </w:rPr>
              <w:t>.201</w:t>
            </w:r>
            <w:r w:rsidR="00B14CB7" w:rsidRPr="00C556BB">
              <w:rPr>
                <w:sz w:val="20"/>
                <w:szCs w:val="20"/>
                <w:lang w:val="fr-CA"/>
              </w:rPr>
              <w:t>6</w:t>
            </w:r>
          </w:p>
          <w:p w:rsidR="00E16A57" w:rsidRPr="00E85E82" w:rsidRDefault="00B407D6" w:rsidP="00E16A57">
            <w:pPr>
              <w:rPr>
                <w:sz w:val="20"/>
                <w:szCs w:val="20"/>
              </w:rPr>
            </w:pPr>
            <w:r>
              <w:rPr>
                <w:sz w:val="20"/>
                <w:szCs w:val="20"/>
                <w:lang w:val="fr-CA"/>
              </w:rPr>
              <w:pict w14:anchorId="4C238526">
                <v:rect id="_x0000_i1037" style="width:108pt;height:1pt" o:hrpct="0" o:hralign="center" o:hrstd="t" o:hrnoshade="t" o:hr="t" fillcolor="black [3213]" stroked="f"/>
              </w:pict>
            </w:r>
          </w:p>
        </w:tc>
        <w:tc>
          <w:tcPr>
            <w:tcW w:w="1181" w:type="dxa"/>
            <w:shd w:val="clear" w:color="auto" w:fill="auto"/>
          </w:tcPr>
          <w:p w:rsidR="00E16A57" w:rsidRPr="00E85E82" w:rsidRDefault="00E16A57" w:rsidP="00E16A57">
            <w:pPr>
              <w:jc w:val="center"/>
              <w:rPr>
                <w:sz w:val="20"/>
                <w:szCs w:val="20"/>
              </w:rPr>
            </w:pPr>
          </w:p>
          <w:p w:rsidR="00E16A57" w:rsidRPr="00E85E82" w:rsidRDefault="00E16A57" w:rsidP="00E16A57">
            <w:pPr>
              <w:jc w:val="center"/>
              <w:rPr>
                <w:sz w:val="20"/>
                <w:szCs w:val="20"/>
              </w:rPr>
            </w:pPr>
          </w:p>
          <w:p w:rsidR="00E16A57" w:rsidRPr="00E85E82" w:rsidRDefault="00E16A57" w:rsidP="00E16A57">
            <w:pPr>
              <w:jc w:val="center"/>
              <w:rPr>
                <w:sz w:val="20"/>
                <w:szCs w:val="20"/>
              </w:rPr>
            </w:pPr>
          </w:p>
          <w:p w:rsidR="00E16A57" w:rsidRPr="00E85E82" w:rsidRDefault="00E16A57" w:rsidP="00E16A57">
            <w:pPr>
              <w:jc w:val="center"/>
              <w:rPr>
                <w:sz w:val="20"/>
                <w:szCs w:val="20"/>
              </w:rPr>
            </w:pPr>
          </w:p>
          <w:p w:rsidR="00E16A57" w:rsidRPr="00E85E82" w:rsidRDefault="00E16A57" w:rsidP="00E16A57">
            <w:pPr>
              <w:jc w:val="center"/>
              <w:rPr>
                <w:sz w:val="20"/>
                <w:szCs w:val="20"/>
              </w:rPr>
            </w:pPr>
          </w:p>
          <w:p w:rsidR="00E16A57" w:rsidRPr="00E85E82" w:rsidRDefault="00E16A57" w:rsidP="00E16A57">
            <w:pPr>
              <w:jc w:val="center"/>
              <w:rPr>
                <w:sz w:val="20"/>
                <w:szCs w:val="20"/>
              </w:rPr>
            </w:pPr>
          </w:p>
          <w:p w:rsidR="00E16A57" w:rsidRPr="00E85E82" w:rsidRDefault="00E16A57" w:rsidP="00E16A57">
            <w:pPr>
              <w:jc w:val="center"/>
              <w:rPr>
                <w:sz w:val="20"/>
                <w:szCs w:val="20"/>
              </w:rPr>
            </w:pPr>
          </w:p>
          <w:p w:rsidR="00E16A57" w:rsidRPr="00E85E82" w:rsidRDefault="00E16A57" w:rsidP="00E16A57">
            <w:pPr>
              <w:jc w:val="center"/>
              <w:rPr>
                <w:sz w:val="20"/>
                <w:szCs w:val="20"/>
              </w:rPr>
            </w:pPr>
          </w:p>
          <w:p w:rsidR="00E16A57" w:rsidRPr="00E85E82" w:rsidRDefault="00E16A57" w:rsidP="00E16A57">
            <w:pPr>
              <w:jc w:val="center"/>
              <w:rPr>
                <w:sz w:val="20"/>
                <w:szCs w:val="20"/>
              </w:rPr>
            </w:pPr>
          </w:p>
          <w:p w:rsidR="00E16A57" w:rsidRPr="00E85E82" w:rsidRDefault="00E16A57" w:rsidP="00E16A57">
            <w:pPr>
              <w:jc w:val="center"/>
              <w:rPr>
                <w:sz w:val="20"/>
                <w:szCs w:val="20"/>
              </w:rPr>
            </w:pPr>
          </w:p>
          <w:p w:rsidR="00E16A57" w:rsidRPr="00E85E82" w:rsidRDefault="00E16A57" w:rsidP="00E16A57">
            <w:pPr>
              <w:jc w:val="center"/>
              <w:rPr>
                <w:sz w:val="20"/>
                <w:szCs w:val="20"/>
              </w:rPr>
            </w:pPr>
          </w:p>
          <w:p w:rsidR="00E16A57" w:rsidRPr="00E85E82" w:rsidRDefault="00E16A57" w:rsidP="00E16A57">
            <w:pPr>
              <w:jc w:val="center"/>
              <w:rPr>
                <w:sz w:val="20"/>
                <w:szCs w:val="20"/>
              </w:rPr>
            </w:pPr>
          </w:p>
          <w:p w:rsidR="00B14CB7" w:rsidRPr="00E85E82" w:rsidRDefault="00B14CB7" w:rsidP="00E16A57">
            <w:pPr>
              <w:jc w:val="center"/>
              <w:rPr>
                <w:sz w:val="20"/>
                <w:szCs w:val="20"/>
              </w:rPr>
            </w:pPr>
          </w:p>
          <w:p w:rsidR="00E16A57" w:rsidRPr="00E85E82" w:rsidRDefault="00E16A57" w:rsidP="00E16A57">
            <w:pPr>
              <w:jc w:val="center"/>
              <w:rPr>
                <w:sz w:val="20"/>
                <w:szCs w:val="20"/>
              </w:rPr>
            </w:pPr>
          </w:p>
        </w:tc>
        <w:tc>
          <w:tcPr>
            <w:tcW w:w="4320" w:type="dxa"/>
            <w:shd w:val="clear" w:color="auto" w:fill="auto"/>
          </w:tcPr>
          <w:p w:rsidR="00E16A57" w:rsidRPr="00E85E82" w:rsidRDefault="00167ACD" w:rsidP="00E16A57">
            <w:pPr>
              <w:rPr>
                <w:b/>
                <w:sz w:val="20"/>
                <w:szCs w:val="20"/>
              </w:rPr>
            </w:pPr>
            <w:r w:rsidRPr="00E85E82">
              <w:rPr>
                <w:b/>
                <w:sz w:val="20"/>
                <w:szCs w:val="20"/>
              </w:rPr>
              <w:t>Durham Regional Crime Stoppers Inc.</w:t>
            </w:r>
          </w:p>
          <w:p w:rsidR="00E16A57" w:rsidRPr="00E85E82" w:rsidRDefault="00E16A57" w:rsidP="00E16A57">
            <w:pPr>
              <w:tabs>
                <w:tab w:val="left" w:pos="-1440"/>
                <w:tab w:val="left" w:pos="-720"/>
              </w:tabs>
              <w:rPr>
                <w:sz w:val="20"/>
                <w:szCs w:val="20"/>
              </w:rPr>
            </w:pPr>
            <w:r w:rsidRPr="00E85E82">
              <w:rPr>
                <w:sz w:val="20"/>
                <w:szCs w:val="20"/>
              </w:rPr>
              <w:tab/>
            </w:r>
            <w:r w:rsidR="00167ACD" w:rsidRPr="00E85E82">
              <w:rPr>
                <w:sz w:val="20"/>
                <w:szCs w:val="20"/>
              </w:rPr>
              <w:t>Robert S. Gill</w:t>
            </w:r>
          </w:p>
          <w:p w:rsidR="00E16A57" w:rsidRPr="00E85E82" w:rsidRDefault="00E16A57" w:rsidP="00E16A57">
            <w:pPr>
              <w:tabs>
                <w:tab w:val="left" w:pos="-1440"/>
                <w:tab w:val="left" w:pos="-720"/>
              </w:tabs>
              <w:rPr>
                <w:sz w:val="20"/>
                <w:szCs w:val="20"/>
              </w:rPr>
            </w:pPr>
            <w:r w:rsidRPr="00E85E82">
              <w:rPr>
                <w:sz w:val="20"/>
                <w:szCs w:val="20"/>
              </w:rPr>
              <w:tab/>
            </w:r>
            <w:r w:rsidR="00167ACD" w:rsidRPr="00E85E82">
              <w:rPr>
                <w:sz w:val="20"/>
                <w:szCs w:val="20"/>
              </w:rPr>
              <w:t>Clay &amp; Company</w:t>
            </w:r>
          </w:p>
          <w:p w:rsidR="00E16A57" w:rsidRPr="00E85E82" w:rsidRDefault="00E16A57" w:rsidP="00E16A57">
            <w:pPr>
              <w:tabs>
                <w:tab w:val="left" w:pos="-1440"/>
                <w:tab w:val="left" w:pos="-720"/>
              </w:tabs>
              <w:rPr>
                <w:sz w:val="20"/>
                <w:szCs w:val="20"/>
              </w:rPr>
            </w:pPr>
          </w:p>
          <w:p w:rsidR="00E16A57" w:rsidRPr="00E85E82" w:rsidRDefault="00E16A57" w:rsidP="00E16A57">
            <w:pPr>
              <w:tabs>
                <w:tab w:val="left" w:pos="-1440"/>
                <w:tab w:val="left" w:pos="-720"/>
              </w:tabs>
              <w:rPr>
                <w:sz w:val="20"/>
                <w:szCs w:val="20"/>
              </w:rPr>
            </w:pPr>
            <w:r w:rsidRPr="00E85E82">
              <w:rPr>
                <w:sz w:val="20"/>
                <w:szCs w:val="20"/>
              </w:rPr>
              <w:tab/>
              <w:t>v. (3</w:t>
            </w:r>
            <w:r w:rsidR="00167ACD" w:rsidRPr="00E85E82">
              <w:rPr>
                <w:sz w:val="20"/>
                <w:szCs w:val="20"/>
              </w:rPr>
              <w:t>7052</w:t>
            </w:r>
            <w:r w:rsidRPr="00E85E82">
              <w:rPr>
                <w:sz w:val="20"/>
                <w:szCs w:val="20"/>
              </w:rPr>
              <w:t>)</w:t>
            </w:r>
          </w:p>
          <w:p w:rsidR="00E16A57" w:rsidRPr="00E85E82" w:rsidRDefault="00E16A57" w:rsidP="00E16A57">
            <w:pPr>
              <w:tabs>
                <w:tab w:val="left" w:pos="-1440"/>
                <w:tab w:val="left" w:pos="-720"/>
              </w:tabs>
              <w:rPr>
                <w:sz w:val="20"/>
                <w:szCs w:val="20"/>
              </w:rPr>
            </w:pPr>
          </w:p>
          <w:p w:rsidR="00E16A57" w:rsidRPr="00E85E82" w:rsidRDefault="00167ACD" w:rsidP="00E16A57">
            <w:pPr>
              <w:tabs>
                <w:tab w:val="left" w:pos="-1440"/>
                <w:tab w:val="left" w:pos="-720"/>
              </w:tabs>
              <w:rPr>
                <w:b/>
                <w:sz w:val="20"/>
                <w:szCs w:val="20"/>
              </w:rPr>
            </w:pPr>
            <w:r w:rsidRPr="00E85E82">
              <w:rPr>
                <w:b/>
                <w:sz w:val="20"/>
                <w:szCs w:val="20"/>
              </w:rPr>
              <w:t xml:space="preserve">Her Majesty the Queen </w:t>
            </w:r>
            <w:r w:rsidR="00E16A57" w:rsidRPr="00E85E82">
              <w:rPr>
                <w:b/>
                <w:sz w:val="20"/>
                <w:szCs w:val="20"/>
              </w:rPr>
              <w:t>(Ont.)</w:t>
            </w:r>
          </w:p>
          <w:p w:rsidR="00E16A57" w:rsidRPr="00E85E82" w:rsidRDefault="00E16A57" w:rsidP="00E16A57">
            <w:pPr>
              <w:tabs>
                <w:tab w:val="left" w:pos="-1440"/>
                <w:tab w:val="left" w:pos="-720"/>
              </w:tabs>
              <w:rPr>
                <w:sz w:val="20"/>
                <w:szCs w:val="20"/>
              </w:rPr>
            </w:pPr>
            <w:r w:rsidRPr="00E85E82">
              <w:rPr>
                <w:sz w:val="20"/>
                <w:szCs w:val="20"/>
              </w:rPr>
              <w:tab/>
            </w:r>
            <w:r w:rsidR="00167ACD" w:rsidRPr="00E85E82">
              <w:rPr>
                <w:sz w:val="20"/>
                <w:szCs w:val="20"/>
              </w:rPr>
              <w:t>Lara Crawford</w:t>
            </w:r>
          </w:p>
          <w:p w:rsidR="00E16A57" w:rsidRPr="00E85E82" w:rsidRDefault="00E16A57" w:rsidP="00E16A57">
            <w:pPr>
              <w:tabs>
                <w:tab w:val="left" w:pos="-1440"/>
                <w:tab w:val="left" w:pos="-720"/>
              </w:tabs>
              <w:rPr>
                <w:sz w:val="20"/>
                <w:szCs w:val="20"/>
              </w:rPr>
            </w:pPr>
            <w:r w:rsidRPr="00E85E82">
              <w:rPr>
                <w:sz w:val="20"/>
                <w:szCs w:val="20"/>
              </w:rPr>
              <w:tab/>
            </w:r>
            <w:r w:rsidR="00167ACD" w:rsidRPr="00E85E82">
              <w:rPr>
                <w:sz w:val="20"/>
                <w:szCs w:val="20"/>
              </w:rPr>
              <w:t>A.G. of Ontario</w:t>
            </w:r>
          </w:p>
          <w:p w:rsidR="00E16A57" w:rsidRPr="00E85E82" w:rsidRDefault="00E16A57" w:rsidP="00E16A57">
            <w:pPr>
              <w:tabs>
                <w:tab w:val="left" w:pos="-1440"/>
                <w:tab w:val="left" w:pos="-720"/>
              </w:tabs>
              <w:rPr>
                <w:sz w:val="20"/>
                <w:szCs w:val="20"/>
              </w:rPr>
            </w:pPr>
          </w:p>
          <w:p w:rsidR="00E16A57" w:rsidRPr="00E85E82" w:rsidRDefault="00E16A57" w:rsidP="00E16A57">
            <w:pPr>
              <w:rPr>
                <w:sz w:val="20"/>
                <w:szCs w:val="20"/>
              </w:rPr>
            </w:pPr>
            <w:r w:rsidRPr="00E85E82">
              <w:rPr>
                <w:sz w:val="20"/>
                <w:szCs w:val="20"/>
              </w:rPr>
              <w:t xml:space="preserve">FILING DATE: </w:t>
            </w:r>
            <w:r w:rsidR="00167ACD" w:rsidRPr="00E85E82">
              <w:rPr>
                <w:sz w:val="20"/>
                <w:szCs w:val="20"/>
              </w:rPr>
              <w:t>06</w:t>
            </w:r>
            <w:r w:rsidRPr="00E85E82">
              <w:rPr>
                <w:sz w:val="20"/>
                <w:szCs w:val="20"/>
              </w:rPr>
              <w:t>.0</w:t>
            </w:r>
            <w:r w:rsidR="00167ACD" w:rsidRPr="00E85E82">
              <w:rPr>
                <w:sz w:val="20"/>
                <w:szCs w:val="20"/>
              </w:rPr>
              <w:t>6</w:t>
            </w:r>
            <w:r w:rsidRPr="00E85E82">
              <w:rPr>
                <w:sz w:val="20"/>
                <w:szCs w:val="20"/>
              </w:rPr>
              <w:t>.201</w:t>
            </w:r>
            <w:r w:rsidR="00167ACD" w:rsidRPr="00E85E82">
              <w:rPr>
                <w:sz w:val="20"/>
                <w:szCs w:val="20"/>
              </w:rPr>
              <w:t>6</w:t>
            </w:r>
          </w:p>
          <w:p w:rsidR="00E16A57" w:rsidRPr="00E85E82" w:rsidRDefault="00B407D6" w:rsidP="00E16A57">
            <w:pPr>
              <w:rPr>
                <w:sz w:val="20"/>
                <w:szCs w:val="20"/>
              </w:rPr>
            </w:pPr>
            <w:r>
              <w:rPr>
                <w:sz w:val="20"/>
                <w:szCs w:val="20"/>
                <w:lang w:val="fr-CA"/>
              </w:rPr>
              <w:pict w14:anchorId="09B7EE2E">
                <v:rect id="_x0000_i1038" style="width:108pt;height:1pt" o:hrpct="0" o:hralign="center" o:hrstd="t" o:hrnoshade="t" o:hr="t" fillcolor="black [3213]" stroked="f"/>
              </w:pict>
            </w:r>
          </w:p>
        </w:tc>
      </w:tr>
      <w:tr w:rsidR="00E16A57" w:rsidRPr="00E85E82" w:rsidTr="003B3977">
        <w:trPr>
          <w:cantSplit/>
        </w:trPr>
        <w:tc>
          <w:tcPr>
            <w:tcW w:w="4320" w:type="dxa"/>
            <w:shd w:val="clear" w:color="auto" w:fill="auto"/>
          </w:tcPr>
          <w:p w:rsidR="00E16A57" w:rsidRPr="00E85E82" w:rsidRDefault="0081264A" w:rsidP="00E16A57">
            <w:pPr>
              <w:rPr>
                <w:b/>
                <w:sz w:val="20"/>
                <w:szCs w:val="20"/>
              </w:rPr>
            </w:pPr>
            <w:r w:rsidRPr="00E85E82">
              <w:rPr>
                <w:b/>
                <w:sz w:val="20"/>
                <w:szCs w:val="20"/>
              </w:rPr>
              <w:t>Julie Daly</w:t>
            </w:r>
          </w:p>
          <w:p w:rsidR="00E16A57" w:rsidRPr="00E85E82" w:rsidRDefault="00E16A57" w:rsidP="00E16A57">
            <w:pPr>
              <w:tabs>
                <w:tab w:val="left" w:pos="-1440"/>
                <w:tab w:val="left" w:pos="-720"/>
              </w:tabs>
              <w:rPr>
                <w:sz w:val="20"/>
                <w:szCs w:val="20"/>
              </w:rPr>
            </w:pPr>
            <w:r w:rsidRPr="00E85E82">
              <w:rPr>
                <w:sz w:val="20"/>
                <w:szCs w:val="20"/>
              </w:rPr>
              <w:tab/>
            </w:r>
            <w:r w:rsidR="0081264A" w:rsidRPr="00E85E82">
              <w:rPr>
                <w:sz w:val="20"/>
                <w:szCs w:val="20"/>
              </w:rPr>
              <w:t>Julie Daly</w:t>
            </w:r>
          </w:p>
          <w:p w:rsidR="00E16A57" w:rsidRPr="00E85E82" w:rsidRDefault="00E16A57" w:rsidP="00E16A57">
            <w:pPr>
              <w:tabs>
                <w:tab w:val="left" w:pos="-1440"/>
                <w:tab w:val="left" w:pos="-720"/>
              </w:tabs>
              <w:rPr>
                <w:sz w:val="20"/>
                <w:szCs w:val="20"/>
              </w:rPr>
            </w:pPr>
          </w:p>
          <w:p w:rsidR="00E16A57" w:rsidRPr="00E85E82" w:rsidRDefault="00E16A57" w:rsidP="00E16A57">
            <w:pPr>
              <w:tabs>
                <w:tab w:val="left" w:pos="-1440"/>
                <w:tab w:val="left" w:pos="-720"/>
              </w:tabs>
              <w:rPr>
                <w:sz w:val="20"/>
                <w:szCs w:val="20"/>
              </w:rPr>
            </w:pPr>
            <w:r w:rsidRPr="00E85E82">
              <w:rPr>
                <w:sz w:val="20"/>
                <w:szCs w:val="20"/>
              </w:rPr>
              <w:tab/>
              <w:t>v. (3</w:t>
            </w:r>
            <w:r w:rsidR="0081264A" w:rsidRPr="00E85E82">
              <w:rPr>
                <w:sz w:val="20"/>
                <w:szCs w:val="20"/>
              </w:rPr>
              <w:t>7059</w:t>
            </w:r>
            <w:r w:rsidRPr="00E85E82">
              <w:rPr>
                <w:sz w:val="20"/>
                <w:szCs w:val="20"/>
              </w:rPr>
              <w:t>)</w:t>
            </w:r>
          </w:p>
          <w:p w:rsidR="00E16A57" w:rsidRPr="00E85E82" w:rsidRDefault="00E16A57" w:rsidP="00E16A57">
            <w:pPr>
              <w:tabs>
                <w:tab w:val="left" w:pos="-1440"/>
                <w:tab w:val="left" w:pos="-720"/>
              </w:tabs>
              <w:rPr>
                <w:sz w:val="20"/>
                <w:szCs w:val="20"/>
              </w:rPr>
            </w:pPr>
          </w:p>
          <w:p w:rsidR="00E16A57" w:rsidRPr="00E85E82" w:rsidRDefault="0081264A" w:rsidP="00E16A57">
            <w:pPr>
              <w:tabs>
                <w:tab w:val="left" w:pos="-1440"/>
                <w:tab w:val="left" w:pos="-720"/>
              </w:tabs>
              <w:rPr>
                <w:b/>
                <w:sz w:val="20"/>
                <w:szCs w:val="20"/>
              </w:rPr>
            </w:pPr>
            <w:r w:rsidRPr="00E85E82">
              <w:rPr>
                <w:b/>
                <w:sz w:val="20"/>
                <w:szCs w:val="20"/>
              </w:rPr>
              <w:t xml:space="preserve">Donald Smith </w:t>
            </w:r>
            <w:r w:rsidR="00E16A57" w:rsidRPr="00E85E82">
              <w:rPr>
                <w:b/>
                <w:sz w:val="20"/>
                <w:szCs w:val="20"/>
              </w:rPr>
              <w:t>(Ont.)</w:t>
            </w:r>
          </w:p>
          <w:p w:rsidR="00E16A57" w:rsidRPr="00E85E82" w:rsidRDefault="00E16A57" w:rsidP="00E16A57">
            <w:pPr>
              <w:tabs>
                <w:tab w:val="left" w:pos="-1440"/>
                <w:tab w:val="left" w:pos="-720"/>
              </w:tabs>
              <w:rPr>
                <w:sz w:val="20"/>
                <w:szCs w:val="20"/>
              </w:rPr>
            </w:pPr>
            <w:r w:rsidRPr="00E85E82">
              <w:rPr>
                <w:sz w:val="20"/>
                <w:szCs w:val="20"/>
              </w:rPr>
              <w:tab/>
            </w:r>
            <w:r w:rsidR="0081264A" w:rsidRPr="00E85E82">
              <w:rPr>
                <w:sz w:val="20"/>
                <w:szCs w:val="20"/>
              </w:rPr>
              <w:t>Donald Smith</w:t>
            </w:r>
          </w:p>
          <w:p w:rsidR="00E16A57" w:rsidRPr="00E85E82" w:rsidRDefault="00E16A57" w:rsidP="00E16A57">
            <w:pPr>
              <w:tabs>
                <w:tab w:val="left" w:pos="-1440"/>
                <w:tab w:val="left" w:pos="-720"/>
              </w:tabs>
              <w:rPr>
                <w:sz w:val="20"/>
                <w:szCs w:val="20"/>
              </w:rPr>
            </w:pPr>
          </w:p>
          <w:p w:rsidR="00E16A57" w:rsidRPr="00E85E82" w:rsidRDefault="00E16A57" w:rsidP="00E16A57">
            <w:pPr>
              <w:rPr>
                <w:sz w:val="20"/>
                <w:szCs w:val="20"/>
              </w:rPr>
            </w:pPr>
            <w:r w:rsidRPr="00E85E82">
              <w:rPr>
                <w:sz w:val="20"/>
                <w:szCs w:val="20"/>
              </w:rPr>
              <w:t xml:space="preserve">FILING DATE: </w:t>
            </w:r>
            <w:r w:rsidR="0081264A" w:rsidRPr="00E85E82">
              <w:rPr>
                <w:sz w:val="20"/>
                <w:szCs w:val="20"/>
              </w:rPr>
              <w:t>06</w:t>
            </w:r>
            <w:r w:rsidRPr="00E85E82">
              <w:rPr>
                <w:sz w:val="20"/>
                <w:szCs w:val="20"/>
              </w:rPr>
              <w:t>.0</w:t>
            </w:r>
            <w:r w:rsidR="0081264A" w:rsidRPr="00E85E82">
              <w:rPr>
                <w:sz w:val="20"/>
                <w:szCs w:val="20"/>
              </w:rPr>
              <w:t>6</w:t>
            </w:r>
            <w:r w:rsidRPr="00E85E82">
              <w:rPr>
                <w:sz w:val="20"/>
                <w:szCs w:val="20"/>
              </w:rPr>
              <w:t>.201</w:t>
            </w:r>
            <w:r w:rsidR="0081264A" w:rsidRPr="00E85E82">
              <w:rPr>
                <w:sz w:val="20"/>
                <w:szCs w:val="20"/>
              </w:rPr>
              <w:t>6</w:t>
            </w:r>
          </w:p>
          <w:p w:rsidR="00E16A57" w:rsidRPr="00E85E82" w:rsidRDefault="00B407D6" w:rsidP="00E16A57">
            <w:pPr>
              <w:rPr>
                <w:sz w:val="20"/>
                <w:szCs w:val="20"/>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E16A57" w:rsidRPr="00E85E82" w:rsidRDefault="00E16A57" w:rsidP="00E16A57">
            <w:pPr>
              <w:jc w:val="center"/>
              <w:rPr>
                <w:sz w:val="20"/>
                <w:szCs w:val="20"/>
              </w:rPr>
            </w:pPr>
          </w:p>
          <w:p w:rsidR="00E16A57" w:rsidRPr="00E85E82" w:rsidRDefault="00E16A57" w:rsidP="00E16A57">
            <w:pPr>
              <w:jc w:val="center"/>
              <w:rPr>
                <w:sz w:val="20"/>
                <w:szCs w:val="20"/>
              </w:rPr>
            </w:pPr>
          </w:p>
          <w:p w:rsidR="00E16A57" w:rsidRPr="00E85E82" w:rsidRDefault="00E16A57" w:rsidP="00E16A57">
            <w:pPr>
              <w:jc w:val="center"/>
              <w:rPr>
                <w:sz w:val="20"/>
                <w:szCs w:val="20"/>
              </w:rPr>
            </w:pPr>
          </w:p>
          <w:p w:rsidR="00E16A57" w:rsidRPr="00E85E82" w:rsidRDefault="00E16A57" w:rsidP="00E16A57">
            <w:pPr>
              <w:jc w:val="center"/>
              <w:rPr>
                <w:sz w:val="20"/>
                <w:szCs w:val="20"/>
              </w:rPr>
            </w:pPr>
          </w:p>
          <w:p w:rsidR="00E16A57" w:rsidRPr="00E85E82" w:rsidRDefault="00E16A57" w:rsidP="00E16A57">
            <w:pPr>
              <w:jc w:val="center"/>
              <w:rPr>
                <w:sz w:val="20"/>
                <w:szCs w:val="20"/>
              </w:rPr>
            </w:pPr>
          </w:p>
          <w:p w:rsidR="00E16A57" w:rsidRPr="00E85E82" w:rsidRDefault="00E16A57" w:rsidP="00E16A57">
            <w:pPr>
              <w:jc w:val="center"/>
              <w:rPr>
                <w:sz w:val="20"/>
                <w:szCs w:val="20"/>
              </w:rPr>
            </w:pPr>
          </w:p>
          <w:p w:rsidR="00E16A57" w:rsidRPr="00E85E82" w:rsidRDefault="00E16A57" w:rsidP="00E16A57">
            <w:pPr>
              <w:jc w:val="center"/>
              <w:rPr>
                <w:sz w:val="20"/>
                <w:szCs w:val="20"/>
              </w:rPr>
            </w:pPr>
          </w:p>
          <w:p w:rsidR="00E16A57" w:rsidRPr="00E85E82" w:rsidRDefault="00E16A57" w:rsidP="00E16A57">
            <w:pPr>
              <w:jc w:val="center"/>
              <w:rPr>
                <w:sz w:val="20"/>
                <w:szCs w:val="20"/>
              </w:rPr>
            </w:pPr>
          </w:p>
          <w:p w:rsidR="00E16A57" w:rsidRPr="00E85E82" w:rsidRDefault="00E16A57" w:rsidP="00E16A57">
            <w:pPr>
              <w:jc w:val="center"/>
              <w:rPr>
                <w:sz w:val="20"/>
                <w:szCs w:val="20"/>
              </w:rPr>
            </w:pPr>
          </w:p>
          <w:p w:rsidR="00E16A57" w:rsidRPr="00E85E82" w:rsidRDefault="00E16A57" w:rsidP="00E16A57">
            <w:pPr>
              <w:jc w:val="center"/>
              <w:rPr>
                <w:sz w:val="20"/>
                <w:szCs w:val="20"/>
              </w:rPr>
            </w:pPr>
          </w:p>
          <w:p w:rsidR="00B773F5" w:rsidRPr="00E85E82" w:rsidRDefault="00B773F5" w:rsidP="00E16A57">
            <w:pPr>
              <w:jc w:val="center"/>
              <w:rPr>
                <w:sz w:val="20"/>
                <w:szCs w:val="20"/>
              </w:rPr>
            </w:pPr>
          </w:p>
          <w:p w:rsidR="00B773F5" w:rsidRPr="00E85E82" w:rsidRDefault="00B773F5" w:rsidP="00E16A57">
            <w:pPr>
              <w:jc w:val="center"/>
              <w:rPr>
                <w:sz w:val="20"/>
                <w:szCs w:val="20"/>
              </w:rPr>
            </w:pPr>
          </w:p>
          <w:p w:rsidR="00E16A57" w:rsidRPr="00E85E82" w:rsidRDefault="00E16A57" w:rsidP="00E16A57">
            <w:pPr>
              <w:jc w:val="center"/>
              <w:rPr>
                <w:sz w:val="20"/>
                <w:szCs w:val="20"/>
              </w:rPr>
            </w:pPr>
          </w:p>
        </w:tc>
        <w:tc>
          <w:tcPr>
            <w:tcW w:w="4320" w:type="dxa"/>
            <w:shd w:val="clear" w:color="auto" w:fill="auto"/>
          </w:tcPr>
          <w:p w:rsidR="00B773F5" w:rsidRPr="00E85E82" w:rsidRDefault="00B773F5" w:rsidP="00B773F5">
            <w:pPr>
              <w:rPr>
                <w:b/>
                <w:sz w:val="20"/>
                <w:szCs w:val="20"/>
              </w:rPr>
            </w:pPr>
            <w:r w:rsidRPr="00E85E82">
              <w:rPr>
                <w:b/>
                <w:sz w:val="20"/>
                <w:szCs w:val="20"/>
              </w:rPr>
              <w:t>RBC General Insurance Company</w:t>
            </w:r>
          </w:p>
          <w:p w:rsidR="00B773F5" w:rsidRPr="00E85E82" w:rsidRDefault="00B773F5" w:rsidP="00B773F5">
            <w:pPr>
              <w:tabs>
                <w:tab w:val="left" w:pos="-1440"/>
                <w:tab w:val="left" w:pos="-720"/>
              </w:tabs>
              <w:rPr>
                <w:sz w:val="20"/>
                <w:szCs w:val="20"/>
              </w:rPr>
            </w:pPr>
            <w:r w:rsidRPr="00E85E82">
              <w:rPr>
                <w:sz w:val="20"/>
                <w:szCs w:val="20"/>
              </w:rPr>
              <w:tab/>
              <w:t>Harry P. Brown</w:t>
            </w:r>
          </w:p>
          <w:p w:rsidR="00B773F5" w:rsidRPr="00E85E82" w:rsidRDefault="00B773F5" w:rsidP="00B773F5">
            <w:pPr>
              <w:tabs>
                <w:tab w:val="left" w:pos="-1440"/>
                <w:tab w:val="left" w:pos="-720"/>
              </w:tabs>
              <w:rPr>
                <w:sz w:val="20"/>
                <w:szCs w:val="20"/>
              </w:rPr>
            </w:pPr>
            <w:r w:rsidRPr="00E85E82">
              <w:rPr>
                <w:sz w:val="20"/>
                <w:szCs w:val="20"/>
              </w:rPr>
              <w:tab/>
              <w:t>Brown &amp; Partners LLP</w:t>
            </w:r>
          </w:p>
          <w:p w:rsidR="00B773F5" w:rsidRPr="00E85E82" w:rsidRDefault="00B773F5" w:rsidP="00B773F5">
            <w:pPr>
              <w:tabs>
                <w:tab w:val="left" w:pos="-1440"/>
                <w:tab w:val="left" w:pos="-720"/>
              </w:tabs>
              <w:rPr>
                <w:sz w:val="20"/>
                <w:szCs w:val="20"/>
              </w:rPr>
            </w:pPr>
          </w:p>
          <w:p w:rsidR="00B773F5" w:rsidRPr="00E85E82" w:rsidRDefault="00B773F5" w:rsidP="00B773F5">
            <w:pPr>
              <w:tabs>
                <w:tab w:val="left" w:pos="-1440"/>
                <w:tab w:val="left" w:pos="-720"/>
              </w:tabs>
              <w:rPr>
                <w:sz w:val="20"/>
                <w:szCs w:val="20"/>
              </w:rPr>
            </w:pPr>
            <w:r w:rsidRPr="00E85E82">
              <w:rPr>
                <w:sz w:val="20"/>
                <w:szCs w:val="20"/>
              </w:rPr>
              <w:tab/>
              <w:t>v. (37055)</w:t>
            </w:r>
          </w:p>
          <w:p w:rsidR="00B773F5" w:rsidRPr="00E85E82" w:rsidRDefault="00B773F5" w:rsidP="00B773F5">
            <w:pPr>
              <w:tabs>
                <w:tab w:val="left" w:pos="-1440"/>
                <w:tab w:val="left" w:pos="-720"/>
              </w:tabs>
              <w:rPr>
                <w:sz w:val="20"/>
                <w:szCs w:val="20"/>
              </w:rPr>
            </w:pPr>
          </w:p>
          <w:p w:rsidR="00B773F5" w:rsidRPr="00E85E82" w:rsidRDefault="00B773F5" w:rsidP="00B773F5">
            <w:pPr>
              <w:tabs>
                <w:tab w:val="left" w:pos="-1440"/>
                <w:tab w:val="left" w:pos="-720"/>
              </w:tabs>
              <w:rPr>
                <w:b/>
                <w:sz w:val="20"/>
                <w:szCs w:val="20"/>
              </w:rPr>
            </w:pPr>
            <w:proofErr w:type="spellStart"/>
            <w:r w:rsidRPr="00E85E82">
              <w:rPr>
                <w:b/>
                <w:sz w:val="20"/>
                <w:szCs w:val="20"/>
              </w:rPr>
              <w:t>Zofia</w:t>
            </w:r>
            <w:proofErr w:type="spellEnd"/>
            <w:r w:rsidRPr="00E85E82">
              <w:rPr>
                <w:b/>
                <w:sz w:val="20"/>
                <w:szCs w:val="20"/>
              </w:rPr>
              <w:t xml:space="preserve"> </w:t>
            </w:r>
            <w:proofErr w:type="spellStart"/>
            <w:r w:rsidRPr="00E85E82">
              <w:rPr>
                <w:b/>
                <w:sz w:val="20"/>
                <w:szCs w:val="20"/>
              </w:rPr>
              <w:t>Machaj</w:t>
            </w:r>
            <w:proofErr w:type="spellEnd"/>
            <w:r w:rsidRPr="00E85E82">
              <w:rPr>
                <w:b/>
                <w:sz w:val="20"/>
                <w:szCs w:val="20"/>
              </w:rPr>
              <w:t xml:space="preserve"> (Ont.)</w:t>
            </w:r>
          </w:p>
          <w:p w:rsidR="00B773F5" w:rsidRPr="00E85E82" w:rsidRDefault="00B773F5" w:rsidP="00B773F5">
            <w:pPr>
              <w:tabs>
                <w:tab w:val="left" w:pos="-1440"/>
                <w:tab w:val="left" w:pos="-720"/>
              </w:tabs>
              <w:rPr>
                <w:sz w:val="20"/>
                <w:szCs w:val="20"/>
              </w:rPr>
            </w:pPr>
            <w:r w:rsidRPr="00E85E82">
              <w:rPr>
                <w:sz w:val="20"/>
                <w:szCs w:val="20"/>
              </w:rPr>
              <w:tab/>
              <w:t>Lou A. Ferro</w:t>
            </w:r>
          </w:p>
          <w:p w:rsidR="00B773F5" w:rsidRPr="00E85E82" w:rsidRDefault="00B773F5" w:rsidP="00B773F5">
            <w:pPr>
              <w:tabs>
                <w:tab w:val="left" w:pos="-1440"/>
                <w:tab w:val="left" w:pos="-720"/>
              </w:tabs>
              <w:rPr>
                <w:sz w:val="20"/>
                <w:szCs w:val="20"/>
              </w:rPr>
            </w:pPr>
            <w:r w:rsidRPr="00E85E82">
              <w:rPr>
                <w:sz w:val="20"/>
                <w:szCs w:val="20"/>
              </w:rPr>
              <w:tab/>
              <w:t>Ferro &amp; Company</w:t>
            </w:r>
          </w:p>
          <w:p w:rsidR="00B773F5" w:rsidRPr="00E85E82" w:rsidRDefault="00B773F5" w:rsidP="00B773F5">
            <w:pPr>
              <w:tabs>
                <w:tab w:val="left" w:pos="-1440"/>
                <w:tab w:val="left" w:pos="-720"/>
              </w:tabs>
              <w:rPr>
                <w:sz w:val="20"/>
                <w:szCs w:val="20"/>
              </w:rPr>
            </w:pPr>
          </w:p>
          <w:p w:rsidR="00B773F5" w:rsidRPr="00E85E82" w:rsidRDefault="00B773F5" w:rsidP="00B773F5">
            <w:pPr>
              <w:rPr>
                <w:sz w:val="20"/>
                <w:szCs w:val="20"/>
              </w:rPr>
            </w:pPr>
            <w:r w:rsidRPr="00E85E82">
              <w:rPr>
                <w:sz w:val="20"/>
                <w:szCs w:val="20"/>
              </w:rPr>
              <w:t>FILING DATE: 07.06.2016</w:t>
            </w:r>
          </w:p>
          <w:p w:rsidR="00E16A57" w:rsidRPr="00E85E82" w:rsidRDefault="00B407D6" w:rsidP="00B773F5">
            <w:pPr>
              <w:rPr>
                <w:sz w:val="20"/>
                <w:szCs w:val="20"/>
              </w:rPr>
            </w:pPr>
            <w:r>
              <w:rPr>
                <w:sz w:val="20"/>
                <w:szCs w:val="20"/>
                <w:lang w:val="fr-CA"/>
              </w:rPr>
              <w:pict>
                <v:rect id="_x0000_i1040" style="width:108pt;height:1pt" o:hrpct="0" o:hralign="center" o:hrstd="t" o:hrnoshade="t" o:hr="t" fillcolor="black [3213]" stroked="f"/>
              </w:pict>
            </w:r>
          </w:p>
        </w:tc>
      </w:tr>
      <w:tr w:rsidR="00755117" w:rsidRPr="00E85E82" w:rsidTr="003B3977">
        <w:trPr>
          <w:cantSplit/>
        </w:trPr>
        <w:tc>
          <w:tcPr>
            <w:tcW w:w="4320" w:type="dxa"/>
            <w:shd w:val="clear" w:color="auto" w:fill="auto"/>
          </w:tcPr>
          <w:p w:rsidR="00755117" w:rsidRPr="00E85E82" w:rsidRDefault="00755117" w:rsidP="00755117">
            <w:pPr>
              <w:rPr>
                <w:b/>
                <w:sz w:val="20"/>
                <w:szCs w:val="20"/>
              </w:rPr>
            </w:pPr>
            <w:r w:rsidRPr="00E85E82">
              <w:rPr>
                <w:b/>
                <w:sz w:val="20"/>
                <w:szCs w:val="20"/>
              </w:rPr>
              <w:t xml:space="preserve">Kwok Kin </w:t>
            </w:r>
            <w:proofErr w:type="spellStart"/>
            <w:r w:rsidRPr="00E85E82">
              <w:rPr>
                <w:b/>
                <w:sz w:val="20"/>
                <w:szCs w:val="20"/>
              </w:rPr>
              <w:t>Kwong</w:t>
            </w:r>
            <w:proofErr w:type="spellEnd"/>
          </w:p>
          <w:p w:rsidR="00755117" w:rsidRPr="00E85E82" w:rsidRDefault="00755117" w:rsidP="00755117">
            <w:pPr>
              <w:tabs>
                <w:tab w:val="left" w:pos="-1440"/>
                <w:tab w:val="left" w:pos="-720"/>
              </w:tabs>
              <w:rPr>
                <w:sz w:val="20"/>
                <w:szCs w:val="20"/>
              </w:rPr>
            </w:pPr>
            <w:r w:rsidRPr="00E85E82">
              <w:rPr>
                <w:sz w:val="20"/>
                <w:szCs w:val="20"/>
              </w:rPr>
              <w:tab/>
              <w:t>Barbara Jackman</w:t>
            </w:r>
          </w:p>
          <w:p w:rsidR="00755117" w:rsidRPr="00E85E82" w:rsidRDefault="00755117" w:rsidP="00755117">
            <w:pPr>
              <w:tabs>
                <w:tab w:val="left" w:pos="-1440"/>
                <w:tab w:val="left" w:pos="-720"/>
              </w:tabs>
              <w:rPr>
                <w:sz w:val="20"/>
                <w:szCs w:val="20"/>
              </w:rPr>
            </w:pPr>
            <w:r w:rsidRPr="00E85E82">
              <w:rPr>
                <w:sz w:val="20"/>
                <w:szCs w:val="20"/>
              </w:rPr>
              <w:tab/>
              <w:t xml:space="preserve">Jackman </w:t>
            </w:r>
            <w:proofErr w:type="spellStart"/>
            <w:r w:rsidRPr="00E85E82">
              <w:rPr>
                <w:sz w:val="20"/>
                <w:szCs w:val="20"/>
              </w:rPr>
              <w:t>Nazami</w:t>
            </w:r>
            <w:proofErr w:type="spellEnd"/>
            <w:r w:rsidRPr="00E85E82">
              <w:rPr>
                <w:sz w:val="20"/>
                <w:szCs w:val="20"/>
              </w:rPr>
              <w:t xml:space="preserve"> &amp; Associates</w:t>
            </w:r>
          </w:p>
          <w:p w:rsidR="00755117" w:rsidRPr="00E85E82" w:rsidRDefault="00755117" w:rsidP="00755117">
            <w:pPr>
              <w:tabs>
                <w:tab w:val="left" w:pos="-1440"/>
                <w:tab w:val="left" w:pos="-720"/>
              </w:tabs>
              <w:rPr>
                <w:sz w:val="20"/>
                <w:szCs w:val="20"/>
              </w:rPr>
            </w:pPr>
          </w:p>
          <w:p w:rsidR="00755117" w:rsidRPr="00E85E82" w:rsidRDefault="00755117" w:rsidP="00755117">
            <w:pPr>
              <w:tabs>
                <w:tab w:val="left" w:pos="-1440"/>
                <w:tab w:val="left" w:pos="-720"/>
              </w:tabs>
              <w:rPr>
                <w:sz w:val="20"/>
                <w:szCs w:val="20"/>
              </w:rPr>
            </w:pPr>
            <w:r w:rsidRPr="00E85E82">
              <w:rPr>
                <w:sz w:val="20"/>
                <w:szCs w:val="20"/>
              </w:rPr>
              <w:tab/>
              <w:t>v. (37061)</w:t>
            </w:r>
          </w:p>
          <w:p w:rsidR="00755117" w:rsidRPr="00E85E82" w:rsidRDefault="00755117" w:rsidP="00755117">
            <w:pPr>
              <w:tabs>
                <w:tab w:val="left" w:pos="-1440"/>
                <w:tab w:val="left" w:pos="-720"/>
              </w:tabs>
              <w:rPr>
                <w:sz w:val="20"/>
                <w:szCs w:val="20"/>
              </w:rPr>
            </w:pPr>
          </w:p>
          <w:p w:rsidR="00755117" w:rsidRPr="00E85E82" w:rsidRDefault="00755117" w:rsidP="00755117">
            <w:pPr>
              <w:tabs>
                <w:tab w:val="left" w:pos="-1440"/>
                <w:tab w:val="left" w:pos="-720"/>
              </w:tabs>
              <w:rPr>
                <w:b/>
                <w:sz w:val="20"/>
                <w:szCs w:val="20"/>
              </w:rPr>
            </w:pPr>
            <w:r w:rsidRPr="00E85E82">
              <w:rPr>
                <w:b/>
                <w:sz w:val="20"/>
                <w:szCs w:val="20"/>
              </w:rPr>
              <w:t>Minister of Citizenship and Immigration Canada (F.C.)</w:t>
            </w:r>
          </w:p>
          <w:p w:rsidR="00755117" w:rsidRPr="00E85E82" w:rsidRDefault="00755117" w:rsidP="00755117">
            <w:pPr>
              <w:tabs>
                <w:tab w:val="left" w:pos="-1440"/>
                <w:tab w:val="left" w:pos="-720"/>
              </w:tabs>
              <w:rPr>
                <w:sz w:val="20"/>
                <w:szCs w:val="20"/>
              </w:rPr>
            </w:pPr>
            <w:r w:rsidRPr="00E85E82">
              <w:rPr>
                <w:sz w:val="20"/>
                <w:szCs w:val="20"/>
              </w:rPr>
              <w:tab/>
              <w:t>Alison Engel-Yan</w:t>
            </w:r>
          </w:p>
          <w:p w:rsidR="00755117" w:rsidRPr="00E85E82" w:rsidRDefault="00755117" w:rsidP="00755117">
            <w:pPr>
              <w:tabs>
                <w:tab w:val="left" w:pos="-1440"/>
                <w:tab w:val="left" w:pos="-720"/>
              </w:tabs>
              <w:rPr>
                <w:sz w:val="20"/>
                <w:szCs w:val="20"/>
              </w:rPr>
            </w:pPr>
            <w:r w:rsidRPr="00E85E82">
              <w:rPr>
                <w:sz w:val="20"/>
                <w:szCs w:val="20"/>
              </w:rPr>
              <w:tab/>
              <w:t>A.G. of Canada</w:t>
            </w:r>
          </w:p>
          <w:p w:rsidR="00755117" w:rsidRPr="00E85E82" w:rsidRDefault="00755117" w:rsidP="00755117">
            <w:pPr>
              <w:tabs>
                <w:tab w:val="left" w:pos="-1440"/>
                <w:tab w:val="left" w:pos="-720"/>
              </w:tabs>
              <w:rPr>
                <w:sz w:val="20"/>
                <w:szCs w:val="20"/>
              </w:rPr>
            </w:pPr>
          </w:p>
          <w:p w:rsidR="00755117" w:rsidRPr="00E85E82" w:rsidRDefault="00755117" w:rsidP="00755117">
            <w:pPr>
              <w:rPr>
                <w:sz w:val="20"/>
                <w:szCs w:val="20"/>
              </w:rPr>
            </w:pPr>
            <w:r w:rsidRPr="00E85E82">
              <w:rPr>
                <w:sz w:val="20"/>
                <w:szCs w:val="20"/>
              </w:rPr>
              <w:t>FILING DATE: 08.06.2016</w:t>
            </w:r>
          </w:p>
          <w:p w:rsidR="00755117" w:rsidRPr="00E85E82" w:rsidRDefault="00B407D6" w:rsidP="00755117">
            <w:pPr>
              <w:rPr>
                <w:b/>
                <w:sz w:val="20"/>
                <w:szCs w:val="20"/>
              </w:rPr>
            </w:pPr>
            <w:r>
              <w:rPr>
                <w:sz w:val="20"/>
                <w:szCs w:val="20"/>
                <w:lang w:val="fr-CA"/>
              </w:rPr>
              <w:pict>
                <v:rect id="_x0000_i1041" style="width:108pt;height:1pt" o:hrpct="0" o:hralign="center" o:hrstd="t" o:hrnoshade="t" o:hr="t" fillcolor="black [3213]" stroked="f"/>
              </w:pict>
            </w:r>
          </w:p>
        </w:tc>
        <w:tc>
          <w:tcPr>
            <w:tcW w:w="1181" w:type="dxa"/>
            <w:shd w:val="clear" w:color="auto" w:fill="auto"/>
          </w:tcPr>
          <w:p w:rsidR="00755117" w:rsidRPr="00E85E82" w:rsidRDefault="00755117" w:rsidP="00E16A57">
            <w:pPr>
              <w:jc w:val="center"/>
              <w:rPr>
                <w:sz w:val="20"/>
                <w:szCs w:val="20"/>
              </w:rPr>
            </w:pPr>
          </w:p>
          <w:p w:rsidR="00755117" w:rsidRPr="00E85E82" w:rsidRDefault="00755117" w:rsidP="00E16A57">
            <w:pPr>
              <w:jc w:val="center"/>
              <w:rPr>
                <w:sz w:val="20"/>
                <w:szCs w:val="20"/>
              </w:rPr>
            </w:pPr>
          </w:p>
          <w:p w:rsidR="00755117" w:rsidRPr="00E85E82" w:rsidRDefault="00755117" w:rsidP="00E16A57">
            <w:pPr>
              <w:jc w:val="center"/>
              <w:rPr>
                <w:sz w:val="20"/>
                <w:szCs w:val="20"/>
              </w:rPr>
            </w:pPr>
          </w:p>
          <w:p w:rsidR="00755117" w:rsidRPr="00E85E82" w:rsidRDefault="00755117" w:rsidP="00E16A57">
            <w:pPr>
              <w:jc w:val="center"/>
              <w:rPr>
                <w:sz w:val="20"/>
                <w:szCs w:val="20"/>
              </w:rPr>
            </w:pPr>
          </w:p>
          <w:p w:rsidR="00755117" w:rsidRPr="00E85E82" w:rsidRDefault="00755117" w:rsidP="00E16A57">
            <w:pPr>
              <w:jc w:val="center"/>
              <w:rPr>
                <w:sz w:val="20"/>
                <w:szCs w:val="20"/>
              </w:rPr>
            </w:pPr>
          </w:p>
          <w:p w:rsidR="00755117" w:rsidRPr="00E85E82" w:rsidRDefault="00755117" w:rsidP="00E16A57">
            <w:pPr>
              <w:jc w:val="center"/>
              <w:rPr>
                <w:sz w:val="20"/>
                <w:szCs w:val="20"/>
              </w:rPr>
            </w:pPr>
          </w:p>
          <w:p w:rsidR="00755117" w:rsidRPr="00E85E82" w:rsidRDefault="00755117" w:rsidP="00E16A57">
            <w:pPr>
              <w:jc w:val="center"/>
              <w:rPr>
                <w:sz w:val="20"/>
                <w:szCs w:val="20"/>
              </w:rPr>
            </w:pPr>
          </w:p>
          <w:p w:rsidR="00755117" w:rsidRPr="00E85E82" w:rsidRDefault="00755117" w:rsidP="00E16A57">
            <w:pPr>
              <w:jc w:val="center"/>
              <w:rPr>
                <w:sz w:val="20"/>
                <w:szCs w:val="20"/>
              </w:rPr>
            </w:pPr>
          </w:p>
          <w:p w:rsidR="00755117" w:rsidRPr="00E85E82" w:rsidRDefault="00755117" w:rsidP="00E16A57">
            <w:pPr>
              <w:jc w:val="center"/>
              <w:rPr>
                <w:sz w:val="20"/>
                <w:szCs w:val="20"/>
              </w:rPr>
            </w:pPr>
          </w:p>
          <w:p w:rsidR="00755117" w:rsidRPr="00E85E82" w:rsidRDefault="00755117" w:rsidP="00E16A57">
            <w:pPr>
              <w:jc w:val="center"/>
              <w:rPr>
                <w:sz w:val="20"/>
                <w:szCs w:val="20"/>
              </w:rPr>
            </w:pPr>
          </w:p>
          <w:p w:rsidR="00755117" w:rsidRPr="00E85E82" w:rsidRDefault="00755117" w:rsidP="00E16A57">
            <w:pPr>
              <w:jc w:val="center"/>
              <w:rPr>
                <w:sz w:val="20"/>
                <w:szCs w:val="20"/>
              </w:rPr>
            </w:pPr>
          </w:p>
          <w:p w:rsidR="00755117" w:rsidRPr="00E85E82" w:rsidRDefault="00755117" w:rsidP="00E16A57">
            <w:pPr>
              <w:jc w:val="center"/>
              <w:rPr>
                <w:sz w:val="20"/>
                <w:szCs w:val="20"/>
              </w:rPr>
            </w:pPr>
          </w:p>
          <w:p w:rsidR="00755117" w:rsidRPr="00E85E82" w:rsidRDefault="00755117" w:rsidP="00E16A57">
            <w:pPr>
              <w:jc w:val="center"/>
              <w:rPr>
                <w:sz w:val="20"/>
                <w:szCs w:val="20"/>
              </w:rPr>
            </w:pPr>
          </w:p>
          <w:p w:rsidR="00755117" w:rsidRPr="00E85E82" w:rsidRDefault="00755117" w:rsidP="00E16A57">
            <w:pPr>
              <w:jc w:val="center"/>
              <w:rPr>
                <w:sz w:val="20"/>
                <w:szCs w:val="20"/>
              </w:rPr>
            </w:pPr>
          </w:p>
        </w:tc>
        <w:tc>
          <w:tcPr>
            <w:tcW w:w="4320" w:type="dxa"/>
            <w:shd w:val="clear" w:color="auto" w:fill="auto"/>
          </w:tcPr>
          <w:p w:rsidR="00755117" w:rsidRPr="00E85E82" w:rsidRDefault="00755117" w:rsidP="00B773F5">
            <w:pPr>
              <w:rPr>
                <w:b/>
                <w:sz w:val="20"/>
                <w:szCs w:val="20"/>
              </w:rPr>
            </w:pPr>
          </w:p>
        </w:tc>
      </w:tr>
    </w:tbl>
    <w:p w:rsidR="006C3F47" w:rsidRPr="00E85E82" w:rsidRDefault="006C3F47" w:rsidP="0095096B">
      <w:pPr>
        <w:tabs>
          <w:tab w:val="right" w:pos="9360"/>
        </w:tabs>
        <w:rPr>
          <w:sz w:val="20"/>
          <w:szCs w:val="20"/>
        </w:rPr>
      </w:pPr>
    </w:p>
    <w:p w:rsidR="00242AEE" w:rsidRPr="00E85E82" w:rsidRDefault="00242AEE" w:rsidP="0095096B">
      <w:pPr>
        <w:tabs>
          <w:tab w:val="right" w:pos="9360"/>
        </w:tabs>
        <w:rPr>
          <w:sz w:val="20"/>
          <w:szCs w:val="20"/>
        </w:rPr>
      </w:pPr>
    </w:p>
    <w:p w:rsidR="00242AEE" w:rsidRPr="00E85E82" w:rsidRDefault="00242AEE" w:rsidP="0095096B">
      <w:pPr>
        <w:tabs>
          <w:tab w:val="right" w:pos="9360"/>
        </w:tabs>
        <w:rPr>
          <w:sz w:val="20"/>
          <w:szCs w:val="20"/>
        </w:rPr>
        <w:sectPr w:rsidR="00242AEE" w:rsidRPr="00E85E82" w:rsidSect="005C7B7B">
          <w:headerReference w:type="default" r:id="rId17"/>
          <w:footerReference w:type="default" r:id="rId18"/>
          <w:headerReference w:type="first" r:id="rId19"/>
          <w:footerReference w:type="first" r:id="rId20"/>
          <w:pgSz w:w="12240" w:h="15840"/>
          <w:pgMar w:top="720" w:right="965" w:bottom="1080" w:left="1656" w:header="706" w:footer="706" w:gutter="0"/>
          <w:pgNumType w:start="92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B407D6" w:rsidTr="00BA6468">
        <w:trPr>
          <w:trHeight w:val="900"/>
        </w:trPr>
        <w:tc>
          <w:tcPr>
            <w:tcW w:w="4200" w:type="dxa"/>
            <w:tcMar>
              <w:left w:w="0" w:type="dxa"/>
              <w:right w:w="0" w:type="dxa"/>
            </w:tcMar>
          </w:tcPr>
          <w:p w:rsidR="002E2327" w:rsidRPr="00E85E82" w:rsidRDefault="002E2327" w:rsidP="002E2327">
            <w:pPr>
              <w:keepNext/>
              <w:keepLines/>
              <w:widowControl w:val="0"/>
              <w:rPr>
                <w:b/>
                <w:szCs w:val="24"/>
              </w:rPr>
            </w:pPr>
            <w:r w:rsidRPr="00E85E82">
              <w:rPr>
                <w:b/>
                <w:szCs w:val="24"/>
              </w:rPr>
              <w:t>APPLICATIONS FOR LEAVE SUBMITTED TO COURT SINCE LAST ISSUE</w:t>
            </w:r>
          </w:p>
        </w:tc>
        <w:tc>
          <w:tcPr>
            <w:tcW w:w="1200" w:type="dxa"/>
            <w:tcMar>
              <w:left w:w="0" w:type="dxa"/>
              <w:right w:w="0" w:type="dxa"/>
            </w:tcMar>
          </w:tcPr>
          <w:p w:rsidR="002E2327" w:rsidRPr="00E85E82" w:rsidRDefault="002E2327" w:rsidP="002E2327">
            <w:pPr>
              <w:keepNext/>
              <w:keepLines/>
              <w:widowControl w:val="0"/>
              <w:jc w:val="center"/>
              <w:rPr>
                <w:b/>
                <w:szCs w:val="24"/>
              </w:rPr>
            </w:pPr>
          </w:p>
          <w:p w:rsidR="001D0D5F" w:rsidRPr="00E85E82" w:rsidRDefault="001D0D5F" w:rsidP="002E2327">
            <w:pPr>
              <w:keepNext/>
              <w:keepLines/>
              <w:widowControl w:val="0"/>
              <w:jc w:val="center"/>
              <w:rPr>
                <w:b/>
                <w:szCs w:val="24"/>
              </w:rPr>
            </w:pPr>
          </w:p>
          <w:p w:rsidR="001D0D5F" w:rsidRPr="00E85E82" w:rsidRDefault="001D0D5F" w:rsidP="002E2327">
            <w:pPr>
              <w:keepNext/>
              <w:keepLines/>
              <w:widowControl w:val="0"/>
              <w:jc w:val="center"/>
              <w:rPr>
                <w:b/>
                <w:szCs w:val="24"/>
              </w:rPr>
            </w:pPr>
          </w:p>
          <w:p w:rsidR="001D0D5F" w:rsidRPr="00E85E82" w:rsidRDefault="001D0D5F" w:rsidP="002E2327">
            <w:pPr>
              <w:keepNext/>
              <w:keepLines/>
              <w:widowControl w:val="0"/>
              <w:jc w:val="center"/>
              <w:rPr>
                <w:b/>
                <w:szCs w:val="24"/>
              </w:rPr>
            </w:pPr>
          </w:p>
        </w:tc>
        <w:tc>
          <w:tcPr>
            <w:tcW w:w="4080" w:type="dxa"/>
            <w:tcMar>
              <w:left w:w="0" w:type="dxa"/>
              <w:right w:w="0" w:type="dxa"/>
            </w:tcMar>
          </w:tcPr>
          <w:p w:rsidR="002E2327" w:rsidRPr="00E85E82" w:rsidRDefault="002E2327" w:rsidP="002E2327">
            <w:pPr>
              <w:keepLines/>
              <w:widowControl w:val="0"/>
              <w:rPr>
                <w:szCs w:val="24"/>
                <w:lang w:val="fr-CA"/>
              </w:rPr>
            </w:pPr>
            <w:r w:rsidRPr="00E85E82">
              <w:rPr>
                <w:b/>
                <w:szCs w:val="24"/>
                <w:lang w:val="fr-CA"/>
              </w:rPr>
              <w:t>DEMANDES SOUMISES À LA COUR DEPUIS LA DERNIÈRE PARUTION</w:t>
            </w:r>
          </w:p>
          <w:p w:rsidR="002E2327" w:rsidRPr="00E85E82"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E85E82" w:rsidRDefault="002E2327" w:rsidP="002E2327">
      <w:pPr>
        <w:widowControl w:val="0"/>
        <w:rPr>
          <w:b/>
          <w:sz w:val="20"/>
          <w:szCs w:val="20"/>
          <w:lang w:val="fr-CA"/>
        </w:rPr>
      </w:pPr>
    </w:p>
    <w:p w:rsidR="00CB3520" w:rsidRPr="00E85E82" w:rsidRDefault="00CB3520" w:rsidP="00CB3520">
      <w:pPr>
        <w:widowControl w:val="0"/>
        <w:rPr>
          <w:b/>
          <w:sz w:val="20"/>
          <w:szCs w:val="20"/>
        </w:rPr>
      </w:pPr>
      <w:r w:rsidRPr="00E85E82">
        <w:rPr>
          <w:b/>
          <w:sz w:val="20"/>
          <w:szCs w:val="20"/>
        </w:rPr>
        <w:t>J</w:t>
      </w:r>
      <w:r w:rsidR="0036453A" w:rsidRPr="00E85E82">
        <w:rPr>
          <w:b/>
          <w:sz w:val="20"/>
          <w:szCs w:val="20"/>
        </w:rPr>
        <w:t>UNE</w:t>
      </w:r>
      <w:r w:rsidRPr="00E85E82">
        <w:rPr>
          <w:b/>
          <w:sz w:val="20"/>
          <w:szCs w:val="20"/>
        </w:rPr>
        <w:t xml:space="preserve"> 2</w:t>
      </w:r>
      <w:r w:rsidR="00B81603" w:rsidRPr="00E85E82">
        <w:rPr>
          <w:b/>
          <w:sz w:val="20"/>
          <w:szCs w:val="20"/>
        </w:rPr>
        <w:t>0</w:t>
      </w:r>
      <w:r w:rsidRPr="00E85E82">
        <w:rPr>
          <w:b/>
          <w:sz w:val="20"/>
          <w:szCs w:val="20"/>
        </w:rPr>
        <w:t>, 201</w:t>
      </w:r>
      <w:r w:rsidR="0030050B" w:rsidRPr="00E85E82">
        <w:rPr>
          <w:b/>
          <w:sz w:val="20"/>
          <w:szCs w:val="20"/>
        </w:rPr>
        <w:t>6</w:t>
      </w:r>
      <w:r w:rsidRPr="00E85E82">
        <w:rPr>
          <w:b/>
          <w:sz w:val="20"/>
          <w:szCs w:val="20"/>
        </w:rPr>
        <w:t xml:space="preserve"> / LE 2</w:t>
      </w:r>
      <w:r w:rsidR="00B81603" w:rsidRPr="00E85E82">
        <w:rPr>
          <w:b/>
          <w:sz w:val="20"/>
          <w:szCs w:val="20"/>
        </w:rPr>
        <w:t>0</w:t>
      </w:r>
      <w:r w:rsidRPr="00E85E82">
        <w:rPr>
          <w:b/>
          <w:sz w:val="20"/>
          <w:szCs w:val="20"/>
        </w:rPr>
        <w:t xml:space="preserve"> J</w:t>
      </w:r>
      <w:r w:rsidR="0036453A" w:rsidRPr="00E85E82">
        <w:rPr>
          <w:b/>
          <w:sz w:val="20"/>
          <w:szCs w:val="20"/>
        </w:rPr>
        <w:t>U</w:t>
      </w:r>
      <w:r w:rsidR="00906EA1" w:rsidRPr="00E85E82">
        <w:rPr>
          <w:b/>
          <w:sz w:val="20"/>
          <w:szCs w:val="20"/>
        </w:rPr>
        <w:t>IN</w:t>
      </w:r>
      <w:r w:rsidRPr="00E85E82">
        <w:rPr>
          <w:b/>
          <w:sz w:val="20"/>
          <w:szCs w:val="20"/>
        </w:rPr>
        <w:t xml:space="preserve"> 201</w:t>
      </w:r>
      <w:r w:rsidR="0030050B" w:rsidRPr="00E85E82">
        <w:rPr>
          <w:b/>
          <w:sz w:val="20"/>
          <w:szCs w:val="20"/>
        </w:rPr>
        <w:t>6</w:t>
      </w:r>
    </w:p>
    <w:p w:rsidR="00CB3520" w:rsidRPr="00E85E82" w:rsidRDefault="00CB3520" w:rsidP="00CB3520">
      <w:pPr>
        <w:widowControl w:val="0"/>
        <w:rPr>
          <w:b/>
          <w:sz w:val="20"/>
          <w:szCs w:val="20"/>
        </w:rPr>
      </w:pPr>
    </w:p>
    <w:p w:rsidR="00CB3520" w:rsidRPr="00E85E82" w:rsidRDefault="00CB3520" w:rsidP="00CB3520">
      <w:pPr>
        <w:widowControl w:val="0"/>
        <w:jc w:val="center"/>
        <w:rPr>
          <w:b/>
          <w:sz w:val="20"/>
          <w:szCs w:val="20"/>
        </w:rPr>
      </w:pPr>
      <w:r w:rsidRPr="00E85E82">
        <w:rPr>
          <w:b/>
          <w:sz w:val="20"/>
          <w:szCs w:val="20"/>
        </w:rPr>
        <w:t xml:space="preserve">CORAM:  Chief Justice McLachlin and </w:t>
      </w:r>
      <w:r w:rsidR="006D245B" w:rsidRPr="00E85E82">
        <w:rPr>
          <w:b/>
          <w:sz w:val="20"/>
          <w:szCs w:val="20"/>
        </w:rPr>
        <w:t>Moldaver</w:t>
      </w:r>
      <w:r w:rsidRPr="00E85E82">
        <w:rPr>
          <w:b/>
          <w:sz w:val="20"/>
          <w:szCs w:val="20"/>
        </w:rPr>
        <w:t xml:space="preserve"> and </w:t>
      </w:r>
      <w:r w:rsidR="00FA3373" w:rsidRPr="00E85E82">
        <w:rPr>
          <w:b/>
          <w:sz w:val="20"/>
          <w:szCs w:val="20"/>
        </w:rPr>
        <w:t xml:space="preserve">Gascon </w:t>
      </w:r>
      <w:r w:rsidRPr="00E85E82">
        <w:rPr>
          <w:b/>
          <w:sz w:val="20"/>
          <w:szCs w:val="20"/>
        </w:rPr>
        <w:t>JJ.</w:t>
      </w:r>
    </w:p>
    <w:p w:rsidR="00CB3520" w:rsidRPr="00E85E82" w:rsidRDefault="00CB3520" w:rsidP="00CB3520">
      <w:pPr>
        <w:widowControl w:val="0"/>
        <w:jc w:val="center"/>
        <w:rPr>
          <w:sz w:val="20"/>
          <w:szCs w:val="20"/>
          <w:lang w:val="fr-CA"/>
        </w:rPr>
      </w:pPr>
      <w:r w:rsidRPr="00E85E82">
        <w:rPr>
          <w:b/>
          <w:sz w:val="20"/>
          <w:szCs w:val="20"/>
          <w:lang w:val="fr-CA"/>
        </w:rPr>
        <w:t xml:space="preserve">La juge en chef McLachlin et les juges </w:t>
      </w:r>
      <w:r w:rsidR="006D245B" w:rsidRPr="00E85E82">
        <w:rPr>
          <w:b/>
          <w:sz w:val="20"/>
          <w:szCs w:val="20"/>
          <w:lang w:val="fr-CA"/>
        </w:rPr>
        <w:t>Moldaver</w:t>
      </w:r>
      <w:r w:rsidRPr="00E85E82">
        <w:rPr>
          <w:b/>
          <w:sz w:val="20"/>
          <w:szCs w:val="20"/>
          <w:lang w:val="fr-CA"/>
        </w:rPr>
        <w:t xml:space="preserve"> et </w:t>
      </w:r>
      <w:r w:rsidR="00FA3373" w:rsidRPr="00E85E82">
        <w:rPr>
          <w:b/>
          <w:sz w:val="20"/>
          <w:szCs w:val="20"/>
          <w:lang w:val="fr-CA"/>
        </w:rPr>
        <w:t>Gascon</w:t>
      </w:r>
    </w:p>
    <w:p w:rsidR="00CB3520" w:rsidRPr="00E85E82" w:rsidRDefault="00CB3520" w:rsidP="00CB3520">
      <w:pPr>
        <w:widowControl w:val="0"/>
        <w:rPr>
          <w:sz w:val="20"/>
          <w:szCs w:val="20"/>
          <w:lang w:val="fr-CA"/>
        </w:rPr>
      </w:pPr>
    </w:p>
    <w:p w:rsidR="00CB3520" w:rsidRPr="00E85E82" w:rsidRDefault="000A6E5C" w:rsidP="00CB3520">
      <w:pPr>
        <w:pStyle w:val="ListParagraph"/>
        <w:widowControl w:val="0"/>
        <w:numPr>
          <w:ilvl w:val="0"/>
          <w:numId w:val="1"/>
        </w:numPr>
        <w:ind w:hanging="720"/>
        <w:jc w:val="both"/>
        <w:rPr>
          <w:sz w:val="20"/>
          <w:szCs w:val="20"/>
        </w:rPr>
      </w:pPr>
      <w:r w:rsidRPr="00E85E82">
        <w:rPr>
          <w:i/>
          <w:sz w:val="20"/>
          <w:szCs w:val="20"/>
        </w:rPr>
        <w:t xml:space="preserve">Wayne Rodney </w:t>
      </w:r>
      <w:proofErr w:type="spellStart"/>
      <w:r w:rsidRPr="00E85E82">
        <w:rPr>
          <w:i/>
          <w:sz w:val="20"/>
          <w:szCs w:val="20"/>
        </w:rPr>
        <w:t>Fedan</w:t>
      </w:r>
      <w:proofErr w:type="spellEnd"/>
      <w:r w:rsidR="00CB3520" w:rsidRPr="00E85E82">
        <w:rPr>
          <w:i/>
          <w:sz w:val="20"/>
          <w:szCs w:val="20"/>
        </w:rPr>
        <w:t xml:space="preserve"> v. </w:t>
      </w:r>
      <w:r w:rsidRPr="00E85E82">
        <w:rPr>
          <w:i/>
          <w:sz w:val="20"/>
          <w:szCs w:val="20"/>
        </w:rPr>
        <w:t>Her Majesty the Queen</w:t>
      </w:r>
      <w:r w:rsidR="00CB3520" w:rsidRPr="00E85E82">
        <w:rPr>
          <w:sz w:val="20"/>
          <w:szCs w:val="20"/>
        </w:rPr>
        <w:t xml:space="preserve"> (</w:t>
      </w:r>
      <w:r w:rsidRPr="00E85E82">
        <w:rPr>
          <w:sz w:val="20"/>
          <w:szCs w:val="20"/>
        </w:rPr>
        <w:t>B.C.</w:t>
      </w:r>
      <w:r w:rsidR="00CB3520" w:rsidRPr="00E85E82">
        <w:rPr>
          <w:sz w:val="20"/>
          <w:szCs w:val="20"/>
        </w:rPr>
        <w:t>) (Crim.) (By Leave) (36</w:t>
      </w:r>
      <w:r w:rsidRPr="00E85E82">
        <w:rPr>
          <w:sz w:val="20"/>
          <w:szCs w:val="20"/>
        </w:rPr>
        <w:t>970</w:t>
      </w:r>
      <w:r w:rsidR="00CB3520" w:rsidRPr="00E85E82">
        <w:rPr>
          <w:sz w:val="20"/>
          <w:szCs w:val="20"/>
        </w:rPr>
        <w:t>)</w:t>
      </w:r>
    </w:p>
    <w:p w:rsidR="00CB3520" w:rsidRPr="00E85E82" w:rsidRDefault="00CB3520" w:rsidP="00CB3520">
      <w:pPr>
        <w:widowControl w:val="0"/>
        <w:jc w:val="both"/>
        <w:rPr>
          <w:sz w:val="20"/>
          <w:szCs w:val="20"/>
        </w:rPr>
      </w:pPr>
    </w:p>
    <w:p w:rsidR="00CB3520" w:rsidRPr="00E85E82" w:rsidRDefault="000A6E5C" w:rsidP="00CB3520">
      <w:pPr>
        <w:pStyle w:val="ListParagraph"/>
        <w:widowControl w:val="0"/>
        <w:numPr>
          <w:ilvl w:val="0"/>
          <w:numId w:val="1"/>
        </w:numPr>
        <w:ind w:hanging="720"/>
        <w:jc w:val="both"/>
        <w:rPr>
          <w:sz w:val="20"/>
          <w:szCs w:val="20"/>
        </w:rPr>
      </w:pPr>
      <w:r w:rsidRPr="00E85E82">
        <w:rPr>
          <w:i/>
          <w:sz w:val="20"/>
          <w:szCs w:val="20"/>
        </w:rPr>
        <w:t>The Corporation of the City of Nelson</w:t>
      </w:r>
      <w:r w:rsidR="00CB3520" w:rsidRPr="00E85E82">
        <w:rPr>
          <w:i/>
          <w:sz w:val="20"/>
          <w:szCs w:val="20"/>
        </w:rPr>
        <w:t>. v.</w:t>
      </w:r>
      <w:r w:rsidRPr="00E85E82">
        <w:rPr>
          <w:i/>
          <w:sz w:val="20"/>
          <w:szCs w:val="20"/>
        </w:rPr>
        <w:t xml:space="preserve"> Mary Geraldine </w:t>
      </w:r>
      <w:proofErr w:type="spellStart"/>
      <w:r w:rsidRPr="00E85E82">
        <w:rPr>
          <w:i/>
          <w:sz w:val="20"/>
          <w:szCs w:val="20"/>
        </w:rPr>
        <w:t>Mowatt</w:t>
      </w:r>
      <w:proofErr w:type="spellEnd"/>
      <w:r w:rsidRPr="00E85E82">
        <w:rPr>
          <w:i/>
          <w:sz w:val="20"/>
          <w:szCs w:val="20"/>
        </w:rPr>
        <w:t xml:space="preserve"> et al.</w:t>
      </w:r>
      <w:r w:rsidR="00CB3520" w:rsidRPr="00E85E82">
        <w:rPr>
          <w:sz w:val="20"/>
          <w:szCs w:val="20"/>
        </w:rPr>
        <w:t xml:space="preserve"> (</w:t>
      </w:r>
      <w:r w:rsidRPr="00E85E82">
        <w:rPr>
          <w:sz w:val="20"/>
          <w:szCs w:val="20"/>
        </w:rPr>
        <w:t>B.C.</w:t>
      </w:r>
      <w:r w:rsidR="00CB3520" w:rsidRPr="00E85E82">
        <w:rPr>
          <w:sz w:val="20"/>
          <w:szCs w:val="20"/>
        </w:rPr>
        <w:t>) (Civil) (By Leave) (3</w:t>
      </w:r>
      <w:r w:rsidRPr="00E85E82">
        <w:rPr>
          <w:sz w:val="20"/>
          <w:szCs w:val="20"/>
        </w:rPr>
        <w:t>6999</w:t>
      </w:r>
      <w:r w:rsidR="00CB3520" w:rsidRPr="00E85E82">
        <w:rPr>
          <w:sz w:val="20"/>
          <w:szCs w:val="20"/>
        </w:rPr>
        <w:t>)</w:t>
      </w:r>
    </w:p>
    <w:p w:rsidR="00CB3520" w:rsidRPr="00E85E82" w:rsidRDefault="00CB3520" w:rsidP="00CB3520">
      <w:pPr>
        <w:widowControl w:val="0"/>
        <w:jc w:val="both"/>
        <w:rPr>
          <w:sz w:val="20"/>
          <w:szCs w:val="20"/>
        </w:rPr>
      </w:pPr>
    </w:p>
    <w:p w:rsidR="00CB3520" w:rsidRPr="00E85E82" w:rsidRDefault="00CB3520" w:rsidP="00CB3520">
      <w:pPr>
        <w:widowControl w:val="0"/>
        <w:rPr>
          <w:sz w:val="20"/>
          <w:szCs w:val="20"/>
        </w:rPr>
      </w:pPr>
    </w:p>
    <w:p w:rsidR="00CB3520" w:rsidRPr="00C556BB" w:rsidRDefault="00CB3520" w:rsidP="00CB3520">
      <w:pPr>
        <w:widowControl w:val="0"/>
        <w:jc w:val="center"/>
        <w:rPr>
          <w:b/>
          <w:sz w:val="20"/>
          <w:szCs w:val="20"/>
        </w:rPr>
      </w:pPr>
      <w:r w:rsidRPr="00C556BB">
        <w:rPr>
          <w:b/>
          <w:sz w:val="20"/>
          <w:szCs w:val="20"/>
        </w:rPr>
        <w:t xml:space="preserve">CORAM: </w:t>
      </w:r>
      <w:r w:rsidR="00FA3373" w:rsidRPr="00C556BB">
        <w:rPr>
          <w:b/>
          <w:sz w:val="20"/>
          <w:szCs w:val="20"/>
        </w:rPr>
        <w:t>Abella</w:t>
      </w:r>
      <w:r w:rsidRPr="00C556BB">
        <w:rPr>
          <w:b/>
          <w:sz w:val="20"/>
          <w:szCs w:val="20"/>
        </w:rPr>
        <w:t xml:space="preserve">, Karakatsanis and </w:t>
      </w:r>
      <w:r w:rsidR="006D245B" w:rsidRPr="00C556BB">
        <w:rPr>
          <w:b/>
          <w:sz w:val="20"/>
          <w:szCs w:val="20"/>
        </w:rPr>
        <w:t>Brown</w:t>
      </w:r>
      <w:r w:rsidRPr="00C556BB">
        <w:rPr>
          <w:b/>
          <w:sz w:val="20"/>
          <w:szCs w:val="20"/>
        </w:rPr>
        <w:t xml:space="preserve"> JJ.</w:t>
      </w:r>
    </w:p>
    <w:p w:rsidR="00CB3520" w:rsidRPr="00E85E82" w:rsidRDefault="00CB3520" w:rsidP="00CB3520">
      <w:pPr>
        <w:widowControl w:val="0"/>
        <w:jc w:val="center"/>
        <w:rPr>
          <w:b/>
          <w:sz w:val="20"/>
          <w:szCs w:val="20"/>
          <w:lang w:val="fr-CA"/>
        </w:rPr>
      </w:pPr>
      <w:r w:rsidRPr="00E85E82">
        <w:rPr>
          <w:b/>
          <w:sz w:val="20"/>
          <w:szCs w:val="20"/>
          <w:lang w:val="fr-CA"/>
        </w:rPr>
        <w:t xml:space="preserve">Les juges </w:t>
      </w:r>
      <w:r w:rsidR="00FA3373" w:rsidRPr="00E85E82">
        <w:rPr>
          <w:b/>
          <w:sz w:val="20"/>
          <w:szCs w:val="20"/>
          <w:lang w:val="fr-CA"/>
        </w:rPr>
        <w:t>Abella</w:t>
      </w:r>
      <w:r w:rsidRPr="00E85E82">
        <w:rPr>
          <w:b/>
          <w:sz w:val="20"/>
          <w:szCs w:val="20"/>
          <w:lang w:val="fr-CA"/>
        </w:rPr>
        <w:t xml:space="preserve">, Karakatsanis et </w:t>
      </w:r>
      <w:r w:rsidR="006D245B" w:rsidRPr="00E85E82">
        <w:rPr>
          <w:b/>
          <w:sz w:val="20"/>
          <w:szCs w:val="20"/>
          <w:lang w:val="fr-CA"/>
        </w:rPr>
        <w:t>Brown</w:t>
      </w:r>
    </w:p>
    <w:p w:rsidR="00CB3520" w:rsidRPr="00E85E82" w:rsidRDefault="00CB3520" w:rsidP="00CB3520">
      <w:pPr>
        <w:widowControl w:val="0"/>
        <w:jc w:val="both"/>
        <w:rPr>
          <w:sz w:val="20"/>
          <w:szCs w:val="20"/>
          <w:lang w:val="fr-CA"/>
        </w:rPr>
      </w:pPr>
    </w:p>
    <w:p w:rsidR="00CB3520" w:rsidRPr="00E85E82" w:rsidRDefault="0015001F" w:rsidP="00CB3520">
      <w:pPr>
        <w:pStyle w:val="ListParagraph"/>
        <w:widowControl w:val="0"/>
        <w:numPr>
          <w:ilvl w:val="0"/>
          <w:numId w:val="1"/>
        </w:numPr>
        <w:ind w:hanging="720"/>
        <w:jc w:val="both"/>
        <w:rPr>
          <w:sz w:val="20"/>
          <w:szCs w:val="20"/>
          <w:lang w:val="fr-CA"/>
        </w:rPr>
      </w:pPr>
      <w:proofErr w:type="spellStart"/>
      <w:r w:rsidRPr="00E85E82">
        <w:rPr>
          <w:i/>
          <w:sz w:val="20"/>
          <w:szCs w:val="20"/>
        </w:rPr>
        <w:t>Maxam</w:t>
      </w:r>
      <w:proofErr w:type="spellEnd"/>
      <w:r w:rsidRPr="00E85E82">
        <w:rPr>
          <w:i/>
          <w:sz w:val="20"/>
          <w:szCs w:val="20"/>
        </w:rPr>
        <w:t xml:space="preserve"> Opportunities Fund Limited Partnership et al.</w:t>
      </w:r>
      <w:r w:rsidR="00CB3520" w:rsidRPr="00E85E82">
        <w:rPr>
          <w:i/>
          <w:sz w:val="20"/>
          <w:szCs w:val="20"/>
        </w:rPr>
        <w:t xml:space="preserve"> v. </w:t>
      </w:r>
      <w:r w:rsidRPr="00E85E82">
        <w:rPr>
          <w:i/>
          <w:sz w:val="20"/>
          <w:szCs w:val="20"/>
        </w:rPr>
        <w:t>729171 Alberta Inc. et al.</w:t>
      </w:r>
      <w:r w:rsidR="00CB3520" w:rsidRPr="00E85E82">
        <w:rPr>
          <w:sz w:val="20"/>
          <w:szCs w:val="20"/>
        </w:rPr>
        <w:t xml:space="preserve"> (</w:t>
      </w:r>
      <w:r w:rsidRPr="00E85E82">
        <w:rPr>
          <w:sz w:val="20"/>
          <w:szCs w:val="20"/>
        </w:rPr>
        <w:t>B</w:t>
      </w:r>
      <w:r w:rsidR="00CB3520" w:rsidRPr="00E85E82">
        <w:rPr>
          <w:sz w:val="20"/>
          <w:szCs w:val="20"/>
        </w:rPr>
        <w:t>.C.) (Civil) (By Leave)</w:t>
      </w:r>
      <w:r w:rsidR="00CB3520" w:rsidRPr="00E85E82">
        <w:rPr>
          <w:sz w:val="20"/>
          <w:szCs w:val="20"/>
          <w:lang w:val="fr-CA"/>
        </w:rPr>
        <w:t xml:space="preserve"> (36</w:t>
      </w:r>
      <w:r w:rsidRPr="00E85E82">
        <w:rPr>
          <w:sz w:val="20"/>
          <w:szCs w:val="20"/>
          <w:lang w:val="fr-CA"/>
        </w:rPr>
        <w:t>912)</w:t>
      </w:r>
    </w:p>
    <w:p w:rsidR="00CB3520" w:rsidRPr="00E85E82" w:rsidRDefault="00CB3520" w:rsidP="00CB3520">
      <w:pPr>
        <w:widowControl w:val="0"/>
        <w:jc w:val="both"/>
        <w:rPr>
          <w:sz w:val="20"/>
          <w:szCs w:val="20"/>
          <w:lang w:val="fr-CA"/>
        </w:rPr>
      </w:pPr>
    </w:p>
    <w:p w:rsidR="00CB3520" w:rsidRPr="00E85E82" w:rsidRDefault="0015001F" w:rsidP="00CB3520">
      <w:pPr>
        <w:pStyle w:val="ListParagraph"/>
        <w:widowControl w:val="0"/>
        <w:numPr>
          <w:ilvl w:val="0"/>
          <w:numId w:val="1"/>
        </w:numPr>
        <w:ind w:hanging="720"/>
        <w:jc w:val="both"/>
        <w:rPr>
          <w:sz w:val="20"/>
          <w:szCs w:val="20"/>
        </w:rPr>
      </w:pPr>
      <w:r w:rsidRPr="00E85E82">
        <w:rPr>
          <w:i/>
          <w:sz w:val="20"/>
          <w:szCs w:val="20"/>
        </w:rPr>
        <w:t>NAV Canada</w:t>
      </w:r>
      <w:r w:rsidR="00CB3520" w:rsidRPr="00E85E82">
        <w:rPr>
          <w:i/>
          <w:sz w:val="20"/>
          <w:szCs w:val="20"/>
        </w:rPr>
        <w:t xml:space="preserve"> v.</w:t>
      </w:r>
      <w:r w:rsidRPr="00E85E82">
        <w:rPr>
          <w:i/>
          <w:sz w:val="20"/>
          <w:szCs w:val="20"/>
        </w:rPr>
        <w:t xml:space="preserve"> Assessor of Area #01 - Capital et al.</w:t>
      </w:r>
      <w:r w:rsidR="00CB3520" w:rsidRPr="00E85E82">
        <w:rPr>
          <w:sz w:val="20"/>
          <w:szCs w:val="20"/>
        </w:rPr>
        <w:t xml:space="preserve"> (</w:t>
      </w:r>
      <w:r w:rsidRPr="00E85E82">
        <w:rPr>
          <w:sz w:val="20"/>
          <w:szCs w:val="20"/>
        </w:rPr>
        <w:t>B</w:t>
      </w:r>
      <w:r w:rsidR="00CB3520" w:rsidRPr="00E85E82">
        <w:rPr>
          <w:sz w:val="20"/>
          <w:szCs w:val="20"/>
        </w:rPr>
        <w:t>.</w:t>
      </w:r>
      <w:r w:rsidRPr="00E85E82">
        <w:rPr>
          <w:sz w:val="20"/>
          <w:szCs w:val="20"/>
        </w:rPr>
        <w:t>C.</w:t>
      </w:r>
      <w:r w:rsidR="00CB3520" w:rsidRPr="00E85E82">
        <w:rPr>
          <w:sz w:val="20"/>
          <w:szCs w:val="20"/>
        </w:rPr>
        <w:t>) (Civil) (By Leave) (3</w:t>
      </w:r>
      <w:r w:rsidRPr="00E85E82">
        <w:rPr>
          <w:sz w:val="20"/>
          <w:szCs w:val="20"/>
        </w:rPr>
        <w:t>6962</w:t>
      </w:r>
      <w:r w:rsidR="00CB3520" w:rsidRPr="00E85E82">
        <w:rPr>
          <w:sz w:val="20"/>
          <w:szCs w:val="20"/>
        </w:rPr>
        <w:t>)</w:t>
      </w:r>
    </w:p>
    <w:p w:rsidR="00CB3520" w:rsidRPr="00E85E82" w:rsidRDefault="00CB3520" w:rsidP="00CB3520">
      <w:pPr>
        <w:widowControl w:val="0"/>
        <w:jc w:val="both"/>
        <w:rPr>
          <w:sz w:val="20"/>
          <w:szCs w:val="20"/>
        </w:rPr>
      </w:pPr>
    </w:p>
    <w:p w:rsidR="00CB3520" w:rsidRPr="00E85E82" w:rsidRDefault="00CB3520" w:rsidP="00CB3520">
      <w:pPr>
        <w:widowControl w:val="0"/>
        <w:jc w:val="both"/>
        <w:rPr>
          <w:sz w:val="20"/>
          <w:szCs w:val="20"/>
        </w:rPr>
      </w:pPr>
    </w:p>
    <w:p w:rsidR="00CB3520" w:rsidRPr="00E85E82" w:rsidRDefault="00CB3520" w:rsidP="00CB3520">
      <w:pPr>
        <w:widowControl w:val="0"/>
        <w:jc w:val="center"/>
        <w:rPr>
          <w:b/>
          <w:sz w:val="20"/>
          <w:szCs w:val="20"/>
        </w:rPr>
      </w:pPr>
      <w:r w:rsidRPr="00E85E82">
        <w:rPr>
          <w:b/>
          <w:sz w:val="20"/>
          <w:szCs w:val="20"/>
        </w:rPr>
        <w:t xml:space="preserve">CORAM: </w:t>
      </w:r>
      <w:r w:rsidR="006D245B" w:rsidRPr="00E85E82">
        <w:rPr>
          <w:b/>
          <w:sz w:val="20"/>
          <w:szCs w:val="20"/>
        </w:rPr>
        <w:t>Cromwell</w:t>
      </w:r>
      <w:r w:rsidRPr="00E85E82">
        <w:rPr>
          <w:b/>
          <w:sz w:val="20"/>
          <w:szCs w:val="20"/>
        </w:rPr>
        <w:t xml:space="preserve">, </w:t>
      </w:r>
      <w:r w:rsidR="006D245B" w:rsidRPr="00E85E82">
        <w:rPr>
          <w:b/>
          <w:sz w:val="20"/>
          <w:szCs w:val="20"/>
        </w:rPr>
        <w:t>Wagner</w:t>
      </w:r>
      <w:r w:rsidR="00FA3373" w:rsidRPr="00E85E82">
        <w:rPr>
          <w:b/>
          <w:sz w:val="20"/>
          <w:szCs w:val="20"/>
        </w:rPr>
        <w:t xml:space="preserve"> </w:t>
      </w:r>
      <w:r w:rsidRPr="00E85E82">
        <w:rPr>
          <w:b/>
          <w:sz w:val="20"/>
          <w:szCs w:val="20"/>
        </w:rPr>
        <w:t xml:space="preserve">and </w:t>
      </w:r>
      <w:r w:rsidR="006D245B" w:rsidRPr="00E85E82">
        <w:rPr>
          <w:b/>
          <w:sz w:val="20"/>
          <w:szCs w:val="20"/>
        </w:rPr>
        <w:t>Côté</w:t>
      </w:r>
      <w:r w:rsidRPr="00E85E82">
        <w:rPr>
          <w:b/>
          <w:sz w:val="20"/>
          <w:szCs w:val="20"/>
        </w:rPr>
        <w:t xml:space="preserve"> JJ.</w:t>
      </w:r>
    </w:p>
    <w:p w:rsidR="00CB3520" w:rsidRPr="00E85E82" w:rsidRDefault="00CB3520" w:rsidP="00CB3520">
      <w:pPr>
        <w:widowControl w:val="0"/>
        <w:jc w:val="center"/>
        <w:rPr>
          <w:b/>
          <w:sz w:val="20"/>
          <w:szCs w:val="20"/>
          <w:lang w:val="fr-CA"/>
        </w:rPr>
      </w:pPr>
      <w:r w:rsidRPr="00E85E82">
        <w:rPr>
          <w:b/>
          <w:sz w:val="20"/>
          <w:szCs w:val="20"/>
          <w:lang w:val="fr-CA"/>
        </w:rPr>
        <w:t xml:space="preserve">Les juges </w:t>
      </w:r>
      <w:r w:rsidR="006D245B" w:rsidRPr="00E85E82">
        <w:rPr>
          <w:b/>
          <w:sz w:val="20"/>
          <w:szCs w:val="20"/>
          <w:lang w:val="fr-CA"/>
        </w:rPr>
        <w:t>Cromwell</w:t>
      </w:r>
      <w:r w:rsidRPr="00E85E82">
        <w:rPr>
          <w:b/>
          <w:sz w:val="20"/>
          <w:szCs w:val="20"/>
          <w:lang w:val="fr-CA"/>
        </w:rPr>
        <w:t xml:space="preserve">, </w:t>
      </w:r>
      <w:r w:rsidR="006D245B" w:rsidRPr="00E85E82">
        <w:rPr>
          <w:b/>
          <w:sz w:val="20"/>
          <w:szCs w:val="20"/>
          <w:lang w:val="fr-CA"/>
        </w:rPr>
        <w:t>Wagner</w:t>
      </w:r>
      <w:r w:rsidR="00FA3373" w:rsidRPr="00E85E82">
        <w:rPr>
          <w:b/>
          <w:sz w:val="20"/>
          <w:szCs w:val="20"/>
          <w:lang w:val="fr-CA"/>
        </w:rPr>
        <w:t xml:space="preserve"> </w:t>
      </w:r>
      <w:r w:rsidRPr="00E85E82">
        <w:rPr>
          <w:b/>
          <w:sz w:val="20"/>
          <w:szCs w:val="20"/>
          <w:lang w:val="fr-CA"/>
        </w:rPr>
        <w:t xml:space="preserve">et </w:t>
      </w:r>
      <w:r w:rsidR="006D245B" w:rsidRPr="00E85E82">
        <w:rPr>
          <w:b/>
          <w:sz w:val="20"/>
          <w:szCs w:val="20"/>
          <w:lang w:val="fr-CA"/>
        </w:rPr>
        <w:t>Côté</w:t>
      </w:r>
    </w:p>
    <w:p w:rsidR="00CB3520" w:rsidRPr="00E85E82" w:rsidRDefault="00CB3520" w:rsidP="00CB3520">
      <w:pPr>
        <w:widowControl w:val="0"/>
        <w:jc w:val="both"/>
        <w:rPr>
          <w:sz w:val="20"/>
          <w:szCs w:val="20"/>
          <w:lang w:val="fr-CA"/>
        </w:rPr>
      </w:pPr>
    </w:p>
    <w:p w:rsidR="00CB3520" w:rsidRPr="00E85E82" w:rsidRDefault="006E162A" w:rsidP="00CB3520">
      <w:pPr>
        <w:pStyle w:val="ListParagraph"/>
        <w:widowControl w:val="0"/>
        <w:numPr>
          <w:ilvl w:val="0"/>
          <w:numId w:val="1"/>
        </w:numPr>
        <w:ind w:hanging="720"/>
        <w:jc w:val="both"/>
        <w:rPr>
          <w:sz w:val="20"/>
          <w:szCs w:val="20"/>
        </w:rPr>
      </w:pPr>
      <w:r w:rsidRPr="00E85E82">
        <w:rPr>
          <w:i/>
          <w:sz w:val="20"/>
          <w:szCs w:val="20"/>
        </w:rPr>
        <w:t>Ting-Sheng Chao</w:t>
      </w:r>
      <w:r w:rsidR="00CB3520" w:rsidRPr="00E85E82">
        <w:rPr>
          <w:i/>
          <w:sz w:val="20"/>
          <w:szCs w:val="20"/>
        </w:rPr>
        <w:t xml:space="preserve"> </w:t>
      </w:r>
      <w:r w:rsidRPr="00E85E82">
        <w:rPr>
          <w:i/>
          <w:sz w:val="20"/>
          <w:szCs w:val="20"/>
        </w:rPr>
        <w:t>c</w:t>
      </w:r>
      <w:r w:rsidR="00CB3520" w:rsidRPr="00E85E82">
        <w:rPr>
          <w:i/>
          <w:sz w:val="20"/>
          <w:szCs w:val="20"/>
        </w:rPr>
        <w:t xml:space="preserve">. </w:t>
      </w:r>
      <w:r w:rsidRPr="00E85E82">
        <w:rPr>
          <w:i/>
          <w:sz w:val="20"/>
          <w:szCs w:val="20"/>
        </w:rPr>
        <w:t>Chi-Wei Lin</w:t>
      </w:r>
      <w:r w:rsidR="00CB3520" w:rsidRPr="00E85E82">
        <w:rPr>
          <w:sz w:val="20"/>
          <w:szCs w:val="20"/>
        </w:rPr>
        <w:t xml:space="preserve"> (</w:t>
      </w:r>
      <w:r w:rsidRPr="00E85E82">
        <w:rPr>
          <w:sz w:val="20"/>
          <w:szCs w:val="20"/>
        </w:rPr>
        <w:t>Qc</w:t>
      </w:r>
      <w:r w:rsidR="00CB3520" w:rsidRPr="00E85E82">
        <w:rPr>
          <w:sz w:val="20"/>
          <w:szCs w:val="20"/>
        </w:rPr>
        <w:t>) (</w:t>
      </w:r>
      <w:proofErr w:type="spellStart"/>
      <w:r w:rsidR="00CB3520" w:rsidRPr="00E85E82">
        <w:rPr>
          <w:sz w:val="20"/>
          <w:szCs w:val="20"/>
        </w:rPr>
        <w:t>Civil</w:t>
      </w:r>
      <w:r w:rsidRPr="00E85E82">
        <w:rPr>
          <w:sz w:val="20"/>
          <w:szCs w:val="20"/>
        </w:rPr>
        <w:t>e</w:t>
      </w:r>
      <w:proofErr w:type="spellEnd"/>
      <w:r w:rsidR="00CB3520" w:rsidRPr="00E85E82">
        <w:rPr>
          <w:sz w:val="20"/>
          <w:szCs w:val="20"/>
        </w:rPr>
        <w:t>) (</w:t>
      </w:r>
      <w:proofErr w:type="spellStart"/>
      <w:r w:rsidRPr="00E85E82">
        <w:rPr>
          <w:sz w:val="20"/>
          <w:szCs w:val="20"/>
        </w:rPr>
        <w:t>Autorisation</w:t>
      </w:r>
      <w:proofErr w:type="spellEnd"/>
      <w:r w:rsidR="00CB3520" w:rsidRPr="00E85E82">
        <w:rPr>
          <w:sz w:val="20"/>
          <w:szCs w:val="20"/>
        </w:rPr>
        <w:t>) (3</w:t>
      </w:r>
      <w:r w:rsidRPr="00E85E82">
        <w:rPr>
          <w:sz w:val="20"/>
          <w:szCs w:val="20"/>
        </w:rPr>
        <w:t>6837</w:t>
      </w:r>
      <w:r w:rsidR="00CB3520" w:rsidRPr="00E85E82">
        <w:rPr>
          <w:sz w:val="20"/>
          <w:szCs w:val="20"/>
        </w:rPr>
        <w:t>)</w:t>
      </w:r>
    </w:p>
    <w:p w:rsidR="00CB3520" w:rsidRPr="00E85E82" w:rsidRDefault="00CB3520" w:rsidP="00CB3520">
      <w:pPr>
        <w:widowControl w:val="0"/>
        <w:jc w:val="both"/>
        <w:rPr>
          <w:sz w:val="20"/>
          <w:szCs w:val="20"/>
        </w:rPr>
      </w:pPr>
    </w:p>
    <w:p w:rsidR="00CB3520" w:rsidRPr="00E85E82" w:rsidRDefault="006E162A" w:rsidP="00CB3520">
      <w:pPr>
        <w:pStyle w:val="ListParagraph"/>
        <w:widowControl w:val="0"/>
        <w:numPr>
          <w:ilvl w:val="0"/>
          <w:numId w:val="1"/>
        </w:numPr>
        <w:ind w:hanging="720"/>
        <w:jc w:val="both"/>
        <w:rPr>
          <w:sz w:val="20"/>
          <w:szCs w:val="20"/>
        </w:rPr>
      </w:pPr>
      <w:r w:rsidRPr="00E85E82">
        <w:rPr>
          <w:i/>
          <w:sz w:val="20"/>
          <w:szCs w:val="20"/>
        </w:rPr>
        <w:t>Jamil Jacek Haidari</w:t>
      </w:r>
      <w:r w:rsidR="00CB3520" w:rsidRPr="00E85E82">
        <w:rPr>
          <w:i/>
          <w:sz w:val="20"/>
          <w:szCs w:val="20"/>
        </w:rPr>
        <w:t xml:space="preserve"> v.</w:t>
      </w:r>
      <w:r w:rsidRPr="00E85E82">
        <w:rPr>
          <w:i/>
          <w:sz w:val="20"/>
          <w:szCs w:val="20"/>
        </w:rPr>
        <w:t xml:space="preserve"> Her Majesty the Queen</w:t>
      </w:r>
      <w:r w:rsidR="00CB3520" w:rsidRPr="00E85E82">
        <w:rPr>
          <w:sz w:val="20"/>
          <w:szCs w:val="20"/>
        </w:rPr>
        <w:t xml:space="preserve"> (</w:t>
      </w:r>
      <w:r w:rsidRPr="00E85E82">
        <w:rPr>
          <w:sz w:val="20"/>
          <w:szCs w:val="20"/>
        </w:rPr>
        <w:t>F.C.</w:t>
      </w:r>
      <w:r w:rsidR="00CB3520" w:rsidRPr="00E85E82">
        <w:rPr>
          <w:sz w:val="20"/>
          <w:szCs w:val="20"/>
        </w:rPr>
        <w:t>) (Civil) (By Leave) (3</w:t>
      </w:r>
      <w:r w:rsidRPr="00E85E82">
        <w:rPr>
          <w:sz w:val="20"/>
          <w:szCs w:val="20"/>
        </w:rPr>
        <w:t>6964</w:t>
      </w:r>
      <w:r w:rsidR="00CB3520" w:rsidRPr="00E85E82">
        <w:rPr>
          <w:sz w:val="20"/>
          <w:szCs w:val="20"/>
        </w:rPr>
        <w:t>)</w:t>
      </w:r>
    </w:p>
    <w:p w:rsidR="002E2327" w:rsidRPr="00E85E82" w:rsidRDefault="002E2327" w:rsidP="002E2327">
      <w:pPr>
        <w:widowControl w:val="0"/>
        <w:rPr>
          <w:sz w:val="20"/>
          <w:szCs w:val="20"/>
        </w:rPr>
      </w:pPr>
    </w:p>
    <w:p w:rsidR="002E2327" w:rsidRPr="00E85E82" w:rsidRDefault="00B407D6" w:rsidP="002E2327">
      <w:pPr>
        <w:widowControl w:val="0"/>
        <w:rPr>
          <w:sz w:val="20"/>
          <w:szCs w:val="20"/>
        </w:rPr>
      </w:pPr>
      <w:r>
        <w:rPr>
          <w:sz w:val="20"/>
          <w:szCs w:val="20"/>
        </w:rPr>
        <w:pict>
          <v:rect id="_x0000_i1044" style="width:2in;height:1pt" o:hrpct="0" o:hralign="center" o:hrstd="t" o:hrnoshade="t" o:hr="t" fillcolor="black [3213]" stroked="f"/>
        </w:pict>
      </w:r>
    </w:p>
    <w:p w:rsidR="00D94028" w:rsidRPr="00E85E82" w:rsidRDefault="00D94028" w:rsidP="002E2327">
      <w:pPr>
        <w:widowControl w:val="0"/>
        <w:rPr>
          <w:sz w:val="20"/>
          <w:szCs w:val="20"/>
        </w:rPr>
      </w:pPr>
    </w:p>
    <w:p w:rsidR="00D94028" w:rsidRPr="00E85E82" w:rsidRDefault="00D94028" w:rsidP="002E2327">
      <w:pPr>
        <w:widowControl w:val="0"/>
        <w:rPr>
          <w:sz w:val="20"/>
          <w:szCs w:val="20"/>
        </w:rPr>
      </w:pPr>
    </w:p>
    <w:p w:rsidR="00D94028" w:rsidRPr="00E85E82" w:rsidRDefault="00D94028" w:rsidP="002E2327">
      <w:pPr>
        <w:widowControl w:val="0"/>
        <w:rPr>
          <w:sz w:val="20"/>
          <w:szCs w:val="20"/>
        </w:rPr>
      </w:pPr>
    </w:p>
    <w:p w:rsidR="0044776A" w:rsidRPr="00E85E82" w:rsidRDefault="0044776A" w:rsidP="002E2327">
      <w:pPr>
        <w:widowControl w:val="0"/>
        <w:spacing w:line="0" w:lineRule="atLeast"/>
        <w:rPr>
          <w:sz w:val="20"/>
          <w:szCs w:val="20"/>
        </w:rPr>
        <w:sectPr w:rsidR="0044776A" w:rsidRPr="00E85E82"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B407D6" w:rsidTr="00ED7E83">
        <w:tc>
          <w:tcPr>
            <w:tcW w:w="4200" w:type="dxa"/>
            <w:tcMar>
              <w:left w:w="0" w:type="dxa"/>
              <w:right w:w="0" w:type="dxa"/>
            </w:tcMar>
          </w:tcPr>
          <w:p w:rsidR="008D292F" w:rsidRPr="00E85E82" w:rsidRDefault="008D292F" w:rsidP="00ED7E83">
            <w:pPr>
              <w:keepNext/>
              <w:keepLines/>
              <w:jc w:val="both"/>
              <w:rPr>
                <w:b/>
                <w:szCs w:val="24"/>
              </w:rPr>
            </w:pPr>
            <w:bookmarkStart w:id="1" w:name="QuickMark_1"/>
            <w:bookmarkEnd w:id="1"/>
            <w:r w:rsidRPr="00E85E82">
              <w:rPr>
                <w:b/>
                <w:szCs w:val="24"/>
              </w:rPr>
              <w:t>JUDGMENTS ON APPLICATIONS</w:t>
            </w:r>
          </w:p>
          <w:p w:rsidR="008D292F" w:rsidRPr="00E85E82" w:rsidRDefault="008D292F" w:rsidP="00ED7E83">
            <w:pPr>
              <w:keepNext/>
              <w:keepLines/>
              <w:jc w:val="both"/>
              <w:rPr>
                <w:b/>
                <w:szCs w:val="24"/>
              </w:rPr>
            </w:pPr>
            <w:r w:rsidRPr="00E85E82">
              <w:rPr>
                <w:b/>
                <w:szCs w:val="24"/>
              </w:rPr>
              <w:t>FOR LEAVE</w:t>
            </w:r>
          </w:p>
        </w:tc>
        <w:tc>
          <w:tcPr>
            <w:tcW w:w="1200" w:type="dxa"/>
            <w:tcMar>
              <w:left w:w="0" w:type="dxa"/>
              <w:right w:w="0" w:type="dxa"/>
            </w:tcMar>
          </w:tcPr>
          <w:p w:rsidR="008D292F" w:rsidRPr="00E85E82" w:rsidRDefault="008D292F" w:rsidP="008D292F">
            <w:pPr>
              <w:keepNext/>
              <w:keepLines/>
              <w:jc w:val="center"/>
              <w:rPr>
                <w:b/>
                <w:szCs w:val="24"/>
              </w:rPr>
            </w:pPr>
          </w:p>
          <w:p w:rsidR="008D292F" w:rsidRPr="00E85E82" w:rsidRDefault="008D292F" w:rsidP="008D292F">
            <w:pPr>
              <w:keepNext/>
              <w:keepLines/>
              <w:jc w:val="center"/>
              <w:rPr>
                <w:b/>
                <w:szCs w:val="24"/>
              </w:rPr>
            </w:pPr>
          </w:p>
          <w:p w:rsidR="008D292F" w:rsidRPr="00E85E82" w:rsidRDefault="008D292F" w:rsidP="008D292F">
            <w:pPr>
              <w:keepNext/>
              <w:keepLines/>
              <w:jc w:val="center"/>
              <w:rPr>
                <w:b/>
                <w:szCs w:val="24"/>
              </w:rPr>
            </w:pPr>
          </w:p>
        </w:tc>
        <w:tc>
          <w:tcPr>
            <w:tcW w:w="4080" w:type="dxa"/>
            <w:tcMar>
              <w:left w:w="0" w:type="dxa"/>
              <w:right w:w="0" w:type="dxa"/>
            </w:tcMar>
          </w:tcPr>
          <w:p w:rsidR="008D292F" w:rsidRPr="00E85E82" w:rsidRDefault="008D292F" w:rsidP="00ED7E83">
            <w:pPr>
              <w:keepNext/>
              <w:keepLines/>
              <w:jc w:val="both"/>
              <w:rPr>
                <w:b/>
                <w:szCs w:val="24"/>
                <w:lang w:val="fr-CA"/>
              </w:rPr>
            </w:pPr>
            <w:r w:rsidRPr="00E85E82">
              <w:rPr>
                <w:b/>
                <w:szCs w:val="24"/>
                <w:lang w:val="fr-CA"/>
              </w:rPr>
              <w:t>JUGEMENTS RENDUS SUR LES DEMANDES D’AUTORISATION</w:t>
            </w:r>
          </w:p>
        </w:tc>
      </w:tr>
    </w:tbl>
    <w:p w:rsidR="008D292F" w:rsidRPr="00E85E82" w:rsidRDefault="008D292F" w:rsidP="008D292F">
      <w:pPr>
        <w:rPr>
          <w:sz w:val="20"/>
          <w:szCs w:val="20"/>
          <w:lang w:val="fr-CA"/>
        </w:rPr>
      </w:pPr>
    </w:p>
    <w:p w:rsidR="000E2959" w:rsidRPr="00E85E82" w:rsidRDefault="00232760" w:rsidP="000E2959">
      <w:pPr>
        <w:rPr>
          <w:b/>
          <w:sz w:val="20"/>
          <w:szCs w:val="20"/>
        </w:rPr>
      </w:pPr>
      <w:r w:rsidRPr="00E85E82">
        <w:rPr>
          <w:b/>
          <w:sz w:val="20"/>
          <w:szCs w:val="20"/>
        </w:rPr>
        <w:t>JUNE 23</w:t>
      </w:r>
      <w:r w:rsidR="000E2959" w:rsidRPr="00E85E82">
        <w:rPr>
          <w:b/>
          <w:sz w:val="20"/>
          <w:szCs w:val="20"/>
        </w:rPr>
        <w:t xml:space="preserve">, </w:t>
      </w:r>
      <w:r w:rsidR="0030050B" w:rsidRPr="00E85E82">
        <w:rPr>
          <w:b/>
          <w:sz w:val="20"/>
          <w:szCs w:val="20"/>
        </w:rPr>
        <w:t>2016</w:t>
      </w:r>
      <w:r w:rsidR="000E2959" w:rsidRPr="00E85E82">
        <w:rPr>
          <w:b/>
          <w:sz w:val="20"/>
          <w:szCs w:val="20"/>
        </w:rPr>
        <w:t xml:space="preserve"> / LE </w:t>
      </w:r>
      <w:r w:rsidRPr="00E85E82">
        <w:rPr>
          <w:b/>
          <w:sz w:val="20"/>
          <w:szCs w:val="20"/>
        </w:rPr>
        <w:t>23 JUIN</w:t>
      </w:r>
      <w:r w:rsidR="000E2959" w:rsidRPr="00E85E82">
        <w:rPr>
          <w:b/>
          <w:sz w:val="20"/>
          <w:szCs w:val="20"/>
        </w:rPr>
        <w:t xml:space="preserve"> </w:t>
      </w:r>
      <w:r w:rsidR="0030050B" w:rsidRPr="00E85E82">
        <w:rPr>
          <w:b/>
          <w:sz w:val="20"/>
          <w:szCs w:val="20"/>
        </w:rPr>
        <w:t>2016</w:t>
      </w:r>
    </w:p>
    <w:p w:rsidR="000E2959" w:rsidRPr="00E85E82"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Style w:val="SCCFileNumberChar"/>
                <w:sz w:val="20"/>
                <w:szCs w:val="20"/>
              </w:rPr>
              <w:t>36843</w:t>
            </w:r>
          </w:p>
          <w:p w:rsidR="00232760" w:rsidRPr="00E85E82" w:rsidRDefault="00232760" w:rsidP="000F56AC">
            <w:pPr>
              <w:jc w:val="both"/>
              <w:rPr>
                <w:rFonts w:cs="Times New Roman"/>
                <w:b/>
                <w:sz w:val="20"/>
                <w:szCs w:val="20"/>
              </w:rPr>
            </w:pPr>
          </w:p>
        </w:tc>
        <w:tc>
          <w:tcPr>
            <w:tcW w:w="8118" w:type="dxa"/>
            <w:gridSpan w:val="3"/>
          </w:tcPr>
          <w:p w:rsidR="00232760" w:rsidRPr="00E85E82" w:rsidRDefault="003648D9" w:rsidP="000F56AC">
            <w:pPr>
              <w:jc w:val="both"/>
              <w:rPr>
                <w:rFonts w:cs="Times New Roman"/>
                <w:sz w:val="20"/>
                <w:szCs w:val="20"/>
              </w:rPr>
            </w:pPr>
            <w:r w:rsidRPr="00E85E82">
              <w:rPr>
                <w:rStyle w:val="SCCLsocChar"/>
                <w:rFonts w:cs="Times New Roman"/>
                <w:sz w:val="20"/>
                <w:szCs w:val="20"/>
                <w:lang w:val="en-CA"/>
              </w:rPr>
              <w:t xml:space="preserve">Farhan </w:t>
            </w:r>
            <w:proofErr w:type="spellStart"/>
            <w:r w:rsidRPr="00E85E82">
              <w:rPr>
                <w:rStyle w:val="SCCLsocChar"/>
                <w:rFonts w:cs="Times New Roman"/>
                <w:sz w:val="20"/>
                <w:szCs w:val="20"/>
                <w:lang w:val="en-CA"/>
              </w:rPr>
              <w:t>Nur</w:t>
            </w:r>
            <w:proofErr w:type="spellEnd"/>
            <w:r w:rsidR="00232760" w:rsidRPr="00E85E82">
              <w:rPr>
                <w:rStyle w:val="SCCLsocChar"/>
                <w:rFonts w:cs="Times New Roman"/>
                <w:sz w:val="20"/>
                <w:szCs w:val="20"/>
                <w:lang w:val="en-CA"/>
              </w:rPr>
              <w:t xml:space="preserve"> v. </w:t>
            </w:r>
            <w:r w:rsidRPr="00E85E82">
              <w:rPr>
                <w:rStyle w:val="SCCLsocChar"/>
                <w:rFonts w:cs="Times New Roman"/>
                <w:sz w:val="20"/>
                <w:szCs w:val="20"/>
                <w:lang w:val="en-CA"/>
              </w:rPr>
              <w:t>Her Majesty the Queen</w:t>
            </w:r>
            <w:r w:rsidR="00232760" w:rsidRPr="00E85E82">
              <w:rPr>
                <w:rStyle w:val="SCCLsocChar"/>
                <w:rFonts w:cs="Times New Roman"/>
                <w:b w:val="0"/>
                <w:sz w:val="20"/>
                <w:szCs w:val="20"/>
                <w:u w:val="none"/>
                <w:lang w:val="en-CA"/>
              </w:rPr>
              <w:t xml:space="preserve"> </w:t>
            </w:r>
            <w:r w:rsidR="00232760" w:rsidRPr="00E85E82">
              <w:rPr>
                <w:rFonts w:cs="Times New Roman"/>
                <w:sz w:val="20"/>
                <w:szCs w:val="20"/>
              </w:rPr>
              <w:t>(Ont.) (</w:t>
            </w:r>
            <w:r w:rsidR="00514BCE" w:rsidRPr="00E85E82">
              <w:rPr>
                <w:rFonts w:cs="Times New Roman"/>
                <w:sz w:val="20"/>
                <w:szCs w:val="20"/>
              </w:rPr>
              <w:t>Crim.</w:t>
            </w:r>
            <w:r w:rsidR="00232760" w:rsidRPr="00E85E82">
              <w:rPr>
                <w:rFonts w:cs="Times New Roman"/>
                <w:sz w:val="20"/>
                <w:szCs w:val="20"/>
              </w:rPr>
              <w:t>) (By Leave)</w:t>
            </w:r>
          </w:p>
          <w:p w:rsidR="00232760" w:rsidRPr="00E85E82" w:rsidRDefault="00232760" w:rsidP="000F56AC">
            <w:pPr>
              <w:jc w:val="both"/>
              <w:rPr>
                <w:rFonts w:cs="Times New Roman"/>
                <w:sz w:val="20"/>
                <w:szCs w:val="20"/>
              </w:rPr>
            </w:pPr>
          </w:p>
        </w:tc>
      </w:tr>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Fonts w:cs="Times New Roman"/>
                <w:sz w:val="20"/>
                <w:szCs w:val="20"/>
              </w:rPr>
              <w:t>Coram :</w:t>
            </w:r>
          </w:p>
        </w:tc>
        <w:tc>
          <w:tcPr>
            <w:tcW w:w="8118" w:type="dxa"/>
            <w:gridSpan w:val="3"/>
          </w:tcPr>
          <w:p w:rsidR="00232760" w:rsidRPr="00E85E82" w:rsidRDefault="00232760" w:rsidP="000F56AC">
            <w:pPr>
              <w:jc w:val="both"/>
              <w:rPr>
                <w:rStyle w:val="SCCCoramChar"/>
                <w:sz w:val="20"/>
                <w:szCs w:val="20"/>
                <w:lang w:val="en-CA"/>
              </w:rPr>
            </w:pPr>
            <w:r w:rsidRPr="00E85E82">
              <w:rPr>
                <w:rStyle w:val="SCCCoramChar"/>
                <w:sz w:val="20"/>
                <w:szCs w:val="20"/>
                <w:lang w:val="en-CA"/>
              </w:rPr>
              <w:t>McLachlin C.J. and Moldaver and Gascon JJ.</w:t>
            </w:r>
          </w:p>
          <w:p w:rsidR="00232760" w:rsidRPr="00E85E82" w:rsidRDefault="00232760" w:rsidP="000F56AC">
            <w:pPr>
              <w:jc w:val="both"/>
              <w:rPr>
                <w:rFonts w:cs="Times New Roman"/>
                <w:sz w:val="20"/>
                <w:szCs w:val="20"/>
                <w:u w:val="single"/>
              </w:rPr>
            </w:pPr>
          </w:p>
        </w:tc>
      </w:tr>
      <w:tr w:rsidR="00232760" w:rsidRPr="00B407D6" w:rsidTr="000F56AC">
        <w:trPr>
          <w:cantSplit/>
        </w:trPr>
        <w:tc>
          <w:tcPr>
            <w:tcW w:w="9576" w:type="dxa"/>
            <w:gridSpan w:val="4"/>
          </w:tcPr>
          <w:p w:rsidR="00FE4B3D" w:rsidRPr="00E85E82" w:rsidRDefault="00FE4B3D" w:rsidP="00FE4B3D">
            <w:pPr>
              <w:pStyle w:val="SCCShortJudgment"/>
              <w:rPr>
                <w:rFonts w:cs="Times New Roman"/>
                <w:szCs w:val="20"/>
              </w:rPr>
            </w:pPr>
            <w:r w:rsidRPr="00E85E82">
              <w:rPr>
                <w:rFonts w:cs="Times New Roman"/>
                <w:szCs w:val="20"/>
              </w:rPr>
              <w:t>The application for leave to appeal from the judgment of the Ontario Superior Court of Justice, Number 15-13227, 2015 ONSC 7777, dated December 10, 2015, is dismissed.</w:t>
            </w:r>
          </w:p>
          <w:p w:rsidR="00FE4B3D" w:rsidRPr="00E85E82" w:rsidRDefault="00FE4B3D" w:rsidP="00FE4B3D">
            <w:pPr>
              <w:pStyle w:val="SCCShortJudgment"/>
              <w:rPr>
                <w:rFonts w:cs="Times New Roman"/>
                <w:szCs w:val="20"/>
              </w:rPr>
            </w:pPr>
          </w:p>
          <w:p w:rsidR="00232760" w:rsidRPr="00C556BB" w:rsidRDefault="00FE4B3D" w:rsidP="00FE4B3D">
            <w:pPr>
              <w:pStyle w:val="SCCShortJudgment"/>
              <w:ind w:firstLine="691"/>
              <w:rPr>
                <w:rFonts w:cs="Times New Roman"/>
                <w:szCs w:val="20"/>
                <w:lang w:val="fr-CA"/>
              </w:rPr>
            </w:pPr>
            <w:r w:rsidRPr="00C556BB">
              <w:rPr>
                <w:rFonts w:cs="Times New Roman"/>
                <w:szCs w:val="20"/>
                <w:lang w:val="fr-CA"/>
              </w:rPr>
              <w:t>La demande d’autorisation d’appel de l’arrêt de la Cour supérieure de justice de l’Ontario, numéro 15-13227, 2015 ONSC 7777, daté du 10 décembre 2015, est rejetée</w:t>
            </w:r>
          </w:p>
          <w:p w:rsidR="00FE4B3D" w:rsidRPr="00E85E82" w:rsidRDefault="00FE4B3D" w:rsidP="00FE4B3D">
            <w:pPr>
              <w:pStyle w:val="SCCShortJudgment"/>
              <w:ind w:firstLine="0"/>
              <w:rPr>
                <w:rFonts w:cs="Times New Roman"/>
                <w:szCs w:val="20"/>
                <w:lang w:val="fr-CA"/>
              </w:rPr>
            </w:pPr>
          </w:p>
        </w:tc>
      </w:tr>
      <w:tr w:rsidR="00232760" w:rsidRPr="00E85E82" w:rsidTr="000F56AC">
        <w:trPr>
          <w:cantSplit/>
        </w:trPr>
        <w:tc>
          <w:tcPr>
            <w:tcW w:w="9576" w:type="dxa"/>
            <w:gridSpan w:val="4"/>
          </w:tcPr>
          <w:p w:rsidR="00232760" w:rsidRPr="00E85E82" w:rsidRDefault="00232760" w:rsidP="000F56AC">
            <w:pPr>
              <w:pStyle w:val="SCCShortJudgment"/>
              <w:ind w:firstLine="0"/>
              <w:rPr>
                <w:rFonts w:cs="Times New Roman"/>
                <w:szCs w:val="20"/>
                <w:u w:val="single"/>
                <w:lang w:val="fr-CA"/>
              </w:rPr>
            </w:pPr>
            <w:r w:rsidRPr="00E85E82">
              <w:rPr>
                <w:rFonts w:cs="Times New Roman"/>
                <w:szCs w:val="20"/>
                <w:u w:val="single"/>
                <w:lang w:val="fr-CA"/>
              </w:rPr>
              <w:t>CASE SUMMARY</w:t>
            </w:r>
          </w:p>
          <w:p w:rsidR="00232760" w:rsidRPr="00E85E82" w:rsidRDefault="00232760" w:rsidP="000F56AC">
            <w:pPr>
              <w:pStyle w:val="SCCShortJudgment"/>
              <w:ind w:firstLine="0"/>
              <w:rPr>
                <w:rFonts w:cs="Times New Roman"/>
                <w:szCs w:val="20"/>
                <w:u w:val="single"/>
                <w:lang w:val="fr-CA"/>
              </w:rPr>
            </w:pPr>
          </w:p>
        </w:tc>
      </w:tr>
      <w:tr w:rsidR="00232760" w:rsidRPr="00E85E82" w:rsidTr="000F56AC">
        <w:trPr>
          <w:cantSplit/>
        </w:trPr>
        <w:tc>
          <w:tcPr>
            <w:tcW w:w="9576" w:type="dxa"/>
            <w:gridSpan w:val="4"/>
          </w:tcPr>
          <w:p w:rsidR="00232760" w:rsidRPr="00E85E82" w:rsidRDefault="000F56AC" w:rsidP="000F56AC">
            <w:pPr>
              <w:pStyle w:val="SCCShortJudgment"/>
              <w:ind w:firstLine="0"/>
              <w:rPr>
                <w:szCs w:val="20"/>
              </w:rPr>
            </w:pPr>
            <w:r w:rsidRPr="00E85E82">
              <w:rPr>
                <w:i/>
                <w:szCs w:val="20"/>
              </w:rPr>
              <w:t>Charter</w:t>
            </w:r>
            <w:r w:rsidRPr="00E85E82">
              <w:rPr>
                <w:szCs w:val="20"/>
              </w:rPr>
              <w:t xml:space="preserve"> — Search or seizure — Sealed search warrant executed against non-accused’s property — Non-accused’s subsequent application to vary sealing order of search warrant dismissed — Whether this Court’s decision in </w:t>
            </w:r>
            <w:r w:rsidRPr="00E85E82">
              <w:rPr>
                <w:i/>
                <w:szCs w:val="20"/>
              </w:rPr>
              <w:t>Michaud</w:t>
            </w:r>
            <w:r w:rsidRPr="00E85E82">
              <w:rPr>
                <w:i/>
                <w:iCs/>
                <w:szCs w:val="20"/>
                <w:lang w:val="en-US"/>
              </w:rPr>
              <w:t xml:space="preserve"> v. Quebec </w:t>
            </w:r>
            <w:r w:rsidRPr="00E85E82">
              <w:rPr>
                <w:i/>
                <w:szCs w:val="20"/>
                <w:lang w:val="en-US"/>
              </w:rPr>
              <w:t>(Attorney General)</w:t>
            </w:r>
            <w:r w:rsidRPr="00E85E82">
              <w:rPr>
                <w:szCs w:val="20"/>
                <w:lang w:val="en-US"/>
              </w:rPr>
              <w:t>, [1996] 3 S.C.R. 3,</w:t>
            </w:r>
            <w:r w:rsidRPr="00E85E82">
              <w:rPr>
                <w:szCs w:val="20"/>
              </w:rPr>
              <w:t xml:space="preserve"> applies to non-accused’s access to sealed search warrant — </w:t>
            </w:r>
            <w:r w:rsidRPr="00E85E82">
              <w:rPr>
                <w:i/>
                <w:szCs w:val="20"/>
              </w:rPr>
              <w:t>Canadian Charter of Rights and Freedoms</w:t>
            </w:r>
            <w:r w:rsidRPr="00E85E82">
              <w:rPr>
                <w:szCs w:val="20"/>
              </w:rPr>
              <w:t>, s. 8.</w:t>
            </w:r>
          </w:p>
          <w:p w:rsidR="000F56AC" w:rsidRPr="00E85E82" w:rsidRDefault="000F56AC" w:rsidP="000F56AC">
            <w:pPr>
              <w:pStyle w:val="SCCShortJudgment"/>
              <w:ind w:firstLine="0"/>
              <w:rPr>
                <w:rFonts w:cs="Times New Roman"/>
                <w:szCs w:val="20"/>
              </w:rPr>
            </w:pPr>
          </w:p>
        </w:tc>
      </w:tr>
      <w:tr w:rsidR="00232760" w:rsidRPr="00E85E82" w:rsidTr="000F56AC">
        <w:trPr>
          <w:cantSplit/>
        </w:trPr>
        <w:tc>
          <w:tcPr>
            <w:tcW w:w="9576" w:type="dxa"/>
            <w:gridSpan w:val="4"/>
          </w:tcPr>
          <w:p w:rsidR="000F56AC" w:rsidRPr="00E85E82" w:rsidRDefault="000F56AC" w:rsidP="000F56AC">
            <w:pPr>
              <w:jc w:val="both"/>
              <w:rPr>
                <w:sz w:val="20"/>
                <w:szCs w:val="20"/>
              </w:rPr>
            </w:pPr>
            <w:r w:rsidRPr="00E85E82">
              <w:rPr>
                <w:sz w:val="20"/>
                <w:szCs w:val="20"/>
              </w:rPr>
              <w:t>A search warrant was executed against the property of the applicant, Mr. </w:t>
            </w:r>
            <w:proofErr w:type="spellStart"/>
            <w:r w:rsidRPr="00E85E82">
              <w:rPr>
                <w:sz w:val="20"/>
                <w:szCs w:val="20"/>
              </w:rPr>
              <w:t>Nur</w:t>
            </w:r>
            <w:proofErr w:type="spellEnd"/>
            <w:r w:rsidRPr="00E85E82">
              <w:rPr>
                <w:sz w:val="20"/>
                <w:szCs w:val="20"/>
              </w:rPr>
              <w:t xml:space="preserve">, by the RCMP during its investigation following the shooting on Parliament Hill by Michael </w:t>
            </w:r>
            <w:proofErr w:type="spellStart"/>
            <w:r w:rsidRPr="00E85E82">
              <w:rPr>
                <w:sz w:val="20"/>
                <w:szCs w:val="20"/>
              </w:rPr>
              <w:t>Zehaf-Bibeau</w:t>
            </w:r>
            <w:proofErr w:type="spellEnd"/>
            <w:r w:rsidRPr="00E85E82">
              <w:rPr>
                <w:sz w:val="20"/>
                <w:szCs w:val="20"/>
              </w:rPr>
              <w:t xml:space="preserve"> on October 22, 2014. The Information to Obtain the search warrant (“ITO”) was dated May 26, 2015, and was prepared by a peace officer and member of the RCMP. The search warrant was issued by Alder J. of the Ontario Court of Justice. An application was made in August 2015 requesting the continued detention of the seized items for a period of not more than nine months. As part of the issuance of the search warrant, an order was made, pursuant to s. 487.3 of the </w:t>
            </w:r>
            <w:r w:rsidRPr="00E85E82">
              <w:rPr>
                <w:i/>
                <w:sz w:val="20"/>
                <w:szCs w:val="20"/>
              </w:rPr>
              <w:t>Criminal Code</w:t>
            </w:r>
            <w:r w:rsidRPr="00E85E82">
              <w:rPr>
                <w:sz w:val="20"/>
                <w:szCs w:val="20"/>
              </w:rPr>
              <w:t>, sealing all materials relating to the warrant until further order of a court of competent jurisdiction. Mr. </w:t>
            </w:r>
            <w:proofErr w:type="spellStart"/>
            <w:r w:rsidRPr="00E85E82">
              <w:rPr>
                <w:sz w:val="20"/>
                <w:szCs w:val="20"/>
              </w:rPr>
              <w:t>Nur’s</w:t>
            </w:r>
            <w:proofErr w:type="spellEnd"/>
            <w:r w:rsidRPr="00E85E82">
              <w:rPr>
                <w:sz w:val="20"/>
                <w:szCs w:val="20"/>
              </w:rPr>
              <w:t xml:space="preserve"> subsequent application to vary the sealing order was dismissed by </w:t>
            </w:r>
            <w:proofErr w:type="spellStart"/>
            <w:r w:rsidRPr="00E85E82">
              <w:rPr>
                <w:sz w:val="20"/>
                <w:szCs w:val="20"/>
              </w:rPr>
              <w:t>Labrosse</w:t>
            </w:r>
            <w:proofErr w:type="spellEnd"/>
            <w:r w:rsidRPr="00E85E82">
              <w:rPr>
                <w:sz w:val="20"/>
                <w:szCs w:val="20"/>
              </w:rPr>
              <w:t> J. of the Superior Court. By the date of the hearing of that application, all seized items had been returned to Mr. </w:t>
            </w:r>
            <w:proofErr w:type="spellStart"/>
            <w:r w:rsidRPr="00E85E82">
              <w:rPr>
                <w:sz w:val="20"/>
                <w:szCs w:val="20"/>
              </w:rPr>
              <w:t>Nur</w:t>
            </w:r>
            <w:proofErr w:type="spellEnd"/>
            <w:r w:rsidRPr="00E85E82">
              <w:rPr>
                <w:sz w:val="20"/>
                <w:szCs w:val="20"/>
              </w:rPr>
              <w:t>, and he has not since been charged.</w:t>
            </w:r>
          </w:p>
          <w:p w:rsidR="00232760" w:rsidRPr="00E85E82" w:rsidRDefault="00232760" w:rsidP="000F56AC">
            <w:pPr>
              <w:pStyle w:val="SCCShortJudgment"/>
              <w:ind w:firstLine="0"/>
              <w:rPr>
                <w:rFonts w:cs="Times New Roman"/>
                <w:szCs w:val="20"/>
              </w:rPr>
            </w:pPr>
          </w:p>
        </w:tc>
      </w:tr>
      <w:tr w:rsidR="00232760" w:rsidRPr="00E85E82" w:rsidTr="000F56AC">
        <w:trPr>
          <w:cantSplit/>
        </w:trPr>
        <w:tc>
          <w:tcPr>
            <w:tcW w:w="4410" w:type="dxa"/>
            <w:gridSpan w:val="2"/>
          </w:tcPr>
          <w:p w:rsidR="000F56AC" w:rsidRPr="00E85E82" w:rsidRDefault="000F56AC" w:rsidP="000F56AC">
            <w:pPr>
              <w:jc w:val="both"/>
              <w:rPr>
                <w:sz w:val="20"/>
                <w:szCs w:val="20"/>
              </w:rPr>
            </w:pPr>
            <w:r w:rsidRPr="00E85E82">
              <w:rPr>
                <w:sz w:val="20"/>
                <w:szCs w:val="20"/>
              </w:rPr>
              <w:t>May 26, 2015</w:t>
            </w:r>
          </w:p>
          <w:p w:rsidR="000F56AC" w:rsidRPr="00E85E82" w:rsidRDefault="000F56AC" w:rsidP="000F56AC">
            <w:pPr>
              <w:jc w:val="both"/>
              <w:rPr>
                <w:sz w:val="20"/>
                <w:szCs w:val="20"/>
              </w:rPr>
            </w:pPr>
            <w:r w:rsidRPr="00E85E82">
              <w:rPr>
                <w:sz w:val="20"/>
                <w:szCs w:val="20"/>
              </w:rPr>
              <w:t xml:space="preserve">Ontario Court of Justice </w:t>
            </w:r>
          </w:p>
          <w:p w:rsidR="000F56AC" w:rsidRPr="00E85E82" w:rsidRDefault="000F56AC" w:rsidP="000F56AC">
            <w:pPr>
              <w:jc w:val="both"/>
              <w:rPr>
                <w:sz w:val="20"/>
                <w:szCs w:val="20"/>
              </w:rPr>
            </w:pPr>
            <w:r w:rsidRPr="00E85E82">
              <w:rPr>
                <w:sz w:val="20"/>
                <w:szCs w:val="20"/>
              </w:rPr>
              <w:t>(Alder J.)</w:t>
            </w:r>
          </w:p>
          <w:p w:rsidR="00232760" w:rsidRPr="00E85E82" w:rsidRDefault="00232760" w:rsidP="000F56AC">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0F56AC" w:rsidRPr="00E85E82" w:rsidRDefault="000F56AC" w:rsidP="000F56AC">
            <w:pPr>
              <w:jc w:val="both"/>
              <w:rPr>
                <w:sz w:val="20"/>
                <w:szCs w:val="20"/>
              </w:rPr>
            </w:pPr>
            <w:r w:rsidRPr="00E85E82">
              <w:rPr>
                <w:sz w:val="20"/>
                <w:szCs w:val="20"/>
              </w:rPr>
              <w:t>Application for search warrant (to be executed against non-accused’s property) and sealing order granted.</w:t>
            </w:r>
          </w:p>
          <w:p w:rsidR="00232760" w:rsidRPr="00E85E82" w:rsidRDefault="00232760" w:rsidP="000F56AC">
            <w:pPr>
              <w:jc w:val="both"/>
              <w:rPr>
                <w:rFonts w:cs="Times New Roman"/>
                <w:sz w:val="20"/>
                <w:szCs w:val="20"/>
              </w:rPr>
            </w:pPr>
          </w:p>
        </w:tc>
      </w:tr>
      <w:tr w:rsidR="00232760" w:rsidRPr="00E85E82" w:rsidTr="000F56AC">
        <w:trPr>
          <w:cantSplit/>
        </w:trPr>
        <w:tc>
          <w:tcPr>
            <w:tcW w:w="4410" w:type="dxa"/>
            <w:gridSpan w:val="2"/>
          </w:tcPr>
          <w:p w:rsidR="000F56AC" w:rsidRPr="00E85E82" w:rsidRDefault="000F56AC" w:rsidP="000F56AC">
            <w:pPr>
              <w:jc w:val="both"/>
              <w:rPr>
                <w:sz w:val="20"/>
                <w:szCs w:val="20"/>
              </w:rPr>
            </w:pPr>
            <w:r w:rsidRPr="00E85E82">
              <w:rPr>
                <w:sz w:val="20"/>
                <w:szCs w:val="20"/>
              </w:rPr>
              <w:t>December 10, 2015</w:t>
            </w:r>
          </w:p>
          <w:p w:rsidR="000F56AC" w:rsidRPr="00E85E82" w:rsidRDefault="000F56AC" w:rsidP="000F56AC">
            <w:pPr>
              <w:jc w:val="both"/>
              <w:rPr>
                <w:sz w:val="20"/>
                <w:szCs w:val="20"/>
              </w:rPr>
            </w:pPr>
            <w:r w:rsidRPr="00E85E82">
              <w:rPr>
                <w:sz w:val="20"/>
                <w:szCs w:val="20"/>
              </w:rPr>
              <w:t>Ontario Superior Court of Justice</w:t>
            </w:r>
          </w:p>
          <w:p w:rsidR="000F56AC" w:rsidRPr="00E85E82" w:rsidRDefault="000F56AC" w:rsidP="000F56AC">
            <w:pPr>
              <w:jc w:val="both"/>
              <w:rPr>
                <w:sz w:val="20"/>
                <w:szCs w:val="20"/>
              </w:rPr>
            </w:pPr>
            <w:r w:rsidRPr="00E85E82">
              <w:rPr>
                <w:sz w:val="20"/>
                <w:szCs w:val="20"/>
              </w:rPr>
              <w:t>(</w:t>
            </w:r>
            <w:proofErr w:type="spellStart"/>
            <w:r w:rsidRPr="00E85E82">
              <w:rPr>
                <w:sz w:val="20"/>
                <w:szCs w:val="20"/>
              </w:rPr>
              <w:t>Labrosse</w:t>
            </w:r>
            <w:proofErr w:type="spellEnd"/>
            <w:r w:rsidRPr="00E85E82">
              <w:rPr>
                <w:sz w:val="20"/>
                <w:szCs w:val="20"/>
              </w:rPr>
              <w:t xml:space="preserve"> J.)</w:t>
            </w:r>
          </w:p>
          <w:p w:rsidR="000F56AC" w:rsidRPr="00E85E82" w:rsidRDefault="00B407D6" w:rsidP="000F56AC">
            <w:pPr>
              <w:jc w:val="both"/>
              <w:rPr>
                <w:sz w:val="20"/>
                <w:szCs w:val="20"/>
              </w:rPr>
            </w:pPr>
            <w:hyperlink r:id="rId25" w:history="1">
              <w:r w:rsidR="000F56AC" w:rsidRPr="00E85E82">
                <w:rPr>
                  <w:rStyle w:val="Hyperlink"/>
                  <w:sz w:val="20"/>
                  <w:szCs w:val="20"/>
                </w:rPr>
                <w:t>2015 ONSC 7777</w:t>
              </w:r>
            </w:hyperlink>
          </w:p>
          <w:p w:rsidR="00232760" w:rsidRPr="00E85E82" w:rsidRDefault="00232760" w:rsidP="000F56AC">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0F56AC" w:rsidRPr="00E85E82" w:rsidRDefault="000F56AC" w:rsidP="000F56AC">
            <w:pPr>
              <w:jc w:val="both"/>
              <w:rPr>
                <w:sz w:val="20"/>
                <w:szCs w:val="20"/>
              </w:rPr>
            </w:pPr>
            <w:r w:rsidRPr="00E85E82">
              <w:rPr>
                <w:sz w:val="20"/>
                <w:szCs w:val="20"/>
              </w:rPr>
              <w:t>Application to vary sealing order of search warrant dismissed.</w:t>
            </w:r>
          </w:p>
          <w:p w:rsidR="00232760" w:rsidRPr="00E85E82" w:rsidRDefault="00232760" w:rsidP="000F56AC">
            <w:pPr>
              <w:jc w:val="both"/>
              <w:rPr>
                <w:rFonts w:cs="Times New Roman"/>
                <w:sz w:val="20"/>
                <w:szCs w:val="20"/>
              </w:rPr>
            </w:pPr>
          </w:p>
        </w:tc>
      </w:tr>
      <w:tr w:rsidR="000F56AC" w:rsidRPr="00E85E82" w:rsidTr="000F56AC">
        <w:trPr>
          <w:cantSplit/>
        </w:trPr>
        <w:tc>
          <w:tcPr>
            <w:tcW w:w="4410" w:type="dxa"/>
            <w:gridSpan w:val="2"/>
          </w:tcPr>
          <w:p w:rsidR="000F56AC" w:rsidRPr="00E85E82" w:rsidRDefault="000F56AC" w:rsidP="000F56AC">
            <w:pPr>
              <w:jc w:val="both"/>
              <w:rPr>
                <w:sz w:val="20"/>
                <w:szCs w:val="20"/>
              </w:rPr>
            </w:pPr>
            <w:r w:rsidRPr="00E85E82">
              <w:rPr>
                <w:sz w:val="20"/>
                <w:szCs w:val="20"/>
              </w:rPr>
              <w:t>February 8, 2016</w:t>
            </w:r>
          </w:p>
          <w:p w:rsidR="000F56AC" w:rsidRPr="00E85E82" w:rsidRDefault="000F56AC" w:rsidP="000F56AC">
            <w:pPr>
              <w:jc w:val="both"/>
              <w:rPr>
                <w:sz w:val="20"/>
                <w:szCs w:val="20"/>
              </w:rPr>
            </w:pPr>
            <w:r w:rsidRPr="00E85E82">
              <w:rPr>
                <w:sz w:val="20"/>
                <w:szCs w:val="20"/>
              </w:rPr>
              <w:t>Supreme Court of Canada</w:t>
            </w:r>
          </w:p>
          <w:p w:rsidR="000F56AC" w:rsidRPr="00E85E82" w:rsidRDefault="000F56AC" w:rsidP="000F56AC">
            <w:pPr>
              <w:jc w:val="both"/>
              <w:rPr>
                <w:rFonts w:cs="Times New Roman"/>
                <w:sz w:val="20"/>
                <w:szCs w:val="20"/>
              </w:rPr>
            </w:pPr>
          </w:p>
        </w:tc>
        <w:tc>
          <w:tcPr>
            <w:tcW w:w="630" w:type="dxa"/>
          </w:tcPr>
          <w:p w:rsidR="000F56AC" w:rsidRPr="00E85E82" w:rsidRDefault="000F56AC" w:rsidP="000F56AC">
            <w:pPr>
              <w:pStyle w:val="SCCShortJudgment"/>
              <w:ind w:firstLine="0"/>
              <w:rPr>
                <w:rFonts w:cs="Times New Roman"/>
                <w:szCs w:val="20"/>
              </w:rPr>
            </w:pPr>
          </w:p>
        </w:tc>
        <w:tc>
          <w:tcPr>
            <w:tcW w:w="4536" w:type="dxa"/>
          </w:tcPr>
          <w:p w:rsidR="000F56AC" w:rsidRPr="00E85E82" w:rsidRDefault="000F56AC" w:rsidP="000F56AC">
            <w:pPr>
              <w:jc w:val="both"/>
              <w:rPr>
                <w:sz w:val="20"/>
                <w:szCs w:val="20"/>
              </w:rPr>
            </w:pPr>
            <w:r w:rsidRPr="00E85E82">
              <w:rPr>
                <w:sz w:val="20"/>
                <w:szCs w:val="20"/>
              </w:rPr>
              <w:t>Application for leave to appeal filed.</w:t>
            </w:r>
          </w:p>
        </w:tc>
      </w:tr>
      <w:tr w:rsidR="000F56AC" w:rsidRPr="00E85E82" w:rsidTr="000F56AC">
        <w:trPr>
          <w:cantSplit/>
        </w:trPr>
        <w:tc>
          <w:tcPr>
            <w:tcW w:w="9576" w:type="dxa"/>
            <w:gridSpan w:val="4"/>
          </w:tcPr>
          <w:p w:rsidR="000F56AC" w:rsidRPr="00E85E82" w:rsidRDefault="00B407D6" w:rsidP="000F56AC">
            <w:pPr>
              <w:pStyle w:val="SCCShortJudgment"/>
              <w:ind w:firstLine="0"/>
              <w:rPr>
                <w:rFonts w:cs="Times New Roman"/>
                <w:szCs w:val="20"/>
                <w:lang w:val="fr-CA"/>
              </w:rPr>
            </w:pPr>
            <w:r>
              <w:rPr>
                <w:rFonts w:cs="Times New Roman"/>
                <w:szCs w:val="20"/>
                <w:lang w:val="fr-CA"/>
              </w:rPr>
              <w:pict>
                <v:rect id="_x0000_i1047" style="width:2in;height:1pt" o:hrpct="0" o:hralign="center" o:hrstd="t" o:hrnoshade="t" o:hr="t" fillcolor="black [3213]" stroked="f"/>
              </w:pict>
            </w:r>
          </w:p>
          <w:p w:rsidR="000F56AC" w:rsidRPr="00E85E82" w:rsidRDefault="000F56AC" w:rsidP="000F56AC">
            <w:pPr>
              <w:pStyle w:val="SCCShortJudgment"/>
              <w:ind w:firstLine="0"/>
              <w:rPr>
                <w:rFonts w:cs="Times New Roman"/>
                <w:szCs w:val="20"/>
                <w:lang w:val="fr-CA"/>
              </w:rPr>
            </w:pPr>
          </w:p>
        </w:tc>
      </w:tr>
      <w:tr w:rsidR="000F56AC" w:rsidRPr="00E85E82" w:rsidTr="000F56AC">
        <w:trPr>
          <w:cantSplit/>
        </w:trPr>
        <w:tc>
          <w:tcPr>
            <w:tcW w:w="9576" w:type="dxa"/>
            <w:gridSpan w:val="4"/>
          </w:tcPr>
          <w:p w:rsidR="000F56AC" w:rsidRPr="00E85E82" w:rsidRDefault="000F56AC" w:rsidP="000F56AC">
            <w:pPr>
              <w:pStyle w:val="SCCShortJudgment"/>
              <w:ind w:firstLine="0"/>
              <w:rPr>
                <w:rFonts w:cs="Times New Roman"/>
                <w:szCs w:val="20"/>
                <w:u w:val="single"/>
                <w:lang w:val="fr-CA"/>
              </w:rPr>
            </w:pPr>
            <w:r w:rsidRPr="00E85E82">
              <w:rPr>
                <w:rFonts w:cs="Times New Roman"/>
                <w:szCs w:val="20"/>
                <w:u w:val="single"/>
                <w:lang w:val="fr-CA"/>
              </w:rPr>
              <w:t>RÉSUMÉ DE L’AFFAIRE </w:t>
            </w:r>
          </w:p>
          <w:p w:rsidR="000F56AC" w:rsidRPr="00E85E82" w:rsidRDefault="000F56AC" w:rsidP="000F56AC">
            <w:pPr>
              <w:pStyle w:val="SCCShortJudgment"/>
              <w:ind w:firstLine="0"/>
              <w:rPr>
                <w:rFonts w:cs="Times New Roman"/>
                <w:szCs w:val="20"/>
                <w:u w:val="single"/>
                <w:lang w:val="fr-CA"/>
              </w:rPr>
            </w:pPr>
          </w:p>
        </w:tc>
      </w:tr>
      <w:tr w:rsidR="000F56AC" w:rsidRPr="00B407D6" w:rsidTr="00514BCE">
        <w:tc>
          <w:tcPr>
            <w:tcW w:w="9576" w:type="dxa"/>
            <w:gridSpan w:val="4"/>
          </w:tcPr>
          <w:p w:rsidR="000F56AC" w:rsidRPr="00E85E82" w:rsidRDefault="00514BCE" w:rsidP="000F56AC">
            <w:pPr>
              <w:pStyle w:val="SCCShortJudgment"/>
              <w:ind w:firstLine="0"/>
              <w:rPr>
                <w:szCs w:val="20"/>
                <w:lang w:val="fr-CA"/>
              </w:rPr>
            </w:pPr>
            <w:r w:rsidRPr="00E85E82">
              <w:rPr>
                <w:i/>
                <w:szCs w:val="20"/>
                <w:lang w:val="fr-CA"/>
              </w:rPr>
              <w:t>Charte</w:t>
            </w:r>
            <w:r w:rsidRPr="00E85E82">
              <w:rPr>
                <w:szCs w:val="20"/>
                <w:lang w:val="fr-CA"/>
              </w:rPr>
              <w:t xml:space="preserve"> — Fouilles et perquisitions — Un mandat de perquisition scellé a été exécuté à l’endroit d’un bien appartenant à un tiers non accusé — La demande subséquente du tiers non accusé en vue de modifier l’ordonnance de mise sous scellés du mandat de perquisition a été rejetée — L’arrêt de notre Cour </w:t>
            </w:r>
            <w:r w:rsidRPr="00E85E82">
              <w:rPr>
                <w:i/>
                <w:szCs w:val="20"/>
                <w:lang w:val="fr-CA"/>
              </w:rPr>
              <w:t>Michaud</w:t>
            </w:r>
            <w:r w:rsidRPr="00E85E82">
              <w:rPr>
                <w:i/>
                <w:iCs/>
                <w:szCs w:val="20"/>
                <w:lang w:val="fr-CA"/>
              </w:rPr>
              <w:t xml:space="preserve"> c. Québec </w:t>
            </w:r>
            <w:r w:rsidRPr="00E85E82">
              <w:rPr>
                <w:i/>
                <w:szCs w:val="20"/>
                <w:lang w:val="fr-CA"/>
              </w:rPr>
              <w:t>(Procureur général)</w:t>
            </w:r>
            <w:r w:rsidRPr="00E85E82">
              <w:rPr>
                <w:szCs w:val="20"/>
                <w:lang w:val="fr-CA"/>
              </w:rPr>
              <w:t xml:space="preserve">, [1996] 3 R.C.S. 3, s’applique-t-il à l’accès par un tiers non accusé à un mandat de perquisition scellé? — </w:t>
            </w:r>
            <w:r w:rsidRPr="00E85E82">
              <w:rPr>
                <w:i/>
                <w:szCs w:val="20"/>
                <w:lang w:val="fr-CA"/>
              </w:rPr>
              <w:t>Charte canadienne des droits et libertés</w:t>
            </w:r>
            <w:r w:rsidRPr="00E85E82">
              <w:rPr>
                <w:szCs w:val="20"/>
                <w:lang w:val="fr-CA"/>
              </w:rPr>
              <w:t>, art. 8.</w:t>
            </w:r>
          </w:p>
          <w:p w:rsidR="00514BCE" w:rsidRPr="00E85E82" w:rsidRDefault="00514BCE" w:rsidP="000F56AC">
            <w:pPr>
              <w:pStyle w:val="SCCShortJudgment"/>
              <w:ind w:firstLine="0"/>
              <w:rPr>
                <w:rFonts w:cs="Times New Roman"/>
                <w:szCs w:val="20"/>
                <w:u w:val="single"/>
                <w:lang w:val="fr-CA"/>
              </w:rPr>
            </w:pPr>
          </w:p>
        </w:tc>
      </w:tr>
      <w:tr w:rsidR="000F56AC" w:rsidRPr="00B407D6" w:rsidTr="000F56AC">
        <w:trPr>
          <w:cantSplit/>
        </w:trPr>
        <w:tc>
          <w:tcPr>
            <w:tcW w:w="9576" w:type="dxa"/>
            <w:gridSpan w:val="4"/>
          </w:tcPr>
          <w:p w:rsidR="00514BCE" w:rsidRPr="00E85E82" w:rsidRDefault="00514BCE" w:rsidP="00514BCE">
            <w:pPr>
              <w:jc w:val="both"/>
              <w:rPr>
                <w:sz w:val="20"/>
                <w:szCs w:val="20"/>
                <w:lang w:val="fr-CA"/>
              </w:rPr>
            </w:pPr>
            <w:r w:rsidRPr="00E85E82">
              <w:rPr>
                <w:sz w:val="20"/>
                <w:szCs w:val="20"/>
                <w:lang w:val="fr-CA"/>
              </w:rPr>
              <w:t>La GRC a exécuté un mandat de perquisition portant sur des biens du demandeur, M. </w:t>
            </w:r>
            <w:proofErr w:type="spellStart"/>
            <w:r w:rsidRPr="00E85E82">
              <w:rPr>
                <w:sz w:val="20"/>
                <w:szCs w:val="20"/>
                <w:lang w:val="fr-CA"/>
              </w:rPr>
              <w:t>Nur</w:t>
            </w:r>
            <w:proofErr w:type="spellEnd"/>
            <w:r w:rsidRPr="00E85E82">
              <w:rPr>
                <w:sz w:val="20"/>
                <w:szCs w:val="20"/>
                <w:lang w:val="fr-CA"/>
              </w:rPr>
              <w:t xml:space="preserve">, dans le cadre de son enquête faisant suite à la fusillade à la Colline du Parlement perpétrée par Michael </w:t>
            </w:r>
            <w:proofErr w:type="spellStart"/>
            <w:r w:rsidRPr="00E85E82">
              <w:rPr>
                <w:sz w:val="20"/>
                <w:szCs w:val="20"/>
                <w:lang w:val="fr-CA"/>
              </w:rPr>
              <w:t>Zehaf-Bibeau</w:t>
            </w:r>
            <w:proofErr w:type="spellEnd"/>
            <w:r w:rsidRPr="00E85E82">
              <w:rPr>
                <w:sz w:val="20"/>
                <w:szCs w:val="20"/>
                <w:lang w:val="fr-CA"/>
              </w:rPr>
              <w:t xml:space="preserve"> le 22 octobre 2014. La Dénonciation en vue d’obtenir un mandat de perquisition (« Dénonciation ») était datée du 26 mai 2015 et a été établie par un agent de la paix et membre de la GRC. Le mandat de perquisition a été délivré par le juge </w:t>
            </w:r>
            <w:proofErr w:type="spellStart"/>
            <w:r w:rsidRPr="00E85E82">
              <w:rPr>
                <w:sz w:val="20"/>
                <w:szCs w:val="20"/>
                <w:lang w:val="fr-CA"/>
              </w:rPr>
              <w:t>Alder</w:t>
            </w:r>
            <w:proofErr w:type="spellEnd"/>
            <w:r w:rsidRPr="00E85E82">
              <w:rPr>
                <w:sz w:val="20"/>
                <w:szCs w:val="20"/>
                <w:lang w:val="fr-CA"/>
              </w:rPr>
              <w:t xml:space="preserve"> de la Cour de justice de l’Ontario. En août 2015, une demande a été faite pour que les articles saisis le demeurent pour une période ne dépassant pas neuf mois. Dans le cadre du processus de délivrance du mandat de perquisition, une ordonnance a été rendue en application de l’art. 487.3 du </w:t>
            </w:r>
            <w:r w:rsidRPr="00E85E82">
              <w:rPr>
                <w:i/>
                <w:sz w:val="20"/>
                <w:szCs w:val="20"/>
                <w:lang w:val="fr-CA"/>
              </w:rPr>
              <w:t>Code criminel</w:t>
            </w:r>
            <w:r w:rsidRPr="00E85E82">
              <w:rPr>
                <w:sz w:val="20"/>
                <w:szCs w:val="20"/>
                <w:lang w:val="fr-CA"/>
              </w:rPr>
              <w:t xml:space="preserve">, scellant tous les documents relatifs au mandat jusqu’à nouvel ordre par un tribunal compétent. La demande subséquente de M. </w:t>
            </w:r>
            <w:proofErr w:type="spellStart"/>
            <w:r w:rsidRPr="00E85E82">
              <w:rPr>
                <w:sz w:val="20"/>
                <w:szCs w:val="20"/>
                <w:lang w:val="fr-CA"/>
              </w:rPr>
              <w:t>Nur</w:t>
            </w:r>
            <w:proofErr w:type="spellEnd"/>
            <w:r w:rsidRPr="00E85E82">
              <w:rPr>
                <w:sz w:val="20"/>
                <w:szCs w:val="20"/>
                <w:lang w:val="fr-CA"/>
              </w:rPr>
              <w:t xml:space="preserve"> en vue de modifier l’ordonnance de mise sous scellés a été rejetée par le juge Labrosse de la Cour supérieure. En date de l’instruction de cette demande, tous les articles saisis avaient été rendus à M. </w:t>
            </w:r>
            <w:proofErr w:type="spellStart"/>
            <w:r w:rsidRPr="00E85E82">
              <w:rPr>
                <w:sz w:val="20"/>
                <w:szCs w:val="20"/>
                <w:lang w:val="fr-CA"/>
              </w:rPr>
              <w:t>Nur</w:t>
            </w:r>
            <w:proofErr w:type="spellEnd"/>
            <w:r w:rsidRPr="00E85E82">
              <w:rPr>
                <w:sz w:val="20"/>
                <w:szCs w:val="20"/>
                <w:lang w:val="fr-CA"/>
              </w:rPr>
              <w:t xml:space="preserve"> et il n’a pas été accusé depuis.</w:t>
            </w:r>
          </w:p>
          <w:p w:rsidR="000F56AC" w:rsidRPr="00E85E82" w:rsidRDefault="000F56AC" w:rsidP="00514BCE">
            <w:pPr>
              <w:jc w:val="both"/>
              <w:rPr>
                <w:rFonts w:cs="Times New Roman"/>
                <w:sz w:val="20"/>
                <w:szCs w:val="20"/>
                <w:u w:val="single"/>
                <w:lang w:val="fr-CA"/>
              </w:rPr>
            </w:pPr>
          </w:p>
        </w:tc>
      </w:tr>
      <w:tr w:rsidR="000F56AC" w:rsidRPr="00B407D6" w:rsidTr="000F56AC">
        <w:trPr>
          <w:cantSplit/>
        </w:trPr>
        <w:tc>
          <w:tcPr>
            <w:tcW w:w="4410" w:type="dxa"/>
            <w:gridSpan w:val="2"/>
          </w:tcPr>
          <w:p w:rsidR="00514BCE" w:rsidRPr="00E85E82" w:rsidRDefault="00514BCE" w:rsidP="00514BCE">
            <w:pPr>
              <w:jc w:val="both"/>
              <w:rPr>
                <w:sz w:val="20"/>
                <w:szCs w:val="20"/>
                <w:lang w:val="fr-CA"/>
              </w:rPr>
            </w:pPr>
            <w:r w:rsidRPr="00E85E82">
              <w:rPr>
                <w:sz w:val="20"/>
                <w:szCs w:val="20"/>
                <w:lang w:val="fr-CA"/>
              </w:rPr>
              <w:t>26 mai 2015</w:t>
            </w:r>
          </w:p>
          <w:p w:rsidR="00514BCE" w:rsidRPr="00E85E82" w:rsidRDefault="00514BCE" w:rsidP="00514BCE">
            <w:pPr>
              <w:jc w:val="both"/>
              <w:rPr>
                <w:sz w:val="20"/>
                <w:szCs w:val="20"/>
                <w:lang w:val="fr-CA"/>
              </w:rPr>
            </w:pPr>
            <w:r w:rsidRPr="00E85E82">
              <w:rPr>
                <w:sz w:val="20"/>
                <w:szCs w:val="20"/>
                <w:lang w:val="fr-CA"/>
              </w:rPr>
              <w:t xml:space="preserve">Cour de justice de l’Ontario </w:t>
            </w:r>
          </w:p>
          <w:p w:rsidR="00514BCE" w:rsidRPr="00E85E82" w:rsidRDefault="00514BCE" w:rsidP="00514BCE">
            <w:pPr>
              <w:jc w:val="both"/>
              <w:rPr>
                <w:sz w:val="20"/>
                <w:szCs w:val="20"/>
                <w:lang w:val="fr-CA"/>
              </w:rPr>
            </w:pPr>
            <w:r w:rsidRPr="00E85E82">
              <w:rPr>
                <w:sz w:val="20"/>
                <w:szCs w:val="20"/>
                <w:lang w:val="fr-CA"/>
              </w:rPr>
              <w:t xml:space="preserve">(Juge </w:t>
            </w:r>
            <w:proofErr w:type="spellStart"/>
            <w:r w:rsidRPr="00E85E82">
              <w:rPr>
                <w:sz w:val="20"/>
                <w:szCs w:val="20"/>
                <w:lang w:val="fr-CA"/>
              </w:rPr>
              <w:t>Alder</w:t>
            </w:r>
            <w:proofErr w:type="spellEnd"/>
            <w:r w:rsidRPr="00E85E82">
              <w:rPr>
                <w:sz w:val="20"/>
                <w:szCs w:val="20"/>
                <w:lang w:val="fr-CA"/>
              </w:rPr>
              <w:t>)</w:t>
            </w:r>
          </w:p>
          <w:p w:rsidR="000F56AC" w:rsidRPr="00E85E82" w:rsidRDefault="000F56AC" w:rsidP="00514BCE">
            <w:pPr>
              <w:pStyle w:val="SCCShortJudgment"/>
              <w:ind w:firstLine="0"/>
              <w:rPr>
                <w:rFonts w:cs="Times New Roman"/>
                <w:szCs w:val="20"/>
                <w:u w:val="single"/>
                <w:lang w:val="fr-CA"/>
              </w:rPr>
            </w:pPr>
          </w:p>
        </w:tc>
        <w:tc>
          <w:tcPr>
            <w:tcW w:w="630" w:type="dxa"/>
          </w:tcPr>
          <w:p w:rsidR="000F56AC" w:rsidRPr="00E85E82" w:rsidRDefault="000F56AC" w:rsidP="00514BCE">
            <w:pPr>
              <w:pStyle w:val="SCCShortJudgment"/>
              <w:ind w:firstLine="0"/>
              <w:rPr>
                <w:rFonts w:cs="Times New Roman"/>
                <w:szCs w:val="20"/>
                <w:u w:val="single"/>
                <w:lang w:val="fr-CA"/>
              </w:rPr>
            </w:pPr>
          </w:p>
        </w:tc>
        <w:tc>
          <w:tcPr>
            <w:tcW w:w="4536" w:type="dxa"/>
          </w:tcPr>
          <w:p w:rsidR="00514BCE" w:rsidRPr="00E85E82" w:rsidRDefault="00514BCE" w:rsidP="00514BCE">
            <w:pPr>
              <w:jc w:val="both"/>
              <w:rPr>
                <w:sz w:val="20"/>
                <w:szCs w:val="20"/>
                <w:lang w:val="fr-CA"/>
              </w:rPr>
            </w:pPr>
            <w:r w:rsidRPr="00E85E82">
              <w:rPr>
                <w:sz w:val="20"/>
                <w:szCs w:val="20"/>
                <w:lang w:val="fr-CA"/>
              </w:rPr>
              <w:t>Jugement accueillant la demande de mandat de perquisition (à être exécuté contre des biens du tiers non accusé) et d’ordonnance de mise sous scellés.</w:t>
            </w:r>
          </w:p>
          <w:p w:rsidR="000F56AC" w:rsidRPr="00E85E82" w:rsidRDefault="000F56AC" w:rsidP="00514BCE">
            <w:pPr>
              <w:pStyle w:val="SCCShortJudgment"/>
              <w:ind w:firstLine="0"/>
              <w:rPr>
                <w:rFonts w:cs="Times New Roman"/>
                <w:szCs w:val="20"/>
                <w:u w:val="single"/>
                <w:lang w:val="fr-CA"/>
              </w:rPr>
            </w:pPr>
          </w:p>
        </w:tc>
      </w:tr>
      <w:tr w:rsidR="000F56AC" w:rsidRPr="00B407D6" w:rsidTr="000F56AC">
        <w:trPr>
          <w:cantSplit/>
        </w:trPr>
        <w:tc>
          <w:tcPr>
            <w:tcW w:w="4410" w:type="dxa"/>
            <w:gridSpan w:val="2"/>
          </w:tcPr>
          <w:p w:rsidR="00514BCE" w:rsidRPr="00E85E82" w:rsidRDefault="00514BCE" w:rsidP="00514BCE">
            <w:pPr>
              <w:jc w:val="both"/>
              <w:rPr>
                <w:sz w:val="20"/>
                <w:szCs w:val="20"/>
                <w:lang w:val="fr-CA"/>
              </w:rPr>
            </w:pPr>
            <w:r w:rsidRPr="00E85E82">
              <w:rPr>
                <w:sz w:val="20"/>
                <w:szCs w:val="20"/>
                <w:lang w:val="fr-CA"/>
              </w:rPr>
              <w:t>10 décembre 2015</w:t>
            </w:r>
          </w:p>
          <w:p w:rsidR="00514BCE" w:rsidRPr="00E85E82" w:rsidRDefault="00514BCE" w:rsidP="00514BCE">
            <w:pPr>
              <w:jc w:val="both"/>
              <w:rPr>
                <w:sz w:val="20"/>
                <w:szCs w:val="20"/>
                <w:lang w:val="fr-CA"/>
              </w:rPr>
            </w:pPr>
            <w:r w:rsidRPr="00E85E82">
              <w:rPr>
                <w:sz w:val="20"/>
                <w:szCs w:val="20"/>
                <w:lang w:val="fr-CA"/>
              </w:rPr>
              <w:t xml:space="preserve">Cour supérieure de justice de l’Ontario </w:t>
            </w:r>
          </w:p>
          <w:p w:rsidR="00514BCE" w:rsidRPr="00E85E82" w:rsidRDefault="00514BCE" w:rsidP="00514BCE">
            <w:pPr>
              <w:jc w:val="both"/>
              <w:rPr>
                <w:sz w:val="20"/>
                <w:szCs w:val="20"/>
                <w:lang w:val="fr-CA"/>
              </w:rPr>
            </w:pPr>
            <w:r w:rsidRPr="00E85E82">
              <w:rPr>
                <w:sz w:val="20"/>
                <w:szCs w:val="20"/>
                <w:lang w:val="fr-CA"/>
              </w:rPr>
              <w:t>(Juge Labrosse)</w:t>
            </w:r>
          </w:p>
          <w:p w:rsidR="00514BCE" w:rsidRPr="00E85E82" w:rsidRDefault="00B407D6" w:rsidP="00514BCE">
            <w:pPr>
              <w:jc w:val="both"/>
              <w:rPr>
                <w:sz w:val="20"/>
                <w:szCs w:val="20"/>
                <w:lang w:val="fr-CA"/>
              </w:rPr>
            </w:pPr>
            <w:hyperlink r:id="rId26" w:history="1">
              <w:r w:rsidR="00514BCE" w:rsidRPr="00E85E82">
                <w:rPr>
                  <w:rStyle w:val="Hyperlink"/>
                  <w:sz w:val="20"/>
                  <w:szCs w:val="20"/>
                  <w:lang w:val="fr-CA"/>
                </w:rPr>
                <w:t>2015 ONSC 7777</w:t>
              </w:r>
            </w:hyperlink>
          </w:p>
          <w:p w:rsidR="000F56AC" w:rsidRPr="00E85E82" w:rsidRDefault="000F56AC" w:rsidP="00514BCE">
            <w:pPr>
              <w:pStyle w:val="SCCShortJudgment"/>
              <w:ind w:firstLine="0"/>
              <w:rPr>
                <w:rFonts w:cs="Times New Roman"/>
                <w:szCs w:val="20"/>
                <w:u w:val="single"/>
                <w:lang w:val="fr-CA"/>
              </w:rPr>
            </w:pPr>
          </w:p>
        </w:tc>
        <w:tc>
          <w:tcPr>
            <w:tcW w:w="630" w:type="dxa"/>
          </w:tcPr>
          <w:p w:rsidR="000F56AC" w:rsidRPr="00E85E82" w:rsidRDefault="000F56AC" w:rsidP="00514BCE">
            <w:pPr>
              <w:pStyle w:val="SCCShortJudgment"/>
              <w:ind w:firstLine="0"/>
              <w:rPr>
                <w:rFonts w:cs="Times New Roman"/>
                <w:szCs w:val="20"/>
                <w:u w:val="single"/>
                <w:lang w:val="fr-CA"/>
              </w:rPr>
            </w:pPr>
          </w:p>
        </w:tc>
        <w:tc>
          <w:tcPr>
            <w:tcW w:w="4536" w:type="dxa"/>
          </w:tcPr>
          <w:p w:rsidR="00514BCE" w:rsidRPr="00E85E82" w:rsidRDefault="00514BCE" w:rsidP="00514BCE">
            <w:pPr>
              <w:jc w:val="both"/>
              <w:rPr>
                <w:sz w:val="20"/>
                <w:szCs w:val="20"/>
                <w:lang w:val="fr-CA"/>
              </w:rPr>
            </w:pPr>
            <w:r w:rsidRPr="00E85E82">
              <w:rPr>
                <w:sz w:val="20"/>
                <w:szCs w:val="20"/>
                <w:lang w:val="fr-CA"/>
              </w:rPr>
              <w:t>Rejet de la demande de modification de l’ordonnance de mise sous scellés du mandat de perquisition.</w:t>
            </w:r>
          </w:p>
          <w:p w:rsidR="000F56AC" w:rsidRPr="00E85E82" w:rsidRDefault="000F56AC" w:rsidP="00514BCE">
            <w:pPr>
              <w:pStyle w:val="SCCShortJudgment"/>
              <w:ind w:firstLine="0"/>
              <w:rPr>
                <w:rFonts w:cs="Times New Roman"/>
                <w:szCs w:val="20"/>
                <w:u w:val="single"/>
                <w:lang w:val="fr-CA"/>
              </w:rPr>
            </w:pPr>
          </w:p>
        </w:tc>
      </w:tr>
      <w:tr w:rsidR="000F56AC" w:rsidRPr="00B407D6" w:rsidTr="000F56AC">
        <w:trPr>
          <w:cantSplit/>
        </w:trPr>
        <w:tc>
          <w:tcPr>
            <w:tcW w:w="4410" w:type="dxa"/>
            <w:gridSpan w:val="2"/>
          </w:tcPr>
          <w:p w:rsidR="00514BCE" w:rsidRPr="00E85E82" w:rsidRDefault="00514BCE" w:rsidP="00514BCE">
            <w:pPr>
              <w:jc w:val="both"/>
              <w:rPr>
                <w:sz w:val="20"/>
                <w:szCs w:val="20"/>
                <w:lang w:val="fr-CA"/>
              </w:rPr>
            </w:pPr>
            <w:r w:rsidRPr="00E85E82">
              <w:rPr>
                <w:sz w:val="20"/>
                <w:szCs w:val="20"/>
                <w:lang w:val="fr-CA"/>
              </w:rPr>
              <w:t>8 février 2016</w:t>
            </w:r>
          </w:p>
          <w:p w:rsidR="00514BCE" w:rsidRPr="00E85E82" w:rsidRDefault="00514BCE" w:rsidP="00514BCE">
            <w:pPr>
              <w:jc w:val="both"/>
              <w:rPr>
                <w:sz w:val="20"/>
                <w:szCs w:val="20"/>
                <w:lang w:val="fr-CA"/>
              </w:rPr>
            </w:pPr>
            <w:r w:rsidRPr="00E85E82">
              <w:rPr>
                <w:sz w:val="20"/>
                <w:szCs w:val="20"/>
                <w:lang w:val="fr-CA"/>
              </w:rPr>
              <w:t>Cour suprême du Canada</w:t>
            </w:r>
          </w:p>
          <w:p w:rsidR="000F56AC" w:rsidRPr="00E85E82" w:rsidRDefault="000F56AC" w:rsidP="00514BCE">
            <w:pPr>
              <w:pStyle w:val="SCCShortJudgment"/>
              <w:ind w:firstLine="0"/>
              <w:rPr>
                <w:rFonts w:cs="Times New Roman"/>
                <w:szCs w:val="20"/>
                <w:u w:val="single"/>
                <w:lang w:val="fr-CA"/>
              </w:rPr>
            </w:pPr>
          </w:p>
        </w:tc>
        <w:tc>
          <w:tcPr>
            <w:tcW w:w="630" w:type="dxa"/>
          </w:tcPr>
          <w:p w:rsidR="000F56AC" w:rsidRPr="00E85E82" w:rsidRDefault="000F56AC" w:rsidP="00514BCE">
            <w:pPr>
              <w:pStyle w:val="SCCShortJudgment"/>
              <w:ind w:firstLine="0"/>
              <w:rPr>
                <w:rFonts w:cs="Times New Roman"/>
                <w:szCs w:val="20"/>
                <w:u w:val="single"/>
                <w:lang w:val="fr-CA"/>
              </w:rPr>
            </w:pPr>
          </w:p>
        </w:tc>
        <w:tc>
          <w:tcPr>
            <w:tcW w:w="4536" w:type="dxa"/>
          </w:tcPr>
          <w:p w:rsidR="000F56AC" w:rsidRPr="00E85E82" w:rsidRDefault="00514BCE" w:rsidP="00514BCE">
            <w:pPr>
              <w:pStyle w:val="SCCShortJudgment"/>
              <w:ind w:firstLine="0"/>
              <w:rPr>
                <w:rFonts w:cs="Times New Roman"/>
                <w:szCs w:val="20"/>
                <w:u w:val="single"/>
                <w:lang w:val="fr-CA"/>
              </w:rPr>
            </w:pPr>
            <w:r w:rsidRPr="00E85E82">
              <w:rPr>
                <w:szCs w:val="20"/>
                <w:lang w:val="fr-CA"/>
              </w:rPr>
              <w:t>Dépôt de la demande d’autorisation d’appel.</w:t>
            </w:r>
          </w:p>
        </w:tc>
      </w:tr>
    </w:tbl>
    <w:p w:rsidR="00232760" w:rsidRPr="00E85E82" w:rsidRDefault="00B407D6" w:rsidP="00232760">
      <w:pPr>
        <w:rPr>
          <w:rFonts w:cs="Times New Roman"/>
          <w:sz w:val="20"/>
          <w:szCs w:val="20"/>
          <w:lang w:val="fr-CA"/>
        </w:rPr>
      </w:pPr>
      <w:r>
        <w:rPr>
          <w:rFonts w:cs="Times New Roman"/>
          <w:sz w:val="20"/>
          <w:szCs w:val="20"/>
          <w:lang w:val="fr-CA"/>
        </w:rPr>
        <w:pict>
          <v:rect id="_x0000_i1048" style="width:2in;height:1pt" o:hrpct="0" o:hralign="center" o:hrstd="t" o:hrnoshade="t" o:hr="t" fillcolor="black [3213]" stroked="f"/>
        </w:pict>
      </w:r>
    </w:p>
    <w:p w:rsidR="00232760" w:rsidRPr="00E85E82" w:rsidRDefault="00232760" w:rsidP="0023276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Style w:val="SCCFileNumberChar"/>
                <w:sz w:val="20"/>
                <w:szCs w:val="20"/>
              </w:rPr>
              <w:t>36887</w:t>
            </w:r>
          </w:p>
          <w:p w:rsidR="00232760" w:rsidRPr="00E85E82" w:rsidRDefault="00232760" w:rsidP="000F56AC">
            <w:pPr>
              <w:jc w:val="both"/>
              <w:rPr>
                <w:rFonts w:cs="Times New Roman"/>
                <w:b/>
                <w:sz w:val="20"/>
                <w:szCs w:val="20"/>
              </w:rPr>
            </w:pPr>
          </w:p>
        </w:tc>
        <w:tc>
          <w:tcPr>
            <w:tcW w:w="8118" w:type="dxa"/>
            <w:gridSpan w:val="3"/>
          </w:tcPr>
          <w:p w:rsidR="00232760" w:rsidRPr="00E85E82" w:rsidRDefault="004E62D2" w:rsidP="00514BCE">
            <w:pPr>
              <w:rPr>
                <w:sz w:val="20"/>
                <w:szCs w:val="20"/>
              </w:rPr>
            </w:pPr>
            <w:proofErr w:type="spellStart"/>
            <w:r w:rsidRPr="00E85E82">
              <w:rPr>
                <w:rStyle w:val="SCCLsocChar"/>
                <w:rFonts w:cs="Times New Roman"/>
                <w:sz w:val="20"/>
                <w:szCs w:val="20"/>
                <w:lang w:val="en-CA"/>
              </w:rPr>
              <w:t>Suhaag</w:t>
            </w:r>
            <w:proofErr w:type="spellEnd"/>
            <w:r w:rsidRPr="00E85E82">
              <w:rPr>
                <w:rStyle w:val="SCCLsocChar"/>
                <w:rFonts w:cs="Times New Roman"/>
                <w:sz w:val="20"/>
                <w:szCs w:val="20"/>
                <w:lang w:val="en-CA"/>
              </w:rPr>
              <w:t xml:space="preserve"> Jewellers Ltd.</w:t>
            </w:r>
            <w:r w:rsidR="00232760" w:rsidRPr="00E85E82">
              <w:rPr>
                <w:rStyle w:val="SCCLsocChar"/>
                <w:rFonts w:cs="Times New Roman"/>
                <w:sz w:val="20"/>
                <w:szCs w:val="20"/>
                <w:lang w:val="en-CA"/>
              </w:rPr>
              <w:t xml:space="preserve"> v. </w:t>
            </w:r>
            <w:r w:rsidRPr="00E85E82">
              <w:rPr>
                <w:rStyle w:val="SCCLsocChar"/>
                <w:rFonts w:cs="Times New Roman"/>
                <w:sz w:val="20"/>
                <w:szCs w:val="20"/>
                <w:lang w:val="en-CA"/>
              </w:rPr>
              <w:t>Alarm Factory Inc. carrying on business as AFC Advance Integration</w:t>
            </w:r>
            <w:r w:rsidR="00232760" w:rsidRPr="00E85E82">
              <w:rPr>
                <w:rStyle w:val="SCCLsocChar"/>
                <w:rFonts w:cs="Times New Roman"/>
                <w:b w:val="0"/>
                <w:sz w:val="20"/>
                <w:szCs w:val="20"/>
                <w:u w:val="none"/>
                <w:lang w:val="en-CA"/>
              </w:rPr>
              <w:t xml:space="preserve"> </w:t>
            </w:r>
            <w:r w:rsidR="00514BCE" w:rsidRPr="00E85E82">
              <w:rPr>
                <w:sz w:val="20"/>
                <w:szCs w:val="20"/>
              </w:rPr>
              <w:t>(Ont.) (Civil) (By Leave)</w:t>
            </w:r>
          </w:p>
          <w:p w:rsidR="00232760" w:rsidRPr="00E85E82" w:rsidRDefault="00232760" w:rsidP="000F56AC">
            <w:pPr>
              <w:jc w:val="both"/>
              <w:rPr>
                <w:rFonts w:cs="Times New Roman"/>
                <w:sz w:val="20"/>
                <w:szCs w:val="20"/>
              </w:rPr>
            </w:pPr>
          </w:p>
        </w:tc>
      </w:tr>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Fonts w:cs="Times New Roman"/>
                <w:sz w:val="20"/>
                <w:szCs w:val="20"/>
              </w:rPr>
              <w:t>Coram :</w:t>
            </w:r>
          </w:p>
        </w:tc>
        <w:tc>
          <w:tcPr>
            <w:tcW w:w="8118" w:type="dxa"/>
            <w:gridSpan w:val="3"/>
          </w:tcPr>
          <w:p w:rsidR="00232760" w:rsidRPr="00E85E82" w:rsidRDefault="003648D9" w:rsidP="000F56AC">
            <w:pPr>
              <w:jc w:val="both"/>
              <w:rPr>
                <w:rStyle w:val="SCCCoramChar"/>
                <w:sz w:val="20"/>
                <w:szCs w:val="20"/>
                <w:lang w:val="en-CA"/>
              </w:rPr>
            </w:pPr>
            <w:r w:rsidRPr="00E85E82">
              <w:rPr>
                <w:rStyle w:val="SCCCoramChar"/>
                <w:sz w:val="20"/>
                <w:szCs w:val="20"/>
                <w:lang w:val="en-CA"/>
              </w:rPr>
              <w:t xml:space="preserve">Cromwell, Wagner </w:t>
            </w:r>
            <w:r w:rsidR="00232760" w:rsidRPr="00E85E82">
              <w:rPr>
                <w:rStyle w:val="SCCCoramChar"/>
                <w:sz w:val="20"/>
                <w:szCs w:val="20"/>
                <w:lang w:val="en-CA"/>
              </w:rPr>
              <w:t xml:space="preserve">and </w:t>
            </w:r>
            <w:r w:rsidRPr="00E85E82">
              <w:rPr>
                <w:rStyle w:val="SCCCoramChar"/>
                <w:sz w:val="20"/>
                <w:szCs w:val="20"/>
                <w:lang w:val="en-CA"/>
              </w:rPr>
              <w:t>Côté</w:t>
            </w:r>
            <w:r w:rsidR="00232760" w:rsidRPr="00E85E82">
              <w:rPr>
                <w:rStyle w:val="SCCCoramChar"/>
                <w:sz w:val="20"/>
                <w:szCs w:val="20"/>
                <w:lang w:val="en-CA"/>
              </w:rPr>
              <w:t xml:space="preserve"> JJ.</w:t>
            </w:r>
          </w:p>
          <w:p w:rsidR="00232760" w:rsidRPr="00E85E82" w:rsidRDefault="00232760" w:rsidP="000F56AC">
            <w:pPr>
              <w:jc w:val="both"/>
              <w:rPr>
                <w:rFonts w:cs="Times New Roman"/>
                <w:sz w:val="20"/>
                <w:szCs w:val="20"/>
                <w:u w:val="single"/>
              </w:rPr>
            </w:pPr>
          </w:p>
        </w:tc>
      </w:tr>
      <w:tr w:rsidR="00232760" w:rsidRPr="00B407D6" w:rsidTr="00232760">
        <w:tc>
          <w:tcPr>
            <w:tcW w:w="9576" w:type="dxa"/>
            <w:gridSpan w:val="4"/>
          </w:tcPr>
          <w:p w:rsidR="00FE4B3D" w:rsidRPr="00E85E82" w:rsidRDefault="00FE4B3D" w:rsidP="00FE4B3D">
            <w:pPr>
              <w:pStyle w:val="SCCShortJudgment"/>
            </w:pPr>
            <w:r w:rsidRPr="00E85E82">
              <w:t>The application for leave to appeal from the judgment of the Court of Appeal for Ontario, Number C60662, 2016 ONCA 33, dated January 8, 2016, is dismissed with costs.</w:t>
            </w:r>
          </w:p>
          <w:p w:rsidR="00FE4B3D" w:rsidRPr="00E85E82" w:rsidRDefault="00FE4B3D" w:rsidP="00FE4B3D">
            <w:pPr>
              <w:pStyle w:val="SCCShortJudgment"/>
              <w:ind w:firstLine="0"/>
            </w:pPr>
          </w:p>
          <w:p w:rsidR="00FE4B3D" w:rsidRPr="00C556BB" w:rsidRDefault="00FE4B3D" w:rsidP="00FE4B3D">
            <w:pPr>
              <w:pStyle w:val="SCCShortJudgment"/>
              <w:rPr>
                <w:lang w:val="fr-CA"/>
              </w:rPr>
            </w:pPr>
            <w:r w:rsidRPr="00C556BB">
              <w:rPr>
                <w:lang w:val="fr-CA"/>
              </w:rPr>
              <w:t>La demande d’autorisation d’appel de l’arrêt de la Cour d’appel de l’Ontario, numéro C60662, 2016 ONCA 33, daté du 8 janvier 2016, est rejetée avec dépens.</w:t>
            </w:r>
          </w:p>
          <w:p w:rsidR="00232760" w:rsidRPr="00E85E82" w:rsidRDefault="00232760" w:rsidP="004F6436">
            <w:pPr>
              <w:pStyle w:val="SCCShortJudgment"/>
              <w:ind w:firstLine="0"/>
              <w:rPr>
                <w:rFonts w:cs="Times New Roman"/>
                <w:szCs w:val="20"/>
                <w:lang w:val="fr-CA"/>
              </w:rPr>
            </w:pPr>
          </w:p>
        </w:tc>
      </w:tr>
      <w:tr w:rsidR="00232760" w:rsidRPr="00E85E82" w:rsidTr="000F56AC">
        <w:trPr>
          <w:cantSplit/>
        </w:trPr>
        <w:tc>
          <w:tcPr>
            <w:tcW w:w="9576" w:type="dxa"/>
            <w:gridSpan w:val="4"/>
          </w:tcPr>
          <w:p w:rsidR="00232760" w:rsidRPr="00E85E82" w:rsidRDefault="00232760" w:rsidP="004F6436">
            <w:pPr>
              <w:pStyle w:val="SCCShortJudgment"/>
              <w:ind w:firstLine="0"/>
              <w:rPr>
                <w:rFonts w:cs="Times New Roman"/>
                <w:szCs w:val="20"/>
                <w:u w:val="single"/>
                <w:lang w:val="fr-CA"/>
              </w:rPr>
            </w:pPr>
            <w:r w:rsidRPr="00E85E82">
              <w:rPr>
                <w:rFonts w:cs="Times New Roman"/>
                <w:szCs w:val="20"/>
                <w:u w:val="single"/>
                <w:lang w:val="fr-CA"/>
              </w:rPr>
              <w:t>CASE SUMMARY</w:t>
            </w:r>
          </w:p>
          <w:p w:rsidR="00232760" w:rsidRPr="00E85E82" w:rsidRDefault="00232760" w:rsidP="004F6436">
            <w:pPr>
              <w:pStyle w:val="SCCShortJudgment"/>
              <w:ind w:firstLine="0"/>
              <w:rPr>
                <w:rFonts w:cs="Times New Roman"/>
                <w:szCs w:val="20"/>
                <w:u w:val="single"/>
                <w:lang w:val="fr-CA"/>
              </w:rPr>
            </w:pPr>
          </w:p>
        </w:tc>
      </w:tr>
      <w:tr w:rsidR="00232760" w:rsidRPr="00E85E82" w:rsidTr="000F56AC">
        <w:trPr>
          <w:cantSplit/>
        </w:trPr>
        <w:tc>
          <w:tcPr>
            <w:tcW w:w="9576" w:type="dxa"/>
            <w:gridSpan w:val="4"/>
          </w:tcPr>
          <w:p w:rsidR="00232760" w:rsidRPr="00E85E82" w:rsidRDefault="004F6436" w:rsidP="004F6436">
            <w:pPr>
              <w:pStyle w:val="SCCShortJudgment"/>
              <w:ind w:firstLine="0"/>
              <w:rPr>
                <w:szCs w:val="20"/>
              </w:rPr>
            </w:pPr>
            <w:r w:rsidRPr="00E85E82">
              <w:rPr>
                <w:szCs w:val="20"/>
              </w:rPr>
              <w:t>Contracts – Commercial contracts – Limitation of liability clause – Whether a distinction should be drawn between full exculpatory clauses and limited liability clauses – Whether it is against public policy for a contract to contain a clause absolving a party from its contractual obligations or any tort that such party may commit – Whether special provisions apply when a party is illiterate in the language of the contract – Whether a duty of good faith in contract creates a duty of disclosure for any party proffering an exculpatory or limitation of liability clause – Whether it is against public policy to have an exemption clause in a contract where deficient service will put others in danger?</w:t>
            </w:r>
          </w:p>
          <w:p w:rsidR="004F6436" w:rsidRPr="00E85E82" w:rsidRDefault="004F6436" w:rsidP="004F6436">
            <w:pPr>
              <w:pStyle w:val="SCCShortJudgment"/>
              <w:ind w:firstLine="0"/>
              <w:rPr>
                <w:rFonts w:cs="Times New Roman"/>
                <w:szCs w:val="20"/>
              </w:rPr>
            </w:pPr>
          </w:p>
        </w:tc>
      </w:tr>
      <w:tr w:rsidR="00232760" w:rsidRPr="00E85E82" w:rsidTr="004F6436">
        <w:tc>
          <w:tcPr>
            <w:tcW w:w="9576" w:type="dxa"/>
            <w:gridSpan w:val="4"/>
          </w:tcPr>
          <w:p w:rsidR="004F6436" w:rsidRPr="00E85E82" w:rsidRDefault="004F6436" w:rsidP="004F6436">
            <w:pPr>
              <w:jc w:val="both"/>
              <w:rPr>
                <w:sz w:val="20"/>
                <w:szCs w:val="20"/>
              </w:rPr>
            </w:pPr>
            <w:proofErr w:type="spellStart"/>
            <w:r w:rsidRPr="00E85E82">
              <w:rPr>
                <w:sz w:val="20"/>
                <w:szCs w:val="20"/>
              </w:rPr>
              <w:t>Suhaag</w:t>
            </w:r>
            <w:proofErr w:type="spellEnd"/>
            <w:r w:rsidRPr="00E85E82">
              <w:rPr>
                <w:sz w:val="20"/>
                <w:szCs w:val="20"/>
              </w:rPr>
              <w:t xml:space="preserve"> Jewellers Ltd., a jewellery store, executed a contract with Alarm Factory Inc., for installation, servicing and monitoring of security systems. The contract contains a limitation of liability and indemnification clause. </w:t>
            </w:r>
            <w:proofErr w:type="spellStart"/>
            <w:r w:rsidRPr="00E85E82">
              <w:rPr>
                <w:sz w:val="20"/>
                <w:szCs w:val="20"/>
              </w:rPr>
              <w:t>Suhaag</w:t>
            </w:r>
            <w:proofErr w:type="spellEnd"/>
            <w:r w:rsidRPr="00E85E82">
              <w:rPr>
                <w:sz w:val="20"/>
                <w:szCs w:val="20"/>
              </w:rPr>
              <w:t xml:space="preserve"> Jewellers Ltd. filed a statement of claim alleging a theft of jewellery on or about August 28, 2012, and that the security and alarm monitoring service failed. It seeks damages from Alarm Factory Inc. in tort and for breach of contract. Alarm Factory Inc. moved for summary judgment, relying on the limitation and indemnification clause.</w:t>
            </w:r>
          </w:p>
          <w:p w:rsidR="00232760" w:rsidRPr="00E85E82" w:rsidRDefault="00232760" w:rsidP="004F6436">
            <w:pPr>
              <w:pStyle w:val="SCCShortJudgment"/>
              <w:ind w:firstLine="0"/>
              <w:rPr>
                <w:rFonts w:cs="Times New Roman"/>
                <w:szCs w:val="20"/>
              </w:rPr>
            </w:pPr>
          </w:p>
        </w:tc>
      </w:tr>
      <w:tr w:rsidR="00232760" w:rsidRPr="00E85E82" w:rsidTr="000F56AC">
        <w:trPr>
          <w:cantSplit/>
        </w:trPr>
        <w:tc>
          <w:tcPr>
            <w:tcW w:w="4410" w:type="dxa"/>
            <w:gridSpan w:val="2"/>
          </w:tcPr>
          <w:p w:rsidR="004F6436" w:rsidRPr="00E85E82" w:rsidRDefault="004F6436" w:rsidP="004F6436">
            <w:pPr>
              <w:jc w:val="both"/>
              <w:rPr>
                <w:sz w:val="20"/>
                <w:szCs w:val="20"/>
              </w:rPr>
            </w:pPr>
            <w:r w:rsidRPr="00E85E82">
              <w:rPr>
                <w:sz w:val="20"/>
                <w:szCs w:val="20"/>
              </w:rPr>
              <w:t>June 4, 2015</w:t>
            </w:r>
          </w:p>
          <w:p w:rsidR="004F6436" w:rsidRPr="00E85E82" w:rsidRDefault="004F6436" w:rsidP="004F6436">
            <w:pPr>
              <w:jc w:val="both"/>
              <w:rPr>
                <w:sz w:val="20"/>
                <w:szCs w:val="20"/>
              </w:rPr>
            </w:pPr>
            <w:r w:rsidRPr="00E85E82">
              <w:rPr>
                <w:sz w:val="20"/>
                <w:szCs w:val="20"/>
              </w:rPr>
              <w:t>Ontario Superior Court of Justice</w:t>
            </w:r>
          </w:p>
          <w:p w:rsidR="004F6436" w:rsidRPr="00E85E82" w:rsidRDefault="004F6436" w:rsidP="004F6436">
            <w:pPr>
              <w:jc w:val="both"/>
              <w:rPr>
                <w:sz w:val="20"/>
                <w:szCs w:val="20"/>
              </w:rPr>
            </w:pPr>
            <w:r w:rsidRPr="00E85E82">
              <w:rPr>
                <w:sz w:val="20"/>
                <w:szCs w:val="20"/>
              </w:rPr>
              <w:t xml:space="preserve">(Diamond J.) </w:t>
            </w:r>
          </w:p>
          <w:p w:rsidR="004F6436" w:rsidRPr="00E85E82" w:rsidRDefault="00B407D6" w:rsidP="004F6436">
            <w:pPr>
              <w:jc w:val="both"/>
              <w:rPr>
                <w:sz w:val="20"/>
                <w:szCs w:val="20"/>
              </w:rPr>
            </w:pPr>
            <w:hyperlink r:id="rId27" w:history="1">
              <w:r w:rsidR="004F6436" w:rsidRPr="00E85E82">
                <w:rPr>
                  <w:rStyle w:val="Hyperlink"/>
                  <w:sz w:val="20"/>
                  <w:szCs w:val="20"/>
                </w:rPr>
                <w:t>2015 ONCA 3542</w:t>
              </w:r>
            </w:hyperlink>
          </w:p>
          <w:p w:rsidR="00232760" w:rsidRPr="00E85E82" w:rsidRDefault="00232760" w:rsidP="004F6436">
            <w:pPr>
              <w:jc w:val="both"/>
              <w:rPr>
                <w:rFonts w:cs="Times New Roman"/>
                <w:sz w:val="20"/>
                <w:szCs w:val="20"/>
              </w:rPr>
            </w:pPr>
          </w:p>
        </w:tc>
        <w:tc>
          <w:tcPr>
            <w:tcW w:w="630" w:type="dxa"/>
          </w:tcPr>
          <w:p w:rsidR="00232760" w:rsidRPr="00E85E82" w:rsidRDefault="00232760" w:rsidP="004F6436">
            <w:pPr>
              <w:pStyle w:val="SCCShortJudgment"/>
              <w:ind w:firstLine="0"/>
              <w:rPr>
                <w:rFonts w:cs="Times New Roman"/>
                <w:szCs w:val="20"/>
              </w:rPr>
            </w:pPr>
          </w:p>
        </w:tc>
        <w:tc>
          <w:tcPr>
            <w:tcW w:w="4536" w:type="dxa"/>
          </w:tcPr>
          <w:p w:rsidR="004F6436" w:rsidRPr="00E85E82" w:rsidRDefault="004F6436" w:rsidP="004F6436">
            <w:pPr>
              <w:jc w:val="both"/>
              <w:rPr>
                <w:sz w:val="20"/>
                <w:szCs w:val="20"/>
              </w:rPr>
            </w:pPr>
            <w:r w:rsidRPr="00E85E82">
              <w:rPr>
                <w:sz w:val="20"/>
                <w:szCs w:val="20"/>
              </w:rPr>
              <w:t xml:space="preserve">Motion for summary judgment dismissing claim granted </w:t>
            </w:r>
          </w:p>
          <w:p w:rsidR="00232760" w:rsidRPr="00E85E82" w:rsidRDefault="00232760" w:rsidP="004F6436">
            <w:pPr>
              <w:jc w:val="both"/>
              <w:rPr>
                <w:rFonts w:cs="Times New Roman"/>
                <w:sz w:val="20"/>
                <w:szCs w:val="20"/>
              </w:rPr>
            </w:pPr>
          </w:p>
        </w:tc>
      </w:tr>
      <w:tr w:rsidR="00232760" w:rsidRPr="00E85E82" w:rsidTr="000F56AC">
        <w:trPr>
          <w:cantSplit/>
        </w:trPr>
        <w:tc>
          <w:tcPr>
            <w:tcW w:w="4410" w:type="dxa"/>
            <w:gridSpan w:val="2"/>
          </w:tcPr>
          <w:p w:rsidR="004F6436" w:rsidRPr="00E85E82" w:rsidRDefault="004F6436" w:rsidP="004F6436">
            <w:pPr>
              <w:jc w:val="both"/>
              <w:rPr>
                <w:sz w:val="20"/>
                <w:szCs w:val="20"/>
              </w:rPr>
            </w:pPr>
            <w:r w:rsidRPr="00E85E82">
              <w:rPr>
                <w:sz w:val="20"/>
                <w:szCs w:val="20"/>
              </w:rPr>
              <w:t>January 8, 2016</w:t>
            </w:r>
          </w:p>
          <w:p w:rsidR="004F6436" w:rsidRPr="00E85E82" w:rsidRDefault="004F6436" w:rsidP="004F6436">
            <w:pPr>
              <w:jc w:val="both"/>
              <w:rPr>
                <w:sz w:val="20"/>
                <w:szCs w:val="20"/>
              </w:rPr>
            </w:pPr>
            <w:r w:rsidRPr="00E85E82">
              <w:rPr>
                <w:sz w:val="20"/>
                <w:szCs w:val="20"/>
              </w:rPr>
              <w:t>Court of Appeal for Ontario</w:t>
            </w:r>
          </w:p>
          <w:p w:rsidR="004F6436" w:rsidRPr="00E85E82" w:rsidRDefault="004F6436" w:rsidP="004F6436">
            <w:pPr>
              <w:jc w:val="both"/>
              <w:rPr>
                <w:sz w:val="20"/>
                <w:szCs w:val="20"/>
              </w:rPr>
            </w:pPr>
            <w:r w:rsidRPr="00E85E82">
              <w:rPr>
                <w:sz w:val="20"/>
                <w:szCs w:val="20"/>
              </w:rPr>
              <w:t>(</w:t>
            </w:r>
            <w:proofErr w:type="spellStart"/>
            <w:r w:rsidRPr="00E85E82">
              <w:rPr>
                <w:sz w:val="20"/>
                <w:szCs w:val="20"/>
              </w:rPr>
              <w:t>Juriansz</w:t>
            </w:r>
            <w:proofErr w:type="spellEnd"/>
            <w:r w:rsidRPr="00E85E82">
              <w:rPr>
                <w:sz w:val="20"/>
                <w:szCs w:val="20"/>
              </w:rPr>
              <w:t>, Hourigan, Brown JJ.A.)</w:t>
            </w:r>
          </w:p>
          <w:p w:rsidR="004F6436" w:rsidRPr="00E85E82" w:rsidRDefault="004F6436" w:rsidP="004F6436">
            <w:pPr>
              <w:jc w:val="both"/>
              <w:rPr>
                <w:sz w:val="20"/>
                <w:szCs w:val="20"/>
              </w:rPr>
            </w:pPr>
            <w:r w:rsidRPr="00E85E82">
              <w:rPr>
                <w:sz w:val="20"/>
                <w:szCs w:val="20"/>
              </w:rPr>
              <w:t xml:space="preserve">C60662; </w:t>
            </w:r>
            <w:hyperlink r:id="rId28" w:history="1">
              <w:r w:rsidRPr="00E85E82">
                <w:rPr>
                  <w:rStyle w:val="Hyperlink"/>
                  <w:sz w:val="20"/>
                  <w:szCs w:val="20"/>
                </w:rPr>
                <w:t>2016 ONCA 33</w:t>
              </w:r>
            </w:hyperlink>
          </w:p>
          <w:p w:rsidR="00232760" w:rsidRPr="00E85E82" w:rsidRDefault="00232760" w:rsidP="004F6436">
            <w:pPr>
              <w:jc w:val="both"/>
              <w:rPr>
                <w:rFonts w:cs="Times New Roman"/>
                <w:sz w:val="20"/>
                <w:szCs w:val="20"/>
              </w:rPr>
            </w:pPr>
          </w:p>
        </w:tc>
        <w:tc>
          <w:tcPr>
            <w:tcW w:w="630" w:type="dxa"/>
          </w:tcPr>
          <w:p w:rsidR="00232760" w:rsidRPr="00E85E82" w:rsidRDefault="00232760" w:rsidP="004F6436">
            <w:pPr>
              <w:pStyle w:val="SCCShortJudgment"/>
              <w:ind w:firstLine="0"/>
              <w:rPr>
                <w:rFonts w:cs="Times New Roman"/>
                <w:szCs w:val="20"/>
              </w:rPr>
            </w:pPr>
          </w:p>
        </w:tc>
        <w:tc>
          <w:tcPr>
            <w:tcW w:w="4536" w:type="dxa"/>
          </w:tcPr>
          <w:p w:rsidR="004F6436" w:rsidRPr="00E85E82" w:rsidRDefault="004F6436" w:rsidP="004F6436">
            <w:pPr>
              <w:jc w:val="both"/>
              <w:rPr>
                <w:sz w:val="20"/>
                <w:szCs w:val="20"/>
              </w:rPr>
            </w:pPr>
            <w:r w:rsidRPr="00E85E82">
              <w:rPr>
                <w:sz w:val="20"/>
                <w:szCs w:val="20"/>
              </w:rPr>
              <w:t>Appeal dismissed</w:t>
            </w:r>
          </w:p>
          <w:p w:rsidR="00232760" w:rsidRPr="00E85E82" w:rsidRDefault="00232760" w:rsidP="004F6436">
            <w:pPr>
              <w:jc w:val="both"/>
              <w:rPr>
                <w:rFonts w:cs="Times New Roman"/>
                <w:sz w:val="20"/>
                <w:szCs w:val="20"/>
              </w:rPr>
            </w:pPr>
          </w:p>
        </w:tc>
      </w:tr>
      <w:tr w:rsidR="004F6436" w:rsidRPr="00E85E82" w:rsidTr="000F56AC">
        <w:trPr>
          <w:cantSplit/>
        </w:trPr>
        <w:tc>
          <w:tcPr>
            <w:tcW w:w="4410" w:type="dxa"/>
            <w:gridSpan w:val="2"/>
          </w:tcPr>
          <w:p w:rsidR="004F6436" w:rsidRPr="00E85E82" w:rsidRDefault="004F6436" w:rsidP="004F6436">
            <w:pPr>
              <w:jc w:val="both"/>
              <w:rPr>
                <w:sz w:val="20"/>
                <w:szCs w:val="20"/>
              </w:rPr>
            </w:pPr>
            <w:r w:rsidRPr="00E85E82">
              <w:rPr>
                <w:sz w:val="20"/>
                <w:szCs w:val="20"/>
              </w:rPr>
              <w:t>March 8, 2016</w:t>
            </w:r>
          </w:p>
          <w:p w:rsidR="004F6436" w:rsidRPr="00E85E82" w:rsidRDefault="004F6436" w:rsidP="004F6436">
            <w:pPr>
              <w:jc w:val="both"/>
              <w:rPr>
                <w:sz w:val="20"/>
                <w:szCs w:val="20"/>
              </w:rPr>
            </w:pPr>
            <w:r w:rsidRPr="00E85E82">
              <w:rPr>
                <w:sz w:val="20"/>
                <w:szCs w:val="20"/>
              </w:rPr>
              <w:t>Supreme Court of Canada</w:t>
            </w:r>
          </w:p>
          <w:p w:rsidR="004E22A8" w:rsidRPr="00E85E82" w:rsidRDefault="004E22A8" w:rsidP="004F6436">
            <w:pPr>
              <w:jc w:val="both"/>
              <w:rPr>
                <w:rFonts w:cs="Times New Roman"/>
                <w:sz w:val="20"/>
                <w:szCs w:val="20"/>
              </w:rPr>
            </w:pPr>
          </w:p>
        </w:tc>
        <w:tc>
          <w:tcPr>
            <w:tcW w:w="630" w:type="dxa"/>
          </w:tcPr>
          <w:p w:rsidR="004F6436" w:rsidRPr="00E85E82" w:rsidRDefault="004F6436" w:rsidP="004F6436">
            <w:pPr>
              <w:pStyle w:val="SCCShortJudgment"/>
              <w:ind w:firstLine="0"/>
              <w:rPr>
                <w:rFonts w:cs="Times New Roman"/>
                <w:szCs w:val="20"/>
              </w:rPr>
            </w:pPr>
          </w:p>
        </w:tc>
        <w:tc>
          <w:tcPr>
            <w:tcW w:w="4536" w:type="dxa"/>
          </w:tcPr>
          <w:p w:rsidR="004F6436" w:rsidRPr="00E85E82" w:rsidRDefault="004F6436" w:rsidP="004F6436">
            <w:pPr>
              <w:jc w:val="both"/>
              <w:rPr>
                <w:sz w:val="20"/>
                <w:szCs w:val="20"/>
              </w:rPr>
            </w:pPr>
            <w:r w:rsidRPr="00E85E82">
              <w:rPr>
                <w:sz w:val="20"/>
                <w:szCs w:val="20"/>
              </w:rPr>
              <w:t>Application for leave to appeal filed</w:t>
            </w:r>
          </w:p>
        </w:tc>
      </w:tr>
      <w:tr w:rsidR="004F6436" w:rsidRPr="00E85E82" w:rsidTr="000F56AC">
        <w:trPr>
          <w:cantSplit/>
        </w:trPr>
        <w:tc>
          <w:tcPr>
            <w:tcW w:w="9576" w:type="dxa"/>
            <w:gridSpan w:val="4"/>
          </w:tcPr>
          <w:p w:rsidR="004F6436" w:rsidRPr="00E85E82" w:rsidRDefault="00B407D6" w:rsidP="004F6436">
            <w:pPr>
              <w:pStyle w:val="SCCShortJudgment"/>
              <w:ind w:firstLine="0"/>
              <w:rPr>
                <w:rFonts w:cs="Times New Roman"/>
                <w:szCs w:val="20"/>
                <w:lang w:val="fr-CA"/>
              </w:rPr>
            </w:pPr>
            <w:r>
              <w:rPr>
                <w:rFonts w:cs="Times New Roman"/>
                <w:szCs w:val="20"/>
                <w:lang w:val="fr-CA"/>
              </w:rPr>
              <w:pict>
                <v:rect id="_x0000_i1049" style="width:2in;height:1pt" o:hrpct="0" o:hralign="center" o:hrstd="t" o:hrnoshade="t" o:hr="t" fillcolor="black [3213]" stroked="f"/>
              </w:pict>
            </w:r>
          </w:p>
          <w:p w:rsidR="004F6436" w:rsidRPr="00E85E82" w:rsidRDefault="004F6436" w:rsidP="004F6436">
            <w:pPr>
              <w:pStyle w:val="SCCShortJudgment"/>
              <w:ind w:firstLine="0"/>
              <w:rPr>
                <w:rFonts w:cs="Times New Roman"/>
                <w:szCs w:val="20"/>
                <w:lang w:val="fr-CA"/>
              </w:rPr>
            </w:pPr>
          </w:p>
        </w:tc>
      </w:tr>
      <w:tr w:rsidR="004F6436" w:rsidRPr="00E85E82" w:rsidTr="000F56AC">
        <w:trPr>
          <w:cantSplit/>
        </w:trPr>
        <w:tc>
          <w:tcPr>
            <w:tcW w:w="9576" w:type="dxa"/>
            <w:gridSpan w:val="4"/>
          </w:tcPr>
          <w:p w:rsidR="004F6436" w:rsidRPr="00E85E82" w:rsidRDefault="004F6436" w:rsidP="004F6436">
            <w:pPr>
              <w:pStyle w:val="SCCShortJudgment"/>
              <w:ind w:firstLine="0"/>
              <w:rPr>
                <w:rFonts w:cs="Times New Roman"/>
                <w:szCs w:val="20"/>
                <w:u w:val="single"/>
                <w:lang w:val="fr-CA"/>
              </w:rPr>
            </w:pPr>
            <w:r w:rsidRPr="00E85E82">
              <w:rPr>
                <w:rFonts w:cs="Times New Roman"/>
                <w:szCs w:val="20"/>
                <w:u w:val="single"/>
                <w:lang w:val="fr-CA"/>
              </w:rPr>
              <w:t>RÉSUMÉ DE L’AFFAIRE </w:t>
            </w:r>
          </w:p>
          <w:p w:rsidR="004F6436" w:rsidRPr="00E85E82" w:rsidRDefault="004F6436" w:rsidP="004F6436">
            <w:pPr>
              <w:pStyle w:val="SCCShortJudgment"/>
              <w:ind w:firstLine="0"/>
              <w:rPr>
                <w:rFonts w:cs="Times New Roman"/>
                <w:szCs w:val="20"/>
                <w:u w:val="single"/>
                <w:lang w:val="fr-CA"/>
              </w:rPr>
            </w:pPr>
          </w:p>
        </w:tc>
      </w:tr>
      <w:tr w:rsidR="004F6436" w:rsidRPr="00B407D6" w:rsidTr="000F56AC">
        <w:trPr>
          <w:cantSplit/>
        </w:trPr>
        <w:tc>
          <w:tcPr>
            <w:tcW w:w="9576" w:type="dxa"/>
            <w:gridSpan w:val="4"/>
          </w:tcPr>
          <w:p w:rsidR="004F6436" w:rsidRPr="00E85E82" w:rsidRDefault="004F6436" w:rsidP="004F6436">
            <w:pPr>
              <w:jc w:val="both"/>
              <w:rPr>
                <w:sz w:val="20"/>
                <w:szCs w:val="20"/>
                <w:lang w:val="fr-CA"/>
              </w:rPr>
            </w:pPr>
            <w:r w:rsidRPr="00E85E82">
              <w:rPr>
                <w:sz w:val="20"/>
                <w:szCs w:val="20"/>
                <w:lang w:val="fr-CA"/>
              </w:rPr>
              <w:t xml:space="preserve">Contrats – Contrats commerciaux – Clause de limitation de la responsabilité – Faut-il faire une distinction entre les clauses d’exclusion complète et les clauses de limitation de la responsabilité? – Est-il contraire à l’ordre public qu’un contrat renferme une clause qui décharge une partie de ses obligations contractuelles ou de tout délit civil que cette partie est susceptible de commettre? – Des dispositions particulières s’appliquent-elles lorsqu’une partie est illettrée dans la langue du contrat? – Une obligation d’agir de bonne foi en matière contractuelle crée-t-elle l’obligation de communiquer lorsqu’une partie stipule une clause d’exclusion ou de limitation de la responsabilité? – Est-il contraire à l’ordre public de prévoir une clause </w:t>
            </w:r>
            <w:proofErr w:type="spellStart"/>
            <w:r w:rsidRPr="00E85E82">
              <w:rPr>
                <w:sz w:val="20"/>
                <w:szCs w:val="20"/>
                <w:lang w:val="fr-CA"/>
              </w:rPr>
              <w:t>exonératrice</w:t>
            </w:r>
            <w:proofErr w:type="spellEnd"/>
            <w:r w:rsidRPr="00E85E82">
              <w:rPr>
                <w:sz w:val="20"/>
                <w:szCs w:val="20"/>
                <w:lang w:val="fr-CA"/>
              </w:rPr>
              <w:t xml:space="preserve"> dans un contrat où un service déficient mettra les autres en danger?</w:t>
            </w:r>
          </w:p>
          <w:p w:rsidR="004F6436" w:rsidRPr="00E85E82" w:rsidRDefault="004F6436" w:rsidP="004F6436">
            <w:pPr>
              <w:jc w:val="both"/>
              <w:rPr>
                <w:sz w:val="20"/>
                <w:szCs w:val="20"/>
                <w:lang w:val="fr-CA"/>
              </w:rPr>
            </w:pPr>
          </w:p>
        </w:tc>
      </w:tr>
      <w:tr w:rsidR="004F6436" w:rsidRPr="00B407D6" w:rsidTr="000F56AC">
        <w:trPr>
          <w:cantSplit/>
        </w:trPr>
        <w:tc>
          <w:tcPr>
            <w:tcW w:w="9576" w:type="dxa"/>
            <w:gridSpan w:val="4"/>
          </w:tcPr>
          <w:p w:rsidR="004F6436" w:rsidRPr="00E85E82" w:rsidRDefault="004F6436" w:rsidP="004F6436">
            <w:pPr>
              <w:jc w:val="both"/>
              <w:rPr>
                <w:sz w:val="20"/>
                <w:szCs w:val="20"/>
                <w:lang w:val="fr-CA"/>
              </w:rPr>
            </w:pPr>
            <w:proofErr w:type="spellStart"/>
            <w:r w:rsidRPr="00E85E82">
              <w:rPr>
                <w:sz w:val="20"/>
                <w:szCs w:val="20"/>
                <w:lang w:val="fr-CA"/>
              </w:rPr>
              <w:t>Suhaag</w:t>
            </w:r>
            <w:proofErr w:type="spellEnd"/>
            <w:r w:rsidRPr="00E85E82">
              <w:rPr>
                <w:sz w:val="20"/>
                <w:szCs w:val="20"/>
                <w:lang w:val="fr-CA"/>
              </w:rPr>
              <w:t xml:space="preserve"> </w:t>
            </w:r>
            <w:proofErr w:type="spellStart"/>
            <w:r w:rsidRPr="00E85E82">
              <w:rPr>
                <w:sz w:val="20"/>
                <w:szCs w:val="20"/>
                <w:lang w:val="fr-CA"/>
              </w:rPr>
              <w:t>Jewellers</w:t>
            </w:r>
            <w:proofErr w:type="spellEnd"/>
            <w:r w:rsidRPr="00E85E82">
              <w:rPr>
                <w:sz w:val="20"/>
                <w:szCs w:val="20"/>
                <w:lang w:val="fr-CA"/>
              </w:rPr>
              <w:t xml:space="preserve"> Ltd., une bijouterie, a conclu un contrat avec </w:t>
            </w:r>
            <w:proofErr w:type="spellStart"/>
            <w:r w:rsidRPr="00E85E82">
              <w:rPr>
                <w:sz w:val="20"/>
                <w:szCs w:val="20"/>
                <w:lang w:val="fr-CA"/>
              </w:rPr>
              <w:t>Alarm</w:t>
            </w:r>
            <w:proofErr w:type="spellEnd"/>
            <w:r w:rsidRPr="00E85E82">
              <w:rPr>
                <w:sz w:val="20"/>
                <w:szCs w:val="20"/>
                <w:lang w:val="fr-CA"/>
              </w:rPr>
              <w:t xml:space="preserve"> </w:t>
            </w:r>
            <w:proofErr w:type="spellStart"/>
            <w:r w:rsidRPr="00E85E82">
              <w:rPr>
                <w:sz w:val="20"/>
                <w:szCs w:val="20"/>
                <w:lang w:val="fr-CA"/>
              </w:rPr>
              <w:t>Factory</w:t>
            </w:r>
            <w:proofErr w:type="spellEnd"/>
            <w:r w:rsidRPr="00E85E82">
              <w:rPr>
                <w:sz w:val="20"/>
                <w:szCs w:val="20"/>
                <w:lang w:val="fr-CA"/>
              </w:rPr>
              <w:t xml:space="preserve"> Inc., pour l’installation, l’entretien et la surveillance de systèmes de sécurité. Le contrat renferme une clause de limitation de la responsabilité et d’indemnisation. </w:t>
            </w:r>
            <w:proofErr w:type="spellStart"/>
            <w:r w:rsidRPr="00E85E82">
              <w:rPr>
                <w:sz w:val="20"/>
                <w:szCs w:val="20"/>
                <w:lang w:val="fr-CA"/>
              </w:rPr>
              <w:t>Suhaag</w:t>
            </w:r>
            <w:proofErr w:type="spellEnd"/>
            <w:r w:rsidRPr="00E85E82">
              <w:rPr>
                <w:sz w:val="20"/>
                <w:szCs w:val="20"/>
                <w:lang w:val="fr-CA"/>
              </w:rPr>
              <w:t xml:space="preserve"> </w:t>
            </w:r>
            <w:proofErr w:type="spellStart"/>
            <w:r w:rsidRPr="00E85E82">
              <w:rPr>
                <w:sz w:val="20"/>
                <w:szCs w:val="20"/>
                <w:lang w:val="fr-CA"/>
              </w:rPr>
              <w:t>Jewellers</w:t>
            </w:r>
            <w:proofErr w:type="spellEnd"/>
            <w:r w:rsidRPr="00E85E82">
              <w:rPr>
                <w:sz w:val="20"/>
                <w:szCs w:val="20"/>
                <w:lang w:val="fr-CA"/>
              </w:rPr>
              <w:t xml:space="preserve"> Ltd. a déposé une déclaration dans laquelle elle allègue que des bijoux auraient été volés le 28 août 2012 ou vers cette date et que le service de sécurité et de surveillance d’alarme avait fait défaut. Elle réclame des dommages-intérêts d’</w:t>
            </w:r>
            <w:proofErr w:type="spellStart"/>
            <w:r w:rsidRPr="00E85E82">
              <w:rPr>
                <w:sz w:val="20"/>
                <w:szCs w:val="20"/>
                <w:lang w:val="fr-CA"/>
              </w:rPr>
              <w:t>Alarm</w:t>
            </w:r>
            <w:proofErr w:type="spellEnd"/>
            <w:r w:rsidRPr="00E85E82">
              <w:rPr>
                <w:sz w:val="20"/>
                <w:szCs w:val="20"/>
                <w:lang w:val="fr-CA"/>
              </w:rPr>
              <w:t xml:space="preserve"> </w:t>
            </w:r>
            <w:proofErr w:type="spellStart"/>
            <w:r w:rsidRPr="00E85E82">
              <w:rPr>
                <w:sz w:val="20"/>
                <w:szCs w:val="20"/>
                <w:lang w:val="fr-CA"/>
              </w:rPr>
              <w:t>Factory</w:t>
            </w:r>
            <w:proofErr w:type="spellEnd"/>
            <w:r w:rsidRPr="00E85E82">
              <w:rPr>
                <w:sz w:val="20"/>
                <w:szCs w:val="20"/>
                <w:lang w:val="fr-CA"/>
              </w:rPr>
              <w:t xml:space="preserve"> Inc. en matière délictuelle et pour violation de contrat. </w:t>
            </w:r>
            <w:proofErr w:type="spellStart"/>
            <w:r w:rsidRPr="00E85E82">
              <w:rPr>
                <w:sz w:val="20"/>
                <w:szCs w:val="20"/>
                <w:lang w:val="fr-CA"/>
              </w:rPr>
              <w:t>Alarm</w:t>
            </w:r>
            <w:proofErr w:type="spellEnd"/>
            <w:r w:rsidRPr="00E85E82">
              <w:rPr>
                <w:sz w:val="20"/>
                <w:szCs w:val="20"/>
                <w:lang w:val="fr-CA"/>
              </w:rPr>
              <w:t xml:space="preserve"> </w:t>
            </w:r>
            <w:proofErr w:type="spellStart"/>
            <w:r w:rsidRPr="00E85E82">
              <w:rPr>
                <w:sz w:val="20"/>
                <w:szCs w:val="20"/>
                <w:lang w:val="fr-CA"/>
              </w:rPr>
              <w:t>Factory</w:t>
            </w:r>
            <w:proofErr w:type="spellEnd"/>
            <w:r w:rsidRPr="00E85E82">
              <w:rPr>
                <w:sz w:val="20"/>
                <w:szCs w:val="20"/>
                <w:lang w:val="fr-CA"/>
              </w:rPr>
              <w:t xml:space="preserve"> Inc. a présenté une motion en jugement sommaire, s’appuyant sur la clause de limitation et d’indemnisation.</w:t>
            </w:r>
          </w:p>
          <w:p w:rsidR="004F6436" w:rsidRPr="00E85E82" w:rsidRDefault="004F6436" w:rsidP="004F6436">
            <w:pPr>
              <w:jc w:val="both"/>
              <w:rPr>
                <w:rFonts w:cs="Times New Roman"/>
                <w:sz w:val="20"/>
                <w:szCs w:val="20"/>
                <w:u w:val="single"/>
                <w:lang w:val="fr-CA"/>
              </w:rPr>
            </w:pPr>
          </w:p>
        </w:tc>
      </w:tr>
      <w:tr w:rsidR="004F6436" w:rsidRPr="00B407D6" w:rsidTr="000F56AC">
        <w:trPr>
          <w:cantSplit/>
        </w:trPr>
        <w:tc>
          <w:tcPr>
            <w:tcW w:w="4410" w:type="dxa"/>
            <w:gridSpan w:val="2"/>
          </w:tcPr>
          <w:p w:rsidR="004F6436" w:rsidRPr="00E85E82" w:rsidRDefault="004F6436" w:rsidP="004F6436">
            <w:pPr>
              <w:jc w:val="both"/>
              <w:rPr>
                <w:sz w:val="20"/>
                <w:szCs w:val="20"/>
                <w:lang w:val="fr-CA"/>
              </w:rPr>
            </w:pPr>
            <w:r w:rsidRPr="00E85E82">
              <w:rPr>
                <w:sz w:val="20"/>
                <w:szCs w:val="20"/>
                <w:lang w:val="fr-CA"/>
              </w:rPr>
              <w:t>4 juin 2015</w:t>
            </w:r>
          </w:p>
          <w:p w:rsidR="004F6436" w:rsidRPr="00E85E82" w:rsidRDefault="004F6436" w:rsidP="004F6436">
            <w:pPr>
              <w:jc w:val="both"/>
              <w:rPr>
                <w:sz w:val="20"/>
                <w:szCs w:val="20"/>
                <w:lang w:val="fr-CA"/>
              </w:rPr>
            </w:pPr>
            <w:r w:rsidRPr="00E85E82">
              <w:rPr>
                <w:sz w:val="20"/>
                <w:szCs w:val="20"/>
                <w:lang w:val="fr-CA"/>
              </w:rPr>
              <w:t>Cour supérieure de justice de l’Ontario</w:t>
            </w:r>
          </w:p>
          <w:p w:rsidR="004F6436" w:rsidRPr="00E85E82" w:rsidRDefault="004F6436" w:rsidP="004F6436">
            <w:pPr>
              <w:jc w:val="both"/>
              <w:rPr>
                <w:sz w:val="20"/>
                <w:szCs w:val="20"/>
                <w:lang w:val="fr-CA"/>
              </w:rPr>
            </w:pPr>
            <w:r w:rsidRPr="00E85E82">
              <w:rPr>
                <w:sz w:val="20"/>
                <w:szCs w:val="20"/>
                <w:lang w:val="fr-CA"/>
              </w:rPr>
              <w:t xml:space="preserve">(Juge </w:t>
            </w:r>
            <w:proofErr w:type="spellStart"/>
            <w:r w:rsidRPr="00E85E82">
              <w:rPr>
                <w:sz w:val="20"/>
                <w:szCs w:val="20"/>
                <w:lang w:val="fr-CA"/>
              </w:rPr>
              <w:t>Diamond</w:t>
            </w:r>
            <w:proofErr w:type="spellEnd"/>
            <w:r w:rsidRPr="00E85E82">
              <w:rPr>
                <w:sz w:val="20"/>
                <w:szCs w:val="20"/>
                <w:lang w:val="fr-CA"/>
              </w:rPr>
              <w:t xml:space="preserve">) </w:t>
            </w:r>
          </w:p>
          <w:p w:rsidR="004F6436" w:rsidRPr="00E85E82" w:rsidRDefault="00B407D6" w:rsidP="004F6436">
            <w:pPr>
              <w:jc w:val="both"/>
              <w:rPr>
                <w:sz w:val="20"/>
                <w:szCs w:val="20"/>
                <w:lang w:val="fr-CA"/>
              </w:rPr>
            </w:pPr>
            <w:hyperlink r:id="rId29" w:history="1">
              <w:r w:rsidR="004F6436" w:rsidRPr="00E85E82">
                <w:rPr>
                  <w:rStyle w:val="Hyperlink"/>
                  <w:sz w:val="20"/>
                  <w:szCs w:val="20"/>
                  <w:lang w:val="fr-CA"/>
                </w:rPr>
                <w:t>2015 ON</w:t>
              </w:r>
              <w:r w:rsidR="00B207E2" w:rsidRPr="00E85E82">
                <w:rPr>
                  <w:rStyle w:val="Hyperlink"/>
                  <w:sz w:val="20"/>
                  <w:szCs w:val="20"/>
                  <w:lang w:val="fr-CA"/>
                </w:rPr>
                <w:t>SC</w:t>
              </w:r>
              <w:r w:rsidR="004F6436" w:rsidRPr="00E85E82">
                <w:rPr>
                  <w:rStyle w:val="Hyperlink"/>
                  <w:sz w:val="20"/>
                  <w:szCs w:val="20"/>
                  <w:lang w:val="fr-CA"/>
                </w:rPr>
                <w:t xml:space="preserve"> 3542</w:t>
              </w:r>
            </w:hyperlink>
          </w:p>
          <w:p w:rsidR="004F6436" w:rsidRPr="00E85E82" w:rsidRDefault="004F6436" w:rsidP="004F6436">
            <w:pPr>
              <w:pStyle w:val="SCCShortJudgment"/>
              <w:ind w:firstLine="0"/>
              <w:rPr>
                <w:rFonts w:cs="Times New Roman"/>
                <w:szCs w:val="20"/>
                <w:u w:val="single"/>
                <w:lang w:val="fr-CA"/>
              </w:rPr>
            </w:pPr>
          </w:p>
        </w:tc>
        <w:tc>
          <w:tcPr>
            <w:tcW w:w="630" w:type="dxa"/>
          </w:tcPr>
          <w:p w:rsidR="004F6436" w:rsidRPr="00E85E82" w:rsidRDefault="004F6436" w:rsidP="004F6436">
            <w:pPr>
              <w:pStyle w:val="SCCShortJudgment"/>
              <w:ind w:firstLine="0"/>
              <w:rPr>
                <w:rFonts w:cs="Times New Roman"/>
                <w:szCs w:val="20"/>
                <w:u w:val="single"/>
                <w:lang w:val="fr-CA"/>
              </w:rPr>
            </w:pPr>
          </w:p>
        </w:tc>
        <w:tc>
          <w:tcPr>
            <w:tcW w:w="4536" w:type="dxa"/>
          </w:tcPr>
          <w:p w:rsidR="004F6436" w:rsidRPr="00E85E82" w:rsidRDefault="004F6436" w:rsidP="004F6436">
            <w:pPr>
              <w:jc w:val="both"/>
              <w:rPr>
                <w:sz w:val="20"/>
                <w:szCs w:val="20"/>
                <w:lang w:val="fr-CA"/>
              </w:rPr>
            </w:pPr>
            <w:r w:rsidRPr="00E85E82">
              <w:rPr>
                <w:sz w:val="20"/>
                <w:szCs w:val="20"/>
                <w:lang w:val="fr-CA"/>
              </w:rPr>
              <w:t>Jugement accueillant la motion en jugement sommaire rejetant la demande</w:t>
            </w:r>
          </w:p>
          <w:p w:rsidR="004F6436" w:rsidRPr="00E85E82" w:rsidRDefault="004F6436" w:rsidP="004F6436">
            <w:pPr>
              <w:pStyle w:val="SCCShortJudgment"/>
              <w:ind w:firstLine="0"/>
              <w:rPr>
                <w:rFonts w:cs="Times New Roman"/>
                <w:szCs w:val="20"/>
                <w:u w:val="single"/>
                <w:lang w:val="fr-CA"/>
              </w:rPr>
            </w:pPr>
          </w:p>
        </w:tc>
      </w:tr>
      <w:tr w:rsidR="004F6436" w:rsidRPr="00E85E82" w:rsidTr="000F56AC">
        <w:trPr>
          <w:cantSplit/>
        </w:trPr>
        <w:tc>
          <w:tcPr>
            <w:tcW w:w="4410" w:type="dxa"/>
            <w:gridSpan w:val="2"/>
          </w:tcPr>
          <w:p w:rsidR="004F6436" w:rsidRPr="00E85E82" w:rsidRDefault="004F6436" w:rsidP="004F6436">
            <w:pPr>
              <w:jc w:val="both"/>
              <w:rPr>
                <w:sz w:val="20"/>
                <w:szCs w:val="20"/>
                <w:lang w:val="fr-CA"/>
              </w:rPr>
            </w:pPr>
            <w:r w:rsidRPr="00E85E82">
              <w:rPr>
                <w:sz w:val="20"/>
                <w:szCs w:val="20"/>
                <w:lang w:val="fr-CA"/>
              </w:rPr>
              <w:t>8 janvier 2016</w:t>
            </w:r>
          </w:p>
          <w:p w:rsidR="004F6436" w:rsidRPr="00E85E82" w:rsidRDefault="004F6436" w:rsidP="004F6436">
            <w:pPr>
              <w:jc w:val="both"/>
              <w:rPr>
                <w:sz w:val="20"/>
                <w:szCs w:val="20"/>
                <w:lang w:val="fr-CA"/>
              </w:rPr>
            </w:pPr>
            <w:r w:rsidRPr="00E85E82">
              <w:rPr>
                <w:sz w:val="20"/>
                <w:szCs w:val="20"/>
                <w:lang w:val="fr-CA"/>
              </w:rPr>
              <w:t xml:space="preserve">Cour d’appel de l’Ontario </w:t>
            </w:r>
          </w:p>
          <w:p w:rsidR="004F6436" w:rsidRPr="00E85E82" w:rsidRDefault="004F6436" w:rsidP="004F6436">
            <w:pPr>
              <w:jc w:val="both"/>
              <w:rPr>
                <w:sz w:val="20"/>
                <w:szCs w:val="20"/>
                <w:lang w:val="fr-CA"/>
              </w:rPr>
            </w:pPr>
            <w:r w:rsidRPr="00E85E82">
              <w:rPr>
                <w:sz w:val="20"/>
                <w:szCs w:val="20"/>
                <w:lang w:val="fr-CA"/>
              </w:rPr>
              <w:t xml:space="preserve">(Jugea </w:t>
            </w:r>
            <w:proofErr w:type="spellStart"/>
            <w:r w:rsidRPr="00E85E82">
              <w:rPr>
                <w:sz w:val="20"/>
                <w:szCs w:val="20"/>
                <w:lang w:val="fr-CA"/>
              </w:rPr>
              <w:t>Juriansz</w:t>
            </w:r>
            <w:proofErr w:type="spellEnd"/>
            <w:r w:rsidRPr="00E85E82">
              <w:rPr>
                <w:sz w:val="20"/>
                <w:szCs w:val="20"/>
                <w:lang w:val="fr-CA"/>
              </w:rPr>
              <w:t xml:space="preserve">, </w:t>
            </w:r>
            <w:proofErr w:type="spellStart"/>
            <w:r w:rsidRPr="00E85E82">
              <w:rPr>
                <w:sz w:val="20"/>
                <w:szCs w:val="20"/>
                <w:lang w:val="fr-CA"/>
              </w:rPr>
              <w:t>Hourigan</w:t>
            </w:r>
            <w:proofErr w:type="spellEnd"/>
            <w:r w:rsidRPr="00E85E82">
              <w:rPr>
                <w:sz w:val="20"/>
                <w:szCs w:val="20"/>
                <w:lang w:val="fr-CA"/>
              </w:rPr>
              <w:t xml:space="preserve"> et Brown)</w:t>
            </w:r>
          </w:p>
          <w:p w:rsidR="004F6436" w:rsidRPr="00E85E82" w:rsidRDefault="004F6436" w:rsidP="004F6436">
            <w:pPr>
              <w:jc w:val="both"/>
              <w:rPr>
                <w:sz w:val="20"/>
                <w:szCs w:val="20"/>
                <w:lang w:val="fr-CA"/>
              </w:rPr>
            </w:pPr>
            <w:r w:rsidRPr="00E85E82">
              <w:rPr>
                <w:sz w:val="20"/>
                <w:szCs w:val="20"/>
                <w:lang w:val="fr-CA"/>
              </w:rPr>
              <w:t xml:space="preserve">C60662; </w:t>
            </w:r>
            <w:hyperlink r:id="rId30" w:history="1">
              <w:r w:rsidRPr="00E85E82">
                <w:rPr>
                  <w:rStyle w:val="Hyperlink"/>
                  <w:sz w:val="20"/>
                  <w:szCs w:val="20"/>
                  <w:lang w:val="fr-CA"/>
                </w:rPr>
                <w:t>2016 ONCA 33</w:t>
              </w:r>
            </w:hyperlink>
          </w:p>
          <w:p w:rsidR="004F6436" w:rsidRPr="00E85E82" w:rsidRDefault="004F6436" w:rsidP="004F6436">
            <w:pPr>
              <w:pStyle w:val="SCCShortJudgment"/>
              <w:ind w:firstLine="0"/>
              <w:rPr>
                <w:rFonts w:cs="Times New Roman"/>
                <w:szCs w:val="20"/>
                <w:u w:val="single"/>
                <w:lang w:val="fr-CA"/>
              </w:rPr>
            </w:pPr>
          </w:p>
        </w:tc>
        <w:tc>
          <w:tcPr>
            <w:tcW w:w="630" w:type="dxa"/>
          </w:tcPr>
          <w:p w:rsidR="004F6436" w:rsidRPr="00E85E82" w:rsidRDefault="004F6436" w:rsidP="004F6436">
            <w:pPr>
              <w:pStyle w:val="SCCShortJudgment"/>
              <w:ind w:firstLine="0"/>
              <w:rPr>
                <w:rFonts w:cs="Times New Roman"/>
                <w:szCs w:val="20"/>
                <w:u w:val="single"/>
                <w:lang w:val="fr-CA"/>
              </w:rPr>
            </w:pPr>
          </w:p>
        </w:tc>
        <w:tc>
          <w:tcPr>
            <w:tcW w:w="4536" w:type="dxa"/>
          </w:tcPr>
          <w:p w:rsidR="004F6436" w:rsidRPr="00E85E82" w:rsidRDefault="004F6436" w:rsidP="004F6436">
            <w:pPr>
              <w:jc w:val="both"/>
              <w:rPr>
                <w:sz w:val="20"/>
                <w:szCs w:val="20"/>
                <w:lang w:val="fr-CA"/>
              </w:rPr>
            </w:pPr>
            <w:r w:rsidRPr="00E85E82">
              <w:rPr>
                <w:sz w:val="20"/>
                <w:szCs w:val="20"/>
                <w:lang w:val="fr-CA"/>
              </w:rPr>
              <w:t>Rejet de l’appel</w:t>
            </w:r>
          </w:p>
          <w:p w:rsidR="004F6436" w:rsidRPr="00E85E82" w:rsidRDefault="004F6436" w:rsidP="004F6436">
            <w:pPr>
              <w:pStyle w:val="SCCShortJudgment"/>
              <w:ind w:firstLine="0"/>
              <w:rPr>
                <w:rFonts w:cs="Times New Roman"/>
                <w:szCs w:val="20"/>
                <w:u w:val="single"/>
                <w:lang w:val="fr-CA"/>
              </w:rPr>
            </w:pPr>
          </w:p>
        </w:tc>
      </w:tr>
      <w:tr w:rsidR="004F6436" w:rsidRPr="00B407D6" w:rsidTr="000F56AC">
        <w:trPr>
          <w:cantSplit/>
        </w:trPr>
        <w:tc>
          <w:tcPr>
            <w:tcW w:w="4410" w:type="dxa"/>
            <w:gridSpan w:val="2"/>
          </w:tcPr>
          <w:p w:rsidR="004F6436" w:rsidRPr="00E85E82" w:rsidRDefault="004F6436" w:rsidP="004F6436">
            <w:pPr>
              <w:jc w:val="both"/>
              <w:rPr>
                <w:sz w:val="20"/>
                <w:szCs w:val="20"/>
                <w:lang w:val="fr-CA"/>
              </w:rPr>
            </w:pPr>
            <w:r w:rsidRPr="00E85E82">
              <w:rPr>
                <w:sz w:val="20"/>
                <w:szCs w:val="20"/>
                <w:lang w:val="fr-CA"/>
              </w:rPr>
              <w:t>8 mars 2016</w:t>
            </w:r>
          </w:p>
          <w:p w:rsidR="004F6436" w:rsidRPr="00E85E82" w:rsidRDefault="004F6436" w:rsidP="004F6436">
            <w:pPr>
              <w:pStyle w:val="SCCShortJudgment"/>
              <w:ind w:firstLine="0"/>
              <w:rPr>
                <w:szCs w:val="20"/>
                <w:lang w:val="fr-CA"/>
              </w:rPr>
            </w:pPr>
            <w:r w:rsidRPr="00E85E82">
              <w:rPr>
                <w:szCs w:val="20"/>
                <w:lang w:val="fr-CA"/>
              </w:rPr>
              <w:t>Cour suprême du Canada</w:t>
            </w:r>
          </w:p>
          <w:p w:rsidR="004E22A8" w:rsidRPr="00E85E82" w:rsidRDefault="004E22A8" w:rsidP="004F6436">
            <w:pPr>
              <w:pStyle w:val="SCCShortJudgment"/>
              <w:ind w:firstLine="0"/>
              <w:rPr>
                <w:rFonts w:cs="Times New Roman"/>
                <w:szCs w:val="20"/>
                <w:u w:val="single"/>
                <w:lang w:val="fr-CA"/>
              </w:rPr>
            </w:pPr>
          </w:p>
        </w:tc>
        <w:tc>
          <w:tcPr>
            <w:tcW w:w="630" w:type="dxa"/>
          </w:tcPr>
          <w:p w:rsidR="004F6436" w:rsidRPr="00E85E82" w:rsidRDefault="004F6436" w:rsidP="004F6436">
            <w:pPr>
              <w:pStyle w:val="SCCShortJudgment"/>
              <w:ind w:firstLine="0"/>
              <w:rPr>
                <w:rFonts w:cs="Times New Roman"/>
                <w:szCs w:val="20"/>
                <w:u w:val="single"/>
                <w:lang w:val="fr-CA"/>
              </w:rPr>
            </w:pPr>
          </w:p>
        </w:tc>
        <w:tc>
          <w:tcPr>
            <w:tcW w:w="4536" w:type="dxa"/>
          </w:tcPr>
          <w:p w:rsidR="004F6436" w:rsidRPr="00E85E82" w:rsidRDefault="004F6436" w:rsidP="004F6436">
            <w:pPr>
              <w:pStyle w:val="SCCShortJudgment"/>
              <w:ind w:firstLine="0"/>
              <w:rPr>
                <w:rFonts w:cs="Times New Roman"/>
                <w:szCs w:val="20"/>
                <w:u w:val="single"/>
                <w:lang w:val="fr-CA"/>
              </w:rPr>
            </w:pPr>
            <w:r w:rsidRPr="00E85E82">
              <w:rPr>
                <w:szCs w:val="20"/>
                <w:lang w:val="fr-CA"/>
              </w:rPr>
              <w:t>Dépôt de la demande d’autorisation d’appel</w:t>
            </w:r>
          </w:p>
        </w:tc>
      </w:tr>
    </w:tbl>
    <w:p w:rsidR="00232760" w:rsidRPr="00E85E82" w:rsidRDefault="00B407D6" w:rsidP="00232760">
      <w:pPr>
        <w:rPr>
          <w:rFonts w:cs="Times New Roman"/>
          <w:sz w:val="20"/>
          <w:szCs w:val="20"/>
          <w:lang w:val="fr-CA"/>
        </w:rPr>
      </w:pPr>
      <w:r>
        <w:rPr>
          <w:rFonts w:cs="Times New Roman"/>
          <w:sz w:val="20"/>
          <w:szCs w:val="20"/>
          <w:lang w:val="fr-CA"/>
        </w:rPr>
        <w:pict>
          <v:rect id="_x0000_i1050" style="width:2in;height:1pt" o:hrpct="0" o:hralign="center" o:hrstd="t" o:hrnoshade="t" o:hr="t" fillcolor="black [3213]" stroked="f"/>
        </w:pict>
      </w:r>
    </w:p>
    <w:p w:rsidR="00232760" w:rsidRPr="00E85E82" w:rsidRDefault="00232760" w:rsidP="0023276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Style w:val="SCCFileNumberChar"/>
                <w:sz w:val="20"/>
                <w:szCs w:val="20"/>
              </w:rPr>
              <w:t>36889</w:t>
            </w:r>
          </w:p>
          <w:p w:rsidR="00232760" w:rsidRPr="00E85E82" w:rsidRDefault="00232760" w:rsidP="000F56AC">
            <w:pPr>
              <w:jc w:val="both"/>
              <w:rPr>
                <w:rFonts w:cs="Times New Roman"/>
                <w:b/>
                <w:sz w:val="20"/>
                <w:szCs w:val="20"/>
              </w:rPr>
            </w:pPr>
          </w:p>
        </w:tc>
        <w:tc>
          <w:tcPr>
            <w:tcW w:w="8118" w:type="dxa"/>
            <w:gridSpan w:val="3"/>
          </w:tcPr>
          <w:p w:rsidR="00232760" w:rsidRPr="00E85E82" w:rsidRDefault="00B84CEB" w:rsidP="000F56AC">
            <w:pPr>
              <w:jc w:val="both"/>
              <w:rPr>
                <w:rFonts w:cs="Times New Roman"/>
                <w:sz w:val="20"/>
                <w:szCs w:val="20"/>
              </w:rPr>
            </w:pPr>
            <w:r w:rsidRPr="00E85E82">
              <w:rPr>
                <w:rStyle w:val="SCCLsocChar"/>
                <w:rFonts w:cs="Times New Roman"/>
                <w:sz w:val="20"/>
                <w:szCs w:val="20"/>
                <w:lang w:val="en-CA"/>
              </w:rPr>
              <w:t xml:space="preserve">Nick Mancuso, The Results Company Inc., David Rowland, Life Choice Ltd. (amalgamated from, rolled into, and continuing on business for, and from, E.D. Modern Design Ltd. and E.G.D. Modern Design Ltd.) and Dr. Eldon Dahl, and </w:t>
            </w:r>
            <w:proofErr w:type="spellStart"/>
            <w:r w:rsidRPr="00E85E82">
              <w:rPr>
                <w:rStyle w:val="SCCLsocChar"/>
                <w:rFonts w:cs="Times New Roman"/>
                <w:sz w:val="20"/>
                <w:szCs w:val="20"/>
                <w:lang w:val="en-CA"/>
              </w:rPr>
              <w:t>Agnesa</w:t>
            </w:r>
            <w:proofErr w:type="spellEnd"/>
            <w:r w:rsidRPr="00E85E82">
              <w:rPr>
                <w:rStyle w:val="SCCLsocChar"/>
                <w:rFonts w:cs="Times New Roman"/>
                <w:sz w:val="20"/>
                <w:szCs w:val="20"/>
                <w:lang w:val="en-CA"/>
              </w:rPr>
              <w:t xml:space="preserve"> Dahl v. Minister of National Health and Welfare, Attorney General of Canada, Minister of Public Safety and Emergency Preparedness, Royal Canadian Mounted Police and Her Majesty the Queen in Right of Canada</w:t>
            </w:r>
            <w:r w:rsidR="00232760" w:rsidRPr="00E85E82">
              <w:rPr>
                <w:rStyle w:val="SCCLsocChar"/>
                <w:rFonts w:cs="Times New Roman"/>
                <w:sz w:val="20"/>
                <w:szCs w:val="20"/>
                <w:lang w:val="en-CA"/>
              </w:rPr>
              <w:t xml:space="preserve"> </w:t>
            </w:r>
            <w:r w:rsidR="00232760" w:rsidRPr="00E85E82">
              <w:rPr>
                <w:rFonts w:cs="Times New Roman"/>
                <w:sz w:val="20"/>
                <w:szCs w:val="20"/>
              </w:rPr>
              <w:t>(</w:t>
            </w:r>
            <w:r w:rsidR="00285918" w:rsidRPr="00E85E82">
              <w:rPr>
                <w:rFonts w:cs="Times New Roman"/>
                <w:sz w:val="20"/>
                <w:szCs w:val="20"/>
              </w:rPr>
              <w:t>F.C</w:t>
            </w:r>
            <w:r w:rsidR="00232760" w:rsidRPr="00E85E82">
              <w:rPr>
                <w:rFonts w:cs="Times New Roman"/>
                <w:sz w:val="20"/>
                <w:szCs w:val="20"/>
              </w:rPr>
              <w:t>.) (Civil) (By Leave)</w:t>
            </w:r>
          </w:p>
          <w:p w:rsidR="00232760" w:rsidRPr="00E85E82" w:rsidRDefault="00232760" w:rsidP="000F56AC">
            <w:pPr>
              <w:jc w:val="both"/>
              <w:rPr>
                <w:rFonts w:cs="Times New Roman"/>
                <w:sz w:val="20"/>
                <w:szCs w:val="20"/>
              </w:rPr>
            </w:pPr>
          </w:p>
        </w:tc>
      </w:tr>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Fonts w:cs="Times New Roman"/>
                <w:sz w:val="20"/>
                <w:szCs w:val="20"/>
              </w:rPr>
              <w:t>Coram :</w:t>
            </w:r>
          </w:p>
        </w:tc>
        <w:tc>
          <w:tcPr>
            <w:tcW w:w="8118" w:type="dxa"/>
            <w:gridSpan w:val="3"/>
          </w:tcPr>
          <w:p w:rsidR="00232760" w:rsidRPr="00E85E82" w:rsidRDefault="00B84CEB" w:rsidP="000F56AC">
            <w:pPr>
              <w:jc w:val="both"/>
              <w:rPr>
                <w:rStyle w:val="SCCCoramChar"/>
                <w:sz w:val="20"/>
                <w:szCs w:val="20"/>
                <w:lang w:val="en-CA"/>
              </w:rPr>
            </w:pPr>
            <w:r w:rsidRPr="00E85E82">
              <w:rPr>
                <w:rStyle w:val="SCCCoramChar"/>
                <w:sz w:val="20"/>
                <w:szCs w:val="20"/>
                <w:lang w:val="en-CA"/>
              </w:rPr>
              <w:t>Cromwell, Wagner</w:t>
            </w:r>
            <w:r w:rsidR="00232760" w:rsidRPr="00E85E82">
              <w:rPr>
                <w:rStyle w:val="SCCCoramChar"/>
                <w:sz w:val="20"/>
                <w:szCs w:val="20"/>
                <w:lang w:val="en-CA"/>
              </w:rPr>
              <w:t xml:space="preserve"> and </w:t>
            </w:r>
            <w:r w:rsidRPr="00E85E82">
              <w:rPr>
                <w:rStyle w:val="SCCCoramChar"/>
                <w:sz w:val="20"/>
                <w:szCs w:val="20"/>
                <w:lang w:val="en-CA"/>
              </w:rPr>
              <w:t>Côté</w:t>
            </w:r>
            <w:r w:rsidR="00232760" w:rsidRPr="00E85E82">
              <w:rPr>
                <w:rStyle w:val="SCCCoramChar"/>
                <w:sz w:val="20"/>
                <w:szCs w:val="20"/>
                <w:lang w:val="en-CA"/>
              </w:rPr>
              <w:t xml:space="preserve"> JJ.</w:t>
            </w:r>
          </w:p>
          <w:p w:rsidR="00232760" w:rsidRPr="00E85E82" w:rsidRDefault="00232760" w:rsidP="000F56AC">
            <w:pPr>
              <w:jc w:val="both"/>
              <w:rPr>
                <w:rFonts w:cs="Times New Roman"/>
                <w:sz w:val="20"/>
                <w:szCs w:val="20"/>
                <w:u w:val="single"/>
              </w:rPr>
            </w:pPr>
          </w:p>
        </w:tc>
      </w:tr>
      <w:tr w:rsidR="00232760" w:rsidRPr="00B407D6" w:rsidTr="000F56AC">
        <w:trPr>
          <w:cantSplit/>
        </w:trPr>
        <w:tc>
          <w:tcPr>
            <w:tcW w:w="9576" w:type="dxa"/>
            <w:gridSpan w:val="4"/>
          </w:tcPr>
          <w:p w:rsidR="00FE4B3D" w:rsidRPr="00E85E82" w:rsidRDefault="00FE4B3D" w:rsidP="00FE4B3D">
            <w:pPr>
              <w:pStyle w:val="SCCShortJudgment"/>
            </w:pPr>
            <w:r w:rsidRPr="00E85E82">
              <w:t>The motion for an extension of time to serve and file the application for leave to appeal from the judgment of the Federal Court of Appeal, Number A-365-14, 2015 FCA 227, dated October 27, 2015, is dismissed with costs. In any event, had such motion been granted, the application for leave to appeal would have been dismissed with costs.</w:t>
            </w:r>
          </w:p>
          <w:p w:rsidR="00FE4B3D" w:rsidRPr="00E85E82" w:rsidRDefault="00FE4B3D" w:rsidP="00FE4B3D">
            <w:pPr>
              <w:pStyle w:val="SCCShortJudgment"/>
              <w:ind w:firstLine="0"/>
            </w:pPr>
          </w:p>
          <w:p w:rsidR="00FE4B3D" w:rsidRPr="00C556BB" w:rsidRDefault="00FE4B3D" w:rsidP="00FE4B3D">
            <w:pPr>
              <w:pStyle w:val="SCCShortJudgment"/>
              <w:rPr>
                <w:lang w:val="fr-CA"/>
              </w:rPr>
            </w:pPr>
            <w:r w:rsidRPr="00C556BB">
              <w:rPr>
                <w:lang w:val="fr-CA"/>
              </w:rPr>
              <w:t>La requête en prorogation du délai de signification et de dépôt de la demande d’autorisation d’appel de l’arrêt de la Cour d’appel fédérale, numéro A-365-14, 2015 CAF 227, daté du 27 octobre 2015, est rejetée avec dépens. Quoi qu’il en soit, même si la requête avait été accueillie, la demande d’autorisation d’appel aurait été rejetée avec dépens.</w:t>
            </w:r>
          </w:p>
          <w:p w:rsidR="00232760" w:rsidRPr="00E85E82" w:rsidRDefault="00232760" w:rsidP="000F56AC">
            <w:pPr>
              <w:pStyle w:val="SCCShortJudgment"/>
              <w:ind w:firstLine="0"/>
              <w:rPr>
                <w:rFonts w:cs="Times New Roman"/>
                <w:szCs w:val="20"/>
                <w:lang w:val="fr-CA"/>
              </w:rPr>
            </w:pPr>
          </w:p>
        </w:tc>
      </w:tr>
      <w:tr w:rsidR="00232760" w:rsidRPr="00E85E82" w:rsidTr="000F56AC">
        <w:trPr>
          <w:cantSplit/>
        </w:trPr>
        <w:tc>
          <w:tcPr>
            <w:tcW w:w="9576" w:type="dxa"/>
            <w:gridSpan w:val="4"/>
          </w:tcPr>
          <w:p w:rsidR="00232760" w:rsidRPr="00E85E82" w:rsidRDefault="00232760" w:rsidP="000F56AC">
            <w:pPr>
              <w:pStyle w:val="SCCShortJudgment"/>
              <w:ind w:firstLine="0"/>
              <w:rPr>
                <w:rFonts w:cs="Times New Roman"/>
                <w:szCs w:val="20"/>
                <w:u w:val="single"/>
                <w:lang w:val="fr-CA"/>
              </w:rPr>
            </w:pPr>
            <w:r w:rsidRPr="00E85E82">
              <w:rPr>
                <w:rFonts w:cs="Times New Roman"/>
                <w:szCs w:val="20"/>
                <w:u w:val="single"/>
                <w:lang w:val="fr-CA"/>
              </w:rPr>
              <w:t>CASE SUMMARY</w:t>
            </w:r>
          </w:p>
          <w:p w:rsidR="00232760" w:rsidRPr="00E85E82" w:rsidRDefault="00232760" w:rsidP="000F56AC">
            <w:pPr>
              <w:pStyle w:val="SCCShortJudgment"/>
              <w:ind w:firstLine="0"/>
              <w:rPr>
                <w:rFonts w:cs="Times New Roman"/>
                <w:szCs w:val="20"/>
                <w:u w:val="single"/>
                <w:lang w:val="fr-CA"/>
              </w:rPr>
            </w:pPr>
          </w:p>
        </w:tc>
      </w:tr>
      <w:tr w:rsidR="00232760" w:rsidRPr="00E85E82" w:rsidTr="000F56AC">
        <w:trPr>
          <w:cantSplit/>
        </w:trPr>
        <w:tc>
          <w:tcPr>
            <w:tcW w:w="9576" w:type="dxa"/>
            <w:gridSpan w:val="4"/>
          </w:tcPr>
          <w:p w:rsidR="00232760" w:rsidRPr="00E85E82" w:rsidRDefault="004F6436" w:rsidP="000F56AC">
            <w:pPr>
              <w:pStyle w:val="SCCShortJudgment"/>
              <w:ind w:firstLine="0"/>
              <w:rPr>
                <w:szCs w:val="20"/>
              </w:rPr>
            </w:pPr>
            <w:r w:rsidRPr="00E85E82">
              <w:rPr>
                <w:i/>
                <w:szCs w:val="20"/>
              </w:rPr>
              <w:t>Charter of Rights</w:t>
            </w:r>
            <w:r w:rsidRPr="00E85E82">
              <w:rPr>
                <w:szCs w:val="20"/>
              </w:rPr>
              <w:t xml:space="preserve"> – Alleged violations of ss. 2(a), 2(b), 7, 9 and 15 of the </w:t>
            </w:r>
            <w:r w:rsidRPr="00E85E82">
              <w:rPr>
                <w:i/>
                <w:szCs w:val="20"/>
              </w:rPr>
              <w:t>Charter</w:t>
            </w:r>
            <w:r w:rsidRPr="00E85E82">
              <w:rPr>
                <w:szCs w:val="20"/>
              </w:rPr>
              <w:t xml:space="preserve"> – Civil Procedure – Pleadings – Motion to strike – Constitutional law – Division of powers – Does a Judge, sitting on a motion to strike, have the jurisdiction to make findings of fact – Does a Judge sitting on a motion to strike have jurisdiction to “strike the entirety of the claim”, with leave to amend, and not allow to proceed the factual assertions and legal remedy </w:t>
            </w:r>
            <w:r w:rsidRPr="00E85E82">
              <w:rPr>
                <w:i/>
                <w:szCs w:val="20"/>
              </w:rPr>
              <w:t>not</w:t>
            </w:r>
            <w:r w:rsidRPr="00E85E82">
              <w:rPr>
                <w:szCs w:val="20"/>
              </w:rPr>
              <w:t xml:space="preserve"> struck – Can an action for Declaratory relief proceed without a “cause of action” for damages – Does a guilty plea in Provincial Court, under a statute where its constitutionality has not been determined, bar a subsequent Superior Court action attacking the constitutionality of the legislation, based on a “collateral attack/abuse of process” pursuant to </w:t>
            </w:r>
            <w:r w:rsidRPr="00E85E82">
              <w:rPr>
                <w:i/>
                <w:szCs w:val="20"/>
              </w:rPr>
              <w:t>Toronto (City) v. C.U.P.E., Local 79</w:t>
            </w:r>
            <w:r w:rsidRPr="00E85E82">
              <w:rPr>
                <w:szCs w:val="20"/>
              </w:rPr>
              <w:t>, [2003] 3 S.C.R. 77, 2003 SCC 63.</w:t>
            </w:r>
          </w:p>
          <w:p w:rsidR="004F6436" w:rsidRPr="00E85E82" w:rsidRDefault="004F6436" w:rsidP="000F56AC">
            <w:pPr>
              <w:pStyle w:val="SCCShortJudgment"/>
              <w:ind w:firstLine="0"/>
              <w:rPr>
                <w:rFonts w:cs="Times New Roman"/>
                <w:szCs w:val="20"/>
              </w:rPr>
            </w:pPr>
          </w:p>
        </w:tc>
      </w:tr>
      <w:tr w:rsidR="00232760" w:rsidRPr="00E85E82" w:rsidTr="000F56AC">
        <w:trPr>
          <w:cantSplit/>
        </w:trPr>
        <w:tc>
          <w:tcPr>
            <w:tcW w:w="9576" w:type="dxa"/>
            <w:gridSpan w:val="4"/>
          </w:tcPr>
          <w:p w:rsidR="004F6436" w:rsidRPr="00E85E82" w:rsidRDefault="004F6436" w:rsidP="004F6436">
            <w:pPr>
              <w:jc w:val="both"/>
              <w:rPr>
                <w:sz w:val="20"/>
                <w:szCs w:val="20"/>
              </w:rPr>
            </w:pPr>
            <w:r w:rsidRPr="00E85E82">
              <w:rPr>
                <w:sz w:val="20"/>
                <w:szCs w:val="20"/>
              </w:rPr>
              <w:t xml:space="preserve">The applicants are individual and corporate consumers, distributors and producers of certain health products (the “Products”) in Canada. The Products are regulated as “drugs” as defined by s. 2 under the </w:t>
            </w:r>
            <w:r w:rsidRPr="00E85E82">
              <w:rPr>
                <w:i/>
                <w:sz w:val="20"/>
                <w:szCs w:val="20"/>
              </w:rPr>
              <w:t>Food and Drugs Act</w:t>
            </w:r>
            <w:r w:rsidRPr="00E85E82">
              <w:rPr>
                <w:sz w:val="20"/>
                <w:szCs w:val="20"/>
              </w:rPr>
              <w:t>, R.S.C., 1985, c. F-27 (the “</w:t>
            </w:r>
            <w:r w:rsidRPr="00E85E82">
              <w:rPr>
                <w:i/>
                <w:sz w:val="20"/>
                <w:szCs w:val="20"/>
              </w:rPr>
              <w:t>Act</w:t>
            </w:r>
            <w:r w:rsidRPr="00E85E82">
              <w:rPr>
                <w:sz w:val="20"/>
                <w:szCs w:val="20"/>
              </w:rPr>
              <w:t xml:space="preserve">”) and the </w:t>
            </w:r>
            <w:r w:rsidRPr="00E85E82">
              <w:rPr>
                <w:i/>
                <w:sz w:val="20"/>
                <w:szCs w:val="20"/>
              </w:rPr>
              <w:t>Natural Health Products Regulations</w:t>
            </w:r>
            <w:r w:rsidRPr="00E85E82">
              <w:rPr>
                <w:sz w:val="20"/>
                <w:szCs w:val="20"/>
              </w:rPr>
              <w:t>, SOR 2003-196 (the “</w:t>
            </w:r>
            <w:r w:rsidRPr="00E85E82">
              <w:rPr>
                <w:i/>
                <w:sz w:val="20"/>
                <w:szCs w:val="20"/>
              </w:rPr>
              <w:t>Regulations</w:t>
            </w:r>
            <w:r w:rsidRPr="00E85E82">
              <w:rPr>
                <w:sz w:val="20"/>
                <w:szCs w:val="20"/>
              </w:rPr>
              <w:t xml:space="preserve">”). The applicants brought an action challenging Parliament’s constitutional authority to regulate the production and sale of natural health products, including vitamins and dietary and nutritional food supplements. Alternatively, they challenged the statutory authority for the </w:t>
            </w:r>
            <w:r w:rsidRPr="00E85E82">
              <w:rPr>
                <w:i/>
                <w:sz w:val="20"/>
                <w:szCs w:val="20"/>
              </w:rPr>
              <w:t>Regulations</w:t>
            </w:r>
            <w:r w:rsidRPr="00E85E82">
              <w:rPr>
                <w:sz w:val="20"/>
                <w:szCs w:val="20"/>
              </w:rPr>
              <w:t xml:space="preserve">, pleading </w:t>
            </w:r>
            <w:r w:rsidRPr="00E85E82">
              <w:rPr>
                <w:i/>
                <w:sz w:val="20"/>
                <w:szCs w:val="20"/>
              </w:rPr>
              <w:t>Charter</w:t>
            </w:r>
            <w:r w:rsidRPr="00E85E82">
              <w:rPr>
                <w:sz w:val="20"/>
                <w:szCs w:val="20"/>
              </w:rPr>
              <w:t xml:space="preserve"> breaches and tortious conduct by government officials in administering and enforcing the regulatory scheme. Their statement of claim sought, </w:t>
            </w:r>
            <w:r w:rsidRPr="00E85E82">
              <w:rPr>
                <w:i/>
                <w:sz w:val="20"/>
                <w:szCs w:val="20"/>
              </w:rPr>
              <w:t>inter alia</w:t>
            </w:r>
            <w:r w:rsidRPr="00E85E82">
              <w:rPr>
                <w:sz w:val="20"/>
                <w:szCs w:val="20"/>
              </w:rPr>
              <w:t xml:space="preserve">, damages, declarations of invalidity and a stay of enforcement of provisions of the </w:t>
            </w:r>
            <w:r w:rsidRPr="00E85E82">
              <w:rPr>
                <w:i/>
                <w:sz w:val="20"/>
                <w:szCs w:val="20"/>
              </w:rPr>
              <w:t>Act</w:t>
            </w:r>
            <w:r w:rsidRPr="00E85E82">
              <w:rPr>
                <w:sz w:val="20"/>
                <w:szCs w:val="20"/>
              </w:rPr>
              <w:t xml:space="preserve"> and </w:t>
            </w:r>
            <w:r w:rsidRPr="00E85E82">
              <w:rPr>
                <w:i/>
                <w:sz w:val="20"/>
                <w:szCs w:val="20"/>
              </w:rPr>
              <w:t>Regulations</w:t>
            </w:r>
            <w:r w:rsidRPr="00E85E82">
              <w:rPr>
                <w:sz w:val="20"/>
                <w:szCs w:val="20"/>
              </w:rPr>
              <w:t>.</w:t>
            </w:r>
          </w:p>
          <w:p w:rsidR="00232760" w:rsidRPr="00E85E82" w:rsidRDefault="00232760" w:rsidP="000F56AC">
            <w:pPr>
              <w:pStyle w:val="SCCShortJudgment"/>
              <w:ind w:firstLine="0"/>
              <w:rPr>
                <w:rFonts w:cs="Times New Roman"/>
                <w:szCs w:val="20"/>
              </w:rPr>
            </w:pPr>
          </w:p>
        </w:tc>
      </w:tr>
      <w:tr w:rsidR="00232760" w:rsidRPr="00E85E82" w:rsidTr="000F56AC">
        <w:trPr>
          <w:cantSplit/>
        </w:trPr>
        <w:tc>
          <w:tcPr>
            <w:tcW w:w="9576" w:type="dxa"/>
            <w:gridSpan w:val="4"/>
          </w:tcPr>
          <w:p w:rsidR="00232760" w:rsidRPr="00E85E82" w:rsidRDefault="004F6436" w:rsidP="000F56AC">
            <w:pPr>
              <w:pStyle w:val="SCCShortJudgment"/>
              <w:ind w:firstLine="0"/>
              <w:rPr>
                <w:szCs w:val="20"/>
              </w:rPr>
            </w:pPr>
            <w:r w:rsidRPr="00E85E82">
              <w:rPr>
                <w:szCs w:val="20"/>
              </w:rPr>
              <w:t>The respondents brought a motion to strike the statement of claim in its entirety or paragraphs amounting to the bulk of the claim, and brought a motion to remove all defendants but Her Majesty the Queen in Right of Canada. The Federal Court struck the Claim “in accordance with these reasons”, granted leave to amend the Claim within 30 days, and struck the other defendants. The applicants appealed the decision, arguing that the Judge had erred in striking parts of the Claim and that those parts which had not been struck should be allowed to proceed. The respondents cross-appealed on the issue of whether the whole Claim had been struck. The Federal Court of Appeal interpreted the lower court decision as striking the entire statement of claim and dismissed the appeal.</w:t>
            </w:r>
          </w:p>
          <w:p w:rsidR="004F6436" w:rsidRPr="00E85E82" w:rsidRDefault="004F6436" w:rsidP="000F56AC">
            <w:pPr>
              <w:pStyle w:val="SCCShortJudgment"/>
              <w:ind w:firstLine="0"/>
              <w:rPr>
                <w:rFonts w:cs="Times New Roman"/>
                <w:szCs w:val="20"/>
              </w:rPr>
            </w:pPr>
          </w:p>
        </w:tc>
      </w:tr>
      <w:tr w:rsidR="00232760" w:rsidRPr="00E85E82" w:rsidTr="000F56AC">
        <w:trPr>
          <w:cantSplit/>
        </w:trPr>
        <w:tc>
          <w:tcPr>
            <w:tcW w:w="4410" w:type="dxa"/>
            <w:gridSpan w:val="2"/>
          </w:tcPr>
          <w:p w:rsidR="004F6436" w:rsidRPr="00E85E82" w:rsidRDefault="004F6436" w:rsidP="004F6436">
            <w:pPr>
              <w:rPr>
                <w:sz w:val="20"/>
                <w:szCs w:val="20"/>
              </w:rPr>
            </w:pPr>
            <w:r w:rsidRPr="00E85E82">
              <w:rPr>
                <w:sz w:val="20"/>
                <w:szCs w:val="20"/>
              </w:rPr>
              <w:t>July 16, 2014</w:t>
            </w:r>
          </w:p>
          <w:p w:rsidR="004F6436" w:rsidRPr="00E85E82" w:rsidRDefault="004F6436" w:rsidP="004F6436">
            <w:pPr>
              <w:rPr>
                <w:sz w:val="20"/>
                <w:szCs w:val="20"/>
              </w:rPr>
            </w:pPr>
            <w:r w:rsidRPr="00E85E82">
              <w:rPr>
                <w:sz w:val="20"/>
                <w:szCs w:val="20"/>
              </w:rPr>
              <w:t>Federal Court</w:t>
            </w:r>
          </w:p>
          <w:p w:rsidR="004F6436" w:rsidRPr="00E85E82" w:rsidRDefault="004F6436" w:rsidP="004F6436">
            <w:pPr>
              <w:rPr>
                <w:sz w:val="20"/>
                <w:szCs w:val="20"/>
              </w:rPr>
            </w:pPr>
            <w:r w:rsidRPr="00E85E82">
              <w:rPr>
                <w:sz w:val="20"/>
                <w:szCs w:val="20"/>
              </w:rPr>
              <w:t>(Russell J.)</w:t>
            </w:r>
          </w:p>
          <w:p w:rsidR="004F6436" w:rsidRPr="00E85E82" w:rsidRDefault="00B407D6" w:rsidP="004F6436">
            <w:pPr>
              <w:rPr>
                <w:sz w:val="20"/>
                <w:szCs w:val="20"/>
              </w:rPr>
            </w:pPr>
            <w:hyperlink r:id="rId31" w:history="1">
              <w:r w:rsidR="004F6436" w:rsidRPr="00E85E82">
                <w:rPr>
                  <w:rStyle w:val="Hyperlink"/>
                  <w:sz w:val="20"/>
                  <w:szCs w:val="20"/>
                </w:rPr>
                <w:t>2014 FC 708</w:t>
              </w:r>
            </w:hyperlink>
          </w:p>
          <w:p w:rsidR="00232760" w:rsidRPr="00E85E82" w:rsidRDefault="00232760" w:rsidP="000F56AC">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232760" w:rsidRPr="00E85E82" w:rsidRDefault="004F6436" w:rsidP="000F56AC">
            <w:pPr>
              <w:jc w:val="both"/>
              <w:rPr>
                <w:rFonts w:cs="Times New Roman"/>
                <w:sz w:val="20"/>
                <w:szCs w:val="20"/>
              </w:rPr>
            </w:pPr>
            <w:r w:rsidRPr="00E85E82">
              <w:rPr>
                <w:sz w:val="20"/>
                <w:szCs w:val="20"/>
              </w:rPr>
              <w:t>Applicants’ Claim struck in accordance with reasons with leave to amend; All defendants struck except Her Majesty the Queen in Right of Canada; Motion for stay dismissed</w:t>
            </w:r>
          </w:p>
        </w:tc>
      </w:tr>
      <w:tr w:rsidR="00232760" w:rsidRPr="00E85E82" w:rsidTr="000F56AC">
        <w:trPr>
          <w:cantSplit/>
        </w:trPr>
        <w:tc>
          <w:tcPr>
            <w:tcW w:w="4410" w:type="dxa"/>
            <w:gridSpan w:val="2"/>
          </w:tcPr>
          <w:p w:rsidR="004F6436" w:rsidRPr="00E85E82" w:rsidRDefault="004F6436" w:rsidP="004F6436">
            <w:pPr>
              <w:rPr>
                <w:sz w:val="20"/>
                <w:szCs w:val="20"/>
              </w:rPr>
            </w:pPr>
            <w:r w:rsidRPr="00E85E82">
              <w:rPr>
                <w:sz w:val="20"/>
                <w:szCs w:val="20"/>
              </w:rPr>
              <w:t>October 27, 2015</w:t>
            </w:r>
          </w:p>
          <w:p w:rsidR="004F6436" w:rsidRPr="00E85E82" w:rsidRDefault="004F6436" w:rsidP="004F6436">
            <w:pPr>
              <w:rPr>
                <w:sz w:val="20"/>
                <w:szCs w:val="20"/>
              </w:rPr>
            </w:pPr>
            <w:r w:rsidRPr="00E85E82">
              <w:rPr>
                <w:sz w:val="20"/>
                <w:szCs w:val="20"/>
              </w:rPr>
              <w:t>Federal Court of Appeal</w:t>
            </w:r>
          </w:p>
          <w:p w:rsidR="004F6436" w:rsidRPr="00E85E82" w:rsidRDefault="004F6436" w:rsidP="004F6436">
            <w:pPr>
              <w:rPr>
                <w:sz w:val="20"/>
                <w:szCs w:val="20"/>
              </w:rPr>
            </w:pPr>
            <w:r w:rsidRPr="00E85E82">
              <w:rPr>
                <w:sz w:val="20"/>
                <w:szCs w:val="20"/>
              </w:rPr>
              <w:t>(</w:t>
            </w:r>
            <w:proofErr w:type="spellStart"/>
            <w:r w:rsidRPr="00E85E82">
              <w:rPr>
                <w:sz w:val="20"/>
                <w:szCs w:val="20"/>
              </w:rPr>
              <w:t>Stratas</w:t>
            </w:r>
            <w:proofErr w:type="spellEnd"/>
            <w:r w:rsidRPr="00E85E82">
              <w:rPr>
                <w:sz w:val="20"/>
                <w:szCs w:val="20"/>
              </w:rPr>
              <w:t>, Rennie and Gleason JJ.A)</w:t>
            </w:r>
          </w:p>
          <w:p w:rsidR="004F6436" w:rsidRPr="00E85E82" w:rsidRDefault="00B407D6" w:rsidP="004F6436">
            <w:pPr>
              <w:rPr>
                <w:sz w:val="20"/>
                <w:szCs w:val="20"/>
              </w:rPr>
            </w:pPr>
            <w:hyperlink r:id="rId32" w:history="1">
              <w:r w:rsidR="004F6436" w:rsidRPr="00E85E82">
                <w:rPr>
                  <w:rStyle w:val="Hyperlink"/>
                  <w:sz w:val="20"/>
                  <w:szCs w:val="20"/>
                </w:rPr>
                <w:t>2015 FCA 227</w:t>
              </w:r>
            </w:hyperlink>
            <w:r w:rsidR="004F6436" w:rsidRPr="00E85E82">
              <w:rPr>
                <w:sz w:val="20"/>
                <w:szCs w:val="20"/>
              </w:rPr>
              <w:t>; A-365-14</w:t>
            </w:r>
          </w:p>
          <w:p w:rsidR="00232760" w:rsidRPr="00E85E82" w:rsidRDefault="00232760" w:rsidP="000F56AC">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4F6436" w:rsidRPr="00E85E82" w:rsidRDefault="004F6436" w:rsidP="004F6436">
            <w:pPr>
              <w:rPr>
                <w:sz w:val="20"/>
                <w:szCs w:val="20"/>
              </w:rPr>
            </w:pPr>
            <w:r w:rsidRPr="00E85E82">
              <w:rPr>
                <w:sz w:val="20"/>
                <w:szCs w:val="20"/>
              </w:rPr>
              <w:t>Appeal and cross-appeal dismissed</w:t>
            </w:r>
          </w:p>
          <w:p w:rsidR="00232760" w:rsidRPr="00E85E82" w:rsidRDefault="00232760" w:rsidP="000F56AC">
            <w:pPr>
              <w:jc w:val="both"/>
              <w:rPr>
                <w:rFonts w:cs="Times New Roman"/>
                <w:sz w:val="20"/>
                <w:szCs w:val="20"/>
              </w:rPr>
            </w:pPr>
          </w:p>
        </w:tc>
      </w:tr>
      <w:tr w:rsidR="00232760" w:rsidRPr="00E85E82" w:rsidTr="000F56AC">
        <w:trPr>
          <w:cantSplit/>
        </w:trPr>
        <w:tc>
          <w:tcPr>
            <w:tcW w:w="4410" w:type="dxa"/>
            <w:gridSpan w:val="2"/>
          </w:tcPr>
          <w:p w:rsidR="004F6436" w:rsidRPr="00E85E82" w:rsidRDefault="004F6436" w:rsidP="004F6436">
            <w:pPr>
              <w:rPr>
                <w:sz w:val="20"/>
                <w:szCs w:val="20"/>
              </w:rPr>
            </w:pPr>
            <w:r w:rsidRPr="00E85E82">
              <w:rPr>
                <w:sz w:val="20"/>
                <w:szCs w:val="20"/>
              </w:rPr>
              <w:t>March 10, 2016</w:t>
            </w:r>
          </w:p>
          <w:p w:rsidR="004F6436" w:rsidRPr="00E85E82" w:rsidRDefault="004F6436" w:rsidP="004F6436">
            <w:pPr>
              <w:rPr>
                <w:sz w:val="20"/>
                <w:szCs w:val="20"/>
              </w:rPr>
            </w:pPr>
            <w:r w:rsidRPr="00E85E82">
              <w:rPr>
                <w:sz w:val="20"/>
                <w:szCs w:val="20"/>
              </w:rPr>
              <w:t>Supreme Court of Canada</w:t>
            </w:r>
          </w:p>
          <w:p w:rsidR="00232760" w:rsidRPr="00E85E82" w:rsidRDefault="00232760" w:rsidP="000F56AC">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232760" w:rsidRPr="00E85E82" w:rsidRDefault="004F6436" w:rsidP="000F56AC">
            <w:pPr>
              <w:jc w:val="both"/>
              <w:rPr>
                <w:rFonts w:cs="Times New Roman"/>
                <w:sz w:val="20"/>
                <w:szCs w:val="20"/>
              </w:rPr>
            </w:pPr>
            <w:r w:rsidRPr="00E85E82">
              <w:rPr>
                <w:sz w:val="20"/>
                <w:szCs w:val="20"/>
              </w:rPr>
              <w:t>Request for an extension of time to serve and file leave application and application for leave to appeal filed</w:t>
            </w:r>
          </w:p>
        </w:tc>
      </w:tr>
      <w:tr w:rsidR="00232760" w:rsidRPr="00E85E82" w:rsidTr="000F56AC">
        <w:trPr>
          <w:cantSplit/>
        </w:trPr>
        <w:tc>
          <w:tcPr>
            <w:tcW w:w="9576" w:type="dxa"/>
            <w:gridSpan w:val="4"/>
          </w:tcPr>
          <w:p w:rsidR="00232760" w:rsidRPr="00E85E82" w:rsidRDefault="00B407D6" w:rsidP="000F56AC">
            <w:pPr>
              <w:pStyle w:val="SCCShortJudgment"/>
              <w:ind w:firstLine="0"/>
              <w:rPr>
                <w:rFonts w:cs="Times New Roman"/>
                <w:szCs w:val="20"/>
                <w:lang w:val="fr-CA"/>
              </w:rPr>
            </w:pPr>
            <w:r>
              <w:rPr>
                <w:rFonts w:cs="Times New Roman"/>
                <w:szCs w:val="20"/>
                <w:lang w:val="fr-CA"/>
              </w:rPr>
              <w:pict>
                <v:rect id="_x0000_i1051" style="width:2in;height:1pt" o:hrpct="0" o:hralign="center" o:hrstd="t" o:hrnoshade="t" o:hr="t" fillcolor="black [3213]" stroked="f"/>
              </w:pict>
            </w:r>
          </w:p>
          <w:p w:rsidR="00232760" w:rsidRPr="00E85E82" w:rsidRDefault="00232760" w:rsidP="000F56AC">
            <w:pPr>
              <w:pStyle w:val="SCCShortJudgment"/>
              <w:ind w:firstLine="0"/>
              <w:rPr>
                <w:rFonts w:cs="Times New Roman"/>
                <w:szCs w:val="20"/>
                <w:lang w:val="fr-CA"/>
              </w:rPr>
            </w:pPr>
          </w:p>
        </w:tc>
      </w:tr>
      <w:tr w:rsidR="00232760" w:rsidRPr="00E85E82" w:rsidTr="000F56AC">
        <w:trPr>
          <w:cantSplit/>
        </w:trPr>
        <w:tc>
          <w:tcPr>
            <w:tcW w:w="9576" w:type="dxa"/>
            <w:gridSpan w:val="4"/>
          </w:tcPr>
          <w:p w:rsidR="00232760" w:rsidRPr="00E85E82" w:rsidRDefault="00232760" w:rsidP="000F56AC">
            <w:pPr>
              <w:pStyle w:val="SCCShortJudgment"/>
              <w:ind w:firstLine="0"/>
              <w:rPr>
                <w:rFonts w:cs="Times New Roman"/>
                <w:szCs w:val="20"/>
                <w:u w:val="single"/>
                <w:lang w:val="fr-CA"/>
              </w:rPr>
            </w:pPr>
            <w:r w:rsidRPr="00E85E82">
              <w:rPr>
                <w:rFonts w:cs="Times New Roman"/>
                <w:szCs w:val="20"/>
                <w:u w:val="single"/>
                <w:lang w:val="fr-CA"/>
              </w:rPr>
              <w:t>RÉSUMÉ DE L’AFFAIRE </w:t>
            </w:r>
          </w:p>
          <w:p w:rsidR="00232760" w:rsidRPr="00E85E82" w:rsidRDefault="00232760" w:rsidP="000F56AC">
            <w:pPr>
              <w:pStyle w:val="SCCShortJudgment"/>
              <w:ind w:firstLine="0"/>
              <w:rPr>
                <w:rFonts w:cs="Times New Roman"/>
                <w:szCs w:val="20"/>
                <w:u w:val="single"/>
                <w:lang w:val="fr-CA"/>
              </w:rPr>
            </w:pPr>
          </w:p>
        </w:tc>
      </w:tr>
      <w:tr w:rsidR="00232760" w:rsidRPr="00B407D6" w:rsidTr="000F56AC">
        <w:trPr>
          <w:cantSplit/>
        </w:trPr>
        <w:tc>
          <w:tcPr>
            <w:tcW w:w="9576" w:type="dxa"/>
            <w:gridSpan w:val="4"/>
          </w:tcPr>
          <w:p w:rsidR="00232760" w:rsidRPr="00E85E82" w:rsidRDefault="004F6436" w:rsidP="000F56AC">
            <w:pPr>
              <w:pStyle w:val="SCCShortJudgment"/>
              <w:ind w:firstLine="0"/>
              <w:rPr>
                <w:szCs w:val="20"/>
                <w:lang w:val="fr-CA"/>
              </w:rPr>
            </w:pPr>
            <w:r w:rsidRPr="00E85E82">
              <w:rPr>
                <w:i/>
                <w:szCs w:val="20"/>
                <w:lang w:val="fr-CA"/>
              </w:rPr>
              <w:t>Charte des droits</w:t>
            </w:r>
            <w:r w:rsidRPr="00E85E82">
              <w:rPr>
                <w:szCs w:val="20"/>
                <w:lang w:val="fr-CA"/>
              </w:rPr>
              <w:t xml:space="preserve"> – Violations présumées des art. 2a), 2b), 7, 9 et 15 de la </w:t>
            </w:r>
            <w:r w:rsidRPr="00E85E82">
              <w:rPr>
                <w:i/>
                <w:szCs w:val="20"/>
                <w:lang w:val="fr-CA"/>
              </w:rPr>
              <w:t>Charte</w:t>
            </w:r>
            <w:r w:rsidRPr="00E85E82">
              <w:rPr>
                <w:szCs w:val="20"/>
                <w:lang w:val="fr-CA"/>
              </w:rPr>
              <w:t xml:space="preserve"> – Procédure civile – Actes de procédure – Requête en radiation – Droit constitutionnel – Partage des compétences – Le juge saisi d’une requête en radiation </w:t>
            </w:r>
            <w:proofErr w:type="spellStart"/>
            <w:r w:rsidRPr="00E85E82">
              <w:rPr>
                <w:szCs w:val="20"/>
                <w:lang w:val="fr-CA"/>
              </w:rPr>
              <w:t>a-t-il</w:t>
            </w:r>
            <w:proofErr w:type="spellEnd"/>
            <w:r w:rsidRPr="00E85E82">
              <w:rPr>
                <w:szCs w:val="20"/>
                <w:lang w:val="fr-CA"/>
              </w:rPr>
              <w:t xml:space="preserve"> compétence pour tirer des conclusions de fait? – Le juge saisi d’une requête en radiation </w:t>
            </w:r>
            <w:proofErr w:type="spellStart"/>
            <w:r w:rsidRPr="00E85E82">
              <w:rPr>
                <w:szCs w:val="20"/>
                <w:lang w:val="fr-CA"/>
              </w:rPr>
              <w:t>a-t-il</w:t>
            </w:r>
            <w:proofErr w:type="spellEnd"/>
            <w:r w:rsidRPr="00E85E82">
              <w:rPr>
                <w:szCs w:val="20"/>
                <w:lang w:val="fr-CA"/>
              </w:rPr>
              <w:t xml:space="preserve"> compétence pour « radier la demande au complet » avec autorisation de la modifier et pour refuser que les allégations de fait et le recours juridique </w:t>
            </w:r>
            <w:r w:rsidRPr="00E85E82">
              <w:rPr>
                <w:i/>
                <w:szCs w:val="20"/>
                <w:lang w:val="fr-CA"/>
              </w:rPr>
              <w:t>non</w:t>
            </w:r>
            <w:r w:rsidRPr="00E85E82">
              <w:rPr>
                <w:szCs w:val="20"/>
                <w:lang w:val="fr-CA"/>
              </w:rPr>
              <w:t xml:space="preserve"> radiés suivent leurs cours? – Une action en jugement déclaratoire peut-elle aller de l’avant en l’absence d’une « cause d’action » en dommages-intérêts? – Un plaidoyer de culpabilité en Cour provinciale, sous le régime d’une loi dont la constitutionnalité n’a pas été déterminée, rend-il irrecevable une action subséquente en Cour supérieure qui conteste la constitutionnalité de la législation, du fait qu’il s’agirait d’une contestation indirecte ou d’un abus de procédure en application de l’arrêt </w:t>
            </w:r>
            <w:r w:rsidRPr="00E85E82">
              <w:rPr>
                <w:i/>
                <w:szCs w:val="20"/>
                <w:lang w:val="fr-CA"/>
              </w:rPr>
              <w:t>Toronto (Ville) c. S.C.F.P., section locale 79</w:t>
            </w:r>
            <w:r w:rsidRPr="00E85E82">
              <w:rPr>
                <w:szCs w:val="20"/>
                <w:lang w:val="fr-CA"/>
              </w:rPr>
              <w:t>, [2003] 3 R.C.S. 77, 2003 CSC 63?</w:t>
            </w:r>
          </w:p>
          <w:p w:rsidR="004F6436" w:rsidRPr="00E85E82" w:rsidRDefault="004F6436" w:rsidP="000F56AC">
            <w:pPr>
              <w:pStyle w:val="SCCShortJudgment"/>
              <w:ind w:firstLine="0"/>
              <w:rPr>
                <w:rFonts w:cs="Times New Roman"/>
                <w:szCs w:val="20"/>
                <w:u w:val="single"/>
                <w:lang w:val="fr-CA"/>
              </w:rPr>
            </w:pPr>
          </w:p>
        </w:tc>
      </w:tr>
      <w:tr w:rsidR="00232760" w:rsidRPr="00B407D6" w:rsidTr="000F56AC">
        <w:trPr>
          <w:cantSplit/>
        </w:trPr>
        <w:tc>
          <w:tcPr>
            <w:tcW w:w="9576" w:type="dxa"/>
            <w:gridSpan w:val="4"/>
          </w:tcPr>
          <w:p w:rsidR="004F6436" w:rsidRPr="00E85E82" w:rsidRDefault="004F6436" w:rsidP="004F6436">
            <w:pPr>
              <w:jc w:val="both"/>
              <w:rPr>
                <w:sz w:val="20"/>
                <w:szCs w:val="20"/>
                <w:lang w:val="fr-CA"/>
              </w:rPr>
            </w:pPr>
            <w:r w:rsidRPr="00E85E82">
              <w:rPr>
                <w:sz w:val="20"/>
                <w:szCs w:val="20"/>
                <w:lang w:val="fr-CA"/>
              </w:rPr>
              <w:t xml:space="preserve">Les personnes physiques ou morales demanderesses sont des consommateurs, des distributeurs et des producteurs de certains produits de santé (les « produits ») au Canada. Les produits sont réglementés en tant que « drogues » au sens de l’art. 2 de la </w:t>
            </w:r>
            <w:r w:rsidRPr="00E85E82">
              <w:rPr>
                <w:i/>
                <w:sz w:val="20"/>
                <w:szCs w:val="20"/>
                <w:lang w:val="fr-CA"/>
              </w:rPr>
              <w:t>Loi sur les aliments et drogues</w:t>
            </w:r>
            <w:r w:rsidRPr="00E85E82">
              <w:rPr>
                <w:sz w:val="20"/>
                <w:szCs w:val="20"/>
                <w:lang w:val="fr-CA"/>
              </w:rPr>
              <w:t xml:space="preserve">, L.R.C., 1985, ch. F-27 (la « loi ») et du </w:t>
            </w:r>
            <w:r w:rsidRPr="00E85E82">
              <w:rPr>
                <w:i/>
                <w:sz w:val="20"/>
                <w:szCs w:val="20"/>
                <w:lang w:val="fr-CA"/>
              </w:rPr>
              <w:t>Règlement sur les produits de santé naturelle</w:t>
            </w:r>
            <w:r w:rsidRPr="00E85E82">
              <w:rPr>
                <w:sz w:val="20"/>
                <w:szCs w:val="20"/>
                <w:lang w:val="fr-CA"/>
              </w:rPr>
              <w:t xml:space="preserve">, DORS 2003-196 (le « règlement »). Les demandeurs ont intenté une action dans laquelle ils contestent la compétence du législateur fédéral en vertu de la Constitution pour réglementer la production et la vente de produits de santé naturelle, y compris les vitamines, les produits de complément alimentaire et les suppléments nutritionnels. Subsidiairement, ils contestaient l’autorisation législative de prendre le règlement, plaidant des violations de la </w:t>
            </w:r>
            <w:r w:rsidRPr="00E85E82">
              <w:rPr>
                <w:i/>
                <w:sz w:val="20"/>
                <w:szCs w:val="20"/>
                <w:lang w:val="fr-CA"/>
              </w:rPr>
              <w:t>Charte</w:t>
            </w:r>
            <w:r w:rsidRPr="00E85E82">
              <w:rPr>
                <w:sz w:val="20"/>
                <w:szCs w:val="20"/>
                <w:lang w:val="fr-CA"/>
              </w:rPr>
              <w:t xml:space="preserve"> et des comportements délictuels d’agents du gouvernement dans l’administration et l’exécution du régime réglementaire. Dans leur déclaration, les demandeurs sollicitaient notamment des dommages-intérêts, une déclaration d’invalidité et le sursis à l’exécution des dispositions de la loi et du règlement.</w:t>
            </w:r>
          </w:p>
          <w:p w:rsidR="00232760" w:rsidRPr="00E85E82" w:rsidRDefault="00232760" w:rsidP="000F56AC">
            <w:pPr>
              <w:jc w:val="both"/>
              <w:rPr>
                <w:rFonts w:cs="Times New Roman"/>
                <w:sz w:val="20"/>
                <w:szCs w:val="20"/>
                <w:u w:val="single"/>
                <w:lang w:val="fr-CA"/>
              </w:rPr>
            </w:pPr>
          </w:p>
        </w:tc>
      </w:tr>
      <w:tr w:rsidR="00232760" w:rsidRPr="00B407D6" w:rsidTr="000F56AC">
        <w:trPr>
          <w:cantSplit/>
        </w:trPr>
        <w:tc>
          <w:tcPr>
            <w:tcW w:w="9576" w:type="dxa"/>
            <w:gridSpan w:val="4"/>
          </w:tcPr>
          <w:p w:rsidR="00232760" w:rsidRPr="00E85E82" w:rsidRDefault="004F6436" w:rsidP="000F56AC">
            <w:pPr>
              <w:pStyle w:val="SCCShortJudgment"/>
              <w:ind w:firstLine="0"/>
              <w:rPr>
                <w:szCs w:val="20"/>
                <w:lang w:val="fr-CA"/>
              </w:rPr>
            </w:pPr>
            <w:r w:rsidRPr="00E85E82">
              <w:rPr>
                <w:szCs w:val="20"/>
                <w:lang w:val="fr-CA"/>
              </w:rPr>
              <w:t>Les intimés ont présenté une requête en vue de faire radier au complet la déclaration ou en vue d’en radier certains paragraphes qui en constituaient l’essentiel, et ils ont présenté une requête en vue de supprimer tous les défendeurs, sauf Sa Majesté la Reine du chef du Canada. La Cour fédérale a radié la demande « conformément aux motifs exposés », a autorisé la modification de la demande dans les 30 jours et a radié les autres défendeurs. Les demandeurs ont interjeté appel du jugement, plaidant que le juge avait eu tort de radier certaines parties de la demande et que les parties qui n’avaient pas été radiées devaient pouvoir suivre leurs cours. Les intimés ont interjeté appel incident sur la question de savoir si la demande au complet avait été radiée. La Cour d’appel fédérale a interprété le jugement de première instance comme radiant au complet la déclaration et elle a rejeté l’appel.</w:t>
            </w:r>
          </w:p>
          <w:p w:rsidR="004F6436" w:rsidRPr="00E85E82" w:rsidRDefault="004F6436" w:rsidP="000F56AC">
            <w:pPr>
              <w:pStyle w:val="SCCShortJudgment"/>
              <w:ind w:firstLine="0"/>
              <w:rPr>
                <w:rFonts w:cs="Times New Roman"/>
                <w:szCs w:val="20"/>
                <w:u w:val="single"/>
                <w:lang w:val="fr-CA"/>
              </w:rPr>
            </w:pPr>
          </w:p>
        </w:tc>
      </w:tr>
      <w:tr w:rsidR="00232760" w:rsidRPr="00B407D6" w:rsidTr="000F56AC">
        <w:trPr>
          <w:cantSplit/>
        </w:trPr>
        <w:tc>
          <w:tcPr>
            <w:tcW w:w="4410" w:type="dxa"/>
            <w:gridSpan w:val="2"/>
          </w:tcPr>
          <w:p w:rsidR="004F6436" w:rsidRPr="00E85E82" w:rsidRDefault="004F6436" w:rsidP="004F6436">
            <w:pPr>
              <w:jc w:val="both"/>
              <w:rPr>
                <w:sz w:val="20"/>
                <w:szCs w:val="20"/>
                <w:lang w:val="fr-CA"/>
              </w:rPr>
            </w:pPr>
            <w:r w:rsidRPr="00E85E82">
              <w:rPr>
                <w:sz w:val="20"/>
                <w:szCs w:val="20"/>
                <w:lang w:val="fr-CA"/>
              </w:rPr>
              <w:t>16 juillet 2014</w:t>
            </w:r>
          </w:p>
          <w:p w:rsidR="004F6436" w:rsidRPr="00E85E82" w:rsidRDefault="004F6436" w:rsidP="004F6436">
            <w:pPr>
              <w:jc w:val="both"/>
              <w:rPr>
                <w:sz w:val="20"/>
                <w:szCs w:val="20"/>
                <w:lang w:val="fr-CA"/>
              </w:rPr>
            </w:pPr>
            <w:r w:rsidRPr="00E85E82">
              <w:rPr>
                <w:sz w:val="20"/>
                <w:szCs w:val="20"/>
                <w:lang w:val="fr-CA"/>
              </w:rPr>
              <w:t xml:space="preserve">Cour fédérale </w:t>
            </w:r>
          </w:p>
          <w:p w:rsidR="004F6436" w:rsidRPr="00E85E82" w:rsidRDefault="004F6436" w:rsidP="004F6436">
            <w:pPr>
              <w:jc w:val="both"/>
              <w:rPr>
                <w:sz w:val="20"/>
                <w:szCs w:val="20"/>
                <w:lang w:val="fr-CA"/>
              </w:rPr>
            </w:pPr>
            <w:r w:rsidRPr="00E85E82">
              <w:rPr>
                <w:sz w:val="20"/>
                <w:szCs w:val="20"/>
                <w:lang w:val="fr-CA"/>
              </w:rPr>
              <w:t>(Juge Russell)</w:t>
            </w:r>
          </w:p>
          <w:p w:rsidR="004F6436" w:rsidRPr="00E85E82" w:rsidRDefault="00B407D6" w:rsidP="004F6436">
            <w:pPr>
              <w:jc w:val="both"/>
              <w:rPr>
                <w:sz w:val="20"/>
                <w:szCs w:val="20"/>
                <w:lang w:val="fr-CA"/>
              </w:rPr>
            </w:pPr>
            <w:hyperlink r:id="rId33" w:history="1">
              <w:r w:rsidR="004F6436" w:rsidRPr="00E85E82">
                <w:rPr>
                  <w:rStyle w:val="Hyperlink"/>
                  <w:sz w:val="20"/>
                  <w:szCs w:val="20"/>
                  <w:lang w:val="fr-CA"/>
                </w:rPr>
                <w:t>2014 FC 708</w:t>
              </w:r>
            </w:hyperlink>
          </w:p>
          <w:p w:rsidR="00232760" w:rsidRPr="00E85E82" w:rsidRDefault="00232760" w:rsidP="004F6436">
            <w:pPr>
              <w:pStyle w:val="SCCShortJudgment"/>
              <w:ind w:firstLine="0"/>
              <w:rPr>
                <w:rFonts w:cs="Times New Roman"/>
                <w:szCs w:val="20"/>
                <w:u w:val="single"/>
                <w:lang w:val="fr-CA"/>
              </w:rPr>
            </w:pPr>
          </w:p>
        </w:tc>
        <w:tc>
          <w:tcPr>
            <w:tcW w:w="630" w:type="dxa"/>
          </w:tcPr>
          <w:p w:rsidR="00232760" w:rsidRPr="00E85E82" w:rsidRDefault="00232760" w:rsidP="004F6436">
            <w:pPr>
              <w:pStyle w:val="SCCShortJudgment"/>
              <w:ind w:firstLine="0"/>
              <w:rPr>
                <w:rFonts w:cs="Times New Roman"/>
                <w:szCs w:val="20"/>
                <w:u w:val="single"/>
                <w:lang w:val="fr-CA"/>
              </w:rPr>
            </w:pPr>
          </w:p>
        </w:tc>
        <w:tc>
          <w:tcPr>
            <w:tcW w:w="4536" w:type="dxa"/>
          </w:tcPr>
          <w:p w:rsidR="004F6436" w:rsidRPr="00E85E82" w:rsidRDefault="004F6436" w:rsidP="004F6436">
            <w:pPr>
              <w:jc w:val="both"/>
              <w:rPr>
                <w:sz w:val="20"/>
                <w:szCs w:val="20"/>
                <w:lang w:val="fr-CA"/>
              </w:rPr>
            </w:pPr>
            <w:r w:rsidRPr="00E85E82">
              <w:rPr>
                <w:sz w:val="20"/>
                <w:szCs w:val="20"/>
                <w:lang w:val="fr-CA"/>
              </w:rPr>
              <w:t xml:space="preserve">Radiation de la demande des demandeurs conformément aux motifs exposés avec autorisation de modifier; radiation de tous les défendeurs sauf Sa Majesté la Reine du chef du Canada; rejet de la requête en sursis </w:t>
            </w:r>
          </w:p>
          <w:p w:rsidR="00232760" w:rsidRPr="00E85E82" w:rsidRDefault="00232760" w:rsidP="004F6436">
            <w:pPr>
              <w:pStyle w:val="SCCShortJudgment"/>
              <w:ind w:firstLine="0"/>
              <w:rPr>
                <w:rFonts w:cs="Times New Roman"/>
                <w:szCs w:val="20"/>
                <w:u w:val="single"/>
                <w:lang w:val="fr-CA"/>
              </w:rPr>
            </w:pPr>
          </w:p>
        </w:tc>
      </w:tr>
      <w:tr w:rsidR="00232760" w:rsidRPr="00B407D6" w:rsidTr="000F56AC">
        <w:trPr>
          <w:cantSplit/>
        </w:trPr>
        <w:tc>
          <w:tcPr>
            <w:tcW w:w="4410" w:type="dxa"/>
            <w:gridSpan w:val="2"/>
          </w:tcPr>
          <w:p w:rsidR="004F6436" w:rsidRPr="00E85E82" w:rsidRDefault="004F6436" w:rsidP="004F6436">
            <w:pPr>
              <w:jc w:val="both"/>
              <w:rPr>
                <w:sz w:val="20"/>
                <w:szCs w:val="20"/>
                <w:lang w:val="fr-CA"/>
              </w:rPr>
            </w:pPr>
            <w:r w:rsidRPr="00E85E82">
              <w:rPr>
                <w:sz w:val="20"/>
                <w:szCs w:val="20"/>
                <w:lang w:val="fr-CA"/>
              </w:rPr>
              <w:t>27 octobre 2015</w:t>
            </w:r>
          </w:p>
          <w:p w:rsidR="004F6436" w:rsidRPr="00E85E82" w:rsidRDefault="004F6436" w:rsidP="004F6436">
            <w:pPr>
              <w:jc w:val="both"/>
              <w:rPr>
                <w:sz w:val="20"/>
                <w:szCs w:val="20"/>
                <w:lang w:val="fr-CA"/>
              </w:rPr>
            </w:pPr>
            <w:r w:rsidRPr="00E85E82">
              <w:rPr>
                <w:sz w:val="20"/>
                <w:szCs w:val="20"/>
                <w:lang w:val="fr-CA"/>
              </w:rPr>
              <w:t xml:space="preserve">Cour d’appel fédérale </w:t>
            </w:r>
          </w:p>
          <w:p w:rsidR="004F6436" w:rsidRPr="00E85E82" w:rsidRDefault="004F6436" w:rsidP="004F6436">
            <w:pPr>
              <w:jc w:val="both"/>
              <w:rPr>
                <w:sz w:val="20"/>
                <w:szCs w:val="20"/>
                <w:lang w:val="fr-CA"/>
              </w:rPr>
            </w:pPr>
            <w:r w:rsidRPr="00E85E82">
              <w:rPr>
                <w:sz w:val="20"/>
                <w:szCs w:val="20"/>
                <w:lang w:val="fr-CA"/>
              </w:rPr>
              <w:t xml:space="preserve">(Juges </w:t>
            </w:r>
            <w:proofErr w:type="spellStart"/>
            <w:r w:rsidRPr="00E85E82">
              <w:rPr>
                <w:sz w:val="20"/>
                <w:szCs w:val="20"/>
                <w:lang w:val="fr-CA"/>
              </w:rPr>
              <w:t>Stratas</w:t>
            </w:r>
            <w:proofErr w:type="spellEnd"/>
            <w:r w:rsidRPr="00E85E82">
              <w:rPr>
                <w:sz w:val="20"/>
                <w:szCs w:val="20"/>
                <w:lang w:val="fr-CA"/>
              </w:rPr>
              <w:t xml:space="preserve">, Rennie et </w:t>
            </w:r>
            <w:proofErr w:type="spellStart"/>
            <w:r w:rsidRPr="00E85E82">
              <w:rPr>
                <w:sz w:val="20"/>
                <w:szCs w:val="20"/>
                <w:lang w:val="fr-CA"/>
              </w:rPr>
              <w:t>Gleason</w:t>
            </w:r>
            <w:proofErr w:type="spellEnd"/>
            <w:r w:rsidRPr="00E85E82">
              <w:rPr>
                <w:sz w:val="20"/>
                <w:szCs w:val="20"/>
                <w:lang w:val="fr-CA"/>
              </w:rPr>
              <w:t>)</w:t>
            </w:r>
          </w:p>
          <w:p w:rsidR="004F6436" w:rsidRPr="00E85E82" w:rsidRDefault="00B407D6" w:rsidP="004F6436">
            <w:pPr>
              <w:jc w:val="both"/>
              <w:rPr>
                <w:sz w:val="20"/>
                <w:szCs w:val="20"/>
                <w:lang w:val="fr-CA"/>
              </w:rPr>
            </w:pPr>
            <w:hyperlink r:id="rId34" w:history="1">
              <w:r w:rsidR="004F6436" w:rsidRPr="00E85E82">
                <w:rPr>
                  <w:rStyle w:val="Hyperlink"/>
                  <w:sz w:val="20"/>
                  <w:szCs w:val="20"/>
                  <w:lang w:val="fr-CA"/>
                </w:rPr>
                <w:t>2015 FCA 227</w:t>
              </w:r>
            </w:hyperlink>
            <w:r w:rsidR="004F6436" w:rsidRPr="00E85E82">
              <w:rPr>
                <w:sz w:val="20"/>
                <w:szCs w:val="20"/>
                <w:lang w:val="fr-CA"/>
              </w:rPr>
              <w:t>; A-365-14</w:t>
            </w:r>
          </w:p>
          <w:p w:rsidR="00232760" w:rsidRPr="00E85E82" w:rsidRDefault="00232760" w:rsidP="004F6436">
            <w:pPr>
              <w:pStyle w:val="SCCShortJudgment"/>
              <w:ind w:firstLine="0"/>
              <w:rPr>
                <w:rFonts w:cs="Times New Roman"/>
                <w:szCs w:val="20"/>
                <w:u w:val="single"/>
                <w:lang w:val="fr-CA"/>
              </w:rPr>
            </w:pPr>
          </w:p>
        </w:tc>
        <w:tc>
          <w:tcPr>
            <w:tcW w:w="630" w:type="dxa"/>
          </w:tcPr>
          <w:p w:rsidR="00232760" w:rsidRPr="00E85E82" w:rsidRDefault="00232760" w:rsidP="004F6436">
            <w:pPr>
              <w:pStyle w:val="SCCShortJudgment"/>
              <w:ind w:firstLine="0"/>
              <w:rPr>
                <w:rFonts w:cs="Times New Roman"/>
                <w:szCs w:val="20"/>
                <w:u w:val="single"/>
                <w:lang w:val="fr-CA"/>
              </w:rPr>
            </w:pPr>
          </w:p>
        </w:tc>
        <w:tc>
          <w:tcPr>
            <w:tcW w:w="4536" w:type="dxa"/>
          </w:tcPr>
          <w:p w:rsidR="004F6436" w:rsidRPr="00E85E82" w:rsidRDefault="004F6436" w:rsidP="004F6436">
            <w:pPr>
              <w:jc w:val="both"/>
              <w:rPr>
                <w:sz w:val="20"/>
                <w:szCs w:val="20"/>
                <w:lang w:val="fr-CA"/>
              </w:rPr>
            </w:pPr>
            <w:r w:rsidRPr="00E85E82">
              <w:rPr>
                <w:sz w:val="20"/>
                <w:szCs w:val="20"/>
                <w:lang w:val="fr-CA"/>
              </w:rPr>
              <w:t>Rejet de l’appel et de l’appel incident</w:t>
            </w:r>
          </w:p>
          <w:p w:rsidR="00232760" w:rsidRPr="00E85E82" w:rsidRDefault="00232760" w:rsidP="004F6436">
            <w:pPr>
              <w:pStyle w:val="SCCShortJudgment"/>
              <w:ind w:firstLine="0"/>
              <w:rPr>
                <w:rFonts w:cs="Times New Roman"/>
                <w:szCs w:val="20"/>
                <w:u w:val="single"/>
                <w:lang w:val="fr-CA"/>
              </w:rPr>
            </w:pPr>
          </w:p>
        </w:tc>
      </w:tr>
      <w:tr w:rsidR="00232760" w:rsidRPr="00B407D6" w:rsidTr="000F56AC">
        <w:trPr>
          <w:cantSplit/>
        </w:trPr>
        <w:tc>
          <w:tcPr>
            <w:tcW w:w="4410" w:type="dxa"/>
            <w:gridSpan w:val="2"/>
          </w:tcPr>
          <w:p w:rsidR="004F6436" w:rsidRPr="00E85E82" w:rsidRDefault="004F6436" w:rsidP="004F6436">
            <w:pPr>
              <w:jc w:val="both"/>
              <w:rPr>
                <w:sz w:val="20"/>
                <w:szCs w:val="20"/>
                <w:lang w:val="fr-CA"/>
              </w:rPr>
            </w:pPr>
            <w:r w:rsidRPr="00E85E82">
              <w:rPr>
                <w:sz w:val="20"/>
                <w:szCs w:val="20"/>
                <w:lang w:val="fr-CA"/>
              </w:rPr>
              <w:t>10 mars 2016</w:t>
            </w:r>
          </w:p>
          <w:p w:rsidR="004F6436" w:rsidRPr="00E85E82" w:rsidRDefault="004F6436" w:rsidP="004F6436">
            <w:pPr>
              <w:jc w:val="both"/>
              <w:rPr>
                <w:sz w:val="20"/>
                <w:szCs w:val="20"/>
                <w:lang w:val="fr-CA"/>
              </w:rPr>
            </w:pPr>
            <w:r w:rsidRPr="00E85E82">
              <w:rPr>
                <w:sz w:val="20"/>
                <w:szCs w:val="20"/>
                <w:lang w:val="fr-CA"/>
              </w:rPr>
              <w:t>Cour suprême du Canada</w:t>
            </w:r>
          </w:p>
          <w:p w:rsidR="00232760" w:rsidRPr="00E85E82" w:rsidRDefault="00232760" w:rsidP="004F6436">
            <w:pPr>
              <w:pStyle w:val="SCCShortJudgment"/>
              <w:ind w:firstLine="0"/>
              <w:rPr>
                <w:rFonts w:cs="Times New Roman"/>
                <w:szCs w:val="20"/>
                <w:u w:val="single"/>
                <w:lang w:val="fr-CA"/>
              </w:rPr>
            </w:pPr>
          </w:p>
        </w:tc>
        <w:tc>
          <w:tcPr>
            <w:tcW w:w="630" w:type="dxa"/>
          </w:tcPr>
          <w:p w:rsidR="00232760" w:rsidRPr="00E85E82" w:rsidRDefault="00232760" w:rsidP="004F6436">
            <w:pPr>
              <w:pStyle w:val="SCCShortJudgment"/>
              <w:ind w:firstLine="0"/>
              <w:rPr>
                <w:rFonts w:cs="Times New Roman"/>
                <w:szCs w:val="20"/>
                <w:u w:val="single"/>
                <w:lang w:val="fr-CA"/>
              </w:rPr>
            </w:pPr>
          </w:p>
        </w:tc>
        <w:tc>
          <w:tcPr>
            <w:tcW w:w="4536" w:type="dxa"/>
          </w:tcPr>
          <w:p w:rsidR="00232760" w:rsidRPr="00E85E82" w:rsidRDefault="004F6436" w:rsidP="004F6436">
            <w:pPr>
              <w:pStyle w:val="SCCShortJudgment"/>
              <w:ind w:firstLine="0"/>
              <w:rPr>
                <w:szCs w:val="20"/>
                <w:lang w:val="fr-CA"/>
              </w:rPr>
            </w:pPr>
            <w:r w:rsidRPr="00E85E82">
              <w:rPr>
                <w:szCs w:val="20"/>
                <w:lang w:val="fr-CA"/>
              </w:rPr>
              <w:t>Dépôt de la requête en prorogation du délai de signification et de dépôt de la demande d’autorisation d’appel et de la demande d’autorisation d’appel</w:t>
            </w:r>
          </w:p>
          <w:p w:rsidR="004E22A8" w:rsidRPr="00E85E82" w:rsidRDefault="004E22A8" w:rsidP="004F6436">
            <w:pPr>
              <w:pStyle w:val="SCCShortJudgment"/>
              <w:ind w:firstLine="0"/>
              <w:rPr>
                <w:rFonts w:cs="Times New Roman"/>
                <w:szCs w:val="20"/>
                <w:u w:val="single"/>
                <w:lang w:val="fr-CA"/>
              </w:rPr>
            </w:pPr>
          </w:p>
        </w:tc>
      </w:tr>
    </w:tbl>
    <w:p w:rsidR="00232760" w:rsidRPr="00E85E82" w:rsidRDefault="00B407D6" w:rsidP="00232760">
      <w:pPr>
        <w:rPr>
          <w:rFonts w:cs="Times New Roman"/>
          <w:sz w:val="20"/>
          <w:szCs w:val="20"/>
          <w:lang w:val="fr-CA"/>
        </w:rPr>
      </w:pPr>
      <w:r>
        <w:rPr>
          <w:rFonts w:cs="Times New Roman"/>
          <w:sz w:val="20"/>
          <w:szCs w:val="20"/>
          <w:lang w:val="fr-CA"/>
        </w:rPr>
        <w:pict>
          <v:rect id="_x0000_i1052" style="width:2in;height:1pt" o:hrpct="0" o:hralign="center" o:hrstd="t" o:hrnoshade="t" o:hr="t" fillcolor="black [3213]" stroked="f"/>
        </w:pict>
      </w:r>
    </w:p>
    <w:p w:rsidR="00232760" w:rsidRPr="00E85E82" w:rsidRDefault="00232760" w:rsidP="0023276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Style w:val="SCCFileNumberChar"/>
                <w:sz w:val="20"/>
                <w:szCs w:val="20"/>
              </w:rPr>
              <w:t>36907</w:t>
            </w:r>
          </w:p>
          <w:p w:rsidR="00232760" w:rsidRPr="00E85E82" w:rsidRDefault="00232760" w:rsidP="000F56AC">
            <w:pPr>
              <w:jc w:val="both"/>
              <w:rPr>
                <w:rFonts w:cs="Times New Roman"/>
                <w:b/>
                <w:sz w:val="20"/>
                <w:szCs w:val="20"/>
              </w:rPr>
            </w:pPr>
          </w:p>
        </w:tc>
        <w:tc>
          <w:tcPr>
            <w:tcW w:w="8118" w:type="dxa"/>
            <w:gridSpan w:val="3"/>
          </w:tcPr>
          <w:p w:rsidR="00232760" w:rsidRPr="00E85E82" w:rsidRDefault="005E0B40" w:rsidP="000F56AC">
            <w:pPr>
              <w:jc w:val="both"/>
              <w:rPr>
                <w:rFonts w:cs="Times New Roman"/>
                <w:sz w:val="20"/>
                <w:szCs w:val="20"/>
              </w:rPr>
            </w:pPr>
            <w:r w:rsidRPr="00E85E82">
              <w:rPr>
                <w:rStyle w:val="SCCLsocChar"/>
                <w:rFonts w:cs="Times New Roman"/>
                <w:sz w:val="20"/>
                <w:szCs w:val="20"/>
                <w:lang w:val="en-CA"/>
              </w:rPr>
              <w:t xml:space="preserve">Rogers Communications Canada Inc. (formerly known as Rogers Communications Partnership), Telus Communications Company, Bell Mobility Inc. and </w:t>
            </w:r>
            <w:proofErr w:type="spellStart"/>
            <w:r w:rsidRPr="00E85E82">
              <w:rPr>
                <w:rStyle w:val="SCCLsocChar"/>
                <w:rFonts w:cs="Times New Roman"/>
                <w:sz w:val="20"/>
                <w:szCs w:val="20"/>
                <w:lang w:val="en-CA"/>
              </w:rPr>
              <w:t>Québecor</w:t>
            </w:r>
            <w:proofErr w:type="spellEnd"/>
            <w:r w:rsidRPr="00E85E82">
              <w:rPr>
                <w:rStyle w:val="SCCLsocChar"/>
                <w:rFonts w:cs="Times New Roman"/>
                <w:sz w:val="20"/>
                <w:szCs w:val="20"/>
                <w:lang w:val="en-CA"/>
              </w:rPr>
              <w:t xml:space="preserve"> Media Inc. v. Society of Composers, Authors, and Music Publishers of Canada (a.k.a. SOCAN)</w:t>
            </w:r>
            <w:r w:rsidRPr="00E85E82">
              <w:rPr>
                <w:rStyle w:val="SCCLsocChar"/>
                <w:rFonts w:cs="Times New Roman"/>
                <w:b w:val="0"/>
                <w:sz w:val="20"/>
                <w:szCs w:val="20"/>
                <w:u w:val="none"/>
                <w:lang w:val="en-CA"/>
              </w:rPr>
              <w:t xml:space="preserve"> </w:t>
            </w:r>
            <w:r w:rsidR="00264065" w:rsidRPr="00E85E82">
              <w:rPr>
                <w:sz w:val="20"/>
                <w:szCs w:val="20"/>
              </w:rPr>
              <w:t>(F.C.) (Civil) (By Leave)</w:t>
            </w:r>
          </w:p>
          <w:p w:rsidR="00232760" w:rsidRPr="00E85E82" w:rsidRDefault="00232760" w:rsidP="000F56AC">
            <w:pPr>
              <w:jc w:val="both"/>
              <w:rPr>
                <w:rFonts w:cs="Times New Roman"/>
                <w:sz w:val="20"/>
                <w:szCs w:val="20"/>
              </w:rPr>
            </w:pPr>
          </w:p>
        </w:tc>
      </w:tr>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Fonts w:cs="Times New Roman"/>
                <w:sz w:val="20"/>
                <w:szCs w:val="20"/>
              </w:rPr>
              <w:t>Coram :</w:t>
            </w:r>
          </w:p>
        </w:tc>
        <w:tc>
          <w:tcPr>
            <w:tcW w:w="8118" w:type="dxa"/>
            <w:gridSpan w:val="3"/>
          </w:tcPr>
          <w:p w:rsidR="00232760" w:rsidRPr="00E85E82" w:rsidRDefault="00232760" w:rsidP="000F56AC">
            <w:pPr>
              <w:jc w:val="both"/>
              <w:rPr>
                <w:rStyle w:val="SCCCoramChar"/>
                <w:sz w:val="20"/>
                <w:szCs w:val="20"/>
                <w:lang w:val="en-CA"/>
              </w:rPr>
            </w:pPr>
            <w:r w:rsidRPr="00E85E82">
              <w:rPr>
                <w:rStyle w:val="SCCCoramChar"/>
                <w:sz w:val="20"/>
                <w:szCs w:val="20"/>
                <w:lang w:val="en-CA"/>
              </w:rPr>
              <w:t>McLachlin C.J. and Moldaver and Gascon JJ.</w:t>
            </w:r>
          </w:p>
          <w:p w:rsidR="00232760" w:rsidRPr="00E85E82" w:rsidRDefault="00232760" w:rsidP="000F56AC">
            <w:pPr>
              <w:jc w:val="both"/>
              <w:rPr>
                <w:rFonts w:cs="Times New Roman"/>
                <w:sz w:val="20"/>
                <w:szCs w:val="20"/>
                <w:u w:val="single"/>
              </w:rPr>
            </w:pPr>
          </w:p>
        </w:tc>
      </w:tr>
      <w:tr w:rsidR="00232760" w:rsidRPr="00B407D6" w:rsidTr="000F56AC">
        <w:trPr>
          <w:cantSplit/>
        </w:trPr>
        <w:tc>
          <w:tcPr>
            <w:tcW w:w="9576" w:type="dxa"/>
            <w:gridSpan w:val="4"/>
          </w:tcPr>
          <w:p w:rsidR="00FE4B3D" w:rsidRPr="00E85E82" w:rsidRDefault="00FE4B3D" w:rsidP="00FE4B3D">
            <w:pPr>
              <w:pStyle w:val="SCCShortJudgment"/>
            </w:pPr>
            <w:r w:rsidRPr="00E85E82">
              <w:t>The application for leave to appeal from the judgment of the Federal Court of Appeal, Number A-141-15, 2016 FCA 28, dated January 27, 2016, is dismissed with costs.</w:t>
            </w:r>
          </w:p>
          <w:p w:rsidR="00FE4B3D" w:rsidRPr="00E85E82" w:rsidRDefault="00FE4B3D" w:rsidP="00FE4B3D">
            <w:pPr>
              <w:pStyle w:val="SCCShortJudgment"/>
              <w:ind w:firstLine="0"/>
            </w:pPr>
          </w:p>
          <w:p w:rsidR="00FE4B3D" w:rsidRPr="00C556BB" w:rsidRDefault="00FE4B3D" w:rsidP="00FE4B3D">
            <w:pPr>
              <w:pStyle w:val="SCCShortJudgment"/>
              <w:rPr>
                <w:lang w:val="fr-CA"/>
              </w:rPr>
            </w:pPr>
            <w:r w:rsidRPr="00C556BB">
              <w:rPr>
                <w:lang w:val="fr-CA"/>
              </w:rPr>
              <w:t>La demande d’autorisation d’appel de l’arrêt de la Cour d’appel fédérale, numéro A-141-15, 2016 FCA 28, daté du 27 janvier 2016, est rejetée avec dépens.</w:t>
            </w:r>
          </w:p>
          <w:p w:rsidR="00232760" w:rsidRPr="00E85E82" w:rsidRDefault="00232760" w:rsidP="000F56AC">
            <w:pPr>
              <w:pStyle w:val="SCCShortJudgment"/>
              <w:ind w:firstLine="0"/>
              <w:rPr>
                <w:rFonts w:cs="Times New Roman"/>
                <w:szCs w:val="20"/>
                <w:lang w:val="fr-CA"/>
              </w:rPr>
            </w:pPr>
          </w:p>
        </w:tc>
      </w:tr>
      <w:tr w:rsidR="00232760" w:rsidRPr="00E85E82" w:rsidTr="000F56AC">
        <w:trPr>
          <w:cantSplit/>
        </w:trPr>
        <w:tc>
          <w:tcPr>
            <w:tcW w:w="9576" w:type="dxa"/>
            <w:gridSpan w:val="4"/>
          </w:tcPr>
          <w:p w:rsidR="00232760" w:rsidRPr="00E85E82" w:rsidRDefault="00232760" w:rsidP="000F56AC">
            <w:pPr>
              <w:pStyle w:val="SCCShortJudgment"/>
              <w:ind w:firstLine="0"/>
              <w:rPr>
                <w:rFonts w:cs="Times New Roman"/>
                <w:szCs w:val="20"/>
                <w:u w:val="single"/>
                <w:lang w:val="fr-CA"/>
              </w:rPr>
            </w:pPr>
            <w:r w:rsidRPr="00E85E82">
              <w:rPr>
                <w:rFonts w:cs="Times New Roman"/>
                <w:szCs w:val="20"/>
                <w:u w:val="single"/>
                <w:lang w:val="fr-CA"/>
              </w:rPr>
              <w:t>CASE SUMMARY</w:t>
            </w:r>
          </w:p>
          <w:p w:rsidR="00232760" w:rsidRPr="00E85E82" w:rsidRDefault="00232760" w:rsidP="000F56AC">
            <w:pPr>
              <w:pStyle w:val="SCCShortJudgment"/>
              <w:ind w:firstLine="0"/>
              <w:rPr>
                <w:rFonts w:cs="Times New Roman"/>
                <w:szCs w:val="20"/>
                <w:u w:val="single"/>
                <w:lang w:val="fr-CA"/>
              </w:rPr>
            </w:pPr>
          </w:p>
        </w:tc>
      </w:tr>
      <w:tr w:rsidR="00232760" w:rsidRPr="00E85E82" w:rsidTr="000F56AC">
        <w:trPr>
          <w:cantSplit/>
        </w:trPr>
        <w:tc>
          <w:tcPr>
            <w:tcW w:w="9576" w:type="dxa"/>
            <w:gridSpan w:val="4"/>
          </w:tcPr>
          <w:p w:rsidR="00232760" w:rsidRPr="00E85E82" w:rsidRDefault="00264065" w:rsidP="000F56AC">
            <w:pPr>
              <w:pStyle w:val="SCCShortJudgment"/>
              <w:ind w:firstLine="0"/>
              <w:rPr>
                <w:szCs w:val="20"/>
              </w:rPr>
            </w:pPr>
            <w:r w:rsidRPr="00E85E82">
              <w:rPr>
                <w:szCs w:val="20"/>
              </w:rPr>
              <w:t xml:space="preserve">Courts – Appeal – </w:t>
            </w:r>
            <w:r w:rsidRPr="00E85E82">
              <w:rPr>
                <w:i/>
                <w:szCs w:val="20"/>
              </w:rPr>
              <w:t>Res Judicata</w:t>
            </w:r>
            <w:r w:rsidRPr="00E85E82">
              <w:rPr>
                <w:szCs w:val="20"/>
              </w:rPr>
              <w:t xml:space="preserve"> – Administrative law – Estoppel – Intellectual property – Copyright – Tariffs – Applicants unsuccessfully challenging certification of initial Tariff 24 which treats the downloading of ringtones to cellphones as communications to the public by telecommunication – After subsequent case law determined that downloads do not constitute communication to the public, the applicants sought to recover royalty amounts paid under Tariff 24 – Appellate court holding that doctrine of </w:t>
            </w:r>
            <w:r w:rsidRPr="00E85E82">
              <w:rPr>
                <w:i/>
                <w:szCs w:val="20"/>
              </w:rPr>
              <w:t>res judicata</w:t>
            </w:r>
            <w:r w:rsidRPr="00E85E82">
              <w:rPr>
                <w:szCs w:val="20"/>
              </w:rPr>
              <w:t xml:space="preserve"> applied to bar claim – </w:t>
            </w:r>
            <w:r w:rsidRPr="00E85E82">
              <w:rPr>
                <w:rFonts w:cs="Times New Roman"/>
                <w:szCs w:val="20"/>
              </w:rPr>
              <w:t xml:space="preserve">Do this Court’s decisions have legal effect on prior cases, by operation of the </w:t>
            </w:r>
            <w:proofErr w:type="spellStart"/>
            <w:r w:rsidRPr="00E85E82">
              <w:rPr>
                <w:rFonts w:cs="Times New Roman"/>
                <w:szCs w:val="20"/>
              </w:rPr>
              <w:t>Blackstonian</w:t>
            </w:r>
            <w:proofErr w:type="spellEnd"/>
            <w:r w:rsidRPr="00E85E82">
              <w:rPr>
                <w:rFonts w:cs="Times New Roman"/>
                <w:szCs w:val="20"/>
              </w:rPr>
              <w:t xml:space="preserve"> doctrine or otherwise, and if so, does the doctrine of </w:t>
            </w:r>
            <w:r w:rsidRPr="00E85E82">
              <w:rPr>
                <w:rFonts w:cs="Times New Roman"/>
                <w:i/>
                <w:szCs w:val="20"/>
              </w:rPr>
              <w:t>res judicata</w:t>
            </w:r>
            <w:r w:rsidRPr="00E85E82">
              <w:rPr>
                <w:rFonts w:cs="Times New Roman"/>
                <w:szCs w:val="20"/>
              </w:rPr>
              <w:t xml:space="preserve"> bar the operation of the </w:t>
            </w:r>
            <w:proofErr w:type="spellStart"/>
            <w:r w:rsidRPr="00E85E82">
              <w:rPr>
                <w:rFonts w:cs="Times New Roman"/>
                <w:szCs w:val="20"/>
              </w:rPr>
              <w:t>Blackstonian</w:t>
            </w:r>
            <w:proofErr w:type="spellEnd"/>
            <w:r w:rsidRPr="00E85E82">
              <w:rPr>
                <w:rFonts w:cs="Times New Roman"/>
                <w:szCs w:val="20"/>
              </w:rPr>
              <w:t xml:space="preserve"> doctrine or the availability of restitution</w:t>
            </w:r>
            <w:r w:rsidRPr="00E85E82">
              <w:rPr>
                <w:szCs w:val="20"/>
              </w:rPr>
              <w:t xml:space="preserve"> – </w:t>
            </w:r>
            <w:r w:rsidRPr="00E85E82">
              <w:rPr>
                <w:rFonts w:cs="Times New Roman"/>
                <w:szCs w:val="20"/>
              </w:rPr>
              <w:t xml:space="preserve">Does a Supreme Court decision on the jurisdiction of a tribunal render </w:t>
            </w:r>
            <w:r w:rsidRPr="00E85E82">
              <w:rPr>
                <w:rFonts w:cs="Times New Roman"/>
                <w:i/>
                <w:szCs w:val="20"/>
              </w:rPr>
              <w:t>ultra vires</w:t>
            </w:r>
            <w:r w:rsidRPr="00E85E82">
              <w:rPr>
                <w:rFonts w:cs="Times New Roman"/>
                <w:szCs w:val="20"/>
              </w:rPr>
              <w:t xml:space="preserve"> that tribunal’s former determinations, which were made on the basis of the same, now known to be erroneous, interpretation of its enabling statute</w:t>
            </w:r>
            <w:r w:rsidRPr="00E85E82">
              <w:rPr>
                <w:szCs w:val="20"/>
              </w:rPr>
              <w:t xml:space="preserve"> – </w:t>
            </w:r>
            <w:r w:rsidRPr="00E85E82">
              <w:rPr>
                <w:rFonts w:cs="Times New Roman"/>
                <w:szCs w:val="20"/>
              </w:rPr>
              <w:t xml:space="preserve">Can an erroneous, </w:t>
            </w:r>
            <w:r w:rsidRPr="00E85E82">
              <w:rPr>
                <w:rFonts w:cs="Times New Roman"/>
                <w:i/>
                <w:szCs w:val="20"/>
              </w:rPr>
              <w:t>ultra vires</w:t>
            </w:r>
            <w:r w:rsidRPr="00E85E82">
              <w:rPr>
                <w:rFonts w:cs="Times New Roman"/>
                <w:szCs w:val="20"/>
              </w:rPr>
              <w:t xml:space="preserve"> determination of a tribunal form the basis of </w:t>
            </w:r>
            <w:r w:rsidRPr="00E85E82">
              <w:rPr>
                <w:rFonts w:cs="Times New Roman"/>
                <w:i/>
                <w:szCs w:val="20"/>
              </w:rPr>
              <w:t>res judicata</w:t>
            </w:r>
            <w:r w:rsidRPr="00E85E82">
              <w:rPr>
                <w:szCs w:val="20"/>
              </w:rPr>
              <w:t xml:space="preserve"> (issue estoppel) – </w:t>
            </w:r>
            <w:r w:rsidRPr="00E85E82">
              <w:rPr>
                <w:i/>
                <w:szCs w:val="20"/>
              </w:rPr>
              <w:t>Copyright Act</w:t>
            </w:r>
            <w:r w:rsidRPr="00E85E82">
              <w:rPr>
                <w:szCs w:val="20"/>
              </w:rPr>
              <w:t xml:space="preserve">, R.S.C. 1985, c. C-42, ss. 3(1)(f) and 66.52 – </w:t>
            </w:r>
            <w:r w:rsidRPr="00E85E82">
              <w:rPr>
                <w:i/>
                <w:szCs w:val="20"/>
              </w:rPr>
              <w:t>Entertainment Software Association v. Society of Composers, Authors and Music Publishers of Canada</w:t>
            </w:r>
            <w:r w:rsidRPr="00E85E82">
              <w:rPr>
                <w:szCs w:val="20"/>
              </w:rPr>
              <w:t xml:space="preserve">, 2012 SCC 34, [2012] 2 S.C.R. 231– </w:t>
            </w:r>
            <w:r w:rsidRPr="00E85E82">
              <w:rPr>
                <w:i/>
                <w:szCs w:val="20"/>
              </w:rPr>
              <w:t>Rogers Communications Inc. v. Society of Composers, Authors and Music Publishers of Canada</w:t>
            </w:r>
            <w:r w:rsidRPr="00E85E82">
              <w:rPr>
                <w:szCs w:val="20"/>
              </w:rPr>
              <w:t>, 2012 SCC 35, [2012] 2 S.C.R. 283.</w:t>
            </w:r>
          </w:p>
          <w:p w:rsidR="00264065" w:rsidRPr="00E85E82" w:rsidRDefault="00264065" w:rsidP="000F56AC">
            <w:pPr>
              <w:pStyle w:val="SCCShortJudgment"/>
              <w:ind w:firstLine="0"/>
              <w:rPr>
                <w:rFonts w:cs="Times New Roman"/>
                <w:szCs w:val="20"/>
              </w:rPr>
            </w:pPr>
          </w:p>
        </w:tc>
      </w:tr>
      <w:tr w:rsidR="00232760" w:rsidRPr="00E85E82" w:rsidTr="000F56AC">
        <w:trPr>
          <w:cantSplit/>
        </w:trPr>
        <w:tc>
          <w:tcPr>
            <w:tcW w:w="9576" w:type="dxa"/>
            <w:gridSpan w:val="4"/>
          </w:tcPr>
          <w:p w:rsidR="00264065" w:rsidRPr="00E85E82" w:rsidRDefault="00264065" w:rsidP="00264065">
            <w:pPr>
              <w:jc w:val="both"/>
              <w:rPr>
                <w:sz w:val="20"/>
                <w:szCs w:val="20"/>
              </w:rPr>
            </w:pPr>
            <w:r w:rsidRPr="00E85E82">
              <w:rPr>
                <w:sz w:val="20"/>
                <w:szCs w:val="20"/>
              </w:rPr>
              <w:t xml:space="preserve">The applicants are providers of mobile telecommunication services and sell ringtones to customers as part of their business. At issue are the portions of musical works downloaded from a wireless carrier to a customer’s cellphone and stored in its memory for use as ringtones. The respondent collects, administers and distributes royalties collected for public performances of musical works on behalf of creators. The applicants unsuccessfully challenging certification of the initial Tariff 24, which treats the downloading of ringtones to cellphones as communications to the public by telecommunication. Subsequent decisions of the Supreme Court of Canada determined that downloads do not constitute communication to the public by telecommunication. After bringing an unsuccessful application before the Copyright Board of Canada to vary Tariff 24, the applicants commenced an action in Federal Court seeking an order declaring either that Tariff 24 is invalid in respect of ringtones, or outside the jurisdiction of the Board to certify. They sought to recover amounts paid to the respondent as royalties under Tariff 24 from November 2006 to July 2012. The respondent filed a defense and counterclaim seeking the payment of royalties the applicants had refused to pay.  </w:t>
            </w:r>
          </w:p>
          <w:p w:rsidR="00232760" w:rsidRPr="00E85E82" w:rsidRDefault="00232760" w:rsidP="000F56AC">
            <w:pPr>
              <w:pStyle w:val="SCCShortJudgment"/>
              <w:ind w:firstLine="0"/>
              <w:rPr>
                <w:rFonts w:cs="Times New Roman"/>
                <w:szCs w:val="20"/>
              </w:rPr>
            </w:pPr>
          </w:p>
        </w:tc>
      </w:tr>
      <w:tr w:rsidR="00232760" w:rsidRPr="00E85E82" w:rsidTr="00C556BB">
        <w:tc>
          <w:tcPr>
            <w:tcW w:w="9576" w:type="dxa"/>
            <w:gridSpan w:val="4"/>
          </w:tcPr>
          <w:p w:rsidR="00232760" w:rsidRPr="00E85E82" w:rsidRDefault="00264065" w:rsidP="000F56AC">
            <w:pPr>
              <w:pStyle w:val="SCCShortJudgment"/>
              <w:ind w:firstLine="0"/>
              <w:rPr>
                <w:szCs w:val="20"/>
              </w:rPr>
            </w:pPr>
            <w:r w:rsidRPr="00E85E82">
              <w:rPr>
                <w:szCs w:val="20"/>
              </w:rPr>
              <w:t xml:space="preserve">On a consent motion, the Federal Court ordered the pre-trial determination of six questions of law. Two questions are of relevance to this leave application. First, the Federal Court determined that the claim was not barred by </w:t>
            </w:r>
            <w:r w:rsidRPr="00E85E82">
              <w:rPr>
                <w:i/>
                <w:szCs w:val="20"/>
              </w:rPr>
              <w:t>res judicata</w:t>
            </w:r>
            <w:r w:rsidRPr="00E85E82">
              <w:rPr>
                <w:szCs w:val="20"/>
              </w:rPr>
              <w:t xml:space="preserve"> because the earlier decision had not been final so as to evoke issue or cause of action estoppel. This determination was reversed by the Federal Court of Appeal. Second, the Federal Court determined that the Copyright Board had the jurisdiction to certify the disputed Tariff 24. This was confirmed on appeal.</w:t>
            </w:r>
          </w:p>
          <w:p w:rsidR="00264065" w:rsidRPr="00E85E82" w:rsidRDefault="00264065" w:rsidP="000F56AC">
            <w:pPr>
              <w:pStyle w:val="SCCShortJudgment"/>
              <w:ind w:firstLine="0"/>
              <w:rPr>
                <w:rFonts w:cs="Times New Roman"/>
                <w:szCs w:val="20"/>
              </w:rPr>
            </w:pPr>
          </w:p>
        </w:tc>
      </w:tr>
      <w:tr w:rsidR="00232760" w:rsidRPr="00E85E82" w:rsidTr="000F56AC">
        <w:trPr>
          <w:cantSplit/>
        </w:trPr>
        <w:tc>
          <w:tcPr>
            <w:tcW w:w="4410" w:type="dxa"/>
            <w:gridSpan w:val="2"/>
          </w:tcPr>
          <w:p w:rsidR="00264065" w:rsidRPr="00E85E82" w:rsidRDefault="00264065" w:rsidP="00264065">
            <w:pPr>
              <w:rPr>
                <w:sz w:val="20"/>
                <w:szCs w:val="20"/>
              </w:rPr>
            </w:pPr>
            <w:r w:rsidRPr="00E85E82">
              <w:rPr>
                <w:sz w:val="20"/>
                <w:szCs w:val="20"/>
              </w:rPr>
              <w:t>March 6, 2015</w:t>
            </w:r>
          </w:p>
          <w:p w:rsidR="00264065" w:rsidRPr="00E85E82" w:rsidRDefault="00264065" w:rsidP="00264065">
            <w:pPr>
              <w:rPr>
                <w:sz w:val="20"/>
                <w:szCs w:val="20"/>
              </w:rPr>
            </w:pPr>
            <w:r w:rsidRPr="00E85E82">
              <w:rPr>
                <w:sz w:val="20"/>
                <w:szCs w:val="20"/>
              </w:rPr>
              <w:t>Federal Court</w:t>
            </w:r>
          </w:p>
          <w:p w:rsidR="00264065" w:rsidRPr="00E85E82" w:rsidRDefault="00264065" w:rsidP="00264065">
            <w:pPr>
              <w:rPr>
                <w:sz w:val="20"/>
                <w:szCs w:val="20"/>
              </w:rPr>
            </w:pPr>
            <w:r w:rsidRPr="00E85E82">
              <w:rPr>
                <w:sz w:val="20"/>
                <w:szCs w:val="20"/>
              </w:rPr>
              <w:t>(O'Reilly J.)</w:t>
            </w:r>
          </w:p>
          <w:p w:rsidR="00264065" w:rsidRPr="00E85E82" w:rsidRDefault="00B407D6" w:rsidP="00264065">
            <w:pPr>
              <w:rPr>
                <w:sz w:val="20"/>
                <w:szCs w:val="20"/>
              </w:rPr>
            </w:pPr>
            <w:hyperlink r:id="rId35" w:history="1">
              <w:r w:rsidR="00264065" w:rsidRPr="00E85E82">
                <w:rPr>
                  <w:rStyle w:val="Hyperlink"/>
                  <w:sz w:val="20"/>
                  <w:szCs w:val="20"/>
                </w:rPr>
                <w:t>2015 FC 286</w:t>
              </w:r>
            </w:hyperlink>
          </w:p>
          <w:p w:rsidR="00232760" w:rsidRPr="00E85E82" w:rsidRDefault="00232760" w:rsidP="000F56AC">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232760" w:rsidRPr="00E85E82" w:rsidRDefault="00264065" w:rsidP="000F56AC">
            <w:pPr>
              <w:jc w:val="both"/>
              <w:rPr>
                <w:rFonts w:cs="Times New Roman"/>
                <w:sz w:val="20"/>
                <w:szCs w:val="20"/>
              </w:rPr>
            </w:pPr>
            <w:r w:rsidRPr="00E85E82">
              <w:rPr>
                <w:sz w:val="20"/>
                <w:szCs w:val="20"/>
              </w:rPr>
              <w:t xml:space="preserve">Determination, </w:t>
            </w:r>
            <w:r w:rsidRPr="00E85E82">
              <w:rPr>
                <w:i/>
                <w:sz w:val="20"/>
                <w:szCs w:val="20"/>
              </w:rPr>
              <w:t>inter alia</w:t>
            </w:r>
            <w:r w:rsidRPr="00E85E82">
              <w:rPr>
                <w:sz w:val="20"/>
                <w:szCs w:val="20"/>
              </w:rPr>
              <w:t>, that the Board had jurisdiction to certify Tariff 24 and the applicants’ claim had not been finally decided against them or precluded by agreement</w:t>
            </w:r>
          </w:p>
        </w:tc>
      </w:tr>
      <w:tr w:rsidR="00232760" w:rsidRPr="00E85E82" w:rsidTr="000F56AC">
        <w:trPr>
          <w:cantSplit/>
        </w:trPr>
        <w:tc>
          <w:tcPr>
            <w:tcW w:w="4410" w:type="dxa"/>
            <w:gridSpan w:val="2"/>
          </w:tcPr>
          <w:p w:rsidR="00264065" w:rsidRPr="00E85E82" w:rsidRDefault="00264065" w:rsidP="00264065">
            <w:pPr>
              <w:rPr>
                <w:sz w:val="20"/>
                <w:szCs w:val="20"/>
              </w:rPr>
            </w:pPr>
            <w:r w:rsidRPr="00E85E82">
              <w:rPr>
                <w:sz w:val="20"/>
                <w:szCs w:val="20"/>
              </w:rPr>
              <w:t>January 27, 2016</w:t>
            </w:r>
          </w:p>
          <w:p w:rsidR="00264065" w:rsidRPr="00E85E82" w:rsidRDefault="00264065" w:rsidP="00264065">
            <w:pPr>
              <w:rPr>
                <w:sz w:val="20"/>
                <w:szCs w:val="20"/>
              </w:rPr>
            </w:pPr>
            <w:r w:rsidRPr="00E85E82">
              <w:rPr>
                <w:sz w:val="20"/>
                <w:szCs w:val="20"/>
              </w:rPr>
              <w:t>Federal Court of Appeal</w:t>
            </w:r>
          </w:p>
          <w:p w:rsidR="00264065" w:rsidRPr="00E85E82" w:rsidRDefault="00264065" w:rsidP="00264065">
            <w:pPr>
              <w:rPr>
                <w:sz w:val="20"/>
                <w:szCs w:val="20"/>
              </w:rPr>
            </w:pPr>
            <w:r w:rsidRPr="00E85E82">
              <w:rPr>
                <w:sz w:val="20"/>
                <w:szCs w:val="20"/>
              </w:rPr>
              <w:t>(</w:t>
            </w:r>
            <w:proofErr w:type="spellStart"/>
            <w:r w:rsidRPr="00E85E82">
              <w:rPr>
                <w:sz w:val="20"/>
                <w:szCs w:val="20"/>
              </w:rPr>
              <w:t>Ryer</w:t>
            </w:r>
            <w:proofErr w:type="spellEnd"/>
            <w:r w:rsidRPr="00E85E82">
              <w:rPr>
                <w:sz w:val="20"/>
                <w:szCs w:val="20"/>
              </w:rPr>
              <w:t>, Webb and Near JJ.A.)</w:t>
            </w:r>
          </w:p>
          <w:p w:rsidR="00264065" w:rsidRPr="00E85E82" w:rsidRDefault="00B407D6" w:rsidP="00264065">
            <w:pPr>
              <w:rPr>
                <w:sz w:val="20"/>
                <w:szCs w:val="20"/>
              </w:rPr>
            </w:pPr>
            <w:hyperlink r:id="rId36" w:history="1">
              <w:r w:rsidR="00264065" w:rsidRPr="00E85E82">
                <w:rPr>
                  <w:rStyle w:val="Hyperlink"/>
                  <w:sz w:val="20"/>
                  <w:szCs w:val="20"/>
                </w:rPr>
                <w:t>2016 FCA 28</w:t>
              </w:r>
            </w:hyperlink>
          </w:p>
          <w:p w:rsidR="00232760" w:rsidRPr="00E85E82" w:rsidRDefault="00232760" w:rsidP="000F56AC">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264065" w:rsidRPr="00E85E82" w:rsidRDefault="00264065" w:rsidP="00264065">
            <w:pPr>
              <w:rPr>
                <w:sz w:val="20"/>
                <w:szCs w:val="20"/>
              </w:rPr>
            </w:pPr>
            <w:r w:rsidRPr="00E85E82">
              <w:rPr>
                <w:sz w:val="20"/>
                <w:szCs w:val="20"/>
              </w:rPr>
              <w:t>Appeal and cross-appeal allowed in part</w:t>
            </w:r>
          </w:p>
          <w:p w:rsidR="00232760" w:rsidRPr="00E85E82" w:rsidRDefault="00232760" w:rsidP="000F56AC">
            <w:pPr>
              <w:jc w:val="both"/>
              <w:rPr>
                <w:rFonts w:cs="Times New Roman"/>
                <w:sz w:val="20"/>
                <w:szCs w:val="20"/>
              </w:rPr>
            </w:pPr>
          </w:p>
        </w:tc>
      </w:tr>
      <w:tr w:rsidR="00232760" w:rsidRPr="00E85E82" w:rsidTr="000F56AC">
        <w:trPr>
          <w:cantSplit/>
        </w:trPr>
        <w:tc>
          <w:tcPr>
            <w:tcW w:w="4410" w:type="dxa"/>
            <w:gridSpan w:val="2"/>
          </w:tcPr>
          <w:p w:rsidR="00264065" w:rsidRPr="00E85E82" w:rsidRDefault="00264065" w:rsidP="00264065">
            <w:pPr>
              <w:rPr>
                <w:sz w:val="20"/>
                <w:szCs w:val="20"/>
              </w:rPr>
            </w:pPr>
            <w:r w:rsidRPr="00E85E82">
              <w:rPr>
                <w:sz w:val="20"/>
                <w:szCs w:val="20"/>
              </w:rPr>
              <w:t>March 29, 2016</w:t>
            </w:r>
          </w:p>
          <w:p w:rsidR="00264065" w:rsidRPr="00E85E82" w:rsidRDefault="00264065" w:rsidP="00264065">
            <w:pPr>
              <w:rPr>
                <w:sz w:val="20"/>
                <w:szCs w:val="20"/>
              </w:rPr>
            </w:pPr>
            <w:r w:rsidRPr="00E85E82">
              <w:rPr>
                <w:sz w:val="20"/>
                <w:szCs w:val="20"/>
              </w:rPr>
              <w:t>Supreme Court of Canada</w:t>
            </w:r>
          </w:p>
          <w:p w:rsidR="00232760" w:rsidRPr="00E85E82" w:rsidRDefault="00232760" w:rsidP="000F56AC">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264065" w:rsidRPr="00E85E82" w:rsidRDefault="00264065" w:rsidP="00264065">
            <w:pPr>
              <w:rPr>
                <w:sz w:val="20"/>
                <w:szCs w:val="20"/>
              </w:rPr>
            </w:pPr>
            <w:r w:rsidRPr="00E85E82">
              <w:rPr>
                <w:sz w:val="20"/>
                <w:szCs w:val="20"/>
              </w:rPr>
              <w:t>Application for leave to appeal filed</w:t>
            </w:r>
          </w:p>
          <w:p w:rsidR="00232760" w:rsidRPr="00E85E82" w:rsidRDefault="00232760" w:rsidP="000F56AC">
            <w:pPr>
              <w:jc w:val="both"/>
              <w:rPr>
                <w:rFonts w:cs="Times New Roman"/>
                <w:sz w:val="20"/>
                <w:szCs w:val="20"/>
              </w:rPr>
            </w:pPr>
          </w:p>
        </w:tc>
      </w:tr>
      <w:tr w:rsidR="00232760" w:rsidRPr="00E85E82" w:rsidTr="000F56AC">
        <w:trPr>
          <w:cantSplit/>
        </w:trPr>
        <w:tc>
          <w:tcPr>
            <w:tcW w:w="9576" w:type="dxa"/>
            <w:gridSpan w:val="4"/>
          </w:tcPr>
          <w:p w:rsidR="00232760" w:rsidRPr="00E85E82" w:rsidRDefault="00B407D6" w:rsidP="000F56AC">
            <w:pPr>
              <w:pStyle w:val="SCCShortJudgment"/>
              <w:ind w:firstLine="0"/>
              <w:rPr>
                <w:rFonts w:cs="Times New Roman"/>
                <w:szCs w:val="20"/>
                <w:lang w:val="fr-CA"/>
              </w:rPr>
            </w:pPr>
            <w:r>
              <w:rPr>
                <w:rFonts w:cs="Times New Roman"/>
                <w:szCs w:val="20"/>
                <w:lang w:val="fr-CA"/>
              </w:rPr>
              <w:pict>
                <v:rect id="_x0000_i1053" style="width:2in;height:1pt" o:hrpct="0" o:hralign="center" o:hrstd="t" o:hrnoshade="t" o:hr="t" fillcolor="black [3213]" stroked="f"/>
              </w:pict>
            </w:r>
          </w:p>
          <w:p w:rsidR="00232760" w:rsidRPr="00E85E82" w:rsidRDefault="00232760" w:rsidP="000F56AC">
            <w:pPr>
              <w:pStyle w:val="SCCShortJudgment"/>
              <w:ind w:firstLine="0"/>
              <w:rPr>
                <w:rFonts w:cs="Times New Roman"/>
                <w:szCs w:val="20"/>
                <w:lang w:val="fr-CA"/>
              </w:rPr>
            </w:pPr>
          </w:p>
        </w:tc>
      </w:tr>
      <w:tr w:rsidR="00232760" w:rsidRPr="00E85E82" w:rsidTr="000F56AC">
        <w:trPr>
          <w:cantSplit/>
        </w:trPr>
        <w:tc>
          <w:tcPr>
            <w:tcW w:w="9576" w:type="dxa"/>
            <w:gridSpan w:val="4"/>
          </w:tcPr>
          <w:p w:rsidR="00232760" w:rsidRPr="00E85E82" w:rsidRDefault="00232760" w:rsidP="000F56AC">
            <w:pPr>
              <w:pStyle w:val="SCCShortJudgment"/>
              <w:ind w:firstLine="0"/>
              <w:rPr>
                <w:rFonts w:cs="Times New Roman"/>
                <w:szCs w:val="20"/>
                <w:u w:val="single"/>
                <w:lang w:val="fr-CA"/>
              </w:rPr>
            </w:pPr>
            <w:r w:rsidRPr="00E85E82">
              <w:rPr>
                <w:rFonts w:cs="Times New Roman"/>
                <w:szCs w:val="20"/>
                <w:u w:val="single"/>
                <w:lang w:val="fr-CA"/>
              </w:rPr>
              <w:t>RÉSUMÉ DE L’AFFAIRE </w:t>
            </w:r>
          </w:p>
          <w:p w:rsidR="00232760" w:rsidRPr="00E85E82" w:rsidRDefault="00232760" w:rsidP="000F56AC">
            <w:pPr>
              <w:pStyle w:val="SCCShortJudgment"/>
              <w:ind w:firstLine="0"/>
              <w:rPr>
                <w:rFonts w:cs="Times New Roman"/>
                <w:szCs w:val="20"/>
                <w:u w:val="single"/>
                <w:lang w:val="fr-CA"/>
              </w:rPr>
            </w:pPr>
          </w:p>
        </w:tc>
      </w:tr>
      <w:tr w:rsidR="00232760" w:rsidRPr="00B407D6" w:rsidTr="000F56AC">
        <w:trPr>
          <w:cantSplit/>
        </w:trPr>
        <w:tc>
          <w:tcPr>
            <w:tcW w:w="9576" w:type="dxa"/>
            <w:gridSpan w:val="4"/>
          </w:tcPr>
          <w:p w:rsidR="00232760" w:rsidRPr="00E85E82" w:rsidRDefault="00264065" w:rsidP="000F56AC">
            <w:pPr>
              <w:pStyle w:val="SCCShortJudgment"/>
              <w:ind w:firstLine="0"/>
              <w:rPr>
                <w:szCs w:val="20"/>
                <w:lang w:val="fr-CA"/>
              </w:rPr>
            </w:pPr>
            <w:r w:rsidRPr="00E85E82">
              <w:rPr>
                <w:szCs w:val="20"/>
                <w:lang w:val="fr-CA"/>
              </w:rPr>
              <w:t xml:space="preserve">Tribunaux – Appel – Chose jugée – Droit administratif – </w:t>
            </w:r>
            <w:proofErr w:type="spellStart"/>
            <w:r w:rsidRPr="00E85E82">
              <w:rPr>
                <w:szCs w:val="20"/>
                <w:lang w:val="fr-CA"/>
              </w:rPr>
              <w:t>Préclusion</w:t>
            </w:r>
            <w:proofErr w:type="spellEnd"/>
            <w:r w:rsidRPr="00E85E82">
              <w:rPr>
                <w:szCs w:val="20"/>
                <w:lang w:val="fr-CA"/>
              </w:rPr>
              <w:t xml:space="preserve"> – Propriété intellectuelle – Droit d’auteur – Tarifs – Les demanderesses ont été déboutées dans leur contestation de  l’homologation du Tarif 24 initial qui traite le téléchargement de sonneries à des téléphones cellulaires comme une communication au public par télécommunication – Après que la jurisprudence subséquente eut tranché que les téléchargements ne constituaient pas une communication au public, les demanderesses ont cherché à recouvrer les montants des redevances versées au titre du Tarif 24 – La Cour d’appel a statué que la doctrine de l’autorité de la chose jugée s’appliquait pour rendre la demande irrecevable – </w:t>
            </w:r>
            <w:r w:rsidRPr="00E85E82">
              <w:rPr>
                <w:rFonts w:cs="Times New Roman"/>
                <w:szCs w:val="20"/>
                <w:lang w:val="fr-CA"/>
              </w:rPr>
              <w:t xml:space="preserve">Les arrêts de notre Cour ont-ils un effet sur des affaires antérieures, par l’application de la doctrine </w:t>
            </w:r>
            <w:proofErr w:type="spellStart"/>
            <w:r w:rsidRPr="00E85E82">
              <w:rPr>
                <w:rFonts w:cs="Times New Roman"/>
                <w:szCs w:val="20"/>
                <w:lang w:val="fr-CA"/>
              </w:rPr>
              <w:t>blackstonienne</w:t>
            </w:r>
            <w:proofErr w:type="spellEnd"/>
            <w:r w:rsidRPr="00E85E82">
              <w:rPr>
                <w:rFonts w:cs="Times New Roman"/>
                <w:szCs w:val="20"/>
                <w:lang w:val="fr-CA"/>
              </w:rPr>
              <w:t xml:space="preserve"> ou autrement et, dans l’affirmative, la doctrine de l’autorité de la chose jugée rend-elle inapplicable la doctrine </w:t>
            </w:r>
            <w:proofErr w:type="spellStart"/>
            <w:r w:rsidRPr="00E85E82">
              <w:rPr>
                <w:rFonts w:cs="Times New Roman"/>
                <w:szCs w:val="20"/>
                <w:lang w:val="fr-CA"/>
              </w:rPr>
              <w:t>blackstonienne</w:t>
            </w:r>
            <w:proofErr w:type="spellEnd"/>
            <w:r w:rsidRPr="00E85E82">
              <w:rPr>
                <w:rFonts w:cs="Times New Roman"/>
                <w:szCs w:val="20"/>
                <w:lang w:val="fr-CA"/>
              </w:rPr>
              <w:t xml:space="preserve"> ou la possibilité d’obtenir restitution? </w:t>
            </w:r>
            <w:r w:rsidRPr="00E85E82">
              <w:rPr>
                <w:szCs w:val="20"/>
                <w:lang w:val="fr-CA"/>
              </w:rPr>
              <w:t xml:space="preserve">– </w:t>
            </w:r>
            <w:r w:rsidRPr="00E85E82">
              <w:rPr>
                <w:rFonts w:cs="Times New Roman"/>
                <w:szCs w:val="20"/>
                <w:lang w:val="fr-CA"/>
              </w:rPr>
              <w:t xml:space="preserve">Un arrêt de la Cour suprême sur la compétence d’un tribunal administratif rend-il </w:t>
            </w:r>
            <w:r w:rsidRPr="00E85E82">
              <w:rPr>
                <w:rFonts w:cs="Times New Roman"/>
                <w:i/>
                <w:szCs w:val="20"/>
                <w:lang w:val="fr-CA"/>
              </w:rPr>
              <w:t>ultra vires</w:t>
            </w:r>
            <w:r w:rsidRPr="00E85E82">
              <w:rPr>
                <w:rFonts w:cs="Times New Roman"/>
                <w:szCs w:val="20"/>
                <w:lang w:val="fr-CA"/>
              </w:rPr>
              <w:t xml:space="preserve"> les décisions antérieures de ce tribunal, rendues sur le fondement de la même interprétation de sa loi habilitante, une interprétation que l’on sait maintenant erronée? </w:t>
            </w:r>
            <w:r w:rsidRPr="00E85E82">
              <w:rPr>
                <w:szCs w:val="20"/>
                <w:lang w:val="fr-CA"/>
              </w:rPr>
              <w:t xml:space="preserve">– </w:t>
            </w:r>
            <w:r w:rsidRPr="00E85E82">
              <w:rPr>
                <w:rFonts w:cs="Times New Roman"/>
                <w:szCs w:val="20"/>
                <w:lang w:val="fr-CA"/>
              </w:rPr>
              <w:t xml:space="preserve">La décision erronée et </w:t>
            </w:r>
            <w:r w:rsidRPr="00E85E82">
              <w:rPr>
                <w:rFonts w:cs="Times New Roman"/>
                <w:i/>
                <w:szCs w:val="20"/>
                <w:lang w:val="fr-CA"/>
              </w:rPr>
              <w:t>ultra vires</w:t>
            </w:r>
            <w:r w:rsidRPr="00E85E82">
              <w:rPr>
                <w:rFonts w:cs="Times New Roman"/>
                <w:szCs w:val="20"/>
                <w:lang w:val="fr-CA"/>
              </w:rPr>
              <w:t xml:space="preserve"> d’un tribunal administratif peut-elle servir de fondement de l’autorité de la chose jugée </w:t>
            </w:r>
            <w:r w:rsidRPr="00E85E82">
              <w:rPr>
                <w:szCs w:val="20"/>
                <w:lang w:val="fr-CA"/>
              </w:rPr>
              <w:t>(</w:t>
            </w:r>
            <w:proofErr w:type="spellStart"/>
            <w:r w:rsidRPr="00E85E82">
              <w:rPr>
                <w:szCs w:val="20"/>
                <w:lang w:val="fr-CA"/>
              </w:rPr>
              <w:t>préclusion</w:t>
            </w:r>
            <w:proofErr w:type="spellEnd"/>
            <w:r w:rsidRPr="00E85E82">
              <w:rPr>
                <w:szCs w:val="20"/>
                <w:lang w:val="fr-CA"/>
              </w:rPr>
              <w:t xml:space="preserve"> découlant d’une question déjà tranchée)? – </w:t>
            </w:r>
            <w:r w:rsidRPr="00E85E82">
              <w:rPr>
                <w:i/>
                <w:szCs w:val="20"/>
                <w:lang w:val="fr-CA"/>
              </w:rPr>
              <w:t>Loi sur le droit d’auteur</w:t>
            </w:r>
            <w:r w:rsidRPr="00E85E82">
              <w:rPr>
                <w:szCs w:val="20"/>
                <w:lang w:val="fr-CA"/>
              </w:rPr>
              <w:t xml:space="preserve">, L.R.C. 1985, ch. C-42, al. 3(1)f) et art. 66.52 – </w:t>
            </w:r>
            <w:r w:rsidRPr="00E85E82">
              <w:rPr>
                <w:i/>
                <w:szCs w:val="20"/>
                <w:lang w:val="fr-CA"/>
              </w:rPr>
              <w:t>Entertainment Software Association c. Société canadienne des auteurs, compositeurs et éditeurs de musique</w:t>
            </w:r>
            <w:r w:rsidRPr="00E85E82">
              <w:rPr>
                <w:szCs w:val="20"/>
                <w:lang w:val="fr-CA"/>
              </w:rPr>
              <w:t xml:space="preserve">, 2012 CSC 34, [2012] 2 R.C.S. 231 – </w:t>
            </w:r>
            <w:r w:rsidRPr="00E85E82">
              <w:rPr>
                <w:i/>
                <w:szCs w:val="20"/>
                <w:lang w:val="fr-CA"/>
              </w:rPr>
              <w:t>Rogers Communications Inc. c. Société canadienne des auteurs, compositeurs et éditeurs de musique</w:t>
            </w:r>
            <w:r w:rsidRPr="00E85E82">
              <w:rPr>
                <w:szCs w:val="20"/>
                <w:lang w:val="fr-CA"/>
              </w:rPr>
              <w:t>, 2012 CSC 35, [2012] 2 R.C.S. 283.</w:t>
            </w:r>
          </w:p>
          <w:p w:rsidR="00264065" w:rsidRPr="00E85E82" w:rsidRDefault="00264065" w:rsidP="000F56AC">
            <w:pPr>
              <w:pStyle w:val="SCCShortJudgment"/>
              <w:ind w:firstLine="0"/>
              <w:rPr>
                <w:rFonts w:cs="Times New Roman"/>
                <w:szCs w:val="20"/>
                <w:u w:val="single"/>
                <w:lang w:val="fr-CA"/>
              </w:rPr>
            </w:pPr>
          </w:p>
        </w:tc>
      </w:tr>
      <w:tr w:rsidR="00232760" w:rsidRPr="00B407D6" w:rsidTr="000F56AC">
        <w:trPr>
          <w:cantSplit/>
        </w:trPr>
        <w:tc>
          <w:tcPr>
            <w:tcW w:w="9576" w:type="dxa"/>
            <w:gridSpan w:val="4"/>
          </w:tcPr>
          <w:p w:rsidR="00264065" w:rsidRPr="00E85E82" w:rsidRDefault="00264065" w:rsidP="00C556BB">
            <w:pPr>
              <w:jc w:val="both"/>
              <w:rPr>
                <w:sz w:val="20"/>
                <w:szCs w:val="20"/>
                <w:lang w:val="fr-CA"/>
              </w:rPr>
            </w:pPr>
            <w:r w:rsidRPr="00E85E82">
              <w:rPr>
                <w:sz w:val="20"/>
                <w:szCs w:val="20"/>
                <w:lang w:val="fr-CA"/>
              </w:rPr>
              <w:t xml:space="preserve">Les demanderesses sont des fournisseurs de services de télécommunication mobile et vendent des sonneries à leurs clients dans le cadre de leur entreprise. Le litige porte sur les parties des œuvres musicales téléchargées d’un fournisseur de communication sans fil au téléphone cellulaire d’un client et mises en mémoire dans le téléphone pour être utilisées comme sonneries. L’intimée perçoit, gère et répartit, au nom des créateurs, les redevances provenant de représentations publiques d’œuvres musicales. Les demanderesses ont été déboutées dans leur contestation de  l’homologation du Tarif 24 initial qui traite le téléchargement de sonneries à des téléphones cellulaires comme une communication au public par télécommunication. Dans des arrêts subséquents, la Cour suprême du Canada a statué que les téléchargements ne constituaient pas une communication au public par télécommunication. Après avoir été déboutés dans leur demande à la Commission du droit d’auteur du Canada en vue de modifier le Tarif 24, les demanderesses ont intenté une action en Cour fédérale, sollicitant une ordonnance déclarant soit que le Tarif 24 est invalide pour ce qui est des sonneries, soit que la Commission n’a pas compétence pour homologuer. Elles ont cherché à recouvrer les montants versés à l’intimée comme redevances au titre du Tarif 24 de novembre 2006 à juillet 2012. L’intimée a déposé une défense et une demande reconventionnelle, sollicitant le versement des redevances que les demanderesses avaient refusé de payer.  </w:t>
            </w:r>
          </w:p>
          <w:p w:rsidR="00232760" w:rsidRPr="00E85E82" w:rsidRDefault="00232760" w:rsidP="000F56AC">
            <w:pPr>
              <w:jc w:val="both"/>
              <w:rPr>
                <w:rFonts w:cs="Times New Roman"/>
                <w:sz w:val="20"/>
                <w:szCs w:val="20"/>
                <w:u w:val="single"/>
                <w:lang w:val="fr-CA"/>
              </w:rPr>
            </w:pPr>
          </w:p>
        </w:tc>
      </w:tr>
      <w:tr w:rsidR="00232760" w:rsidRPr="00E85E82" w:rsidTr="000F56AC">
        <w:trPr>
          <w:cantSplit/>
        </w:trPr>
        <w:tc>
          <w:tcPr>
            <w:tcW w:w="9576" w:type="dxa"/>
            <w:gridSpan w:val="4"/>
          </w:tcPr>
          <w:p w:rsidR="00232760" w:rsidRPr="00E85E82" w:rsidRDefault="00264065" w:rsidP="000F56AC">
            <w:pPr>
              <w:pStyle w:val="SCCShortJudgment"/>
              <w:ind w:firstLine="0"/>
              <w:rPr>
                <w:szCs w:val="20"/>
                <w:lang w:val="fr-CA"/>
              </w:rPr>
            </w:pPr>
            <w:r w:rsidRPr="00E85E82">
              <w:rPr>
                <w:szCs w:val="20"/>
                <w:lang w:val="fr-CA"/>
              </w:rPr>
              <w:t xml:space="preserve">Sur requête accueillie de consentement, la Cour fédérale a ordonné qu’il soit statué avant l’instruction sur six questions de droit. Deux de ces questions sont pertinentes en ce qui a trait à la présente demande d’autorisation. Premièrement, la Cour fédérale a conclu que la doctrine de l’autorité de la chose jugée ne rendait pas la demande irrecevable, puisque la décision antérieure ne revêtait pas de caractère définitif susceptible de faire entrer en jeu la </w:t>
            </w:r>
            <w:proofErr w:type="spellStart"/>
            <w:r w:rsidRPr="00E85E82">
              <w:rPr>
                <w:szCs w:val="20"/>
                <w:lang w:val="fr-CA"/>
              </w:rPr>
              <w:t>préclusion</w:t>
            </w:r>
            <w:proofErr w:type="spellEnd"/>
            <w:r w:rsidRPr="00E85E82">
              <w:rPr>
                <w:szCs w:val="20"/>
                <w:lang w:val="fr-CA"/>
              </w:rPr>
              <w:t xml:space="preserve"> découlant d’une question déjà tranchée et la </w:t>
            </w:r>
            <w:proofErr w:type="spellStart"/>
            <w:r w:rsidRPr="00E85E82">
              <w:rPr>
                <w:szCs w:val="20"/>
                <w:lang w:val="fr-CA"/>
              </w:rPr>
              <w:t>préclusion</w:t>
            </w:r>
            <w:proofErr w:type="spellEnd"/>
            <w:r w:rsidRPr="00E85E82">
              <w:rPr>
                <w:szCs w:val="20"/>
                <w:lang w:val="fr-CA"/>
              </w:rPr>
              <w:t xml:space="preserve"> fondée sur la cause d’action. La Cour d’appel a infirmé cette conclusion. Deuxièmement, la Cour fédérale a conclu que la Commission du droit d’auteur avait compétence pour homologuer le Tarif 24 contesté. Cette conclusion a été confirmée en appel.</w:t>
            </w:r>
          </w:p>
          <w:p w:rsidR="00264065" w:rsidRPr="00E85E82" w:rsidRDefault="00264065" w:rsidP="000F56AC">
            <w:pPr>
              <w:pStyle w:val="SCCShortJudgment"/>
              <w:ind w:firstLine="0"/>
              <w:rPr>
                <w:rFonts w:cs="Times New Roman"/>
                <w:szCs w:val="20"/>
                <w:u w:val="single"/>
                <w:lang w:val="fr-CA"/>
              </w:rPr>
            </w:pPr>
          </w:p>
        </w:tc>
      </w:tr>
      <w:tr w:rsidR="00232760" w:rsidRPr="00B407D6" w:rsidTr="000F56AC">
        <w:trPr>
          <w:cantSplit/>
        </w:trPr>
        <w:tc>
          <w:tcPr>
            <w:tcW w:w="4410" w:type="dxa"/>
            <w:gridSpan w:val="2"/>
          </w:tcPr>
          <w:p w:rsidR="00264065" w:rsidRPr="00E85E82" w:rsidRDefault="00264065" w:rsidP="00264065">
            <w:pPr>
              <w:rPr>
                <w:sz w:val="20"/>
                <w:szCs w:val="20"/>
                <w:lang w:val="fr-CA"/>
              </w:rPr>
            </w:pPr>
            <w:r w:rsidRPr="00E85E82">
              <w:rPr>
                <w:sz w:val="20"/>
                <w:szCs w:val="20"/>
                <w:lang w:val="fr-CA"/>
              </w:rPr>
              <w:t>6 mars 2015</w:t>
            </w:r>
          </w:p>
          <w:p w:rsidR="00264065" w:rsidRPr="00E85E82" w:rsidRDefault="00264065" w:rsidP="00264065">
            <w:pPr>
              <w:rPr>
                <w:sz w:val="20"/>
                <w:szCs w:val="20"/>
                <w:lang w:val="fr-CA"/>
              </w:rPr>
            </w:pPr>
            <w:r w:rsidRPr="00E85E82">
              <w:rPr>
                <w:sz w:val="20"/>
                <w:szCs w:val="20"/>
                <w:lang w:val="fr-CA"/>
              </w:rPr>
              <w:t>Cour fédérale</w:t>
            </w:r>
          </w:p>
          <w:p w:rsidR="00264065" w:rsidRPr="00E85E82" w:rsidRDefault="00264065" w:rsidP="00264065">
            <w:pPr>
              <w:rPr>
                <w:sz w:val="20"/>
                <w:szCs w:val="20"/>
                <w:lang w:val="fr-CA"/>
              </w:rPr>
            </w:pPr>
            <w:r w:rsidRPr="00E85E82">
              <w:rPr>
                <w:sz w:val="20"/>
                <w:szCs w:val="20"/>
                <w:lang w:val="fr-CA"/>
              </w:rPr>
              <w:t xml:space="preserve">(Juge </w:t>
            </w:r>
            <w:proofErr w:type="spellStart"/>
            <w:r w:rsidRPr="00E85E82">
              <w:rPr>
                <w:sz w:val="20"/>
                <w:szCs w:val="20"/>
                <w:lang w:val="fr-CA"/>
              </w:rPr>
              <w:t>O'Reilly</w:t>
            </w:r>
            <w:proofErr w:type="spellEnd"/>
            <w:r w:rsidRPr="00E85E82">
              <w:rPr>
                <w:sz w:val="20"/>
                <w:szCs w:val="20"/>
                <w:lang w:val="fr-CA"/>
              </w:rPr>
              <w:t>)</w:t>
            </w:r>
          </w:p>
          <w:p w:rsidR="00264065" w:rsidRPr="00E85E82" w:rsidRDefault="00B407D6" w:rsidP="00264065">
            <w:pPr>
              <w:rPr>
                <w:sz w:val="20"/>
                <w:szCs w:val="20"/>
                <w:lang w:val="fr-CA"/>
              </w:rPr>
            </w:pPr>
            <w:hyperlink r:id="rId37" w:history="1">
              <w:r w:rsidR="00264065" w:rsidRPr="00E85E82">
                <w:rPr>
                  <w:rStyle w:val="Hyperlink"/>
                  <w:sz w:val="20"/>
                  <w:szCs w:val="20"/>
                  <w:lang w:val="fr-CA"/>
                </w:rPr>
                <w:t>2015 FC 286</w:t>
              </w:r>
            </w:hyperlink>
          </w:p>
          <w:p w:rsidR="00232760" w:rsidRPr="00E85E82" w:rsidRDefault="00232760" w:rsidP="000F56AC">
            <w:pPr>
              <w:pStyle w:val="SCCShortJudgment"/>
              <w:ind w:firstLine="0"/>
              <w:rPr>
                <w:rFonts w:cs="Times New Roman"/>
                <w:szCs w:val="20"/>
                <w:u w:val="single"/>
                <w:lang w:val="fr-CA"/>
              </w:rPr>
            </w:pPr>
          </w:p>
        </w:tc>
        <w:tc>
          <w:tcPr>
            <w:tcW w:w="630" w:type="dxa"/>
          </w:tcPr>
          <w:p w:rsidR="00232760" w:rsidRPr="00E85E82" w:rsidRDefault="00232760" w:rsidP="000F56AC">
            <w:pPr>
              <w:pStyle w:val="SCCShortJudgment"/>
              <w:ind w:firstLine="0"/>
              <w:rPr>
                <w:rFonts w:cs="Times New Roman"/>
                <w:szCs w:val="20"/>
                <w:u w:val="single"/>
                <w:lang w:val="fr-CA"/>
              </w:rPr>
            </w:pPr>
          </w:p>
        </w:tc>
        <w:tc>
          <w:tcPr>
            <w:tcW w:w="4536" w:type="dxa"/>
          </w:tcPr>
          <w:p w:rsidR="00264065" w:rsidRPr="00E85E82" w:rsidRDefault="00264065" w:rsidP="00264065">
            <w:pPr>
              <w:jc w:val="both"/>
              <w:rPr>
                <w:sz w:val="20"/>
                <w:szCs w:val="20"/>
                <w:lang w:val="fr-CA"/>
              </w:rPr>
            </w:pPr>
            <w:r w:rsidRPr="00E85E82">
              <w:rPr>
                <w:sz w:val="20"/>
                <w:szCs w:val="20"/>
                <w:lang w:val="fr-CA"/>
              </w:rPr>
              <w:t xml:space="preserve">Jugement concluant notamment que la Commission avait compétence pour homologuer le Tarif 24 et que la réclamation des demanderesses n’avait pas fait l’objet d’une décision définitive dans laquelle elles ont été déboutées ou n’étaient pas empêchées par l’accord </w:t>
            </w:r>
          </w:p>
          <w:p w:rsidR="00232760" w:rsidRPr="00E85E82" w:rsidRDefault="00232760" w:rsidP="000F56AC">
            <w:pPr>
              <w:pStyle w:val="SCCShortJudgment"/>
              <w:ind w:firstLine="0"/>
              <w:rPr>
                <w:rFonts w:cs="Times New Roman"/>
                <w:szCs w:val="20"/>
                <w:u w:val="single"/>
                <w:lang w:val="fr-CA"/>
              </w:rPr>
            </w:pPr>
          </w:p>
        </w:tc>
      </w:tr>
      <w:tr w:rsidR="00232760" w:rsidRPr="00B407D6" w:rsidTr="000F56AC">
        <w:trPr>
          <w:cantSplit/>
        </w:trPr>
        <w:tc>
          <w:tcPr>
            <w:tcW w:w="4410" w:type="dxa"/>
            <w:gridSpan w:val="2"/>
          </w:tcPr>
          <w:p w:rsidR="00264065" w:rsidRPr="00E85E82" w:rsidRDefault="00264065" w:rsidP="00264065">
            <w:pPr>
              <w:rPr>
                <w:sz w:val="20"/>
                <w:szCs w:val="20"/>
                <w:lang w:val="fr-CA"/>
              </w:rPr>
            </w:pPr>
            <w:r w:rsidRPr="00E85E82">
              <w:rPr>
                <w:sz w:val="20"/>
                <w:szCs w:val="20"/>
                <w:lang w:val="fr-CA"/>
              </w:rPr>
              <w:t>27 janvier 2016</w:t>
            </w:r>
          </w:p>
          <w:p w:rsidR="00264065" w:rsidRPr="00E85E82" w:rsidRDefault="00264065" w:rsidP="00264065">
            <w:pPr>
              <w:rPr>
                <w:sz w:val="20"/>
                <w:szCs w:val="20"/>
                <w:lang w:val="fr-CA"/>
              </w:rPr>
            </w:pPr>
            <w:r w:rsidRPr="00E85E82">
              <w:rPr>
                <w:sz w:val="20"/>
                <w:szCs w:val="20"/>
                <w:lang w:val="fr-CA"/>
              </w:rPr>
              <w:t>Cour d’appel fédérale</w:t>
            </w:r>
          </w:p>
          <w:p w:rsidR="00264065" w:rsidRPr="00E85E82" w:rsidRDefault="00264065" w:rsidP="00264065">
            <w:pPr>
              <w:rPr>
                <w:sz w:val="20"/>
                <w:szCs w:val="20"/>
                <w:lang w:val="fr-CA"/>
              </w:rPr>
            </w:pPr>
            <w:r w:rsidRPr="00E85E82">
              <w:rPr>
                <w:sz w:val="20"/>
                <w:szCs w:val="20"/>
                <w:lang w:val="fr-CA"/>
              </w:rPr>
              <w:t xml:space="preserve">(Juges </w:t>
            </w:r>
            <w:proofErr w:type="spellStart"/>
            <w:r w:rsidRPr="00E85E82">
              <w:rPr>
                <w:sz w:val="20"/>
                <w:szCs w:val="20"/>
                <w:lang w:val="fr-CA"/>
              </w:rPr>
              <w:t>Ryer</w:t>
            </w:r>
            <w:proofErr w:type="spellEnd"/>
            <w:r w:rsidRPr="00E85E82">
              <w:rPr>
                <w:sz w:val="20"/>
                <w:szCs w:val="20"/>
                <w:lang w:val="fr-CA"/>
              </w:rPr>
              <w:t>, Webb et Near)</w:t>
            </w:r>
          </w:p>
          <w:p w:rsidR="00264065" w:rsidRPr="00E85E82" w:rsidRDefault="00B407D6" w:rsidP="00264065">
            <w:pPr>
              <w:rPr>
                <w:sz w:val="20"/>
                <w:szCs w:val="20"/>
                <w:lang w:val="fr-CA"/>
              </w:rPr>
            </w:pPr>
            <w:hyperlink r:id="rId38" w:history="1">
              <w:r w:rsidR="00264065" w:rsidRPr="00E85E82">
                <w:rPr>
                  <w:rStyle w:val="Hyperlink"/>
                  <w:sz w:val="20"/>
                  <w:szCs w:val="20"/>
                  <w:lang w:val="fr-CA"/>
                </w:rPr>
                <w:t>2016 FCA 28</w:t>
              </w:r>
            </w:hyperlink>
          </w:p>
          <w:p w:rsidR="00232760" w:rsidRPr="00E85E82" w:rsidRDefault="00232760" w:rsidP="000F56AC">
            <w:pPr>
              <w:pStyle w:val="SCCShortJudgment"/>
              <w:ind w:firstLine="0"/>
              <w:rPr>
                <w:rFonts w:cs="Times New Roman"/>
                <w:szCs w:val="20"/>
                <w:u w:val="single"/>
                <w:lang w:val="fr-CA"/>
              </w:rPr>
            </w:pPr>
          </w:p>
        </w:tc>
        <w:tc>
          <w:tcPr>
            <w:tcW w:w="630" w:type="dxa"/>
          </w:tcPr>
          <w:p w:rsidR="00232760" w:rsidRPr="00E85E82" w:rsidRDefault="00232760" w:rsidP="000F56AC">
            <w:pPr>
              <w:pStyle w:val="SCCShortJudgment"/>
              <w:ind w:firstLine="0"/>
              <w:rPr>
                <w:rFonts w:cs="Times New Roman"/>
                <w:szCs w:val="20"/>
                <w:u w:val="single"/>
                <w:lang w:val="fr-CA"/>
              </w:rPr>
            </w:pPr>
          </w:p>
        </w:tc>
        <w:tc>
          <w:tcPr>
            <w:tcW w:w="4536" w:type="dxa"/>
          </w:tcPr>
          <w:p w:rsidR="00264065" w:rsidRPr="00E85E82" w:rsidRDefault="00264065" w:rsidP="00264065">
            <w:pPr>
              <w:rPr>
                <w:sz w:val="20"/>
                <w:szCs w:val="20"/>
                <w:lang w:val="fr-CA"/>
              </w:rPr>
            </w:pPr>
            <w:r w:rsidRPr="00E85E82">
              <w:rPr>
                <w:sz w:val="20"/>
                <w:szCs w:val="20"/>
                <w:lang w:val="fr-CA"/>
              </w:rPr>
              <w:t>Arrêt accueillant en partie l’appel et l’appel incident</w:t>
            </w:r>
          </w:p>
          <w:p w:rsidR="00232760" w:rsidRPr="00E85E82" w:rsidRDefault="00232760" w:rsidP="000F56AC">
            <w:pPr>
              <w:pStyle w:val="SCCShortJudgment"/>
              <w:ind w:firstLine="0"/>
              <w:rPr>
                <w:rFonts w:cs="Times New Roman"/>
                <w:szCs w:val="20"/>
                <w:u w:val="single"/>
                <w:lang w:val="fr-CA"/>
              </w:rPr>
            </w:pPr>
          </w:p>
        </w:tc>
      </w:tr>
      <w:tr w:rsidR="00232760" w:rsidRPr="00B407D6" w:rsidTr="000F56AC">
        <w:trPr>
          <w:cantSplit/>
        </w:trPr>
        <w:tc>
          <w:tcPr>
            <w:tcW w:w="4410" w:type="dxa"/>
            <w:gridSpan w:val="2"/>
          </w:tcPr>
          <w:p w:rsidR="00264065" w:rsidRPr="00E85E82" w:rsidRDefault="00264065" w:rsidP="00264065">
            <w:pPr>
              <w:rPr>
                <w:sz w:val="20"/>
                <w:szCs w:val="20"/>
                <w:lang w:val="fr-CA"/>
              </w:rPr>
            </w:pPr>
            <w:r w:rsidRPr="00E85E82">
              <w:rPr>
                <w:sz w:val="20"/>
                <w:szCs w:val="20"/>
                <w:lang w:val="fr-CA"/>
              </w:rPr>
              <w:t>29 mars 2016</w:t>
            </w:r>
          </w:p>
          <w:p w:rsidR="00264065" w:rsidRPr="00E85E82" w:rsidRDefault="00264065" w:rsidP="00264065">
            <w:pPr>
              <w:rPr>
                <w:sz w:val="20"/>
                <w:szCs w:val="20"/>
                <w:lang w:val="fr-CA"/>
              </w:rPr>
            </w:pPr>
            <w:r w:rsidRPr="00E85E82">
              <w:rPr>
                <w:sz w:val="20"/>
                <w:szCs w:val="20"/>
                <w:lang w:val="fr-CA"/>
              </w:rPr>
              <w:t>Cour suprême du Canada</w:t>
            </w:r>
          </w:p>
          <w:p w:rsidR="00232760" w:rsidRPr="00E85E82" w:rsidRDefault="00232760" w:rsidP="000F56AC">
            <w:pPr>
              <w:pStyle w:val="SCCShortJudgment"/>
              <w:ind w:firstLine="0"/>
              <w:rPr>
                <w:rFonts w:cs="Times New Roman"/>
                <w:szCs w:val="20"/>
                <w:u w:val="single"/>
                <w:lang w:val="fr-CA"/>
              </w:rPr>
            </w:pPr>
          </w:p>
        </w:tc>
        <w:tc>
          <w:tcPr>
            <w:tcW w:w="630" w:type="dxa"/>
          </w:tcPr>
          <w:p w:rsidR="00232760" w:rsidRPr="00E85E82" w:rsidRDefault="00232760" w:rsidP="000F56AC">
            <w:pPr>
              <w:pStyle w:val="SCCShortJudgment"/>
              <w:ind w:firstLine="0"/>
              <w:rPr>
                <w:rFonts w:cs="Times New Roman"/>
                <w:szCs w:val="20"/>
                <w:u w:val="single"/>
                <w:lang w:val="fr-CA"/>
              </w:rPr>
            </w:pPr>
          </w:p>
        </w:tc>
        <w:tc>
          <w:tcPr>
            <w:tcW w:w="4536" w:type="dxa"/>
          </w:tcPr>
          <w:p w:rsidR="00264065" w:rsidRPr="00E85E82" w:rsidRDefault="00264065" w:rsidP="00264065">
            <w:pPr>
              <w:rPr>
                <w:sz w:val="20"/>
                <w:szCs w:val="20"/>
                <w:lang w:val="fr-CA"/>
              </w:rPr>
            </w:pPr>
            <w:r w:rsidRPr="00E85E82">
              <w:rPr>
                <w:sz w:val="20"/>
                <w:szCs w:val="20"/>
                <w:lang w:val="fr-CA"/>
              </w:rPr>
              <w:t>Dépôt de la demande d’autorisation d’appel</w:t>
            </w:r>
          </w:p>
          <w:p w:rsidR="00232760" w:rsidRPr="00E85E82" w:rsidRDefault="00232760" w:rsidP="000F56AC">
            <w:pPr>
              <w:pStyle w:val="SCCShortJudgment"/>
              <w:ind w:firstLine="0"/>
              <w:rPr>
                <w:rFonts w:cs="Times New Roman"/>
                <w:szCs w:val="20"/>
                <w:u w:val="single"/>
                <w:lang w:val="fr-CA"/>
              </w:rPr>
            </w:pPr>
          </w:p>
        </w:tc>
      </w:tr>
    </w:tbl>
    <w:p w:rsidR="00232760" w:rsidRPr="00E85E82" w:rsidRDefault="00B407D6" w:rsidP="00232760">
      <w:pPr>
        <w:rPr>
          <w:rFonts w:cs="Times New Roman"/>
          <w:sz w:val="20"/>
          <w:szCs w:val="20"/>
          <w:lang w:val="fr-CA"/>
        </w:rPr>
      </w:pPr>
      <w:r>
        <w:rPr>
          <w:rFonts w:cs="Times New Roman"/>
          <w:sz w:val="20"/>
          <w:szCs w:val="20"/>
          <w:lang w:val="fr-CA"/>
        </w:rPr>
        <w:pict>
          <v:rect id="_x0000_i1054" style="width:2in;height:1pt" o:hrpct="0" o:hralign="center" o:hrstd="t" o:hrnoshade="t" o:hr="t" fillcolor="black [3213]" stroked="f"/>
        </w:pict>
      </w:r>
    </w:p>
    <w:p w:rsidR="00232760" w:rsidRPr="00E85E82" w:rsidRDefault="00232760" w:rsidP="0023276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Style w:val="SCCFileNumberChar"/>
                <w:sz w:val="20"/>
                <w:szCs w:val="20"/>
              </w:rPr>
              <w:t>36920</w:t>
            </w:r>
          </w:p>
          <w:p w:rsidR="00232760" w:rsidRPr="00E85E82" w:rsidRDefault="00232760" w:rsidP="000F56AC">
            <w:pPr>
              <w:jc w:val="both"/>
              <w:rPr>
                <w:rFonts w:cs="Times New Roman"/>
                <w:b/>
                <w:sz w:val="20"/>
                <w:szCs w:val="20"/>
              </w:rPr>
            </w:pPr>
          </w:p>
        </w:tc>
        <w:tc>
          <w:tcPr>
            <w:tcW w:w="8118" w:type="dxa"/>
            <w:gridSpan w:val="3"/>
          </w:tcPr>
          <w:p w:rsidR="00232760" w:rsidRPr="00E85E82" w:rsidRDefault="000258A8" w:rsidP="000F56AC">
            <w:pPr>
              <w:jc w:val="both"/>
              <w:rPr>
                <w:rFonts w:cs="Times New Roman"/>
                <w:sz w:val="20"/>
                <w:szCs w:val="20"/>
              </w:rPr>
            </w:pPr>
            <w:r w:rsidRPr="00E85E82">
              <w:rPr>
                <w:rStyle w:val="SCCLsocChar"/>
                <w:rFonts w:cs="Times New Roman"/>
                <w:sz w:val="20"/>
                <w:szCs w:val="20"/>
                <w:lang w:val="en-CA"/>
              </w:rPr>
              <w:t xml:space="preserve">James D. Hole, Jack Henry Hole, Harry Bruce Hole, Hole Engineering Ltd., </w:t>
            </w:r>
            <w:proofErr w:type="spellStart"/>
            <w:r w:rsidRPr="00E85E82">
              <w:rPr>
                <w:rStyle w:val="SCCLsocChar"/>
                <w:rFonts w:cs="Times New Roman"/>
                <w:sz w:val="20"/>
                <w:szCs w:val="20"/>
                <w:lang w:val="en-CA"/>
              </w:rPr>
              <w:t>Kessa</w:t>
            </w:r>
            <w:proofErr w:type="spellEnd"/>
            <w:r w:rsidRPr="00E85E82">
              <w:rPr>
                <w:rStyle w:val="SCCLsocChar"/>
                <w:rFonts w:cs="Times New Roman"/>
                <w:sz w:val="20"/>
                <w:szCs w:val="20"/>
                <w:lang w:val="en-CA"/>
              </w:rPr>
              <w:t xml:space="preserve"> Holdings Ltd. and </w:t>
            </w:r>
            <w:proofErr w:type="spellStart"/>
            <w:r w:rsidRPr="00E85E82">
              <w:rPr>
                <w:rStyle w:val="SCCLsocChar"/>
                <w:rFonts w:cs="Times New Roman"/>
                <w:sz w:val="20"/>
                <w:szCs w:val="20"/>
                <w:lang w:val="en-CA"/>
              </w:rPr>
              <w:t>Eloh</w:t>
            </w:r>
            <w:proofErr w:type="spellEnd"/>
            <w:r w:rsidRPr="00E85E82">
              <w:rPr>
                <w:rStyle w:val="SCCLsocChar"/>
                <w:rFonts w:cs="Times New Roman"/>
                <w:sz w:val="20"/>
                <w:szCs w:val="20"/>
                <w:lang w:val="en-CA"/>
              </w:rPr>
              <w:t xml:space="preserve"> Enterprises Ltd. v. James F. Hole and Hole Consultants Ltd.</w:t>
            </w:r>
            <w:r w:rsidR="00232760" w:rsidRPr="00E85E82">
              <w:rPr>
                <w:rStyle w:val="SCCLsocChar"/>
                <w:rFonts w:cs="Times New Roman"/>
                <w:b w:val="0"/>
                <w:sz w:val="20"/>
                <w:szCs w:val="20"/>
                <w:u w:val="none"/>
                <w:lang w:val="en-CA"/>
              </w:rPr>
              <w:t xml:space="preserve"> </w:t>
            </w:r>
            <w:r w:rsidR="00232760" w:rsidRPr="00E85E82">
              <w:rPr>
                <w:rFonts w:cs="Times New Roman"/>
                <w:sz w:val="20"/>
                <w:szCs w:val="20"/>
              </w:rPr>
              <w:t>(</w:t>
            </w:r>
            <w:r w:rsidRPr="00E85E82">
              <w:rPr>
                <w:rFonts w:cs="Times New Roman"/>
                <w:sz w:val="20"/>
                <w:szCs w:val="20"/>
              </w:rPr>
              <w:t>Alta</w:t>
            </w:r>
            <w:r w:rsidR="00232760" w:rsidRPr="00E85E82">
              <w:rPr>
                <w:rFonts w:cs="Times New Roman"/>
                <w:sz w:val="20"/>
                <w:szCs w:val="20"/>
              </w:rPr>
              <w:t>.) (Civil) (By Leave)</w:t>
            </w:r>
          </w:p>
          <w:p w:rsidR="00232760" w:rsidRPr="00E85E82" w:rsidRDefault="00232760" w:rsidP="000F56AC">
            <w:pPr>
              <w:jc w:val="both"/>
              <w:rPr>
                <w:rFonts w:cs="Times New Roman"/>
                <w:sz w:val="20"/>
                <w:szCs w:val="20"/>
              </w:rPr>
            </w:pPr>
          </w:p>
        </w:tc>
      </w:tr>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Fonts w:cs="Times New Roman"/>
                <w:sz w:val="20"/>
                <w:szCs w:val="20"/>
              </w:rPr>
              <w:t>Coram :</w:t>
            </w:r>
          </w:p>
        </w:tc>
        <w:tc>
          <w:tcPr>
            <w:tcW w:w="8118" w:type="dxa"/>
            <w:gridSpan w:val="3"/>
          </w:tcPr>
          <w:p w:rsidR="00232760" w:rsidRPr="00E85E82" w:rsidRDefault="00232760" w:rsidP="000F56AC">
            <w:pPr>
              <w:jc w:val="both"/>
              <w:rPr>
                <w:rStyle w:val="SCCCoramChar"/>
                <w:sz w:val="20"/>
                <w:szCs w:val="20"/>
                <w:lang w:val="en-CA"/>
              </w:rPr>
            </w:pPr>
            <w:r w:rsidRPr="00E85E82">
              <w:rPr>
                <w:rStyle w:val="SCCCoramChar"/>
                <w:sz w:val="20"/>
                <w:szCs w:val="20"/>
                <w:lang w:val="en-CA"/>
              </w:rPr>
              <w:t>McLachlin C.J. and Moldaver and Gascon JJ.</w:t>
            </w:r>
          </w:p>
          <w:p w:rsidR="00232760" w:rsidRPr="00E85E82" w:rsidRDefault="00232760" w:rsidP="000F56AC">
            <w:pPr>
              <w:jc w:val="both"/>
              <w:rPr>
                <w:rFonts w:cs="Times New Roman"/>
                <w:sz w:val="20"/>
                <w:szCs w:val="20"/>
                <w:u w:val="single"/>
              </w:rPr>
            </w:pPr>
          </w:p>
        </w:tc>
      </w:tr>
      <w:tr w:rsidR="00232760" w:rsidRPr="00B407D6" w:rsidTr="000F56AC">
        <w:trPr>
          <w:cantSplit/>
        </w:trPr>
        <w:tc>
          <w:tcPr>
            <w:tcW w:w="9576" w:type="dxa"/>
            <w:gridSpan w:val="4"/>
          </w:tcPr>
          <w:p w:rsidR="001B18EA" w:rsidRPr="00E85E82" w:rsidRDefault="001B18EA" w:rsidP="001B18EA">
            <w:pPr>
              <w:pStyle w:val="SCCShortJudgment"/>
            </w:pPr>
            <w:r w:rsidRPr="00E85E82">
              <w:t>The application for leave to appeal from the judgment of the Court of Appeal of Alberta (Edmonton), Number 1403-0154-AC, 2016 ABCA 34, dated February 8, 2016, is dismissed with costs.</w:t>
            </w:r>
          </w:p>
          <w:p w:rsidR="001B18EA" w:rsidRPr="00E85E82" w:rsidRDefault="001B18EA" w:rsidP="001B18EA">
            <w:pPr>
              <w:pStyle w:val="SCCShortJudgment"/>
              <w:ind w:firstLine="0"/>
            </w:pPr>
          </w:p>
          <w:p w:rsidR="001B18EA" w:rsidRPr="00C556BB" w:rsidRDefault="001B18EA" w:rsidP="001B18EA">
            <w:pPr>
              <w:pStyle w:val="SCCShortJudgment"/>
              <w:rPr>
                <w:lang w:val="fr-CA"/>
              </w:rPr>
            </w:pPr>
            <w:r w:rsidRPr="00C556BB">
              <w:rPr>
                <w:lang w:val="fr-CA"/>
              </w:rPr>
              <w:t>La demande d’autorisation d’appel de l’arrêt de la Cour d’appel de l’Alberta (Edmonton), numéro 1403-0154-AC, 2016 ABCA 34, daté du 8 février 2016, est rejetée avec dépens.</w:t>
            </w:r>
          </w:p>
          <w:p w:rsidR="00232760" w:rsidRPr="00E85E82" w:rsidRDefault="00232760" w:rsidP="000F56AC">
            <w:pPr>
              <w:pStyle w:val="SCCShortJudgment"/>
              <w:ind w:firstLine="0"/>
              <w:rPr>
                <w:rFonts w:cs="Times New Roman"/>
                <w:szCs w:val="20"/>
                <w:lang w:val="fr-CA"/>
              </w:rPr>
            </w:pPr>
          </w:p>
        </w:tc>
      </w:tr>
      <w:tr w:rsidR="00232760" w:rsidRPr="00E85E82" w:rsidTr="000F56AC">
        <w:trPr>
          <w:cantSplit/>
        </w:trPr>
        <w:tc>
          <w:tcPr>
            <w:tcW w:w="9576" w:type="dxa"/>
            <w:gridSpan w:val="4"/>
          </w:tcPr>
          <w:p w:rsidR="00232760" w:rsidRPr="00E85E82" w:rsidRDefault="00232760" w:rsidP="000F56AC">
            <w:pPr>
              <w:pStyle w:val="SCCShortJudgment"/>
              <w:ind w:firstLine="0"/>
              <w:rPr>
                <w:rFonts w:cs="Times New Roman"/>
                <w:szCs w:val="20"/>
                <w:u w:val="single"/>
                <w:lang w:val="fr-CA"/>
              </w:rPr>
            </w:pPr>
            <w:r w:rsidRPr="00E85E82">
              <w:rPr>
                <w:rFonts w:cs="Times New Roman"/>
                <w:szCs w:val="20"/>
                <w:u w:val="single"/>
                <w:lang w:val="fr-CA"/>
              </w:rPr>
              <w:t>CASE SUMMARY</w:t>
            </w:r>
          </w:p>
          <w:p w:rsidR="00232760" w:rsidRPr="00E85E82" w:rsidRDefault="00232760" w:rsidP="000F56AC">
            <w:pPr>
              <w:pStyle w:val="SCCShortJudgment"/>
              <w:ind w:firstLine="0"/>
              <w:rPr>
                <w:rFonts w:cs="Times New Roman"/>
                <w:szCs w:val="20"/>
                <w:u w:val="single"/>
                <w:lang w:val="fr-CA"/>
              </w:rPr>
            </w:pPr>
          </w:p>
        </w:tc>
      </w:tr>
      <w:tr w:rsidR="00232760" w:rsidRPr="00E85E82" w:rsidTr="000F56AC">
        <w:trPr>
          <w:cantSplit/>
        </w:trPr>
        <w:tc>
          <w:tcPr>
            <w:tcW w:w="9576" w:type="dxa"/>
            <w:gridSpan w:val="4"/>
          </w:tcPr>
          <w:p w:rsidR="00232760" w:rsidRPr="00E85E82" w:rsidRDefault="00C941BD" w:rsidP="000F56AC">
            <w:pPr>
              <w:pStyle w:val="SCCShortJudgment"/>
              <w:ind w:firstLine="0"/>
              <w:rPr>
                <w:bCs/>
                <w:szCs w:val="20"/>
              </w:rPr>
            </w:pPr>
            <w:r w:rsidRPr="00E85E82">
              <w:rPr>
                <w:szCs w:val="20"/>
              </w:rPr>
              <w:t xml:space="preserve">Contracts – Interpretation – Parties executing Letter of Understanding which fixed portion of respondents’ profit payable on unspecified date and dependent on </w:t>
            </w:r>
            <w:r w:rsidRPr="00E85E82">
              <w:rPr>
                <w:szCs w:val="20"/>
                <w:lang w:val="en-US"/>
              </w:rPr>
              <w:t xml:space="preserve">success and financial stability </w:t>
            </w:r>
            <w:r w:rsidRPr="00E85E82">
              <w:rPr>
                <w:szCs w:val="20"/>
              </w:rPr>
              <w:t xml:space="preserve">of applicants’ business – Applicants denying document was intended to create legal relations – </w:t>
            </w:r>
            <w:r w:rsidRPr="00E85E82">
              <w:rPr>
                <w:bCs/>
                <w:szCs w:val="20"/>
              </w:rPr>
              <w:t xml:space="preserve">When determining whether the parties to an alleged contract had the requisite intention to create legal relations, can the courts consider evidence of post-contractual conduct or is that evidence completely irrelevant and inadmissible as not forming part of the “surrounding circumstances”? </w:t>
            </w:r>
            <w:r w:rsidRPr="00E85E82">
              <w:rPr>
                <w:szCs w:val="20"/>
              </w:rPr>
              <w:t xml:space="preserve">– </w:t>
            </w:r>
            <w:r w:rsidRPr="00E85E82">
              <w:rPr>
                <w:bCs/>
                <w:szCs w:val="20"/>
              </w:rPr>
              <w:t xml:space="preserve">What distinguishes terms that are uncertain from terms that are merely ambiguous? – Can the doctrine of </w:t>
            </w:r>
            <w:r w:rsidRPr="00E85E82">
              <w:rPr>
                <w:bCs/>
                <w:i/>
                <w:iCs/>
                <w:szCs w:val="20"/>
              </w:rPr>
              <w:t xml:space="preserve">contra </w:t>
            </w:r>
            <w:proofErr w:type="spellStart"/>
            <w:r w:rsidRPr="00E85E82">
              <w:rPr>
                <w:bCs/>
                <w:i/>
                <w:iCs/>
                <w:szCs w:val="20"/>
              </w:rPr>
              <w:t>proferentum</w:t>
            </w:r>
            <w:proofErr w:type="spellEnd"/>
            <w:r w:rsidRPr="00E85E82">
              <w:rPr>
                <w:bCs/>
                <w:i/>
                <w:iCs/>
                <w:szCs w:val="20"/>
              </w:rPr>
              <w:t xml:space="preserve"> </w:t>
            </w:r>
            <w:r w:rsidRPr="00E85E82">
              <w:rPr>
                <w:bCs/>
                <w:szCs w:val="20"/>
              </w:rPr>
              <w:t>be applied to terms that are uncertain so as to make an agreement that is unenforceable for lack of certainty, enforceable?</w:t>
            </w:r>
          </w:p>
          <w:p w:rsidR="00C941BD" w:rsidRPr="00E85E82" w:rsidRDefault="00C941BD" w:rsidP="000F56AC">
            <w:pPr>
              <w:pStyle w:val="SCCShortJudgment"/>
              <w:ind w:firstLine="0"/>
              <w:rPr>
                <w:rFonts w:cs="Times New Roman"/>
                <w:szCs w:val="20"/>
              </w:rPr>
            </w:pPr>
          </w:p>
        </w:tc>
      </w:tr>
      <w:tr w:rsidR="00232760" w:rsidRPr="00E85E82" w:rsidTr="00C556BB">
        <w:tc>
          <w:tcPr>
            <w:tcW w:w="9576" w:type="dxa"/>
            <w:gridSpan w:val="4"/>
          </w:tcPr>
          <w:p w:rsidR="00C941BD" w:rsidRPr="00E85E82" w:rsidRDefault="00C941BD" w:rsidP="00C941BD">
            <w:pPr>
              <w:jc w:val="both"/>
              <w:rPr>
                <w:sz w:val="20"/>
                <w:szCs w:val="20"/>
              </w:rPr>
            </w:pPr>
            <w:r w:rsidRPr="00E85E82">
              <w:rPr>
                <w:sz w:val="20"/>
                <w:szCs w:val="20"/>
              </w:rPr>
              <w:t xml:space="preserve">The applicants and respondents carried out construction projects as a joint venture.  In 1993, the applicants wanted the individual respondent to retire from the business and began drafting an agreement to solidify transition. Profits from a major ongoing project became a contentious issue in the process. The respondents insisted on being paid $1.6M. The applicants, whose business was not financially stable at the time, insisted on a sum of $600,000, the amount ultimately reflected in the transition agreement. Shortly before the transition agreement was finalized and executed, the applicants provided the respondents with the Letter of Understanding and Obligation for Payment of One Million Dollars (LOU). Pursuant to the LOU, the corporate respondent’s share of the profits was fixed at $1.6M, $600,000 of which was to be paid by the applicants’ successor companies and $1M at an unspecified later date, depending on the </w:t>
            </w:r>
            <w:r w:rsidRPr="00E85E82">
              <w:rPr>
                <w:sz w:val="20"/>
                <w:szCs w:val="20"/>
                <w:lang w:val="en-US"/>
              </w:rPr>
              <w:t xml:space="preserve">“success and financial stability” </w:t>
            </w:r>
            <w:r w:rsidRPr="00E85E82">
              <w:rPr>
                <w:sz w:val="20"/>
                <w:szCs w:val="20"/>
              </w:rPr>
              <w:t xml:space="preserve">of the applicants’ business. </w:t>
            </w:r>
          </w:p>
          <w:p w:rsidR="00232760" w:rsidRPr="00E85E82" w:rsidRDefault="00232760" w:rsidP="000F56AC">
            <w:pPr>
              <w:pStyle w:val="SCCShortJudgment"/>
              <w:ind w:firstLine="0"/>
              <w:rPr>
                <w:rFonts w:cs="Times New Roman"/>
                <w:szCs w:val="20"/>
              </w:rPr>
            </w:pPr>
          </w:p>
        </w:tc>
      </w:tr>
      <w:tr w:rsidR="00232760" w:rsidRPr="00E85E82" w:rsidTr="000F56AC">
        <w:trPr>
          <w:cantSplit/>
        </w:trPr>
        <w:tc>
          <w:tcPr>
            <w:tcW w:w="9576" w:type="dxa"/>
            <w:gridSpan w:val="4"/>
          </w:tcPr>
          <w:p w:rsidR="00C941BD" w:rsidRPr="00E85E82" w:rsidRDefault="00C941BD" w:rsidP="00C941BD">
            <w:pPr>
              <w:jc w:val="both"/>
              <w:rPr>
                <w:sz w:val="20"/>
                <w:szCs w:val="20"/>
              </w:rPr>
            </w:pPr>
            <w:r w:rsidRPr="00E85E82">
              <w:rPr>
                <w:sz w:val="20"/>
                <w:szCs w:val="20"/>
              </w:rPr>
              <w:t xml:space="preserve">Shortly thereafter, the parties had a disagreement, and the respondents did not receive any financial information regarding the applicants’ successor companies for several years. In 2000, the respondents requested payment of the $1M obligation pursuant to the LOU. The applicants took the position that their only legal obligations were contained in the transition agreement, which they had fulfilled. The respondents commenced an action against the applicants claiming breach of contract.  </w:t>
            </w:r>
          </w:p>
          <w:p w:rsidR="00232760" w:rsidRPr="00E85E82" w:rsidRDefault="00232760" w:rsidP="000F56AC">
            <w:pPr>
              <w:pStyle w:val="SCCShortJudgment"/>
              <w:ind w:firstLine="0"/>
              <w:rPr>
                <w:rFonts w:cs="Times New Roman"/>
                <w:szCs w:val="20"/>
              </w:rPr>
            </w:pPr>
          </w:p>
        </w:tc>
      </w:tr>
      <w:tr w:rsidR="00232760" w:rsidRPr="00E85E82" w:rsidTr="000F56AC">
        <w:trPr>
          <w:cantSplit/>
        </w:trPr>
        <w:tc>
          <w:tcPr>
            <w:tcW w:w="4410" w:type="dxa"/>
            <w:gridSpan w:val="2"/>
          </w:tcPr>
          <w:p w:rsidR="00C941BD" w:rsidRPr="00E85E82" w:rsidRDefault="00C941BD" w:rsidP="00C941BD">
            <w:pPr>
              <w:rPr>
                <w:sz w:val="20"/>
                <w:szCs w:val="20"/>
              </w:rPr>
            </w:pPr>
            <w:r w:rsidRPr="00E85E82">
              <w:rPr>
                <w:sz w:val="20"/>
                <w:szCs w:val="20"/>
              </w:rPr>
              <w:t>March 24, 2014</w:t>
            </w:r>
          </w:p>
          <w:p w:rsidR="00C941BD" w:rsidRPr="00E85E82" w:rsidRDefault="00C941BD" w:rsidP="00C941BD">
            <w:pPr>
              <w:rPr>
                <w:sz w:val="20"/>
                <w:szCs w:val="20"/>
              </w:rPr>
            </w:pPr>
            <w:r w:rsidRPr="00E85E82">
              <w:rPr>
                <w:sz w:val="20"/>
                <w:szCs w:val="20"/>
              </w:rPr>
              <w:t>Court of Queen’s Bench of Alberta</w:t>
            </w:r>
          </w:p>
          <w:p w:rsidR="00C941BD" w:rsidRPr="00E85E82" w:rsidRDefault="00C941BD" w:rsidP="00C941BD">
            <w:pPr>
              <w:rPr>
                <w:sz w:val="20"/>
                <w:szCs w:val="20"/>
              </w:rPr>
            </w:pPr>
            <w:r w:rsidRPr="00E85E82">
              <w:rPr>
                <w:sz w:val="20"/>
                <w:szCs w:val="20"/>
              </w:rPr>
              <w:t>(Shelley J.)</w:t>
            </w:r>
          </w:p>
          <w:p w:rsidR="00C941BD" w:rsidRPr="00E85E82" w:rsidRDefault="00B407D6" w:rsidP="00C941BD">
            <w:pPr>
              <w:rPr>
                <w:sz w:val="20"/>
                <w:szCs w:val="20"/>
              </w:rPr>
            </w:pPr>
            <w:hyperlink r:id="rId39" w:history="1">
              <w:r w:rsidR="00C941BD" w:rsidRPr="00E85E82">
                <w:rPr>
                  <w:rStyle w:val="Hyperlink"/>
                  <w:sz w:val="20"/>
                  <w:szCs w:val="20"/>
                </w:rPr>
                <w:t>2014 ABQB 170</w:t>
              </w:r>
            </w:hyperlink>
          </w:p>
          <w:p w:rsidR="00232760" w:rsidRPr="00E85E82" w:rsidRDefault="00232760" w:rsidP="000F56AC">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232760" w:rsidRPr="00E85E82" w:rsidRDefault="00C941BD" w:rsidP="00C941BD">
            <w:pPr>
              <w:tabs>
                <w:tab w:val="center" w:pos="2193"/>
              </w:tabs>
              <w:rPr>
                <w:sz w:val="20"/>
                <w:szCs w:val="20"/>
              </w:rPr>
            </w:pPr>
            <w:r w:rsidRPr="00E85E82">
              <w:rPr>
                <w:sz w:val="20"/>
                <w:szCs w:val="20"/>
              </w:rPr>
              <w:t xml:space="preserve">Action dismissed </w:t>
            </w:r>
          </w:p>
        </w:tc>
      </w:tr>
      <w:tr w:rsidR="00232760" w:rsidRPr="00E85E82" w:rsidTr="000F56AC">
        <w:trPr>
          <w:cantSplit/>
        </w:trPr>
        <w:tc>
          <w:tcPr>
            <w:tcW w:w="4410" w:type="dxa"/>
            <w:gridSpan w:val="2"/>
          </w:tcPr>
          <w:p w:rsidR="00C941BD" w:rsidRPr="00E85E82" w:rsidRDefault="00C941BD" w:rsidP="00C941BD">
            <w:pPr>
              <w:rPr>
                <w:sz w:val="20"/>
                <w:szCs w:val="20"/>
              </w:rPr>
            </w:pPr>
            <w:r w:rsidRPr="00E85E82">
              <w:rPr>
                <w:sz w:val="20"/>
                <w:szCs w:val="20"/>
              </w:rPr>
              <w:t>February 8, 2016</w:t>
            </w:r>
          </w:p>
          <w:p w:rsidR="00C941BD" w:rsidRPr="00E85E82" w:rsidRDefault="00C941BD" w:rsidP="00C941BD">
            <w:pPr>
              <w:rPr>
                <w:sz w:val="20"/>
                <w:szCs w:val="20"/>
              </w:rPr>
            </w:pPr>
            <w:r w:rsidRPr="00E85E82">
              <w:rPr>
                <w:sz w:val="20"/>
                <w:szCs w:val="20"/>
              </w:rPr>
              <w:t>Court of Appeal of Alberta (Edmonton)</w:t>
            </w:r>
          </w:p>
          <w:p w:rsidR="00C941BD" w:rsidRPr="00E85E82" w:rsidRDefault="00C941BD" w:rsidP="00C941BD">
            <w:pPr>
              <w:rPr>
                <w:sz w:val="20"/>
                <w:szCs w:val="20"/>
              </w:rPr>
            </w:pPr>
            <w:r w:rsidRPr="00E85E82">
              <w:rPr>
                <w:sz w:val="20"/>
                <w:szCs w:val="20"/>
              </w:rPr>
              <w:t>(Berger, McDonald and Schutz JJ.A.)</w:t>
            </w:r>
          </w:p>
          <w:p w:rsidR="00C941BD" w:rsidRPr="00E85E82" w:rsidRDefault="00B407D6" w:rsidP="00C941BD">
            <w:pPr>
              <w:rPr>
                <w:bCs/>
                <w:sz w:val="20"/>
                <w:szCs w:val="20"/>
              </w:rPr>
            </w:pPr>
            <w:hyperlink r:id="rId40" w:history="1">
              <w:r w:rsidR="00C941BD" w:rsidRPr="00E85E82">
                <w:rPr>
                  <w:rStyle w:val="Hyperlink"/>
                  <w:bCs/>
                  <w:sz w:val="20"/>
                  <w:szCs w:val="20"/>
                </w:rPr>
                <w:t>2016 ABCA 34</w:t>
              </w:r>
            </w:hyperlink>
          </w:p>
          <w:p w:rsidR="00232760" w:rsidRPr="00E85E82" w:rsidRDefault="00232760" w:rsidP="000F56AC">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C941BD" w:rsidRPr="00E85E82" w:rsidRDefault="00C941BD" w:rsidP="00C941BD">
            <w:pPr>
              <w:rPr>
                <w:sz w:val="20"/>
                <w:szCs w:val="20"/>
              </w:rPr>
            </w:pPr>
            <w:r w:rsidRPr="00E85E82">
              <w:rPr>
                <w:sz w:val="20"/>
                <w:szCs w:val="20"/>
              </w:rPr>
              <w:t xml:space="preserve">Appeal allowed </w:t>
            </w:r>
          </w:p>
          <w:p w:rsidR="00232760" w:rsidRPr="00E85E82" w:rsidRDefault="00232760" w:rsidP="000F56AC">
            <w:pPr>
              <w:jc w:val="both"/>
              <w:rPr>
                <w:rFonts w:cs="Times New Roman"/>
                <w:sz w:val="20"/>
                <w:szCs w:val="20"/>
              </w:rPr>
            </w:pPr>
          </w:p>
        </w:tc>
      </w:tr>
      <w:tr w:rsidR="00232760" w:rsidRPr="00E85E82" w:rsidTr="000F56AC">
        <w:trPr>
          <w:cantSplit/>
        </w:trPr>
        <w:tc>
          <w:tcPr>
            <w:tcW w:w="4410" w:type="dxa"/>
            <w:gridSpan w:val="2"/>
          </w:tcPr>
          <w:p w:rsidR="00C941BD" w:rsidRPr="00E85E82" w:rsidRDefault="00C941BD" w:rsidP="00C941BD">
            <w:pPr>
              <w:rPr>
                <w:sz w:val="20"/>
                <w:szCs w:val="20"/>
              </w:rPr>
            </w:pPr>
            <w:r w:rsidRPr="00E85E82">
              <w:rPr>
                <w:sz w:val="20"/>
                <w:szCs w:val="20"/>
              </w:rPr>
              <w:t>April 1, 2016</w:t>
            </w:r>
          </w:p>
          <w:p w:rsidR="00232760" w:rsidRPr="00E85E82" w:rsidRDefault="00C941BD" w:rsidP="00C941BD">
            <w:pPr>
              <w:jc w:val="both"/>
              <w:rPr>
                <w:sz w:val="20"/>
                <w:szCs w:val="20"/>
              </w:rPr>
            </w:pPr>
            <w:r w:rsidRPr="00E85E82">
              <w:rPr>
                <w:sz w:val="20"/>
                <w:szCs w:val="20"/>
              </w:rPr>
              <w:t>Supreme Court of Canada</w:t>
            </w:r>
          </w:p>
          <w:p w:rsidR="004E22A8" w:rsidRPr="00E85E82" w:rsidRDefault="004E22A8" w:rsidP="00C941BD">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C941BD" w:rsidRPr="00E85E82" w:rsidRDefault="00C941BD" w:rsidP="00C941BD">
            <w:pPr>
              <w:jc w:val="both"/>
              <w:rPr>
                <w:sz w:val="20"/>
                <w:szCs w:val="20"/>
              </w:rPr>
            </w:pPr>
            <w:r w:rsidRPr="00E85E82">
              <w:rPr>
                <w:sz w:val="20"/>
                <w:szCs w:val="20"/>
              </w:rPr>
              <w:t>Application for leave to appeal filed</w:t>
            </w:r>
          </w:p>
          <w:p w:rsidR="00232760" w:rsidRPr="00E85E82" w:rsidRDefault="00232760" w:rsidP="000F56AC">
            <w:pPr>
              <w:jc w:val="both"/>
              <w:rPr>
                <w:rFonts w:cs="Times New Roman"/>
                <w:sz w:val="20"/>
                <w:szCs w:val="20"/>
              </w:rPr>
            </w:pPr>
          </w:p>
        </w:tc>
      </w:tr>
      <w:tr w:rsidR="00232760" w:rsidRPr="00E85E82" w:rsidTr="000F56AC">
        <w:trPr>
          <w:cantSplit/>
        </w:trPr>
        <w:tc>
          <w:tcPr>
            <w:tcW w:w="9576" w:type="dxa"/>
            <w:gridSpan w:val="4"/>
          </w:tcPr>
          <w:p w:rsidR="00232760" w:rsidRPr="00E85E82" w:rsidRDefault="00B407D6" w:rsidP="000F56AC">
            <w:pPr>
              <w:pStyle w:val="SCCShortJudgment"/>
              <w:ind w:firstLine="0"/>
              <w:rPr>
                <w:rFonts w:cs="Times New Roman"/>
                <w:szCs w:val="20"/>
                <w:lang w:val="fr-CA"/>
              </w:rPr>
            </w:pPr>
            <w:r>
              <w:rPr>
                <w:rFonts w:cs="Times New Roman"/>
                <w:szCs w:val="20"/>
                <w:lang w:val="fr-CA"/>
              </w:rPr>
              <w:pict>
                <v:rect id="_x0000_i1055" style="width:2in;height:1pt" o:hrpct="0" o:hralign="center" o:hrstd="t" o:hrnoshade="t" o:hr="t" fillcolor="black [3213]" stroked="f"/>
              </w:pict>
            </w:r>
          </w:p>
          <w:p w:rsidR="00232760" w:rsidRPr="00E85E82" w:rsidRDefault="00232760" w:rsidP="000F56AC">
            <w:pPr>
              <w:pStyle w:val="SCCShortJudgment"/>
              <w:ind w:firstLine="0"/>
              <w:rPr>
                <w:rFonts w:cs="Times New Roman"/>
                <w:szCs w:val="20"/>
                <w:lang w:val="fr-CA"/>
              </w:rPr>
            </w:pPr>
          </w:p>
        </w:tc>
      </w:tr>
      <w:tr w:rsidR="00232760" w:rsidRPr="00E85E82" w:rsidTr="000F56AC">
        <w:trPr>
          <w:cantSplit/>
        </w:trPr>
        <w:tc>
          <w:tcPr>
            <w:tcW w:w="9576" w:type="dxa"/>
            <w:gridSpan w:val="4"/>
          </w:tcPr>
          <w:p w:rsidR="00232760" w:rsidRPr="00E85E82" w:rsidRDefault="00232760" w:rsidP="000F56AC">
            <w:pPr>
              <w:pStyle w:val="SCCShortJudgment"/>
              <w:ind w:firstLine="0"/>
              <w:rPr>
                <w:rFonts w:cs="Times New Roman"/>
                <w:szCs w:val="20"/>
                <w:u w:val="single"/>
                <w:lang w:val="fr-CA"/>
              </w:rPr>
            </w:pPr>
            <w:r w:rsidRPr="00E85E82">
              <w:rPr>
                <w:rFonts w:cs="Times New Roman"/>
                <w:szCs w:val="20"/>
                <w:u w:val="single"/>
                <w:lang w:val="fr-CA"/>
              </w:rPr>
              <w:t>RÉSUMÉ DE L’AFFAIRE </w:t>
            </w:r>
          </w:p>
          <w:p w:rsidR="00232760" w:rsidRPr="00E85E82" w:rsidRDefault="00232760" w:rsidP="000F56AC">
            <w:pPr>
              <w:pStyle w:val="SCCShortJudgment"/>
              <w:ind w:firstLine="0"/>
              <w:rPr>
                <w:rFonts w:cs="Times New Roman"/>
                <w:szCs w:val="20"/>
                <w:u w:val="single"/>
                <w:lang w:val="fr-CA"/>
              </w:rPr>
            </w:pPr>
          </w:p>
        </w:tc>
      </w:tr>
      <w:tr w:rsidR="00232760" w:rsidRPr="00B407D6" w:rsidTr="000F56AC">
        <w:trPr>
          <w:cantSplit/>
        </w:trPr>
        <w:tc>
          <w:tcPr>
            <w:tcW w:w="9576" w:type="dxa"/>
            <w:gridSpan w:val="4"/>
          </w:tcPr>
          <w:p w:rsidR="00232760" w:rsidRPr="00E85E82" w:rsidRDefault="00C941BD" w:rsidP="000F56AC">
            <w:pPr>
              <w:pStyle w:val="SCCShortJudgment"/>
              <w:ind w:firstLine="0"/>
              <w:rPr>
                <w:bCs/>
                <w:szCs w:val="20"/>
                <w:lang w:val="fr-CA"/>
              </w:rPr>
            </w:pPr>
            <w:r w:rsidRPr="00E85E82">
              <w:rPr>
                <w:szCs w:val="20"/>
                <w:lang w:val="fr-CA"/>
              </w:rPr>
              <w:t>Contrats – Interprétation – Les parties ont signé une lettre d’entente qui fixait la partie du bénéfice que les intimés toucheraient à une date indéterminée et qui dépendait du succès et de la stabilité financière de l’entreprise des demandeurs – Les demandeurs nient que le document était censé créer des relations juridiques – Lorsqu’il s’agit de déterminer si les parties à un contrat présumé avaient l’intention voulue pour créer des relations juridiques, les tribunaux peuvent-ils examiner des éléments de preuve de conduite postérieure au contrat ou bien est-ce que ces éléments de preuve sont complètement dénués de pertinence et inadmissibles, puisqu’ils ne font pas partie des « circonstances »</w:t>
            </w:r>
            <w:r w:rsidRPr="00E85E82">
              <w:rPr>
                <w:bCs/>
                <w:szCs w:val="20"/>
                <w:lang w:val="fr-CA"/>
              </w:rPr>
              <w:t xml:space="preserve">? </w:t>
            </w:r>
            <w:r w:rsidRPr="00E85E82">
              <w:rPr>
                <w:szCs w:val="20"/>
                <w:lang w:val="fr-CA"/>
              </w:rPr>
              <w:t>– En quoi des dispositions incertaines se distinguent-elles de dispositions qui ne sont qu’ambiguës</w:t>
            </w:r>
            <w:r w:rsidRPr="00E85E82">
              <w:rPr>
                <w:bCs/>
                <w:szCs w:val="20"/>
                <w:lang w:val="fr-CA"/>
              </w:rPr>
              <w:t xml:space="preserve">? – La doctrine </w:t>
            </w:r>
            <w:r w:rsidRPr="00E85E82">
              <w:rPr>
                <w:bCs/>
                <w:i/>
                <w:iCs/>
                <w:szCs w:val="20"/>
                <w:lang w:val="fr-CA"/>
              </w:rPr>
              <w:t xml:space="preserve">contra </w:t>
            </w:r>
            <w:proofErr w:type="spellStart"/>
            <w:r w:rsidRPr="00E85E82">
              <w:rPr>
                <w:bCs/>
                <w:i/>
                <w:iCs/>
                <w:szCs w:val="20"/>
                <w:lang w:val="fr-CA"/>
              </w:rPr>
              <w:t>proferentem</w:t>
            </w:r>
            <w:proofErr w:type="spellEnd"/>
            <w:r w:rsidRPr="00E85E82">
              <w:rPr>
                <w:bCs/>
                <w:i/>
                <w:iCs/>
                <w:szCs w:val="20"/>
                <w:lang w:val="fr-CA"/>
              </w:rPr>
              <w:t xml:space="preserve"> </w:t>
            </w:r>
            <w:r w:rsidRPr="00E85E82">
              <w:rPr>
                <w:bCs/>
                <w:szCs w:val="20"/>
                <w:lang w:val="fr-CA"/>
              </w:rPr>
              <w:t>peut-elle être appliquée aux dispositions qui sont incertaines pour rendre exécutoire un contrat qui ne le serait pas pour cause d’incertitude?</w:t>
            </w:r>
          </w:p>
          <w:p w:rsidR="00C941BD" w:rsidRPr="00E85E82" w:rsidRDefault="00C941BD" w:rsidP="000F56AC">
            <w:pPr>
              <w:pStyle w:val="SCCShortJudgment"/>
              <w:ind w:firstLine="0"/>
              <w:rPr>
                <w:rFonts w:cs="Times New Roman"/>
                <w:szCs w:val="20"/>
                <w:u w:val="single"/>
                <w:lang w:val="fr-CA"/>
              </w:rPr>
            </w:pPr>
          </w:p>
        </w:tc>
      </w:tr>
      <w:tr w:rsidR="00232760" w:rsidRPr="00B407D6" w:rsidTr="000F56AC">
        <w:trPr>
          <w:cantSplit/>
        </w:trPr>
        <w:tc>
          <w:tcPr>
            <w:tcW w:w="9576" w:type="dxa"/>
            <w:gridSpan w:val="4"/>
          </w:tcPr>
          <w:p w:rsidR="00C941BD" w:rsidRPr="00E85E82" w:rsidRDefault="00C941BD" w:rsidP="00C941BD">
            <w:pPr>
              <w:jc w:val="both"/>
              <w:rPr>
                <w:sz w:val="20"/>
                <w:szCs w:val="20"/>
                <w:lang w:val="fr-CA"/>
              </w:rPr>
            </w:pPr>
            <w:r w:rsidRPr="00E85E82">
              <w:rPr>
                <w:sz w:val="20"/>
                <w:szCs w:val="20"/>
                <w:lang w:val="fr-CA"/>
              </w:rPr>
              <w:t>Les demandeurs et les intimés exécutaient des projets de construction en tant que coentreprise. En 1993, les demandeurs souhaitaient que l’intimé non constitué en personne morale se retire de l’entreprise et ils ont commencé à rédiger un contrat pour consolider la transition. Les bénéfices d’un projet d’envergure en cours sont devenus une question litigieuse dans le processus. Les intimés insistaient pour se faire payer la somme de 1,6 million de dollars. Les demandeurs, dont l’entreprise n’était pas financièrement stable à l’époque, ont insisté sur une somme de 600 000 $, le montant qui a fini par être stipulé dans le contrat de transition. Peu de temps avant que le contrat de transition soit finalisé et signé, les demandeurs ont fourni aux intimés la [</w:t>
            </w:r>
            <w:r w:rsidRPr="00E85E82">
              <w:rPr>
                <w:smallCaps/>
                <w:sz w:val="20"/>
                <w:szCs w:val="20"/>
                <w:lang w:val="fr-CA"/>
              </w:rPr>
              <w:t>traduction</w:t>
            </w:r>
            <w:r w:rsidRPr="00E85E82">
              <w:rPr>
                <w:sz w:val="20"/>
                <w:szCs w:val="20"/>
                <w:lang w:val="fr-CA"/>
              </w:rPr>
              <w:t>] Lettre d’entente et obligation de paiement d’un million de dollars. En vertu de la lettre d’entente, la part des bénéfices des personnes morales intimées était fixée à 1,6 million de dollars, dont 600 000 $ devaient être versés par les sociétés qui remplaçaient les demanderesses, et un million de dollars devaient être versés à une date ultérieure indéterminée, selon [</w:t>
            </w:r>
            <w:r w:rsidRPr="00E85E82">
              <w:rPr>
                <w:smallCaps/>
                <w:sz w:val="20"/>
                <w:szCs w:val="20"/>
                <w:lang w:val="fr-CA"/>
              </w:rPr>
              <w:t>traduction</w:t>
            </w:r>
            <w:r w:rsidRPr="00E85E82">
              <w:rPr>
                <w:sz w:val="20"/>
                <w:szCs w:val="20"/>
                <w:lang w:val="fr-CA"/>
              </w:rPr>
              <w:t xml:space="preserve">] « le succès et la stabilité financière » de l’entreprise des demandeurs. </w:t>
            </w:r>
          </w:p>
          <w:p w:rsidR="00232760" w:rsidRPr="00E85E82" w:rsidRDefault="00232760" w:rsidP="000F56AC">
            <w:pPr>
              <w:jc w:val="both"/>
              <w:rPr>
                <w:rFonts w:cs="Times New Roman"/>
                <w:sz w:val="20"/>
                <w:szCs w:val="20"/>
                <w:u w:val="single"/>
                <w:lang w:val="fr-CA"/>
              </w:rPr>
            </w:pPr>
          </w:p>
        </w:tc>
      </w:tr>
      <w:tr w:rsidR="00232760" w:rsidRPr="00B407D6" w:rsidTr="000F56AC">
        <w:trPr>
          <w:cantSplit/>
        </w:trPr>
        <w:tc>
          <w:tcPr>
            <w:tcW w:w="9576" w:type="dxa"/>
            <w:gridSpan w:val="4"/>
          </w:tcPr>
          <w:p w:rsidR="00C941BD" w:rsidRPr="00E85E82" w:rsidRDefault="00C941BD" w:rsidP="00C941BD">
            <w:pPr>
              <w:jc w:val="both"/>
              <w:rPr>
                <w:sz w:val="20"/>
                <w:szCs w:val="20"/>
                <w:lang w:val="fr-CA"/>
              </w:rPr>
            </w:pPr>
            <w:r w:rsidRPr="00E85E82">
              <w:rPr>
                <w:sz w:val="20"/>
                <w:szCs w:val="20"/>
                <w:lang w:val="fr-CA"/>
              </w:rPr>
              <w:t xml:space="preserve">Peu de temps après, il y a eu un désaccord entre les parties et les intimés n’ont pas reçu d’information financière sur les sociétés remplaçantes des demandeurs pendant plusieurs années. En 2000, les intimés ont demandé le paiement de l’obligation d’un million de dollars en application de la lettre d’entente. Les demandeurs ont fait valoir que leurs seules obligations juridiques étaient stipulées dans le contrat de transition et qu’ils avaient exécuté leurs obligations. Les intimés ont intenté une action contre les demandeurs, alléguant une violation de contrat.  </w:t>
            </w:r>
          </w:p>
          <w:p w:rsidR="00232760" w:rsidRPr="00E85E82" w:rsidRDefault="00232760" w:rsidP="000F56AC">
            <w:pPr>
              <w:pStyle w:val="SCCShortJudgment"/>
              <w:ind w:firstLine="0"/>
              <w:rPr>
                <w:rFonts w:cs="Times New Roman"/>
                <w:szCs w:val="20"/>
                <w:u w:val="single"/>
                <w:lang w:val="fr-CA"/>
              </w:rPr>
            </w:pPr>
          </w:p>
        </w:tc>
      </w:tr>
      <w:tr w:rsidR="00232760" w:rsidRPr="00E85E82" w:rsidTr="000F56AC">
        <w:trPr>
          <w:cantSplit/>
        </w:trPr>
        <w:tc>
          <w:tcPr>
            <w:tcW w:w="4410" w:type="dxa"/>
            <w:gridSpan w:val="2"/>
          </w:tcPr>
          <w:p w:rsidR="00C941BD" w:rsidRPr="00E85E82" w:rsidRDefault="00C941BD" w:rsidP="00C941BD">
            <w:pPr>
              <w:rPr>
                <w:sz w:val="20"/>
                <w:szCs w:val="20"/>
                <w:lang w:val="fr-CA"/>
              </w:rPr>
            </w:pPr>
            <w:r w:rsidRPr="00E85E82">
              <w:rPr>
                <w:sz w:val="20"/>
                <w:szCs w:val="20"/>
                <w:lang w:val="fr-CA"/>
              </w:rPr>
              <w:t>24 mars 2014</w:t>
            </w:r>
          </w:p>
          <w:p w:rsidR="00C941BD" w:rsidRPr="00E85E82" w:rsidRDefault="00C941BD" w:rsidP="00C941BD">
            <w:pPr>
              <w:rPr>
                <w:sz w:val="20"/>
                <w:szCs w:val="20"/>
                <w:lang w:val="fr-CA"/>
              </w:rPr>
            </w:pPr>
            <w:r w:rsidRPr="00E85E82">
              <w:rPr>
                <w:sz w:val="20"/>
                <w:szCs w:val="20"/>
                <w:lang w:val="fr-CA"/>
              </w:rPr>
              <w:t xml:space="preserve">Cour du Banc de la Reine de l’Alberta </w:t>
            </w:r>
          </w:p>
          <w:p w:rsidR="00C941BD" w:rsidRPr="00E85E82" w:rsidRDefault="00C941BD" w:rsidP="00C941BD">
            <w:pPr>
              <w:rPr>
                <w:sz w:val="20"/>
                <w:szCs w:val="20"/>
                <w:lang w:val="fr-CA"/>
              </w:rPr>
            </w:pPr>
            <w:r w:rsidRPr="00E85E82">
              <w:rPr>
                <w:sz w:val="20"/>
                <w:szCs w:val="20"/>
                <w:lang w:val="fr-CA"/>
              </w:rPr>
              <w:t>(Juge Shelley)</w:t>
            </w:r>
          </w:p>
          <w:p w:rsidR="00C941BD" w:rsidRPr="00E85E82" w:rsidRDefault="00B407D6" w:rsidP="00C941BD">
            <w:pPr>
              <w:rPr>
                <w:sz w:val="20"/>
                <w:szCs w:val="20"/>
                <w:lang w:val="fr-CA"/>
              </w:rPr>
            </w:pPr>
            <w:hyperlink r:id="rId41" w:history="1">
              <w:r w:rsidR="00C941BD" w:rsidRPr="00E85E82">
                <w:rPr>
                  <w:rStyle w:val="Hyperlink"/>
                  <w:sz w:val="20"/>
                  <w:szCs w:val="20"/>
                  <w:lang w:val="fr-CA"/>
                </w:rPr>
                <w:t>2014 ABQB 170</w:t>
              </w:r>
            </w:hyperlink>
          </w:p>
          <w:p w:rsidR="00232760" w:rsidRPr="00E85E82" w:rsidRDefault="00232760" w:rsidP="000F56AC">
            <w:pPr>
              <w:pStyle w:val="SCCShortJudgment"/>
              <w:ind w:firstLine="0"/>
              <w:rPr>
                <w:rFonts w:cs="Times New Roman"/>
                <w:szCs w:val="20"/>
                <w:u w:val="single"/>
                <w:lang w:val="fr-CA"/>
              </w:rPr>
            </w:pPr>
          </w:p>
        </w:tc>
        <w:tc>
          <w:tcPr>
            <w:tcW w:w="630" w:type="dxa"/>
          </w:tcPr>
          <w:p w:rsidR="00232760" w:rsidRPr="00E85E82" w:rsidRDefault="00232760" w:rsidP="000F56AC">
            <w:pPr>
              <w:pStyle w:val="SCCShortJudgment"/>
              <w:ind w:firstLine="0"/>
              <w:rPr>
                <w:rFonts w:cs="Times New Roman"/>
                <w:szCs w:val="20"/>
                <w:u w:val="single"/>
                <w:lang w:val="fr-CA"/>
              </w:rPr>
            </w:pPr>
          </w:p>
        </w:tc>
        <w:tc>
          <w:tcPr>
            <w:tcW w:w="4536" w:type="dxa"/>
          </w:tcPr>
          <w:p w:rsidR="00C941BD" w:rsidRPr="00E85E82" w:rsidRDefault="00C941BD" w:rsidP="00C941BD">
            <w:pPr>
              <w:rPr>
                <w:sz w:val="20"/>
                <w:szCs w:val="20"/>
                <w:lang w:val="fr-CA"/>
              </w:rPr>
            </w:pPr>
            <w:r w:rsidRPr="00E85E82">
              <w:rPr>
                <w:sz w:val="20"/>
                <w:szCs w:val="20"/>
                <w:lang w:val="fr-CA"/>
              </w:rPr>
              <w:t>Rejet de l’action</w:t>
            </w:r>
          </w:p>
          <w:p w:rsidR="00232760" w:rsidRPr="00E85E82" w:rsidRDefault="00232760" w:rsidP="000F56AC">
            <w:pPr>
              <w:pStyle w:val="SCCShortJudgment"/>
              <w:ind w:firstLine="0"/>
              <w:rPr>
                <w:rFonts w:cs="Times New Roman"/>
                <w:szCs w:val="20"/>
                <w:u w:val="single"/>
                <w:lang w:val="fr-CA"/>
              </w:rPr>
            </w:pPr>
          </w:p>
        </w:tc>
      </w:tr>
      <w:tr w:rsidR="00232760" w:rsidRPr="00E85E82" w:rsidTr="000F56AC">
        <w:trPr>
          <w:cantSplit/>
        </w:trPr>
        <w:tc>
          <w:tcPr>
            <w:tcW w:w="4410" w:type="dxa"/>
            <w:gridSpan w:val="2"/>
          </w:tcPr>
          <w:p w:rsidR="00C941BD" w:rsidRPr="00E85E82" w:rsidRDefault="00C941BD" w:rsidP="00C941BD">
            <w:pPr>
              <w:rPr>
                <w:sz w:val="20"/>
                <w:szCs w:val="20"/>
                <w:lang w:val="fr-CA"/>
              </w:rPr>
            </w:pPr>
            <w:r w:rsidRPr="00E85E82">
              <w:rPr>
                <w:sz w:val="20"/>
                <w:szCs w:val="20"/>
                <w:lang w:val="fr-CA"/>
              </w:rPr>
              <w:t>8 février 2016</w:t>
            </w:r>
          </w:p>
          <w:p w:rsidR="00C941BD" w:rsidRPr="00E85E82" w:rsidRDefault="00C941BD" w:rsidP="00C941BD">
            <w:pPr>
              <w:rPr>
                <w:sz w:val="20"/>
                <w:szCs w:val="20"/>
                <w:lang w:val="fr-CA"/>
              </w:rPr>
            </w:pPr>
            <w:r w:rsidRPr="00E85E82">
              <w:rPr>
                <w:sz w:val="20"/>
                <w:szCs w:val="20"/>
                <w:lang w:val="fr-CA"/>
              </w:rPr>
              <w:t>Cour d’appel de l’Alberta (Edmonton)</w:t>
            </w:r>
          </w:p>
          <w:p w:rsidR="00C941BD" w:rsidRPr="00E85E82" w:rsidRDefault="00C941BD" w:rsidP="00C941BD">
            <w:pPr>
              <w:rPr>
                <w:sz w:val="20"/>
                <w:szCs w:val="20"/>
                <w:lang w:val="fr-CA"/>
              </w:rPr>
            </w:pPr>
            <w:r w:rsidRPr="00E85E82">
              <w:rPr>
                <w:sz w:val="20"/>
                <w:szCs w:val="20"/>
                <w:lang w:val="fr-CA"/>
              </w:rPr>
              <w:t>(Juges Berger, McDonald et Schutz)</w:t>
            </w:r>
          </w:p>
          <w:p w:rsidR="00C941BD" w:rsidRPr="00E85E82" w:rsidRDefault="00B407D6" w:rsidP="00C941BD">
            <w:pPr>
              <w:rPr>
                <w:bCs/>
                <w:sz w:val="20"/>
                <w:szCs w:val="20"/>
                <w:lang w:val="fr-CA"/>
              </w:rPr>
            </w:pPr>
            <w:hyperlink r:id="rId42" w:history="1">
              <w:r w:rsidR="00C941BD" w:rsidRPr="00E85E82">
                <w:rPr>
                  <w:rStyle w:val="Hyperlink"/>
                  <w:bCs/>
                  <w:sz w:val="20"/>
                  <w:szCs w:val="20"/>
                  <w:lang w:val="fr-CA"/>
                </w:rPr>
                <w:t>2016 ABCA 34</w:t>
              </w:r>
            </w:hyperlink>
          </w:p>
          <w:p w:rsidR="00232760" w:rsidRPr="00E85E82" w:rsidRDefault="00232760" w:rsidP="000F56AC">
            <w:pPr>
              <w:pStyle w:val="SCCShortJudgment"/>
              <w:ind w:firstLine="0"/>
              <w:rPr>
                <w:rFonts w:cs="Times New Roman"/>
                <w:szCs w:val="20"/>
                <w:u w:val="single"/>
                <w:lang w:val="fr-CA"/>
              </w:rPr>
            </w:pPr>
          </w:p>
        </w:tc>
        <w:tc>
          <w:tcPr>
            <w:tcW w:w="630" w:type="dxa"/>
          </w:tcPr>
          <w:p w:rsidR="00232760" w:rsidRPr="00E85E82" w:rsidRDefault="00232760" w:rsidP="000F56AC">
            <w:pPr>
              <w:pStyle w:val="SCCShortJudgment"/>
              <w:ind w:firstLine="0"/>
              <w:rPr>
                <w:rFonts w:cs="Times New Roman"/>
                <w:szCs w:val="20"/>
                <w:u w:val="single"/>
                <w:lang w:val="fr-CA"/>
              </w:rPr>
            </w:pPr>
          </w:p>
        </w:tc>
        <w:tc>
          <w:tcPr>
            <w:tcW w:w="4536" w:type="dxa"/>
          </w:tcPr>
          <w:p w:rsidR="00C941BD" w:rsidRPr="00E85E82" w:rsidRDefault="00C941BD" w:rsidP="00C941BD">
            <w:pPr>
              <w:rPr>
                <w:sz w:val="20"/>
                <w:szCs w:val="20"/>
                <w:lang w:val="fr-CA"/>
              </w:rPr>
            </w:pPr>
            <w:r w:rsidRPr="00E85E82">
              <w:rPr>
                <w:sz w:val="20"/>
                <w:szCs w:val="20"/>
                <w:lang w:val="fr-CA"/>
              </w:rPr>
              <w:t>Arrêt accueillant l’appel</w:t>
            </w:r>
          </w:p>
          <w:p w:rsidR="00232760" w:rsidRPr="00E85E82" w:rsidRDefault="00232760" w:rsidP="000F56AC">
            <w:pPr>
              <w:pStyle w:val="SCCShortJudgment"/>
              <w:ind w:firstLine="0"/>
              <w:rPr>
                <w:rFonts w:cs="Times New Roman"/>
                <w:szCs w:val="20"/>
                <w:u w:val="single"/>
                <w:lang w:val="fr-CA"/>
              </w:rPr>
            </w:pPr>
          </w:p>
        </w:tc>
      </w:tr>
      <w:tr w:rsidR="00232760" w:rsidRPr="00B407D6" w:rsidTr="000F56AC">
        <w:trPr>
          <w:cantSplit/>
        </w:trPr>
        <w:tc>
          <w:tcPr>
            <w:tcW w:w="4410" w:type="dxa"/>
            <w:gridSpan w:val="2"/>
          </w:tcPr>
          <w:p w:rsidR="00C941BD" w:rsidRPr="00E85E82" w:rsidRDefault="00C941BD" w:rsidP="00C941BD">
            <w:pPr>
              <w:rPr>
                <w:sz w:val="20"/>
                <w:szCs w:val="20"/>
                <w:lang w:val="fr-CA"/>
              </w:rPr>
            </w:pPr>
            <w:r w:rsidRPr="00E85E82">
              <w:rPr>
                <w:sz w:val="20"/>
                <w:szCs w:val="20"/>
                <w:lang w:val="fr-CA"/>
              </w:rPr>
              <w:t>1</w:t>
            </w:r>
            <w:r w:rsidRPr="00E85E82">
              <w:rPr>
                <w:sz w:val="20"/>
                <w:szCs w:val="20"/>
                <w:vertAlign w:val="superscript"/>
                <w:lang w:val="fr-CA"/>
              </w:rPr>
              <w:t>er</w:t>
            </w:r>
            <w:r w:rsidRPr="00E85E82">
              <w:rPr>
                <w:sz w:val="20"/>
                <w:szCs w:val="20"/>
                <w:lang w:val="fr-CA"/>
              </w:rPr>
              <w:t xml:space="preserve"> avril 2016</w:t>
            </w:r>
          </w:p>
          <w:p w:rsidR="00232760" w:rsidRPr="00E85E82" w:rsidRDefault="00C941BD" w:rsidP="00C941BD">
            <w:pPr>
              <w:pStyle w:val="SCCShortJudgment"/>
              <w:ind w:firstLine="0"/>
              <w:rPr>
                <w:szCs w:val="20"/>
                <w:lang w:val="fr-CA"/>
              </w:rPr>
            </w:pPr>
            <w:r w:rsidRPr="00E85E82">
              <w:rPr>
                <w:szCs w:val="20"/>
                <w:lang w:val="fr-CA"/>
              </w:rPr>
              <w:t>Cour suprême du Canada</w:t>
            </w:r>
          </w:p>
          <w:p w:rsidR="004E22A8" w:rsidRPr="00E85E82" w:rsidRDefault="004E22A8" w:rsidP="00C941BD">
            <w:pPr>
              <w:pStyle w:val="SCCShortJudgment"/>
              <w:ind w:firstLine="0"/>
              <w:rPr>
                <w:rFonts w:cs="Times New Roman"/>
                <w:szCs w:val="20"/>
                <w:u w:val="single"/>
                <w:lang w:val="fr-CA"/>
              </w:rPr>
            </w:pPr>
          </w:p>
        </w:tc>
        <w:tc>
          <w:tcPr>
            <w:tcW w:w="630" w:type="dxa"/>
          </w:tcPr>
          <w:p w:rsidR="00232760" w:rsidRPr="00E85E82" w:rsidRDefault="00232760" w:rsidP="000F56AC">
            <w:pPr>
              <w:pStyle w:val="SCCShortJudgment"/>
              <w:ind w:firstLine="0"/>
              <w:rPr>
                <w:rFonts w:cs="Times New Roman"/>
                <w:szCs w:val="20"/>
                <w:u w:val="single"/>
                <w:lang w:val="fr-CA"/>
              </w:rPr>
            </w:pPr>
          </w:p>
        </w:tc>
        <w:tc>
          <w:tcPr>
            <w:tcW w:w="4536" w:type="dxa"/>
          </w:tcPr>
          <w:p w:rsidR="00232760" w:rsidRPr="00E85E82" w:rsidRDefault="00C941BD" w:rsidP="000F56AC">
            <w:pPr>
              <w:pStyle w:val="SCCShortJudgment"/>
              <w:ind w:firstLine="0"/>
              <w:rPr>
                <w:rFonts w:cs="Times New Roman"/>
                <w:szCs w:val="20"/>
                <w:u w:val="single"/>
                <w:lang w:val="fr-CA"/>
              </w:rPr>
            </w:pPr>
            <w:r w:rsidRPr="00E85E82">
              <w:rPr>
                <w:szCs w:val="20"/>
                <w:lang w:val="fr-CA"/>
              </w:rPr>
              <w:t>Dépôt de la demande d’autorisation d’appel</w:t>
            </w:r>
          </w:p>
        </w:tc>
      </w:tr>
    </w:tbl>
    <w:p w:rsidR="00232760" w:rsidRPr="00E85E82" w:rsidRDefault="00B407D6" w:rsidP="00232760">
      <w:pPr>
        <w:rPr>
          <w:rFonts w:cs="Times New Roman"/>
          <w:sz w:val="20"/>
          <w:szCs w:val="20"/>
          <w:lang w:val="fr-CA"/>
        </w:rPr>
      </w:pPr>
      <w:r>
        <w:rPr>
          <w:rFonts w:cs="Times New Roman"/>
          <w:sz w:val="20"/>
          <w:szCs w:val="20"/>
          <w:lang w:val="fr-CA"/>
        </w:rPr>
        <w:pict>
          <v:rect id="_x0000_i1056" style="width:2in;height:1pt" o:hrpct="0" o:hralign="center" o:hrstd="t" o:hrnoshade="t" o:hr="t" fillcolor="black [3213]" stroked="f"/>
        </w:pict>
      </w:r>
    </w:p>
    <w:p w:rsidR="00090F55" w:rsidRPr="00E85E82" w:rsidRDefault="00090F5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Style w:val="SCCFileNumberChar"/>
                <w:sz w:val="20"/>
                <w:szCs w:val="20"/>
              </w:rPr>
              <w:t>36927</w:t>
            </w:r>
          </w:p>
          <w:p w:rsidR="00232760" w:rsidRPr="00E85E82" w:rsidRDefault="00232760" w:rsidP="000F56AC">
            <w:pPr>
              <w:jc w:val="both"/>
              <w:rPr>
                <w:rFonts w:cs="Times New Roman"/>
                <w:b/>
                <w:sz w:val="20"/>
                <w:szCs w:val="20"/>
              </w:rPr>
            </w:pPr>
          </w:p>
        </w:tc>
        <w:tc>
          <w:tcPr>
            <w:tcW w:w="8118" w:type="dxa"/>
            <w:gridSpan w:val="3"/>
          </w:tcPr>
          <w:p w:rsidR="00232760" w:rsidRPr="00E85E82" w:rsidRDefault="00FA0BB7" w:rsidP="000F56AC">
            <w:pPr>
              <w:jc w:val="both"/>
              <w:rPr>
                <w:rFonts w:cs="Times New Roman"/>
                <w:sz w:val="20"/>
                <w:szCs w:val="20"/>
              </w:rPr>
            </w:pPr>
            <w:r w:rsidRPr="00E85E82">
              <w:rPr>
                <w:rStyle w:val="SCCLsocChar"/>
                <w:rFonts w:cs="Times New Roman"/>
                <w:sz w:val="20"/>
                <w:szCs w:val="20"/>
                <w:lang w:val="en-CA"/>
              </w:rPr>
              <w:t>Raymond Turmel</w:t>
            </w:r>
            <w:r w:rsidR="00232760" w:rsidRPr="00E85E82">
              <w:rPr>
                <w:rStyle w:val="SCCLsocChar"/>
                <w:rFonts w:cs="Times New Roman"/>
                <w:sz w:val="20"/>
                <w:szCs w:val="20"/>
                <w:lang w:val="en-CA"/>
              </w:rPr>
              <w:t xml:space="preserve"> v.</w:t>
            </w:r>
            <w:r w:rsidRPr="00E85E82">
              <w:rPr>
                <w:rStyle w:val="SCCLsocChar"/>
                <w:rFonts w:cs="Times New Roman"/>
                <w:sz w:val="20"/>
                <w:szCs w:val="20"/>
                <w:lang w:val="en-CA"/>
              </w:rPr>
              <w:t xml:space="preserve"> Her Majesty the Queen</w:t>
            </w:r>
            <w:r w:rsidR="00232760" w:rsidRPr="00E85E82">
              <w:rPr>
                <w:rStyle w:val="SCCLsocChar"/>
                <w:rFonts w:cs="Times New Roman"/>
                <w:b w:val="0"/>
                <w:sz w:val="20"/>
                <w:szCs w:val="20"/>
                <w:u w:val="none"/>
                <w:lang w:val="en-CA"/>
              </w:rPr>
              <w:t xml:space="preserve"> </w:t>
            </w:r>
            <w:r w:rsidR="009B5387" w:rsidRPr="00E85E82">
              <w:rPr>
                <w:sz w:val="20"/>
                <w:szCs w:val="20"/>
              </w:rPr>
              <w:t>(F.C.) (Civil) (By Leave)</w:t>
            </w:r>
          </w:p>
          <w:p w:rsidR="00232760" w:rsidRPr="00E85E82" w:rsidRDefault="00232760" w:rsidP="000F56AC">
            <w:pPr>
              <w:jc w:val="both"/>
              <w:rPr>
                <w:rFonts w:cs="Times New Roman"/>
                <w:sz w:val="20"/>
                <w:szCs w:val="20"/>
              </w:rPr>
            </w:pPr>
          </w:p>
        </w:tc>
      </w:tr>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Fonts w:cs="Times New Roman"/>
                <w:sz w:val="20"/>
                <w:szCs w:val="20"/>
              </w:rPr>
              <w:t>Coram :</w:t>
            </w:r>
          </w:p>
        </w:tc>
        <w:tc>
          <w:tcPr>
            <w:tcW w:w="8118" w:type="dxa"/>
            <w:gridSpan w:val="3"/>
          </w:tcPr>
          <w:p w:rsidR="00232760" w:rsidRPr="00E85E82" w:rsidRDefault="00232760" w:rsidP="000F56AC">
            <w:pPr>
              <w:jc w:val="both"/>
              <w:rPr>
                <w:rStyle w:val="SCCCoramChar"/>
                <w:sz w:val="20"/>
                <w:szCs w:val="20"/>
                <w:lang w:val="en-CA"/>
              </w:rPr>
            </w:pPr>
            <w:r w:rsidRPr="00E85E82">
              <w:rPr>
                <w:rStyle w:val="SCCCoramChar"/>
                <w:sz w:val="20"/>
                <w:szCs w:val="20"/>
                <w:lang w:val="en-CA"/>
              </w:rPr>
              <w:t>McLachlin C.J. and Moldaver and Gascon JJ.</w:t>
            </w:r>
          </w:p>
          <w:p w:rsidR="00232760" w:rsidRPr="00E85E82" w:rsidRDefault="00232760" w:rsidP="000F56AC">
            <w:pPr>
              <w:jc w:val="both"/>
              <w:rPr>
                <w:rFonts w:cs="Times New Roman"/>
                <w:sz w:val="20"/>
                <w:szCs w:val="20"/>
                <w:u w:val="single"/>
              </w:rPr>
            </w:pPr>
          </w:p>
        </w:tc>
      </w:tr>
      <w:tr w:rsidR="00232760" w:rsidRPr="00B407D6" w:rsidTr="000F56AC">
        <w:trPr>
          <w:cantSplit/>
        </w:trPr>
        <w:tc>
          <w:tcPr>
            <w:tcW w:w="9576" w:type="dxa"/>
            <w:gridSpan w:val="4"/>
          </w:tcPr>
          <w:p w:rsidR="00D02D40" w:rsidRPr="00E85E82" w:rsidRDefault="00D02D40" w:rsidP="00D02D40">
            <w:pPr>
              <w:pStyle w:val="SCCShortJudgment"/>
            </w:pPr>
            <w:r w:rsidRPr="00E85E82">
              <w:t>The application for leave to appeal from the judgment of the Federal Court of Appeal, Numbers  A-288-14 and A342-14, 2016 FCA 9, dated January 13, 2016, is dismissed with costs.</w:t>
            </w:r>
          </w:p>
          <w:p w:rsidR="00D02D40" w:rsidRPr="00E85E82" w:rsidRDefault="00D02D40" w:rsidP="00D02D40">
            <w:pPr>
              <w:pStyle w:val="SCCShortJudgment"/>
              <w:ind w:firstLine="0"/>
            </w:pPr>
          </w:p>
          <w:p w:rsidR="00D02D40" w:rsidRPr="00C556BB" w:rsidRDefault="00D02D40" w:rsidP="00D02D40">
            <w:pPr>
              <w:pStyle w:val="SCCShortJudgment"/>
              <w:rPr>
                <w:lang w:val="fr-CA"/>
              </w:rPr>
            </w:pPr>
            <w:r w:rsidRPr="00C556BB">
              <w:rPr>
                <w:lang w:val="fr-CA"/>
              </w:rPr>
              <w:t>La demande d’autorisation d’appel de l’arrêt de la Cour d’appel fédérale, numéros A-288-14 et A342-14, 2016 FCA 9, daté du 13 janvier 2016, est rejetée avec dépens.</w:t>
            </w:r>
          </w:p>
          <w:p w:rsidR="00232760" w:rsidRPr="00E85E82" w:rsidRDefault="00232760" w:rsidP="000F56AC">
            <w:pPr>
              <w:pStyle w:val="SCCShortJudgment"/>
              <w:ind w:firstLine="0"/>
              <w:rPr>
                <w:rFonts w:cs="Times New Roman"/>
                <w:szCs w:val="20"/>
                <w:lang w:val="fr-CA"/>
              </w:rPr>
            </w:pPr>
          </w:p>
        </w:tc>
      </w:tr>
      <w:tr w:rsidR="00232760" w:rsidRPr="00E85E82" w:rsidTr="000F56AC">
        <w:trPr>
          <w:cantSplit/>
        </w:trPr>
        <w:tc>
          <w:tcPr>
            <w:tcW w:w="9576" w:type="dxa"/>
            <w:gridSpan w:val="4"/>
          </w:tcPr>
          <w:p w:rsidR="00232760" w:rsidRPr="00E85E82" w:rsidRDefault="00232760" w:rsidP="000F56AC">
            <w:pPr>
              <w:pStyle w:val="SCCShortJudgment"/>
              <w:ind w:firstLine="0"/>
              <w:rPr>
                <w:rFonts w:cs="Times New Roman"/>
                <w:szCs w:val="20"/>
                <w:u w:val="single"/>
                <w:lang w:val="fr-CA"/>
              </w:rPr>
            </w:pPr>
            <w:r w:rsidRPr="00E85E82">
              <w:rPr>
                <w:rFonts w:cs="Times New Roman"/>
                <w:szCs w:val="20"/>
                <w:u w:val="single"/>
                <w:lang w:val="fr-CA"/>
              </w:rPr>
              <w:t>CASE SUMMARY</w:t>
            </w:r>
          </w:p>
          <w:p w:rsidR="00232760" w:rsidRPr="00E85E82" w:rsidRDefault="00232760" w:rsidP="000F56AC">
            <w:pPr>
              <w:pStyle w:val="SCCShortJudgment"/>
              <w:ind w:firstLine="0"/>
              <w:rPr>
                <w:rFonts w:cs="Times New Roman"/>
                <w:szCs w:val="20"/>
                <w:u w:val="single"/>
                <w:lang w:val="fr-CA"/>
              </w:rPr>
            </w:pPr>
          </w:p>
        </w:tc>
      </w:tr>
      <w:tr w:rsidR="00232760" w:rsidRPr="00E85E82" w:rsidTr="000F56AC">
        <w:trPr>
          <w:cantSplit/>
        </w:trPr>
        <w:tc>
          <w:tcPr>
            <w:tcW w:w="9576" w:type="dxa"/>
            <w:gridSpan w:val="4"/>
          </w:tcPr>
          <w:p w:rsidR="00232760" w:rsidRPr="00E85E82" w:rsidRDefault="009B5387" w:rsidP="000F56AC">
            <w:pPr>
              <w:pStyle w:val="SCCShortJudgment"/>
              <w:ind w:firstLine="0"/>
              <w:rPr>
                <w:szCs w:val="20"/>
              </w:rPr>
            </w:pPr>
            <w:r w:rsidRPr="00E85E82">
              <w:rPr>
                <w:szCs w:val="20"/>
              </w:rPr>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E85E82">
              <w:rPr>
                <w:i/>
                <w:szCs w:val="20"/>
              </w:rPr>
              <w:t>Controlled Drugs and Substances Act</w:t>
            </w:r>
            <w:r w:rsidRPr="00E85E82">
              <w:rPr>
                <w:szCs w:val="20"/>
              </w:rPr>
              <w:t>, S.C. 1996, c. 19.</w:t>
            </w:r>
          </w:p>
          <w:p w:rsidR="009B5387" w:rsidRPr="00E85E82" w:rsidRDefault="009B5387" w:rsidP="000F56AC">
            <w:pPr>
              <w:pStyle w:val="SCCShortJudgment"/>
              <w:ind w:firstLine="0"/>
              <w:rPr>
                <w:rFonts w:cs="Times New Roman"/>
                <w:szCs w:val="20"/>
              </w:rPr>
            </w:pPr>
          </w:p>
        </w:tc>
      </w:tr>
      <w:tr w:rsidR="00232760" w:rsidRPr="00E85E82" w:rsidTr="000F56AC">
        <w:trPr>
          <w:cantSplit/>
        </w:trPr>
        <w:tc>
          <w:tcPr>
            <w:tcW w:w="9576" w:type="dxa"/>
            <w:gridSpan w:val="4"/>
          </w:tcPr>
          <w:p w:rsidR="00232760" w:rsidRPr="00E85E82" w:rsidRDefault="009B5387" w:rsidP="000F56AC">
            <w:pPr>
              <w:pStyle w:val="SCCShortJudgment"/>
              <w:ind w:firstLine="0"/>
              <w:rPr>
                <w:szCs w:val="20"/>
              </w:rPr>
            </w:pPr>
            <w:r w:rsidRPr="00E85E82">
              <w:rPr>
                <w:szCs w:val="20"/>
              </w:rPr>
              <w:t xml:space="preserve">Since February 2014, approximately 300 self-represented plaintiffs, including the applicant, have filed identical claims seeking declarations that the </w:t>
            </w:r>
            <w:r w:rsidRPr="00E85E82">
              <w:rPr>
                <w:i/>
                <w:szCs w:val="20"/>
              </w:rPr>
              <w:t>Marijuana Medical Access Regulations (“MMAR”)</w:t>
            </w:r>
            <w:r w:rsidRPr="00E85E82">
              <w:rPr>
                <w:szCs w:val="20"/>
              </w:rPr>
              <w:t>, S.O.R./2001-227, which were repealed on March 31, 2014 and the</w:t>
            </w:r>
            <w:r w:rsidRPr="00E85E82">
              <w:rPr>
                <w:i/>
                <w:szCs w:val="20"/>
              </w:rPr>
              <w:t xml:space="preserve"> Marijuana for Medical Purposes Regulations</w:t>
            </w:r>
            <w:r w:rsidRPr="00E85E82">
              <w:rPr>
                <w:szCs w:val="20"/>
              </w:rPr>
              <w:t xml:space="preserve">, S.O.R./2013-119, which succeeded the </w:t>
            </w:r>
            <w:r w:rsidRPr="00E85E82">
              <w:rPr>
                <w:i/>
                <w:szCs w:val="20"/>
              </w:rPr>
              <w:t>MMAR</w:t>
            </w:r>
            <w:r w:rsidRPr="00E85E82">
              <w:rPr>
                <w:szCs w:val="20"/>
              </w:rPr>
              <w:t xml:space="preserve"> are unconstitutional. In the course of their actions, twenty-six plaintiffs, including the applicant, brought motions for interim constitutional exemptions from the </w:t>
            </w:r>
            <w:r w:rsidRPr="00E85E82">
              <w:rPr>
                <w:i/>
                <w:szCs w:val="20"/>
              </w:rPr>
              <w:t>Controlled Drugs and Substances Act</w:t>
            </w:r>
            <w:r w:rsidRPr="00E85E82">
              <w:rPr>
                <w:szCs w:val="20"/>
              </w:rPr>
              <w:t xml:space="preserve"> </w:t>
            </w:r>
            <w:r w:rsidRPr="00E85E82">
              <w:rPr>
                <w:i/>
                <w:szCs w:val="20"/>
              </w:rPr>
              <w:t>(“CDSA”)</w:t>
            </w:r>
            <w:r w:rsidRPr="00E85E82">
              <w:rPr>
                <w:szCs w:val="20"/>
              </w:rPr>
              <w:t xml:space="preserve"> for the personal use of marijuana pending trial of their actions.</w:t>
            </w:r>
          </w:p>
          <w:p w:rsidR="009B5387" w:rsidRPr="00E85E82" w:rsidRDefault="009B5387" w:rsidP="000F56AC">
            <w:pPr>
              <w:pStyle w:val="SCCShortJudgment"/>
              <w:ind w:firstLine="0"/>
              <w:rPr>
                <w:rFonts w:cs="Times New Roman"/>
                <w:szCs w:val="20"/>
              </w:rPr>
            </w:pPr>
          </w:p>
        </w:tc>
      </w:tr>
      <w:tr w:rsidR="00232760" w:rsidRPr="00E85E82" w:rsidTr="000F56AC">
        <w:trPr>
          <w:cantSplit/>
        </w:trPr>
        <w:tc>
          <w:tcPr>
            <w:tcW w:w="4410" w:type="dxa"/>
            <w:gridSpan w:val="2"/>
          </w:tcPr>
          <w:p w:rsidR="009B5387" w:rsidRPr="00E85E82" w:rsidRDefault="009B5387" w:rsidP="009B5387">
            <w:pPr>
              <w:rPr>
                <w:sz w:val="20"/>
                <w:szCs w:val="20"/>
              </w:rPr>
            </w:pPr>
            <w:r w:rsidRPr="00E85E82">
              <w:rPr>
                <w:sz w:val="20"/>
                <w:szCs w:val="20"/>
              </w:rPr>
              <w:t>May 7, 2014</w:t>
            </w:r>
          </w:p>
          <w:p w:rsidR="009B5387" w:rsidRPr="00E85E82" w:rsidRDefault="009B5387" w:rsidP="009B5387">
            <w:pPr>
              <w:rPr>
                <w:sz w:val="20"/>
                <w:szCs w:val="20"/>
              </w:rPr>
            </w:pPr>
            <w:r w:rsidRPr="00E85E82">
              <w:rPr>
                <w:sz w:val="20"/>
                <w:szCs w:val="20"/>
              </w:rPr>
              <w:t>Federal Court</w:t>
            </w:r>
          </w:p>
          <w:p w:rsidR="00232760" w:rsidRPr="00E85E82" w:rsidRDefault="009B5387" w:rsidP="009B5387">
            <w:pPr>
              <w:jc w:val="both"/>
              <w:rPr>
                <w:sz w:val="20"/>
                <w:szCs w:val="20"/>
              </w:rPr>
            </w:pPr>
            <w:r w:rsidRPr="00E85E82">
              <w:rPr>
                <w:sz w:val="20"/>
                <w:szCs w:val="20"/>
              </w:rPr>
              <w:t>(Phelan J.)</w:t>
            </w:r>
          </w:p>
          <w:p w:rsidR="009B5387" w:rsidRPr="00E85E82" w:rsidRDefault="009B5387" w:rsidP="009B5387">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9B5387" w:rsidRPr="00E85E82" w:rsidRDefault="009B5387" w:rsidP="009B5387">
            <w:pPr>
              <w:jc w:val="both"/>
              <w:rPr>
                <w:sz w:val="20"/>
                <w:szCs w:val="20"/>
              </w:rPr>
            </w:pPr>
            <w:r w:rsidRPr="00E85E82">
              <w:rPr>
                <w:sz w:val="20"/>
                <w:szCs w:val="20"/>
              </w:rPr>
              <w:t xml:space="preserve">Motion for interim constitutional exemptions from provisions of </w:t>
            </w:r>
            <w:r w:rsidRPr="00E85E82">
              <w:rPr>
                <w:i/>
                <w:sz w:val="20"/>
                <w:szCs w:val="20"/>
              </w:rPr>
              <w:t>Controlled Drugs and Substances Act</w:t>
            </w:r>
            <w:r w:rsidRPr="00E85E82">
              <w:rPr>
                <w:sz w:val="20"/>
                <w:szCs w:val="20"/>
              </w:rPr>
              <w:t xml:space="preserve"> dismissed</w:t>
            </w:r>
          </w:p>
          <w:p w:rsidR="00232760" w:rsidRPr="00E85E82" w:rsidRDefault="00232760" w:rsidP="000F56AC">
            <w:pPr>
              <w:jc w:val="both"/>
              <w:rPr>
                <w:rFonts w:cs="Times New Roman"/>
                <w:sz w:val="20"/>
                <w:szCs w:val="20"/>
              </w:rPr>
            </w:pPr>
          </w:p>
        </w:tc>
      </w:tr>
      <w:tr w:rsidR="00232760" w:rsidRPr="00E85E82" w:rsidTr="000F56AC">
        <w:trPr>
          <w:cantSplit/>
        </w:trPr>
        <w:tc>
          <w:tcPr>
            <w:tcW w:w="4410" w:type="dxa"/>
            <w:gridSpan w:val="2"/>
          </w:tcPr>
          <w:p w:rsidR="009B5387" w:rsidRPr="00E85E82" w:rsidRDefault="009B5387" w:rsidP="009B5387">
            <w:pPr>
              <w:rPr>
                <w:sz w:val="20"/>
                <w:szCs w:val="20"/>
              </w:rPr>
            </w:pPr>
            <w:r w:rsidRPr="00E85E82">
              <w:rPr>
                <w:sz w:val="20"/>
                <w:szCs w:val="20"/>
              </w:rPr>
              <w:t>January 13, 2016</w:t>
            </w:r>
          </w:p>
          <w:p w:rsidR="009B5387" w:rsidRPr="00E85E82" w:rsidRDefault="009B5387" w:rsidP="009B5387">
            <w:pPr>
              <w:rPr>
                <w:sz w:val="20"/>
                <w:szCs w:val="20"/>
              </w:rPr>
            </w:pPr>
            <w:r w:rsidRPr="00E85E82">
              <w:rPr>
                <w:sz w:val="20"/>
                <w:szCs w:val="20"/>
              </w:rPr>
              <w:t>Federal Court of Appeal</w:t>
            </w:r>
          </w:p>
          <w:p w:rsidR="009B5387" w:rsidRPr="00E85E82" w:rsidRDefault="009B5387" w:rsidP="009B5387">
            <w:pPr>
              <w:rPr>
                <w:rFonts w:eastAsia="Times New Roman" w:cs="Times New Roman"/>
                <w:sz w:val="20"/>
                <w:szCs w:val="20"/>
                <w:lang w:eastAsia="en-CA"/>
              </w:rPr>
            </w:pPr>
            <w:r w:rsidRPr="00E85E82">
              <w:rPr>
                <w:rFonts w:eastAsia="Times New Roman" w:cs="Times New Roman"/>
                <w:sz w:val="20"/>
                <w:szCs w:val="20"/>
                <w:lang w:eastAsia="en-CA"/>
              </w:rPr>
              <w:t xml:space="preserve">(Pelletier, </w:t>
            </w:r>
            <w:proofErr w:type="spellStart"/>
            <w:r w:rsidRPr="00E85E82">
              <w:rPr>
                <w:rFonts w:eastAsia="Times New Roman" w:cs="Times New Roman"/>
                <w:sz w:val="20"/>
                <w:szCs w:val="20"/>
                <w:lang w:eastAsia="en-CA"/>
              </w:rPr>
              <w:t>Stratas</w:t>
            </w:r>
            <w:proofErr w:type="spellEnd"/>
            <w:r w:rsidRPr="00E85E82">
              <w:rPr>
                <w:rFonts w:eastAsia="Times New Roman" w:cs="Times New Roman"/>
                <w:sz w:val="20"/>
                <w:szCs w:val="20"/>
                <w:lang w:eastAsia="en-CA"/>
              </w:rPr>
              <w:t xml:space="preserve"> and Gleason JJ.A.)</w:t>
            </w:r>
          </w:p>
          <w:p w:rsidR="009B5387" w:rsidRPr="00E85E82" w:rsidRDefault="00B407D6" w:rsidP="009B5387">
            <w:pPr>
              <w:rPr>
                <w:rFonts w:eastAsia="Times New Roman" w:cs="Times New Roman"/>
                <w:sz w:val="20"/>
                <w:szCs w:val="20"/>
                <w:lang w:eastAsia="en-CA"/>
              </w:rPr>
            </w:pPr>
            <w:hyperlink r:id="rId43" w:history="1">
              <w:r w:rsidR="009B5387" w:rsidRPr="00E85E82">
                <w:rPr>
                  <w:rFonts w:eastAsia="Times New Roman" w:cs="Times New Roman"/>
                  <w:color w:val="0000FF" w:themeColor="hyperlink"/>
                  <w:sz w:val="20"/>
                  <w:szCs w:val="20"/>
                  <w:u w:val="single"/>
                  <w:lang w:eastAsia="en-CA"/>
                </w:rPr>
                <w:t>2016 FCA 9</w:t>
              </w:r>
            </w:hyperlink>
          </w:p>
          <w:p w:rsidR="00232760" w:rsidRPr="00E85E82" w:rsidRDefault="00232760" w:rsidP="000F56AC">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9B5387" w:rsidRPr="00E85E82" w:rsidRDefault="009B5387" w:rsidP="009B5387">
            <w:pPr>
              <w:rPr>
                <w:sz w:val="20"/>
                <w:szCs w:val="20"/>
              </w:rPr>
            </w:pPr>
            <w:r w:rsidRPr="00E85E82">
              <w:rPr>
                <w:sz w:val="20"/>
                <w:szCs w:val="20"/>
              </w:rPr>
              <w:t>Appeal dismissed</w:t>
            </w:r>
          </w:p>
          <w:p w:rsidR="00232760" w:rsidRPr="00E85E82" w:rsidRDefault="00232760" w:rsidP="000F56AC">
            <w:pPr>
              <w:jc w:val="both"/>
              <w:rPr>
                <w:rFonts w:cs="Times New Roman"/>
                <w:sz w:val="20"/>
                <w:szCs w:val="20"/>
              </w:rPr>
            </w:pPr>
          </w:p>
        </w:tc>
      </w:tr>
      <w:tr w:rsidR="00232760" w:rsidRPr="00E85E82" w:rsidTr="000F56AC">
        <w:trPr>
          <w:cantSplit/>
        </w:trPr>
        <w:tc>
          <w:tcPr>
            <w:tcW w:w="4410" w:type="dxa"/>
            <w:gridSpan w:val="2"/>
          </w:tcPr>
          <w:p w:rsidR="009B5387" w:rsidRPr="00E85E82" w:rsidRDefault="009B5387" w:rsidP="009B5387">
            <w:pPr>
              <w:rPr>
                <w:sz w:val="20"/>
                <w:szCs w:val="20"/>
              </w:rPr>
            </w:pPr>
            <w:r w:rsidRPr="00E85E82">
              <w:rPr>
                <w:sz w:val="20"/>
                <w:szCs w:val="20"/>
              </w:rPr>
              <w:t>March 10, 2016</w:t>
            </w:r>
          </w:p>
          <w:p w:rsidR="009B5387" w:rsidRPr="00E85E82" w:rsidRDefault="009B5387" w:rsidP="009B5387">
            <w:pPr>
              <w:rPr>
                <w:sz w:val="20"/>
                <w:szCs w:val="20"/>
              </w:rPr>
            </w:pPr>
            <w:r w:rsidRPr="00E85E82">
              <w:rPr>
                <w:sz w:val="20"/>
                <w:szCs w:val="20"/>
              </w:rPr>
              <w:t>Supreme Court of Canada</w:t>
            </w:r>
          </w:p>
          <w:p w:rsidR="00232760" w:rsidRPr="00E85E82" w:rsidRDefault="00232760" w:rsidP="000F56AC">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9B5387" w:rsidRPr="00E85E82" w:rsidRDefault="009B5387" w:rsidP="009B5387">
            <w:pPr>
              <w:jc w:val="both"/>
              <w:rPr>
                <w:sz w:val="20"/>
                <w:szCs w:val="20"/>
              </w:rPr>
            </w:pPr>
            <w:r w:rsidRPr="00E85E82">
              <w:rPr>
                <w:sz w:val="20"/>
                <w:szCs w:val="20"/>
              </w:rPr>
              <w:t>Motion to extend time to serve and file application for leave to appeal and application for leave to appeal filed</w:t>
            </w:r>
          </w:p>
          <w:p w:rsidR="00232760" w:rsidRPr="00E85E82" w:rsidRDefault="00232760" w:rsidP="000F56AC">
            <w:pPr>
              <w:jc w:val="both"/>
              <w:rPr>
                <w:rFonts w:cs="Times New Roman"/>
                <w:sz w:val="20"/>
                <w:szCs w:val="20"/>
              </w:rPr>
            </w:pPr>
          </w:p>
        </w:tc>
      </w:tr>
      <w:tr w:rsidR="00232760" w:rsidRPr="00E85E82" w:rsidTr="000F56AC">
        <w:trPr>
          <w:cantSplit/>
        </w:trPr>
        <w:tc>
          <w:tcPr>
            <w:tcW w:w="9576" w:type="dxa"/>
            <w:gridSpan w:val="4"/>
          </w:tcPr>
          <w:p w:rsidR="00232760" w:rsidRPr="00E85E82" w:rsidRDefault="00B407D6" w:rsidP="000F56AC">
            <w:pPr>
              <w:pStyle w:val="SCCShortJudgment"/>
              <w:ind w:firstLine="0"/>
              <w:rPr>
                <w:rFonts w:cs="Times New Roman"/>
                <w:szCs w:val="20"/>
                <w:lang w:val="fr-CA"/>
              </w:rPr>
            </w:pPr>
            <w:r>
              <w:rPr>
                <w:rFonts w:cs="Times New Roman"/>
                <w:szCs w:val="20"/>
                <w:lang w:val="fr-CA"/>
              </w:rPr>
              <w:pict>
                <v:rect id="_x0000_i1057" style="width:2in;height:1pt" o:hrpct="0" o:hralign="center" o:hrstd="t" o:hrnoshade="t" o:hr="t" fillcolor="black [3213]" stroked="f"/>
              </w:pict>
            </w:r>
          </w:p>
          <w:p w:rsidR="00232760" w:rsidRPr="00E85E82" w:rsidRDefault="00232760" w:rsidP="000F56AC">
            <w:pPr>
              <w:pStyle w:val="SCCShortJudgment"/>
              <w:ind w:firstLine="0"/>
              <w:rPr>
                <w:rFonts w:cs="Times New Roman"/>
                <w:szCs w:val="20"/>
                <w:lang w:val="fr-CA"/>
              </w:rPr>
            </w:pPr>
          </w:p>
        </w:tc>
      </w:tr>
      <w:tr w:rsidR="00232760" w:rsidRPr="00E85E82" w:rsidTr="000F56AC">
        <w:trPr>
          <w:cantSplit/>
        </w:trPr>
        <w:tc>
          <w:tcPr>
            <w:tcW w:w="9576" w:type="dxa"/>
            <w:gridSpan w:val="4"/>
          </w:tcPr>
          <w:p w:rsidR="00232760" w:rsidRPr="00E85E82" w:rsidRDefault="00232760" w:rsidP="000F56AC">
            <w:pPr>
              <w:pStyle w:val="SCCShortJudgment"/>
              <w:ind w:firstLine="0"/>
              <w:rPr>
                <w:rFonts w:cs="Times New Roman"/>
                <w:szCs w:val="20"/>
                <w:u w:val="single"/>
                <w:lang w:val="fr-CA"/>
              </w:rPr>
            </w:pPr>
            <w:r w:rsidRPr="00E85E82">
              <w:rPr>
                <w:rFonts w:cs="Times New Roman"/>
                <w:szCs w:val="20"/>
                <w:u w:val="single"/>
                <w:lang w:val="fr-CA"/>
              </w:rPr>
              <w:t>RÉSUMÉ DE L’AFFAIRE </w:t>
            </w:r>
          </w:p>
          <w:p w:rsidR="00232760" w:rsidRPr="00E85E82" w:rsidRDefault="00232760" w:rsidP="000F56AC">
            <w:pPr>
              <w:pStyle w:val="SCCShortJudgment"/>
              <w:ind w:firstLine="0"/>
              <w:rPr>
                <w:rFonts w:cs="Times New Roman"/>
                <w:szCs w:val="20"/>
                <w:u w:val="single"/>
                <w:lang w:val="fr-CA"/>
              </w:rPr>
            </w:pPr>
          </w:p>
        </w:tc>
      </w:tr>
      <w:tr w:rsidR="00232760" w:rsidRPr="00B407D6" w:rsidTr="000F56AC">
        <w:trPr>
          <w:cantSplit/>
        </w:trPr>
        <w:tc>
          <w:tcPr>
            <w:tcW w:w="9576" w:type="dxa"/>
            <w:gridSpan w:val="4"/>
          </w:tcPr>
          <w:p w:rsidR="00232760" w:rsidRPr="00E85E82" w:rsidRDefault="009B5387" w:rsidP="000F56AC">
            <w:pPr>
              <w:pStyle w:val="SCCShortJudgment"/>
              <w:ind w:firstLine="0"/>
              <w:rPr>
                <w:szCs w:val="20"/>
                <w:lang w:val="fr-CA"/>
              </w:rPr>
            </w:pPr>
            <w:r w:rsidRPr="00E85E82">
              <w:rPr>
                <w:szCs w:val="20"/>
                <w:lang w:val="fr-CA"/>
              </w:rPr>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E85E82">
              <w:rPr>
                <w:i/>
                <w:szCs w:val="20"/>
                <w:lang w:val="fr-CA"/>
              </w:rPr>
              <w:t>Loi réglementant certaines drogues et autres substances</w:t>
            </w:r>
            <w:r w:rsidRPr="00E85E82">
              <w:rPr>
                <w:szCs w:val="20"/>
                <w:lang w:val="fr-CA"/>
              </w:rPr>
              <w:t>, L.C., 1996, ch. 19.</w:t>
            </w:r>
          </w:p>
          <w:p w:rsidR="009B5387" w:rsidRPr="00E85E82" w:rsidRDefault="009B5387" w:rsidP="000F56AC">
            <w:pPr>
              <w:pStyle w:val="SCCShortJudgment"/>
              <w:ind w:firstLine="0"/>
              <w:rPr>
                <w:rFonts w:cs="Times New Roman"/>
                <w:szCs w:val="20"/>
                <w:u w:val="single"/>
                <w:lang w:val="fr-CA"/>
              </w:rPr>
            </w:pPr>
          </w:p>
        </w:tc>
      </w:tr>
      <w:tr w:rsidR="00232760" w:rsidRPr="00B407D6" w:rsidTr="000F56AC">
        <w:trPr>
          <w:cantSplit/>
        </w:trPr>
        <w:tc>
          <w:tcPr>
            <w:tcW w:w="9576" w:type="dxa"/>
            <w:gridSpan w:val="4"/>
          </w:tcPr>
          <w:p w:rsidR="00232760" w:rsidRPr="00E85E82" w:rsidRDefault="009B5387" w:rsidP="000F56AC">
            <w:pPr>
              <w:jc w:val="both"/>
              <w:rPr>
                <w:sz w:val="20"/>
                <w:szCs w:val="20"/>
                <w:lang w:val="fr-CA"/>
              </w:rPr>
            </w:pPr>
            <w:r w:rsidRPr="00E85E82">
              <w:rPr>
                <w:sz w:val="20"/>
                <w:szCs w:val="20"/>
                <w:lang w:val="fr-CA"/>
              </w:rPr>
              <w:t xml:space="preserve">Depuis février 2014, environ 300 plaideurs non représentés, y compris le demandeur, ont déposé des demandes identiques sollicitant des jugements qui déclarent inconstitutionnels le </w:t>
            </w:r>
            <w:r w:rsidRPr="00E85E82">
              <w:rPr>
                <w:i/>
                <w:sz w:val="20"/>
                <w:szCs w:val="20"/>
                <w:lang w:val="fr-CA"/>
              </w:rPr>
              <w:t>Règlement sur l’accès à la marihuana à des fins médicales (« RAMFM »)</w:t>
            </w:r>
            <w:r w:rsidRPr="00E85E82">
              <w:rPr>
                <w:sz w:val="20"/>
                <w:szCs w:val="20"/>
                <w:lang w:val="fr-CA"/>
              </w:rPr>
              <w:t xml:space="preserve">, D.O.R.S./2001-227, abrogé le 31 mars 2014 et le </w:t>
            </w:r>
            <w:r w:rsidRPr="00E85E82">
              <w:rPr>
                <w:i/>
                <w:sz w:val="20"/>
                <w:szCs w:val="20"/>
                <w:lang w:val="fr-CA"/>
              </w:rPr>
              <w:t>Règlement sur la marihuana à des fins médicales</w:t>
            </w:r>
            <w:r w:rsidRPr="00E85E82">
              <w:rPr>
                <w:sz w:val="20"/>
                <w:szCs w:val="20"/>
                <w:lang w:val="fr-CA"/>
              </w:rPr>
              <w:t xml:space="preserve">, D.O.R.S./2013-119, qui a remplacé le </w:t>
            </w:r>
            <w:r w:rsidRPr="00E85E82">
              <w:rPr>
                <w:i/>
                <w:sz w:val="20"/>
                <w:szCs w:val="20"/>
                <w:lang w:val="fr-CA"/>
              </w:rPr>
              <w:t>RAMFM</w:t>
            </w:r>
            <w:r w:rsidRPr="00E85E82">
              <w:rPr>
                <w:sz w:val="20"/>
                <w:szCs w:val="20"/>
                <w:lang w:val="fr-CA"/>
              </w:rPr>
              <w:t xml:space="preserve">. Dans le cadre de leurs actions, vingt-six demandeurs en première instance, y compris le demandeur en l’espèce, ont présenté des requêtes en exemption constitutionnelle visant à écarter temporairement l’application de la </w:t>
            </w:r>
            <w:r w:rsidRPr="00E85E82">
              <w:rPr>
                <w:i/>
                <w:sz w:val="20"/>
                <w:szCs w:val="20"/>
                <w:lang w:val="fr-CA"/>
              </w:rPr>
              <w:t>Loi réglementant certaines drogues et autres substances (« LRCDAS »)</w:t>
            </w:r>
            <w:r w:rsidRPr="00E85E82">
              <w:rPr>
                <w:sz w:val="20"/>
                <w:szCs w:val="20"/>
                <w:lang w:val="fr-CA"/>
              </w:rPr>
              <w:t xml:space="preserve"> pour l’utilisation personnelle de la marihuana en attendant que leurs actions soient instruites.</w:t>
            </w:r>
          </w:p>
          <w:p w:rsidR="009B5387" w:rsidRPr="00E85E82" w:rsidRDefault="009B5387" w:rsidP="000F56AC">
            <w:pPr>
              <w:jc w:val="both"/>
              <w:rPr>
                <w:rFonts w:cs="Times New Roman"/>
                <w:sz w:val="20"/>
                <w:szCs w:val="20"/>
                <w:u w:val="single"/>
                <w:lang w:val="fr-CA"/>
              </w:rPr>
            </w:pPr>
          </w:p>
        </w:tc>
      </w:tr>
      <w:tr w:rsidR="00232760" w:rsidRPr="00B407D6" w:rsidTr="000F56AC">
        <w:trPr>
          <w:cantSplit/>
        </w:trPr>
        <w:tc>
          <w:tcPr>
            <w:tcW w:w="4410" w:type="dxa"/>
            <w:gridSpan w:val="2"/>
          </w:tcPr>
          <w:p w:rsidR="009B5387" w:rsidRPr="00E85E82" w:rsidRDefault="009B5387" w:rsidP="009B5387">
            <w:pPr>
              <w:rPr>
                <w:sz w:val="20"/>
                <w:szCs w:val="20"/>
                <w:lang w:val="fr-CA"/>
              </w:rPr>
            </w:pPr>
            <w:r w:rsidRPr="00E85E82">
              <w:rPr>
                <w:sz w:val="20"/>
                <w:szCs w:val="20"/>
                <w:lang w:val="fr-CA"/>
              </w:rPr>
              <w:t>7 mai 2014</w:t>
            </w:r>
          </w:p>
          <w:p w:rsidR="009B5387" w:rsidRPr="00E85E82" w:rsidRDefault="009B5387" w:rsidP="009B5387">
            <w:pPr>
              <w:rPr>
                <w:sz w:val="20"/>
                <w:szCs w:val="20"/>
                <w:lang w:val="fr-CA"/>
              </w:rPr>
            </w:pPr>
            <w:r w:rsidRPr="00E85E82">
              <w:rPr>
                <w:sz w:val="20"/>
                <w:szCs w:val="20"/>
                <w:lang w:val="fr-CA"/>
              </w:rPr>
              <w:t xml:space="preserve">Cour fédérale </w:t>
            </w:r>
          </w:p>
          <w:p w:rsidR="00232760" w:rsidRPr="00E85E82" w:rsidRDefault="009B5387" w:rsidP="009B5387">
            <w:pPr>
              <w:pStyle w:val="SCCShortJudgment"/>
              <w:ind w:firstLine="0"/>
              <w:rPr>
                <w:szCs w:val="20"/>
                <w:lang w:val="fr-CA"/>
              </w:rPr>
            </w:pPr>
            <w:r w:rsidRPr="00E85E82">
              <w:rPr>
                <w:szCs w:val="20"/>
                <w:lang w:val="fr-CA"/>
              </w:rPr>
              <w:t>(Juge Phelan)</w:t>
            </w:r>
          </w:p>
          <w:p w:rsidR="009B5387" w:rsidRPr="00E85E82" w:rsidRDefault="009B5387" w:rsidP="009B5387">
            <w:pPr>
              <w:pStyle w:val="SCCShortJudgment"/>
              <w:ind w:firstLine="0"/>
              <w:rPr>
                <w:rFonts w:cs="Times New Roman"/>
                <w:szCs w:val="20"/>
                <w:u w:val="single"/>
                <w:lang w:val="fr-CA"/>
              </w:rPr>
            </w:pPr>
          </w:p>
        </w:tc>
        <w:tc>
          <w:tcPr>
            <w:tcW w:w="630" w:type="dxa"/>
          </w:tcPr>
          <w:p w:rsidR="00232760" w:rsidRPr="00E85E82" w:rsidRDefault="00232760" w:rsidP="000F56AC">
            <w:pPr>
              <w:pStyle w:val="SCCShortJudgment"/>
              <w:ind w:firstLine="0"/>
              <w:rPr>
                <w:rFonts w:cs="Times New Roman"/>
                <w:szCs w:val="20"/>
                <w:u w:val="single"/>
                <w:lang w:val="fr-CA"/>
              </w:rPr>
            </w:pPr>
          </w:p>
        </w:tc>
        <w:tc>
          <w:tcPr>
            <w:tcW w:w="4536" w:type="dxa"/>
          </w:tcPr>
          <w:p w:rsidR="009B5387" w:rsidRPr="00E85E82" w:rsidRDefault="009B5387" w:rsidP="009B5387">
            <w:pPr>
              <w:jc w:val="both"/>
              <w:rPr>
                <w:sz w:val="20"/>
                <w:szCs w:val="20"/>
                <w:lang w:val="fr-CA"/>
              </w:rPr>
            </w:pPr>
            <w:r w:rsidRPr="00E85E82">
              <w:rPr>
                <w:sz w:val="20"/>
                <w:szCs w:val="20"/>
                <w:lang w:val="fr-CA"/>
              </w:rPr>
              <w:t xml:space="preserve">Rejet de la requête en exemption constitutionnelle visant à écarter temporairement l’application de la </w:t>
            </w:r>
            <w:r w:rsidRPr="00E85E82">
              <w:rPr>
                <w:i/>
                <w:sz w:val="20"/>
                <w:szCs w:val="20"/>
                <w:lang w:val="fr-CA"/>
              </w:rPr>
              <w:t>Loi réglementant certaines drogues et autres substances</w:t>
            </w:r>
          </w:p>
          <w:p w:rsidR="00232760" w:rsidRPr="00E85E82" w:rsidRDefault="00232760" w:rsidP="000F56AC">
            <w:pPr>
              <w:pStyle w:val="SCCShortJudgment"/>
              <w:ind w:firstLine="0"/>
              <w:rPr>
                <w:rFonts w:cs="Times New Roman"/>
                <w:szCs w:val="20"/>
                <w:u w:val="single"/>
                <w:lang w:val="fr-CA"/>
              </w:rPr>
            </w:pPr>
          </w:p>
        </w:tc>
      </w:tr>
      <w:tr w:rsidR="00232760" w:rsidRPr="00E85E82" w:rsidTr="000F56AC">
        <w:trPr>
          <w:cantSplit/>
        </w:trPr>
        <w:tc>
          <w:tcPr>
            <w:tcW w:w="4410" w:type="dxa"/>
            <w:gridSpan w:val="2"/>
          </w:tcPr>
          <w:p w:rsidR="009B5387" w:rsidRPr="00E85E82" w:rsidRDefault="009B5387" w:rsidP="009B5387">
            <w:pPr>
              <w:rPr>
                <w:sz w:val="20"/>
                <w:szCs w:val="20"/>
                <w:lang w:val="fr-CA"/>
              </w:rPr>
            </w:pPr>
            <w:r w:rsidRPr="00E85E82">
              <w:rPr>
                <w:sz w:val="20"/>
                <w:szCs w:val="20"/>
                <w:lang w:val="fr-CA"/>
              </w:rPr>
              <w:t>13 janvier 2016</w:t>
            </w:r>
          </w:p>
          <w:p w:rsidR="009B5387" w:rsidRPr="00E85E82" w:rsidRDefault="009B5387" w:rsidP="009B5387">
            <w:pPr>
              <w:rPr>
                <w:sz w:val="20"/>
                <w:szCs w:val="20"/>
                <w:lang w:val="fr-CA"/>
              </w:rPr>
            </w:pPr>
            <w:r w:rsidRPr="00E85E82">
              <w:rPr>
                <w:sz w:val="20"/>
                <w:szCs w:val="20"/>
                <w:lang w:val="fr-CA"/>
              </w:rPr>
              <w:t xml:space="preserve">Cour d’appel fédérale </w:t>
            </w:r>
          </w:p>
          <w:p w:rsidR="009B5387" w:rsidRPr="00E85E82" w:rsidRDefault="009B5387" w:rsidP="009B5387">
            <w:pPr>
              <w:rPr>
                <w:rFonts w:eastAsia="Times New Roman" w:cs="Times New Roman"/>
                <w:sz w:val="20"/>
                <w:szCs w:val="20"/>
                <w:lang w:val="fr-CA" w:eastAsia="en-CA"/>
              </w:rPr>
            </w:pPr>
            <w:r w:rsidRPr="00E85E82">
              <w:rPr>
                <w:rFonts w:eastAsia="Times New Roman" w:cs="Times New Roman"/>
                <w:sz w:val="20"/>
                <w:szCs w:val="20"/>
                <w:lang w:val="fr-CA" w:eastAsia="en-CA"/>
              </w:rPr>
              <w:t xml:space="preserve">(Juges Pelletier, </w:t>
            </w:r>
            <w:proofErr w:type="spellStart"/>
            <w:r w:rsidRPr="00E85E82">
              <w:rPr>
                <w:rFonts w:eastAsia="Times New Roman" w:cs="Times New Roman"/>
                <w:sz w:val="20"/>
                <w:szCs w:val="20"/>
                <w:lang w:val="fr-CA" w:eastAsia="en-CA"/>
              </w:rPr>
              <w:t>Stratas</w:t>
            </w:r>
            <w:proofErr w:type="spellEnd"/>
            <w:r w:rsidRPr="00E85E82">
              <w:rPr>
                <w:rFonts w:eastAsia="Times New Roman" w:cs="Times New Roman"/>
                <w:sz w:val="20"/>
                <w:szCs w:val="20"/>
                <w:lang w:val="fr-CA" w:eastAsia="en-CA"/>
              </w:rPr>
              <w:t xml:space="preserve"> et </w:t>
            </w:r>
            <w:proofErr w:type="spellStart"/>
            <w:r w:rsidRPr="00E85E82">
              <w:rPr>
                <w:rFonts w:eastAsia="Times New Roman" w:cs="Times New Roman"/>
                <w:sz w:val="20"/>
                <w:szCs w:val="20"/>
                <w:lang w:val="fr-CA" w:eastAsia="en-CA"/>
              </w:rPr>
              <w:t>Gleason</w:t>
            </w:r>
            <w:proofErr w:type="spellEnd"/>
            <w:r w:rsidRPr="00E85E82">
              <w:rPr>
                <w:rFonts w:eastAsia="Times New Roman" w:cs="Times New Roman"/>
                <w:sz w:val="20"/>
                <w:szCs w:val="20"/>
                <w:lang w:val="fr-CA" w:eastAsia="en-CA"/>
              </w:rPr>
              <w:t>)</w:t>
            </w:r>
          </w:p>
          <w:p w:rsidR="009B5387" w:rsidRPr="00E85E82" w:rsidRDefault="00B407D6" w:rsidP="009B5387">
            <w:pPr>
              <w:rPr>
                <w:rFonts w:eastAsia="Times New Roman" w:cs="Times New Roman"/>
                <w:sz w:val="20"/>
                <w:szCs w:val="20"/>
                <w:lang w:val="fr-CA" w:eastAsia="en-CA"/>
              </w:rPr>
            </w:pPr>
            <w:hyperlink r:id="rId44" w:history="1">
              <w:r w:rsidR="009B5387" w:rsidRPr="00E85E82">
                <w:rPr>
                  <w:rFonts w:eastAsia="Times New Roman" w:cs="Times New Roman"/>
                  <w:color w:val="0000FF" w:themeColor="hyperlink"/>
                  <w:sz w:val="20"/>
                  <w:szCs w:val="20"/>
                  <w:u w:val="single"/>
                  <w:lang w:val="fr-CA" w:eastAsia="en-CA"/>
                </w:rPr>
                <w:t>2016 FCA 9</w:t>
              </w:r>
            </w:hyperlink>
          </w:p>
          <w:p w:rsidR="00232760" w:rsidRPr="00E85E82" w:rsidRDefault="00232760" w:rsidP="000F56AC">
            <w:pPr>
              <w:pStyle w:val="SCCShortJudgment"/>
              <w:ind w:firstLine="0"/>
              <w:rPr>
                <w:rFonts w:cs="Times New Roman"/>
                <w:szCs w:val="20"/>
                <w:u w:val="single"/>
                <w:lang w:val="fr-CA"/>
              </w:rPr>
            </w:pPr>
          </w:p>
        </w:tc>
        <w:tc>
          <w:tcPr>
            <w:tcW w:w="630" w:type="dxa"/>
          </w:tcPr>
          <w:p w:rsidR="00232760" w:rsidRPr="00E85E82" w:rsidRDefault="00232760" w:rsidP="000F56AC">
            <w:pPr>
              <w:pStyle w:val="SCCShortJudgment"/>
              <w:ind w:firstLine="0"/>
              <w:rPr>
                <w:rFonts w:cs="Times New Roman"/>
                <w:szCs w:val="20"/>
                <w:u w:val="single"/>
                <w:lang w:val="fr-CA"/>
              </w:rPr>
            </w:pPr>
          </w:p>
        </w:tc>
        <w:tc>
          <w:tcPr>
            <w:tcW w:w="4536" w:type="dxa"/>
          </w:tcPr>
          <w:p w:rsidR="009B5387" w:rsidRPr="00E85E82" w:rsidRDefault="009B5387" w:rsidP="009B5387">
            <w:pPr>
              <w:rPr>
                <w:sz w:val="20"/>
                <w:szCs w:val="20"/>
                <w:lang w:val="fr-CA"/>
              </w:rPr>
            </w:pPr>
            <w:r w:rsidRPr="00E85E82">
              <w:rPr>
                <w:sz w:val="20"/>
                <w:szCs w:val="20"/>
                <w:lang w:val="fr-CA"/>
              </w:rPr>
              <w:t>Rejet de l’appel</w:t>
            </w:r>
          </w:p>
          <w:p w:rsidR="00232760" w:rsidRPr="00E85E82" w:rsidRDefault="00232760" w:rsidP="009B5387">
            <w:pPr>
              <w:pStyle w:val="SCCShortJudgment"/>
              <w:tabs>
                <w:tab w:val="left" w:pos="921"/>
              </w:tabs>
              <w:ind w:firstLine="0"/>
              <w:rPr>
                <w:rFonts w:cs="Times New Roman"/>
                <w:szCs w:val="20"/>
                <w:u w:val="single"/>
                <w:lang w:val="fr-CA"/>
              </w:rPr>
            </w:pPr>
          </w:p>
        </w:tc>
      </w:tr>
      <w:tr w:rsidR="00232760" w:rsidRPr="00B407D6" w:rsidTr="000F56AC">
        <w:trPr>
          <w:cantSplit/>
        </w:trPr>
        <w:tc>
          <w:tcPr>
            <w:tcW w:w="4410" w:type="dxa"/>
            <w:gridSpan w:val="2"/>
          </w:tcPr>
          <w:p w:rsidR="009B5387" w:rsidRPr="00E85E82" w:rsidRDefault="009B5387" w:rsidP="009B5387">
            <w:pPr>
              <w:rPr>
                <w:sz w:val="20"/>
                <w:szCs w:val="20"/>
                <w:lang w:val="fr-CA"/>
              </w:rPr>
            </w:pPr>
            <w:r w:rsidRPr="00E85E82">
              <w:rPr>
                <w:sz w:val="20"/>
                <w:szCs w:val="20"/>
                <w:lang w:val="fr-CA"/>
              </w:rPr>
              <w:t>10 mars 2016</w:t>
            </w:r>
          </w:p>
          <w:p w:rsidR="009B5387" w:rsidRPr="00E85E82" w:rsidRDefault="009B5387" w:rsidP="009B5387">
            <w:pPr>
              <w:rPr>
                <w:sz w:val="20"/>
                <w:szCs w:val="20"/>
                <w:lang w:val="fr-CA"/>
              </w:rPr>
            </w:pPr>
            <w:r w:rsidRPr="00E85E82">
              <w:rPr>
                <w:sz w:val="20"/>
                <w:szCs w:val="20"/>
                <w:lang w:val="fr-CA"/>
              </w:rPr>
              <w:t>Cour suprême du Canada</w:t>
            </w:r>
          </w:p>
          <w:p w:rsidR="00232760" w:rsidRPr="00E85E82" w:rsidRDefault="00232760" w:rsidP="000F56AC">
            <w:pPr>
              <w:pStyle w:val="SCCShortJudgment"/>
              <w:ind w:firstLine="0"/>
              <w:rPr>
                <w:rFonts w:cs="Times New Roman"/>
                <w:szCs w:val="20"/>
                <w:u w:val="single"/>
                <w:lang w:val="fr-CA"/>
              </w:rPr>
            </w:pPr>
          </w:p>
        </w:tc>
        <w:tc>
          <w:tcPr>
            <w:tcW w:w="630" w:type="dxa"/>
          </w:tcPr>
          <w:p w:rsidR="00232760" w:rsidRPr="00E85E82" w:rsidRDefault="00232760" w:rsidP="000F56AC">
            <w:pPr>
              <w:pStyle w:val="SCCShortJudgment"/>
              <w:ind w:firstLine="0"/>
              <w:rPr>
                <w:rFonts w:cs="Times New Roman"/>
                <w:szCs w:val="20"/>
                <w:u w:val="single"/>
                <w:lang w:val="fr-CA"/>
              </w:rPr>
            </w:pPr>
          </w:p>
        </w:tc>
        <w:tc>
          <w:tcPr>
            <w:tcW w:w="4536" w:type="dxa"/>
          </w:tcPr>
          <w:p w:rsidR="00232760" w:rsidRPr="00E85E82" w:rsidRDefault="009B5387" w:rsidP="000F56AC">
            <w:pPr>
              <w:pStyle w:val="SCCShortJudgment"/>
              <w:ind w:firstLine="0"/>
              <w:rPr>
                <w:szCs w:val="20"/>
                <w:lang w:val="fr-CA"/>
              </w:rPr>
            </w:pPr>
            <w:r w:rsidRPr="00E85E82">
              <w:rPr>
                <w:szCs w:val="20"/>
                <w:lang w:val="fr-CA"/>
              </w:rPr>
              <w:t>Dépôt de la requête en prorogation du délai de signification et de dépôt de la demande d’autorisation d’appel et de la demande d’autorisation d’appel</w:t>
            </w:r>
          </w:p>
          <w:p w:rsidR="004E22A8" w:rsidRPr="00E85E82" w:rsidRDefault="004E22A8" w:rsidP="000F56AC">
            <w:pPr>
              <w:pStyle w:val="SCCShortJudgment"/>
              <w:ind w:firstLine="0"/>
              <w:rPr>
                <w:rFonts w:cs="Times New Roman"/>
                <w:szCs w:val="20"/>
                <w:u w:val="single"/>
                <w:lang w:val="fr-CA"/>
              </w:rPr>
            </w:pPr>
          </w:p>
        </w:tc>
      </w:tr>
    </w:tbl>
    <w:p w:rsidR="00232760" w:rsidRPr="00E85E82" w:rsidRDefault="00B407D6" w:rsidP="00232760">
      <w:pPr>
        <w:rPr>
          <w:rFonts w:cs="Times New Roman"/>
          <w:sz w:val="20"/>
          <w:szCs w:val="20"/>
          <w:lang w:val="fr-CA"/>
        </w:rPr>
      </w:pPr>
      <w:r>
        <w:rPr>
          <w:rFonts w:cs="Times New Roman"/>
          <w:sz w:val="20"/>
          <w:szCs w:val="20"/>
          <w:lang w:val="fr-CA"/>
        </w:rPr>
        <w:pict>
          <v:rect id="_x0000_i1058" style="width:2in;height:1pt" o:hrpct="0" o:hralign="center" o:hrstd="t" o:hrnoshade="t" o:hr="t" fillcolor="black [3213]" stroked="f"/>
        </w:pict>
      </w:r>
    </w:p>
    <w:p w:rsidR="00232760" w:rsidRPr="00E85E82" w:rsidRDefault="00232760" w:rsidP="0023276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Style w:val="SCCFileNumberChar"/>
                <w:sz w:val="20"/>
                <w:szCs w:val="20"/>
              </w:rPr>
              <w:t>36928</w:t>
            </w:r>
          </w:p>
          <w:p w:rsidR="00232760" w:rsidRPr="00E85E82" w:rsidRDefault="00232760" w:rsidP="000F56AC">
            <w:pPr>
              <w:jc w:val="both"/>
              <w:rPr>
                <w:rFonts w:cs="Times New Roman"/>
                <w:b/>
                <w:sz w:val="20"/>
                <w:szCs w:val="20"/>
              </w:rPr>
            </w:pPr>
          </w:p>
        </w:tc>
        <w:tc>
          <w:tcPr>
            <w:tcW w:w="8118" w:type="dxa"/>
            <w:gridSpan w:val="3"/>
          </w:tcPr>
          <w:p w:rsidR="00232760" w:rsidRPr="00E85E82" w:rsidRDefault="00FA0BB7" w:rsidP="000F56AC">
            <w:pPr>
              <w:jc w:val="both"/>
              <w:rPr>
                <w:rFonts w:cs="Times New Roman"/>
                <w:sz w:val="20"/>
                <w:szCs w:val="20"/>
              </w:rPr>
            </w:pPr>
            <w:r w:rsidRPr="00E85E82">
              <w:rPr>
                <w:rStyle w:val="SCCLsocChar"/>
                <w:rFonts w:cs="Times New Roman"/>
                <w:sz w:val="20"/>
                <w:szCs w:val="20"/>
                <w:lang w:val="en-CA"/>
              </w:rPr>
              <w:t>Robert Roy</w:t>
            </w:r>
            <w:r w:rsidR="00232760" w:rsidRPr="00E85E82">
              <w:rPr>
                <w:rStyle w:val="SCCLsocChar"/>
                <w:rFonts w:cs="Times New Roman"/>
                <w:sz w:val="20"/>
                <w:szCs w:val="20"/>
                <w:lang w:val="en-CA"/>
              </w:rPr>
              <w:t xml:space="preserve"> v. </w:t>
            </w:r>
            <w:r w:rsidRPr="00E85E82">
              <w:rPr>
                <w:rStyle w:val="SCCLsocChar"/>
                <w:rFonts w:cs="Times New Roman"/>
                <w:sz w:val="20"/>
                <w:szCs w:val="20"/>
                <w:lang w:val="en-CA"/>
              </w:rPr>
              <w:t>Her Majesty the Queen</w:t>
            </w:r>
            <w:r w:rsidR="00232760" w:rsidRPr="00E85E82">
              <w:rPr>
                <w:rStyle w:val="SCCLsocChar"/>
                <w:rFonts w:cs="Times New Roman"/>
                <w:b w:val="0"/>
                <w:sz w:val="20"/>
                <w:szCs w:val="20"/>
                <w:u w:val="none"/>
                <w:lang w:val="en-CA"/>
              </w:rPr>
              <w:t xml:space="preserve"> </w:t>
            </w:r>
            <w:r w:rsidR="00232760" w:rsidRPr="00E85E82">
              <w:rPr>
                <w:rFonts w:cs="Times New Roman"/>
                <w:sz w:val="20"/>
                <w:szCs w:val="20"/>
              </w:rPr>
              <w:t>(</w:t>
            </w:r>
            <w:r w:rsidRPr="00E85E82">
              <w:rPr>
                <w:rFonts w:cs="Times New Roman"/>
                <w:sz w:val="20"/>
                <w:szCs w:val="20"/>
              </w:rPr>
              <w:t>F.C.</w:t>
            </w:r>
            <w:r w:rsidR="00232760" w:rsidRPr="00E85E82">
              <w:rPr>
                <w:rFonts w:cs="Times New Roman"/>
                <w:sz w:val="20"/>
                <w:szCs w:val="20"/>
              </w:rPr>
              <w:t>) (Civil) (By Leave)</w:t>
            </w:r>
          </w:p>
          <w:p w:rsidR="00232760" w:rsidRPr="00E85E82" w:rsidRDefault="00232760" w:rsidP="000F56AC">
            <w:pPr>
              <w:jc w:val="both"/>
              <w:rPr>
                <w:rFonts w:cs="Times New Roman"/>
                <w:sz w:val="20"/>
                <w:szCs w:val="20"/>
              </w:rPr>
            </w:pPr>
          </w:p>
        </w:tc>
      </w:tr>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Fonts w:cs="Times New Roman"/>
                <w:sz w:val="20"/>
                <w:szCs w:val="20"/>
              </w:rPr>
              <w:t>Coram :</w:t>
            </w:r>
          </w:p>
        </w:tc>
        <w:tc>
          <w:tcPr>
            <w:tcW w:w="8118" w:type="dxa"/>
            <w:gridSpan w:val="3"/>
          </w:tcPr>
          <w:p w:rsidR="00232760" w:rsidRPr="00E85E82" w:rsidRDefault="00232760" w:rsidP="000F56AC">
            <w:pPr>
              <w:jc w:val="both"/>
              <w:rPr>
                <w:rStyle w:val="SCCCoramChar"/>
                <w:sz w:val="20"/>
                <w:szCs w:val="20"/>
                <w:lang w:val="en-CA"/>
              </w:rPr>
            </w:pPr>
            <w:r w:rsidRPr="00E85E82">
              <w:rPr>
                <w:rStyle w:val="SCCCoramChar"/>
                <w:sz w:val="20"/>
                <w:szCs w:val="20"/>
                <w:lang w:val="en-CA"/>
              </w:rPr>
              <w:t>McLachlin C.J. and Moldaver and Gascon JJ.</w:t>
            </w:r>
          </w:p>
          <w:p w:rsidR="00232760" w:rsidRPr="00E85E82" w:rsidRDefault="00232760" w:rsidP="000F56AC">
            <w:pPr>
              <w:jc w:val="both"/>
              <w:rPr>
                <w:rFonts w:cs="Times New Roman"/>
                <w:sz w:val="20"/>
                <w:szCs w:val="20"/>
                <w:u w:val="single"/>
              </w:rPr>
            </w:pPr>
          </w:p>
        </w:tc>
      </w:tr>
      <w:tr w:rsidR="00232760" w:rsidRPr="00B407D6" w:rsidTr="00C556BB">
        <w:tc>
          <w:tcPr>
            <w:tcW w:w="9576" w:type="dxa"/>
            <w:gridSpan w:val="4"/>
          </w:tcPr>
          <w:p w:rsidR="00D02D40" w:rsidRPr="00E85E82" w:rsidRDefault="00D02D40" w:rsidP="00D02D40">
            <w:pPr>
              <w:pStyle w:val="SCCShortJudgment"/>
            </w:pPr>
            <w:r w:rsidRPr="00E85E82">
              <w:t>The motion for an extension of time to serve and file the application for leave to appeal is granted.  The application for leave to appeal from the judgment of the Federal Court of Appeal, Numbers A-291-14 and A-342-14, 2016 FCA 9, dated January 13, 2016, is dismissed with costs.</w:t>
            </w:r>
          </w:p>
          <w:p w:rsidR="00D02D40" w:rsidRPr="00E85E82" w:rsidRDefault="00D02D40" w:rsidP="00D02D40">
            <w:pPr>
              <w:pStyle w:val="SCCShortJudgment"/>
              <w:ind w:firstLine="0"/>
            </w:pPr>
          </w:p>
          <w:p w:rsidR="00D02D40" w:rsidRPr="00C556BB" w:rsidRDefault="00D02D40" w:rsidP="00D02D40">
            <w:pPr>
              <w:pStyle w:val="SCCShortJudgment"/>
              <w:rPr>
                <w:lang w:val="fr-CA"/>
              </w:rPr>
            </w:pPr>
            <w:r w:rsidRPr="00C556BB">
              <w:rPr>
                <w:lang w:val="fr-CA"/>
              </w:rPr>
              <w:t>La requête en prorogation du délai de signification et de dépôt de la demande d’autorisation d’appel est accueillie. La demande d’autorisation d’appel de l’arrêt de la Cour d’appel fédérale, numéros A-291-14 et A-342-14, 2016 FCA 9, daté du 13 janvier 2016, est rejetée avec dépens.</w:t>
            </w:r>
          </w:p>
          <w:p w:rsidR="00232760" w:rsidRPr="00E85E82" w:rsidRDefault="00232760" w:rsidP="000F56AC">
            <w:pPr>
              <w:pStyle w:val="SCCShortJudgment"/>
              <w:ind w:firstLine="0"/>
              <w:rPr>
                <w:rFonts w:cs="Times New Roman"/>
                <w:szCs w:val="20"/>
                <w:lang w:val="fr-CA"/>
              </w:rPr>
            </w:pPr>
          </w:p>
        </w:tc>
      </w:tr>
      <w:tr w:rsidR="00232760" w:rsidRPr="00E85E82" w:rsidTr="000F56AC">
        <w:trPr>
          <w:cantSplit/>
        </w:trPr>
        <w:tc>
          <w:tcPr>
            <w:tcW w:w="9576" w:type="dxa"/>
            <w:gridSpan w:val="4"/>
          </w:tcPr>
          <w:p w:rsidR="00232760" w:rsidRPr="00E85E82" w:rsidRDefault="00232760" w:rsidP="000F56AC">
            <w:pPr>
              <w:pStyle w:val="SCCShortJudgment"/>
              <w:ind w:firstLine="0"/>
              <w:rPr>
                <w:rFonts w:cs="Times New Roman"/>
                <w:szCs w:val="20"/>
                <w:u w:val="single"/>
                <w:lang w:val="fr-CA"/>
              </w:rPr>
            </w:pPr>
            <w:r w:rsidRPr="00E85E82">
              <w:rPr>
                <w:rFonts w:cs="Times New Roman"/>
                <w:szCs w:val="20"/>
                <w:u w:val="single"/>
                <w:lang w:val="fr-CA"/>
              </w:rPr>
              <w:t>CASE SUMMARY</w:t>
            </w:r>
          </w:p>
          <w:p w:rsidR="00232760" w:rsidRPr="00E85E82" w:rsidRDefault="00232760" w:rsidP="000F56AC">
            <w:pPr>
              <w:pStyle w:val="SCCShortJudgment"/>
              <w:ind w:firstLine="0"/>
              <w:rPr>
                <w:rFonts w:cs="Times New Roman"/>
                <w:szCs w:val="20"/>
                <w:u w:val="single"/>
                <w:lang w:val="fr-CA"/>
              </w:rPr>
            </w:pPr>
          </w:p>
        </w:tc>
      </w:tr>
      <w:tr w:rsidR="00232760" w:rsidRPr="00E85E82" w:rsidTr="00870BB4">
        <w:tc>
          <w:tcPr>
            <w:tcW w:w="9576" w:type="dxa"/>
            <w:gridSpan w:val="4"/>
          </w:tcPr>
          <w:p w:rsidR="00232760" w:rsidRPr="00E85E82" w:rsidRDefault="00870BB4" w:rsidP="000F56AC">
            <w:pPr>
              <w:pStyle w:val="SCCShortJudgment"/>
              <w:ind w:firstLine="0"/>
              <w:rPr>
                <w:szCs w:val="20"/>
              </w:rPr>
            </w:pPr>
            <w:r w:rsidRPr="00E85E82">
              <w:rPr>
                <w:szCs w:val="20"/>
              </w:rPr>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E85E82">
              <w:rPr>
                <w:i/>
                <w:szCs w:val="20"/>
              </w:rPr>
              <w:t>Controlled Drugs and Substances Act</w:t>
            </w:r>
            <w:r w:rsidRPr="00E85E82">
              <w:rPr>
                <w:szCs w:val="20"/>
              </w:rPr>
              <w:t>, S.C. 1996, c. 19.</w:t>
            </w:r>
          </w:p>
          <w:p w:rsidR="00870BB4" w:rsidRPr="00E85E82" w:rsidRDefault="00870BB4" w:rsidP="000F56AC">
            <w:pPr>
              <w:pStyle w:val="SCCShortJudgment"/>
              <w:ind w:firstLine="0"/>
              <w:rPr>
                <w:rFonts w:cs="Times New Roman"/>
                <w:szCs w:val="20"/>
              </w:rPr>
            </w:pPr>
          </w:p>
        </w:tc>
      </w:tr>
      <w:tr w:rsidR="00232760" w:rsidRPr="00E85E82" w:rsidTr="000F56AC">
        <w:trPr>
          <w:cantSplit/>
        </w:trPr>
        <w:tc>
          <w:tcPr>
            <w:tcW w:w="9576" w:type="dxa"/>
            <w:gridSpan w:val="4"/>
          </w:tcPr>
          <w:p w:rsidR="00232760" w:rsidRPr="00E85E82" w:rsidRDefault="00870BB4" w:rsidP="000F56AC">
            <w:pPr>
              <w:pStyle w:val="SCCShortJudgment"/>
              <w:ind w:firstLine="0"/>
              <w:rPr>
                <w:szCs w:val="20"/>
              </w:rPr>
            </w:pPr>
            <w:r w:rsidRPr="00E85E82">
              <w:rPr>
                <w:szCs w:val="20"/>
              </w:rPr>
              <w:t xml:space="preserve">Since February 2014, approximately 300 self-represented plaintiffs, including the applicant, have filed identical claims seeking declarations that the </w:t>
            </w:r>
            <w:r w:rsidRPr="00E85E82">
              <w:rPr>
                <w:i/>
                <w:szCs w:val="20"/>
              </w:rPr>
              <w:t>Marijuana Medical Access Regulations (“MMAR”)</w:t>
            </w:r>
            <w:r w:rsidRPr="00E85E82">
              <w:rPr>
                <w:szCs w:val="20"/>
              </w:rPr>
              <w:t>, S.O.R./2001-227, which were repealed on March 31, 2014 and the</w:t>
            </w:r>
            <w:r w:rsidRPr="00E85E82">
              <w:rPr>
                <w:i/>
                <w:szCs w:val="20"/>
              </w:rPr>
              <w:t xml:space="preserve"> Marijuana for Medical Purposes Regulations</w:t>
            </w:r>
            <w:r w:rsidRPr="00E85E82">
              <w:rPr>
                <w:szCs w:val="20"/>
              </w:rPr>
              <w:t xml:space="preserve">, S.O.R./2013-119, which succeeded the </w:t>
            </w:r>
            <w:r w:rsidRPr="00E85E82">
              <w:rPr>
                <w:i/>
                <w:szCs w:val="20"/>
              </w:rPr>
              <w:t>MMAR</w:t>
            </w:r>
            <w:r w:rsidRPr="00E85E82">
              <w:rPr>
                <w:szCs w:val="20"/>
              </w:rPr>
              <w:t xml:space="preserve"> are unconstitutional. In the course of their actions, twenty-six plaintiffs, including the applicant, brought motions for interim constitutional exemptions from the </w:t>
            </w:r>
            <w:r w:rsidRPr="00E85E82">
              <w:rPr>
                <w:i/>
                <w:szCs w:val="20"/>
              </w:rPr>
              <w:t>Controlled Drugs and Substances Act</w:t>
            </w:r>
            <w:r w:rsidRPr="00E85E82">
              <w:rPr>
                <w:szCs w:val="20"/>
              </w:rPr>
              <w:t xml:space="preserve"> </w:t>
            </w:r>
            <w:r w:rsidRPr="00E85E82">
              <w:rPr>
                <w:i/>
                <w:szCs w:val="20"/>
              </w:rPr>
              <w:t>(“CDSA”)</w:t>
            </w:r>
            <w:r w:rsidRPr="00E85E82">
              <w:rPr>
                <w:szCs w:val="20"/>
              </w:rPr>
              <w:t xml:space="preserve"> for the personal use of marijuana pending trial of their actions.</w:t>
            </w:r>
          </w:p>
          <w:p w:rsidR="00870BB4" w:rsidRPr="00E85E82" w:rsidRDefault="00870BB4" w:rsidP="000F56AC">
            <w:pPr>
              <w:pStyle w:val="SCCShortJudgment"/>
              <w:ind w:firstLine="0"/>
              <w:rPr>
                <w:rFonts w:cs="Times New Roman"/>
                <w:szCs w:val="20"/>
              </w:rPr>
            </w:pPr>
          </w:p>
        </w:tc>
      </w:tr>
      <w:tr w:rsidR="00232760" w:rsidRPr="00E85E82" w:rsidTr="000F56AC">
        <w:trPr>
          <w:cantSplit/>
        </w:trPr>
        <w:tc>
          <w:tcPr>
            <w:tcW w:w="4410" w:type="dxa"/>
            <w:gridSpan w:val="2"/>
          </w:tcPr>
          <w:p w:rsidR="00870BB4" w:rsidRPr="00E85E82" w:rsidRDefault="00870BB4" w:rsidP="00870BB4">
            <w:pPr>
              <w:rPr>
                <w:sz w:val="20"/>
                <w:szCs w:val="20"/>
              </w:rPr>
            </w:pPr>
            <w:r w:rsidRPr="00E85E82">
              <w:rPr>
                <w:sz w:val="20"/>
                <w:szCs w:val="20"/>
              </w:rPr>
              <w:t>May 7, 2014</w:t>
            </w:r>
          </w:p>
          <w:p w:rsidR="00870BB4" w:rsidRPr="00E85E82" w:rsidRDefault="00870BB4" w:rsidP="00870BB4">
            <w:pPr>
              <w:rPr>
                <w:sz w:val="20"/>
                <w:szCs w:val="20"/>
              </w:rPr>
            </w:pPr>
            <w:r w:rsidRPr="00E85E82">
              <w:rPr>
                <w:sz w:val="20"/>
                <w:szCs w:val="20"/>
              </w:rPr>
              <w:t>Federal Court</w:t>
            </w:r>
          </w:p>
          <w:p w:rsidR="00870BB4" w:rsidRPr="00E85E82" w:rsidRDefault="00870BB4" w:rsidP="00870BB4">
            <w:pPr>
              <w:rPr>
                <w:sz w:val="20"/>
                <w:szCs w:val="20"/>
              </w:rPr>
            </w:pPr>
            <w:r w:rsidRPr="00E85E82">
              <w:rPr>
                <w:sz w:val="20"/>
                <w:szCs w:val="20"/>
              </w:rPr>
              <w:t>(Phelan J.)</w:t>
            </w:r>
          </w:p>
          <w:p w:rsidR="00232760" w:rsidRPr="00E85E82" w:rsidRDefault="00232760" w:rsidP="000F56AC">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870BB4" w:rsidRPr="00E85E82" w:rsidRDefault="00870BB4" w:rsidP="00870BB4">
            <w:pPr>
              <w:jc w:val="both"/>
              <w:rPr>
                <w:sz w:val="20"/>
                <w:szCs w:val="20"/>
              </w:rPr>
            </w:pPr>
            <w:r w:rsidRPr="00E85E82">
              <w:rPr>
                <w:sz w:val="20"/>
                <w:szCs w:val="20"/>
              </w:rPr>
              <w:t xml:space="preserve">Motion for interim constitutional exemptions from provisions of </w:t>
            </w:r>
            <w:r w:rsidRPr="00E85E82">
              <w:rPr>
                <w:i/>
                <w:sz w:val="20"/>
                <w:szCs w:val="20"/>
              </w:rPr>
              <w:t>Controlled Drugs and Substances Act</w:t>
            </w:r>
            <w:r w:rsidRPr="00E85E82">
              <w:rPr>
                <w:sz w:val="20"/>
                <w:szCs w:val="20"/>
              </w:rPr>
              <w:t xml:space="preserve"> dismissed</w:t>
            </w:r>
          </w:p>
          <w:p w:rsidR="00232760" w:rsidRPr="00E85E82" w:rsidRDefault="00232760" w:rsidP="000F56AC">
            <w:pPr>
              <w:jc w:val="both"/>
              <w:rPr>
                <w:rFonts w:cs="Times New Roman"/>
                <w:sz w:val="20"/>
                <w:szCs w:val="20"/>
              </w:rPr>
            </w:pPr>
          </w:p>
        </w:tc>
      </w:tr>
      <w:tr w:rsidR="00232760" w:rsidRPr="00E85E82" w:rsidTr="000F56AC">
        <w:trPr>
          <w:cantSplit/>
        </w:trPr>
        <w:tc>
          <w:tcPr>
            <w:tcW w:w="4410" w:type="dxa"/>
            <w:gridSpan w:val="2"/>
          </w:tcPr>
          <w:p w:rsidR="00870BB4" w:rsidRPr="00E85E82" w:rsidRDefault="00870BB4" w:rsidP="00870BB4">
            <w:pPr>
              <w:rPr>
                <w:sz w:val="20"/>
                <w:szCs w:val="20"/>
              </w:rPr>
            </w:pPr>
            <w:r w:rsidRPr="00E85E82">
              <w:rPr>
                <w:sz w:val="20"/>
                <w:szCs w:val="20"/>
              </w:rPr>
              <w:t>January 13, 2016</w:t>
            </w:r>
          </w:p>
          <w:p w:rsidR="00870BB4" w:rsidRPr="00E85E82" w:rsidRDefault="00870BB4" w:rsidP="00870BB4">
            <w:pPr>
              <w:rPr>
                <w:sz w:val="20"/>
                <w:szCs w:val="20"/>
              </w:rPr>
            </w:pPr>
            <w:r w:rsidRPr="00E85E82">
              <w:rPr>
                <w:sz w:val="20"/>
                <w:szCs w:val="20"/>
              </w:rPr>
              <w:t>Federal Court of Appeal</w:t>
            </w:r>
          </w:p>
          <w:p w:rsidR="00870BB4" w:rsidRPr="00E85E82" w:rsidRDefault="00870BB4" w:rsidP="00870BB4">
            <w:pPr>
              <w:rPr>
                <w:sz w:val="20"/>
                <w:szCs w:val="20"/>
              </w:rPr>
            </w:pPr>
            <w:r w:rsidRPr="00E85E82">
              <w:rPr>
                <w:sz w:val="20"/>
                <w:szCs w:val="20"/>
              </w:rPr>
              <w:t xml:space="preserve">(Pelletier, </w:t>
            </w:r>
            <w:proofErr w:type="spellStart"/>
            <w:r w:rsidRPr="00E85E82">
              <w:rPr>
                <w:sz w:val="20"/>
                <w:szCs w:val="20"/>
              </w:rPr>
              <w:t>Stratas</w:t>
            </w:r>
            <w:proofErr w:type="spellEnd"/>
            <w:r w:rsidRPr="00E85E82">
              <w:rPr>
                <w:sz w:val="20"/>
                <w:szCs w:val="20"/>
              </w:rPr>
              <w:t xml:space="preserve"> and Gleason JJ.A.)</w:t>
            </w:r>
          </w:p>
          <w:p w:rsidR="00870BB4" w:rsidRPr="00E85E82" w:rsidRDefault="00B407D6" w:rsidP="00870BB4">
            <w:pPr>
              <w:rPr>
                <w:rFonts w:eastAsia="Times New Roman" w:cs="Times New Roman"/>
                <w:sz w:val="20"/>
                <w:szCs w:val="20"/>
                <w:lang w:eastAsia="en-CA"/>
              </w:rPr>
            </w:pPr>
            <w:hyperlink r:id="rId45" w:history="1">
              <w:r w:rsidR="00870BB4" w:rsidRPr="00E85E82">
                <w:rPr>
                  <w:rFonts w:eastAsia="Times New Roman" w:cs="Times New Roman"/>
                  <w:color w:val="0000FF" w:themeColor="hyperlink"/>
                  <w:sz w:val="20"/>
                  <w:szCs w:val="20"/>
                  <w:u w:val="single"/>
                  <w:lang w:eastAsia="en-CA"/>
                </w:rPr>
                <w:t>2016 FCA 9</w:t>
              </w:r>
            </w:hyperlink>
          </w:p>
          <w:p w:rsidR="00232760" w:rsidRPr="00E85E82" w:rsidRDefault="00232760" w:rsidP="000F56AC">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870BB4" w:rsidRPr="00E85E82" w:rsidRDefault="00870BB4" w:rsidP="00870BB4">
            <w:pPr>
              <w:rPr>
                <w:sz w:val="20"/>
                <w:szCs w:val="20"/>
              </w:rPr>
            </w:pPr>
            <w:r w:rsidRPr="00E85E82">
              <w:rPr>
                <w:sz w:val="20"/>
                <w:szCs w:val="20"/>
              </w:rPr>
              <w:t>Appeal dismissed</w:t>
            </w:r>
          </w:p>
          <w:p w:rsidR="00232760" w:rsidRPr="00E85E82" w:rsidRDefault="00232760" w:rsidP="000F56AC">
            <w:pPr>
              <w:jc w:val="both"/>
              <w:rPr>
                <w:rFonts w:cs="Times New Roman"/>
                <w:sz w:val="20"/>
                <w:szCs w:val="20"/>
              </w:rPr>
            </w:pPr>
          </w:p>
        </w:tc>
      </w:tr>
      <w:tr w:rsidR="00870BB4" w:rsidRPr="00E85E82" w:rsidTr="000F56AC">
        <w:trPr>
          <w:cantSplit/>
        </w:trPr>
        <w:tc>
          <w:tcPr>
            <w:tcW w:w="4410" w:type="dxa"/>
            <w:gridSpan w:val="2"/>
          </w:tcPr>
          <w:p w:rsidR="00870BB4" w:rsidRPr="00E85E82" w:rsidRDefault="00870BB4" w:rsidP="00870BB4">
            <w:pPr>
              <w:rPr>
                <w:sz w:val="20"/>
                <w:szCs w:val="20"/>
              </w:rPr>
            </w:pPr>
            <w:r w:rsidRPr="00E85E82">
              <w:rPr>
                <w:sz w:val="20"/>
                <w:szCs w:val="20"/>
              </w:rPr>
              <w:t>March 15, 2016</w:t>
            </w:r>
          </w:p>
          <w:p w:rsidR="00870BB4" w:rsidRPr="00E85E82" w:rsidRDefault="00870BB4" w:rsidP="00870BB4">
            <w:pPr>
              <w:rPr>
                <w:sz w:val="20"/>
                <w:szCs w:val="20"/>
              </w:rPr>
            </w:pPr>
            <w:r w:rsidRPr="00E85E82">
              <w:rPr>
                <w:sz w:val="20"/>
                <w:szCs w:val="20"/>
              </w:rPr>
              <w:t>Supreme Court of Canada</w:t>
            </w:r>
          </w:p>
          <w:p w:rsidR="00870BB4" w:rsidRPr="00E85E82" w:rsidRDefault="00870BB4" w:rsidP="00870BB4">
            <w:pPr>
              <w:jc w:val="both"/>
              <w:rPr>
                <w:rFonts w:cs="Times New Roman"/>
                <w:sz w:val="20"/>
                <w:szCs w:val="20"/>
              </w:rPr>
            </w:pPr>
          </w:p>
        </w:tc>
        <w:tc>
          <w:tcPr>
            <w:tcW w:w="630" w:type="dxa"/>
          </w:tcPr>
          <w:p w:rsidR="00870BB4" w:rsidRPr="00E85E82" w:rsidRDefault="00870BB4" w:rsidP="00870BB4">
            <w:pPr>
              <w:pStyle w:val="SCCShortJudgment"/>
              <w:ind w:firstLine="0"/>
              <w:rPr>
                <w:rFonts w:cs="Times New Roman"/>
                <w:szCs w:val="20"/>
              </w:rPr>
            </w:pPr>
          </w:p>
        </w:tc>
        <w:tc>
          <w:tcPr>
            <w:tcW w:w="4536" w:type="dxa"/>
          </w:tcPr>
          <w:p w:rsidR="00870BB4" w:rsidRPr="00E85E82" w:rsidRDefault="00870BB4" w:rsidP="00870BB4">
            <w:pPr>
              <w:rPr>
                <w:sz w:val="20"/>
                <w:szCs w:val="20"/>
              </w:rPr>
            </w:pPr>
            <w:r w:rsidRPr="00E85E82">
              <w:rPr>
                <w:sz w:val="20"/>
                <w:szCs w:val="20"/>
              </w:rPr>
              <w:t>Motion to extend time to serve and file application for leave to appeal and application for leave to appeal filed</w:t>
            </w:r>
          </w:p>
        </w:tc>
      </w:tr>
      <w:tr w:rsidR="00870BB4" w:rsidRPr="00E85E82" w:rsidTr="000F56AC">
        <w:trPr>
          <w:cantSplit/>
        </w:trPr>
        <w:tc>
          <w:tcPr>
            <w:tcW w:w="9576" w:type="dxa"/>
            <w:gridSpan w:val="4"/>
          </w:tcPr>
          <w:p w:rsidR="00870BB4" w:rsidRPr="00E85E82" w:rsidRDefault="00B407D6" w:rsidP="00870BB4">
            <w:pPr>
              <w:pStyle w:val="SCCShortJudgment"/>
              <w:ind w:firstLine="0"/>
              <w:rPr>
                <w:rFonts w:cs="Times New Roman"/>
                <w:szCs w:val="20"/>
                <w:lang w:val="fr-CA"/>
              </w:rPr>
            </w:pPr>
            <w:r>
              <w:rPr>
                <w:rFonts w:cs="Times New Roman"/>
                <w:szCs w:val="20"/>
                <w:lang w:val="fr-CA"/>
              </w:rPr>
              <w:pict>
                <v:rect id="_x0000_i1059" style="width:2in;height:1pt" o:hrpct="0" o:hralign="center" o:hrstd="t" o:hrnoshade="t" o:hr="t" fillcolor="black [3213]" stroked="f"/>
              </w:pict>
            </w:r>
          </w:p>
          <w:p w:rsidR="00870BB4" w:rsidRPr="00E85E82" w:rsidRDefault="00870BB4" w:rsidP="00870BB4">
            <w:pPr>
              <w:pStyle w:val="SCCShortJudgment"/>
              <w:ind w:firstLine="0"/>
              <w:rPr>
                <w:rFonts w:cs="Times New Roman"/>
                <w:szCs w:val="20"/>
                <w:lang w:val="fr-CA"/>
              </w:rPr>
            </w:pPr>
          </w:p>
        </w:tc>
      </w:tr>
      <w:tr w:rsidR="00870BB4" w:rsidRPr="00E85E82" w:rsidTr="000F56AC">
        <w:trPr>
          <w:cantSplit/>
        </w:trPr>
        <w:tc>
          <w:tcPr>
            <w:tcW w:w="9576" w:type="dxa"/>
            <w:gridSpan w:val="4"/>
          </w:tcPr>
          <w:p w:rsidR="00870BB4" w:rsidRPr="00E85E82" w:rsidRDefault="00870BB4" w:rsidP="00870BB4">
            <w:pPr>
              <w:pStyle w:val="SCCShortJudgment"/>
              <w:ind w:firstLine="0"/>
              <w:rPr>
                <w:rFonts w:cs="Times New Roman"/>
                <w:szCs w:val="20"/>
                <w:u w:val="single"/>
                <w:lang w:val="fr-CA"/>
              </w:rPr>
            </w:pPr>
            <w:r w:rsidRPr="00E85E82">
              <w:rPr>
                <w:rFonts w:cs="Times New Roman"/>
                <w:szCs w:val="20"/>
                <w:u w:val="single"/>
                <w:lang w:val="fr-CA"/>
              </w:rPr>
              <w:t>RÉSUMÉ DE L’AFFAIRE </w:t>
            </w:r>
          </w:p>
          <w:p w:rsidR="00870BB4" w:rsidRPr="00E85E82" w:rsidRDefault="00870BB4" w:rsidP="00870BB4">
            <w:pPr>
              <w:pStyle w:val="SCCShortJudgment"/>
              <w:ind w:firstLine="0"/>
              <w:rPr>
                <w:rFonts w:cs="Times New Roman"/>
                <w:szCs w:val="20"/>
                <w:u w:val="single"/>
                <w:lang w:val="fr-CA"/>
              </w:rPr>
            </w:pPr>
          </w:p>
        </w:tc>
      </w:tr>
      <w:tr w:rsidR="00870BB4" w:rsidRPr="00B407D6" w:rsidTr="000F56AC">
        <w:trPr>
          <w:cantSplit/>
        </w:trPr>
        <w:tc>
          <w:tcPr>
            <w:tcW w:w="9576" w:type="dxa"/>
            <w:gridSpan w:val="4"/>
          </w:tcPr>
          <w:p w:rsidR="00870BB4" w:rsidRPr="00E85E82" w:rsidRDefault="00870BB4" w:rsidP="00870BB4">
            <w:pPr>
              <w:pStyle w:val="SCCShortJudgment"/>
              <w:ind w:firstLine="0"/>
              <w:rPr>
                <w:szCs w:val="20"/>
                <w:lang w:val="fr-CA"/>
              </w:rPr>
            </w:pPr>
            <w:r w:rsidRPr="00E85E82">
              <w:rPr>
                <w:szCs w:val="20"/>
                <w:lang w:val="fr-CA"/>
              </w:rPr>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E85E82">
              <w:rPr>
                <w:i/>
                <w:szCs w:val="20"/>
                <w:lang w:val="fr-CA"/>
              </w:rPr>
              <w:t>Loi réglementant certaines drogues et autres substances</w:t>
            </w:r>
            <w:r w:rsidRPr="00E85E82">
              <w:rPr>
                <w:szCs w:val="20"/>
                <w:lang w:val="fr-CA"/>
              </w:rPr>
              <w:t>, L.C., 1996, ch. 19.</w:t>
            </w:r>
          </w:p>
          <w:p w:rsidR="00870BB4" w:rsidRPr="00E85E82" w:rsidRDefault="00870BB4" w:rsidP="00870BB4">
            <w:pPr>
              <w:pStyle w:val="SCCShortJudgment"/>
              <w:ind w:firstLine="0"/>
              <w:rPr>
                <w:rFonts w:cs="Times New Roman"/>
                <w:szCs w:val="20"/>
                <w:u w:val="single"/>
                <w:lang w:val="fr-CA"/>
              </w:rPr>
            </w:pPr>
          </w:p>
        </w:tc>
      </w:tr>
      <w:tr w:rsidR="00870BB4" w:rsidRPr="00B407D6" w:rsidTr="000F56AC">
        <w:trPr>
          <w:cantSplit/>
        </w:trPr>
        <w:tc>
          <w:tcPr>
            <w:tcW w:w="9576" w:type="dxa"/>
            <w:gridSpan w:val="4"/>
          </w:tcPr>
          <w:p w:rsidR="00870BB4" w:rsidRPr="00E85E82" w:rsidRDefault="00870BB4" w:rsidP="00870BB4">
            <w:pPr>
              <w:jc w:val="both"/>
              <w:rPr>
                <w:sz w:val="20"/>
                <w:szCs w:val="20"/>
                <w:lang w:val="fr-CA"/>
              </w:rPr>
            </w:pPr>
            <w:r w:rsidRPr="00E85E82">
              <w:rPr>
                <w:sz w:val="20"/>
                <w:szCs w:val="20"/>
                <w:lang w:val="fr-CA"/>
              </w:rPr>
              <w:t xml:space="preserve">Depuis février 2014, environ 300 plaideurs non représentés, y compris le demandeur, ont déposé des demandes identiques sollicitant des jugements qui déclarent inconstitutionnels le </w:t>
            </w:r>
            <w:r w:rsidRPr="00E85E82">
              <w:rPr>
                <w:i/>
                <w:sz w:val="20"/>
                <w:szCs w:val="20"/>
                <w:lang w:val="fr-CA"/>
              </w:rPr>
              <w:t>Règlement sur l’accès à la marihuana à des fins médicales (« RAMFM »)</w:t>
            </w:r>
            <w:r w:rsidRPr="00E85E82">
              <w:rPr>
                <w:sz w:val="20"/>
                <w:szCs w:val="20"/>
                <w:lang w:val="fr-CA"/>
              </w:rPr>
              <w:t xml:space="preserve">, D.O.R.S./2001-227, abrogé le 31 mars 2014 et le </w:t>
            </w:r>
            <w:r w:rsidRPr="00E85E82">
              <w:rPr>
                <w:i/>
                <w:sz w:val="20"/>
                <w:szCs w:val="20"/>
                <w:lang w:val="fr-CA"/>
              </w:rPr>
              <w:t>Règlement sur la marihuana à des fins médicales</w:t>
            </w:r>
            <w:r w:rsidRPr="00E85E82">
              <w:rPr>
                <w:sz w:val="20"/>
                <w:szCs w:val="20"/>
                <w:lang w:val="fr-CA"/>
              </w:rPr>
              <w:t xml:space="preserve">, D.O.R.S./2013-119, qui a remplacé le </w:t>
            </w:r>
            <w:r w:rsidRPr="00E85E82">
              <w:rPr>
                <w:i/>
                <w:sz w:val="20"/>
                <w:szCs w:val="20"/>
                <w:lang w:val="fr-CA"/>
              </w:rPr>
              <w:t>RAMFM</w:t>
            </w:r>
            <w:r w:rsidRPr="00E85E82">
              <w:rPr>
                <w:sz w:val="20"/>
                <w:szCs w:val="20"/>
                <w:lang w:val="fr-CA"/>
              </w:rPr>
              <w:t xml:space="preserve">. Dans le cadre de leurs actions, vingt-six demandeurs en première instance, y compris le demandeur en l’espèce, ont présenté des requêtes en exemption constitutionnelle visant à écarter temporairement l’application de la </w:t>
            </w:r>
            <w:r w:rsidRPr="00E85E82">
              <w:rPr>
                <w:i/>
                <w:sz w:val="20"/>
                <w:szCs w:val="20"/>
                <w:lang w:val="fr-CA"/>
              </w:rPr>
              <w:t>Loi réglementant certaines drogues et autres substances («</w:t>
            </w:r>
            <w:r w:rsidRPr="00E85E82">
              <w:rPr>
                <w:sz w:val="20"/>
                <w:szCs w:val="20"/>
                <w:lang w:val="fr-CA"/>
              </w:rPr>
              <w:t> </w:t>
            </w:r>
            <w:r w:rsidRPr="00E85E82">
              <w:rPr>
                <w:i/>
                <w:sz w:val="20"/>
                <w:szCs w:val="20"/>
                <w:lang w:val="fr-CA"/>
              </w:rPr>
              <w:t>LRCDAS »)</w:t>
            </w:r>
            <w:r w:rsidRPr="00E85E82">
              <w:rPr>
                <w:sz w:val="20"/>
                <w:szCs w:val="20"/>
                <w:lang w:val="fr-CA"/>
              </w:rPr>
              <w:t xml:space="preserve"> pour l’utilisation personnelle de la marihuana en attendant que leurs actions soient instruites.</w:t>
            </w:r>
          </w:p>
          <w:p w:rsidR="00870BB4" w:rsidRPr="00E85E82" w:rsidRDefault="00870BB4" w:rsidP="00870BB4">
            <w:pPr>
              <w:jc w:val="both"/>
              <w:rPr>
                <w:rFonts w:cs="Times New Roman"/>
                <w:sz w:val="20"/>
                <w:szCs w:val="20"/>
                <w:u w:val="single"/>
                <w:lang w:val="fr-CA"/>
              </w:rPr>
            </w:pPr>
          </w:p>
        </w:tc>
      </w:tr>
      <w:tr w:rsidR="00870BB4" w:rsidRPr="00B407D6" w:rsidTr="000F56AC">
        <w:trPr>
          <w:cantSplit/>
        </w:trPr>
        <w:tc>
          <w:tcPr>
            <w:tcW w:w="4410" w:type="dxa"/>
            <w:gridSpan w:val="2"/>
          </w:tcPr>
          <w:p w:rsidR="00870BB4" w:rsidRPr="00E85E82" w:rsidRDefault="00870BB4" w:rsidP="00870BB4">
            <w:pPr>
              <w:rPr>
                <w:sz w:val="20"/>
                <w:szCs w:val="20"/>
                <w:lang w:val="fr-CA"/>
              </w:rPr>
            </w:pPr>
            <w:r w:rsidRPr="00E85E82">
              <w:rPr>
                <w:sz w:val="20"/>
                <w:szCs w:val="20"/>
                <w:lang w:val="fr-CA"/>
              </w:rPr>
              <w:t>7 mai 2014</w:t>
            </w:r>
          </w:p>
          <w:p w:rsidR="00870BB4" w:rsidRPr="00E85E82" w:rsidRDefault="00870BB4" w:rsidP="00870BB4">
            <w:pPr>
              <w:rPr>
                <w:sz w:val="20"/>
                <w:szCs w:val="20"/>
                <w:lang w:val="fr-CA"/>
              </w:rPr>
            </w:pPr>
            <w:r w:rsidRPr="00E85E82">
              <w:rPr>
                <w:sz w:val="20"/>
                <w:szCs w:val="20"/>
                <w:lang w:val="fr-CA"/>
              </w:rPr>
              <w:t xml:space="preserve">Cour fédérale </w:t>
            </w:r>
          </w:p>
          <w:p w:rsidR="00870BB4" w:rsidRPr="00E85E82" w:rsidRDefault="00870BB4" w:rsidP="00870BB4">
            <w:pPr>
              <w:pStyle w:val="SCCShortJudgment"/>
              <w:ind w:firstLine="0"/>
              <w:rPr>
                <w:szCs w:val="20"/>
                <w:lang w:val="fr-CA"/>
              </w:rPr>
            </w:pPr>
            <w:r w:rsidRPr="00E85E82">
              <w:rPr>
                <w:szCs w:val="20"/>
                <w:lang w:val="fr-CA"/>
              </w:rPr>
              <w:t>(Juge Phelan)</w:t>
            </w:r>
          </w:p>
          <w:p w:rsidR="00870BB4" w:rsidRPr="00E85E82" w:rsidRDefault="00870BB4" w:rsidP="00870BB4">
            <w:pPr>
              <w:pStyle w:val="SCCShortJudgment"/>
              <w:ind w:firstLine="0"/>
              <w:rPr>
                <w:rFonts w:cs="Times New Roman"/>
                <w:szCs w:val="20"/>
                <w:u w:val="single"/>
                <w:lang w:val="fr-CA"/>
              </w:rPr>
            </w:pPr>
          </w:p>
        </w:tc>
        <w:tc>
          <w:tcPr>
            <w:tcW w:w="630" w:type="dxa"/>
          </w:tcPr>
          <w:p w:rsidR="00870BB4" w:rsidRPr="00E85E82" w:rsidRDefault="00870BB4" w:rsidP="00870BB4">
            <w:pPr>
              <w:pStyle w:val="SCCShortJudgment"/>
              <w:ind w:firstLine="0"/>
              <w:rPr>
                <w:rFonts w:cs="Times New Roman"/>
                <w:szCs w:val="20"/>
                <w:u w:val="single"/>
                <w:lang w:val="fr-CA"/>
              </w:rPr>
            </w:pPr>
          </w:p>
        </w:tc>
        <w:tc>
          <w:tcPr>
            <w:tcW w:w="4536" w:type="dxa"/>
          </w:tcPr>
          <w:p w:rsidR="00870BB4" w:rsidRPr="00E85E82" w:rsidRDefault="00870BB4" w:rsidP="00870BB4">
            <w:pPr>
              <w:jc w:val="both"/>
              <w:rPr>
                <w:sz w:val="20"/>
                <w:szCs w:val="20"/>
                <w:lang w:val="fr-CA"/>
              </w:rPr>
            </w:pPr>
            <w:r w:rsidRPr="00E85E82">
              <w:rPr>
                <w:sz w:val="20"/>
                <w:szCs w:val="20"/>
                <w:lang w:val="fr-CA"/>
              </w:rPr>
              <w:t xml:space="preserve">Rejet de la requête en exemption constitutionnelle visant à écarter temporairement l’application de la </w:t>
            </w:r>
            <w:r w:rsidRPr="00E85E82">
              <w:rPr>
                <w:i/>
                <w:sz w:val="20"/>
                <w:szCs w:val="20"/>
                <w:lang w:val="fr-CA"/>
              </w:rPr>
              <w:t>Loi réglementant certaines drogues et autres substances</w:t>
            </w:r>
          </w:p>
          <w:p w:rsidR="00870BB4" w:rsidRPr="00E85E82" w:rsidRDefault="00870BB4" w:rsidP="00870BB4">
            <w:pPr>
              <w:pStyle w:val="SCCShortJudgment"/>
              <w:ind w:firstLine="0"/>
              <w:rPr>
                <w:rFonts w:cs="Times New Roman"/>
                <w:szCs w:val="20"/>
                <w:u w:val="single"/>
                <w:lang w:val="fr-CA"/>
              </w:rPr>
            </w:pPr>
          </w:p>
        </w:tc>
      </w:tr>
      <w:tr w:rsidR="00870BB4" w:rsidRPr="00E85E82" w:rsidTr="000F56AC">
        <w:trPr>
          <w:cantSplit/>
        </w:trPr>
        <w:tc>
          <w:tcPr>
            <w:tcW w:w="4410" w:type="dxa"/>
            <w:gridSpan w:val="2"/>
          </w:tcPr>
          <w:p w:rsidR="00870BB4" w:rsidRPr="00E85E82" w:rsidRDefault="00870BB4" w:rsidP="00870BB4">
            <w:pPr>
              <w:rPr>
                <w:sz w:val="20"/>
                <w:szCs w:val="20"/>
                <w:lang w:val="fr-CA"/>
              </w:rPr>
            </w:pPr>
            <w:r w:rsidRPr="00E85E82">
              <w:rPr>
                <w:sz w:val="20"/>
                <w:szCs w:val="20"/>
                <w:lang w:val="fr-CA"/>
              </w:rPr>
              <w:t>13 janvier 2016</w:t>
            </w:r>
          </w:p>
          <w:p w:rsidR="00870BB4" w:rsidRPr="00E85E82" w:rsidRDefault="00870BB4" w:rsidP="00870BB4">
            <w:pPr>
              <w:rPr>
                <w:sz w:val="20"/>
                <w:szCs w:val="20"/>
                <w:lang w:val="fr-CA"/>
              </w:rPr>
            </w:pPr>
            <w:r w:rsidRPr="00E85E82">
              <w:rPr>
                <w:sz w:val="20"/>
                <w:szCs w:val="20"/>
                <w:lang w:val="fr-CA"/>
              </w:rPr>
              <w:t xml:space="preserve">Cour d’appel fédérale </w:t>
            </w:r>
          </w:p>
          <w:p w:rsidR="00870BB4" w:rsidRPr="00E85E82" w:rsidRDefault="00870BB4" w:rsidP="00870BB4">
            <w:pPr>
              <w:rPr>
                <w:rFonts w:eastAsia="Times New Roman" w:cs="Times New Roman"/>
                <w:sz w:val="20"/>
                <w:szCs w:val="20"/>
                <w:lang w:val="fr-CA" w:eastAsia="en-CA"/>
              </w:rPr>
            </w:pPr>
            <w:r w:rsidRPr="00E85E82">
              <w:rPr>
                <w:rFonts w:eastAsia="Times New Roman" w:cs="Times New Roman"/>
                <w:sz w:val="20"/>
                <w:szCs w:val="20"/>
                <w:lang w:val="fr-CA" w:eastAsia="en-CA"/>
              </w:rPr>
              <w:t xml:space="preserve">(Juges Pelletier, </w:t>
            </w:r>
            <w:proofErr w:type="spellStart"/>
            <w:r w:rsidRPr="00E85E82">
              <w:rPr>
                <w:rFonts w:eastAsia="Times New Roman" w:cs="Times New Roman"/>
                <w:sz w:val="20"/>
                <w:szCs w:val="20"/>
                <w:lang w:val="fr-CA" w:eastAsia="en-CA"/>
              </w:rPr>
              <w:t>Stratas</w:t>
            </w:r>
            <w:proofErr w:type="spellEnd"/>
            <w:r w:rsidRPr="00E85E82">
              <w:rPr>
                <w:rFonts w:eastAsia="Times New Roman" w:cs="Times New Roman"/>
                <w:sz w:val="20"/>
                <w:szCs w:val="20"/>
                <w:lang w:val="fr-CA" w:eastAsia="en-CA"/>
              </w:rPr>
              <w:t xml:space="preserve"> et </w:t>
            </w:r>
            <w:proofErr w:type="spellStart"/>
            <w:r w:rsidRPr="00E85E82">
              <w:rPr>
                <w:rFonts w:eastAsia="Times New Roman" w:cs="Times New Roman"/>
                <w:sz w:val="20"/>
                <w:szCs w:val="20"/>
                <w:lang w:val="fr-CA" w:eastAsia="en-CA"/>
              </w:rPr>
              <w:t>Gleason</w:t>
            </w:r>
            <w:proofErr w:type="spellEnd"/>
            <w:r w:rsidRPr="00E85E82">
              <w:rPr>
                <w:rFonts w:eastAsia="Times New Roman" w:cs="Times New Roman"/>
                <w:sz w:val="20"/>
                <w:szCs w:val="20"/>
                <w:lang w:val="fr-CA" w:eastAsia="en-CA"/>
              </w:rPr>
              <w:t>)</w:t>
            </w:r>
          </w:p>
          <w:p w:rsidR="00870BB4" w:rsidRPr="00E85E82" w:rsidRDefault="00B407D6" w:rsidP="00870BB4">
            <w:pPr>
              <w:rPr>
                <w:rFonts w:eastAsia="Times New Roman" w:cs="Times New Roman"/>
                <w:sz w:val="20"/>
                <w:szCs w:val="20"/>
                <w:lang w:val="fr-CA" w:eastAsia="en-CA"/>
              </w:rPr>
            </w:pPr>
            <w:hyperlink r:id="rId46" w:history="1">
              <w:r w:rsidR="00870BB4" w:rsidRPr="00E85E82">
                <w:rPr>
                  <w:rFonts w:eastAsia="Times New Roman" w:cs="Times New Roman"/>
                  <w:color w:val="0000FF" w:themeColor="hyperlink"/>
                  <w:sz w:val="20"/>
                  <w:szCs w:val="20"/>
                  <w:u w:val="single"/>
                  <w:lang w:val="fr-CA" w:eastAsia="en-CA"/>
                </w:rPr>
                <w:t>2016 FCA 9</w:t>
              </w:r>
            </w:hyperlink>
          </w:p>
          <w:p w:rsidR="00870BB4" w:rsidRPr="00E85E82" w:rsidRDefault="00870BB4" w:rsidP="00870BB4">
            <w:pPr>
              <w:pStyle w:val="SCCShortJudgment"/>
              <w:ind w:firstLine="0"/>
              <w:rPr>
                <w:rFonts w:cs="Times New Roman"/>
                <w:szCs w:val="20"/>
                <w:u w:val="single"/>
                <w:lang w:val="fr-CA"/>
              </w:rPr>
            </w:pPr>
          </w:p>
        </w:tc>
        <w:tc>
          <w:tcPr>
            <w:tcW w:w="630" w:type="dxa"/>
          </w:tcPr>
          <w:p w:rsidR="00870BB4" w:rsidRPr="00E85E82" w:rsidRDefault="00870BB4" w:rsidP="00870BB4">
            <w:pPr>
              <w:pStyle w:val="SCCShortJudgment"/>
              <w:ind w:firstLine="0"/>
              <w:rPr>
                <w:rFonts w:cs="Times New Roman"/>
                <w:szCs w:val="20"/>
                <w:u w:val="single"/>
                <w:lang w:val="fr-CA"/>
              </w:rPr>
            </w:pPr>
          </w:p>
        </w:tc>
        <w:tc>
          <w:tcPr>
            <w:tcW w:w="4536" w:type="dxa"/>
          </w:tcPr>
          <w:p w:rsidR="00870BB4" w:rsidRPr="00E85E82" w:rsidRDefault="00870BB4" w:rsidP="00870BB4">
            <w:pPr>
              <w:rPr>
                <w:sz w:val="20"/>
                <w:szCs w:val="20"/>
                <w:lang w:val="fr-CA"/>
              </w:rPr>
            </w:pPr>
            <w:r w:rsidRPr="00E85E82">
              <w:rPr>
                <w:sz w:val="20"/>
                <w:szCs w:val="20"/>
                <w:lang w:val="fr-CA"/>
              </w:rPr>
              <w:t>Rejet de l’appel</w:t>
            </w:r>
          </w:p>
          <w:p w:rsidR="00870BB4" w:rsidRPr="00E85E82" w:rsidRDefault="00870BB4" w:rsidP="00870BB4">
            <w:pPr>
              <w:pStyle w:val="SCCShortJudgment"/>
              <w:ind w:firstLine="0"/>
              <w:rPr>
                <w:rFonts w:cs="Times New Roman"/>
                <w:szCs w:val="20"/>
                <w:u w:val="single"/>
                <w:lang w:val="fr-CA"/>
              </w:rPr>
            </w:pPr>
          </w:p>
        </w:tc>
      </w:tr>
      <w:tr w:rsidR="00870BB4" w:rsidRPr="00B407D6" w:rsidTr="000F56AC">
        <w:trPr>
          <w:cantSplit/>
        </w:trPr>
        <w:tc>
          <w:tcPr>
            <w:tcW w:w="4410" w:type="dxa"/>
            <w:gridSpan w:val="2"/>
          </w:tcPr>
          <w:p w:rsidR="00870BB4" w:rsidRPr="00E85E82" w:rsidRDefault="00870BB4" w:rsidP="00870BB4">
            <w:pPr>
              <w:rPr>
                <w:sz w:val="20"/>
                <w:szCs w:val="20"/>
                <w:lang w:val="fr-CA"/>
              </w:rPr>
            </w:pPr>
            <w:r w:rsidRPr="00E85E82">
              <w:rPr>
                <w:sz w:val="20"/>
                <w:szCs w:val="20"/>
                <w:lang w:val="fr-CA"/>
              </w:rPr>
              <w:t>15 mars 2016</w:t>
            </w:r>
          </w:p>
          <w:p w:rsidR="00870BB4" w:rsidRPr="00E85E82" w:rsidRDefault="00870BB4" w:rsidP="00870BB4">
            <w:pPr>
              <w:rPr>
                <w:sz w:val="20"/>
                <w:szCs w:val="20"/>
                <w:lang w:val="fr-CA"/>
              </w:rPr>
            </w:pPr>
            <w:r w:rsidRPr="00E85E82">
              <w:rPr>
                <w:sz w:val="20"/>
                <w:szCs w:val="20"/>
                <w:lang w:val="fr-CA"/>
              </w:rPr>
              <w:t>Cour suprême du Canada</w:t>
            </w:r>
          </w:p>
          <w:p w:rsidR="00870BB4" w:rsidRPr="00E85E82" w:rsidRDefault="00870BB4" w:rsidP="00870BB4">
            <w:pPr>
              <w:pStyle w:val="SCCShortJudgment"/>
              <w:ind w:firstLine="0"/>
              <w:rPr>
                <w:rFonts w:cs="Times New Roman"/>
                <w:szCs w:val="20"/>
                <w:u w:val="single"/>
                <w:lang w:val="fr-CA"/>
              </w:rPr>
            </w:pPr>
          </w:p>
        </w:tc>
        <w:tc>
          <w:tcPr>
            <w:tcW w:w="630" w:type="dxa"/>
          </w:tcPr>
          <w:p w:rsidR="00870BB4" w:rsidRPr="00E85E82" w:rsidRDefault="00870BB4" w:rsidP="00870BB4">
            <w:pPr>
              <w:pStyle w:val="SCCShortJudgment"/>
              <w:ind w:firstLine="0"/>
              <w:rPr>
                <w:rFonts w:cs="Times New Roman"/>
                <w:szCs w:val="20"/>
                <w:u w:val="single"/>
                <w:lang w:val="fr-CA"/>
              </w:rPr>
            </w:pPr>
          </w:p>
        </w:tc>
        <w:tc>
          <w:tcPr>
            <w:tcW w:w="4536" w:type="dxa"/>
          </w:tcPr>
          <w:p w:rsidR="00870BB4" w:rsidRPr="00E85E82" w:rsidRDefault="00870BB4" w:rsidP="00870BB4">
            <w:pPr>
              <w:jc w:val="both"/>
              <w:rPr>
                <w:sz w:val="20"/>
                <w:szCs w:val="20"/>
                <w:lang w:val="fr-CA"/>
              </w:rPr>
            </w:pPr>
            <w:r w:rsidRPr="00E85E82">
              <w:rPr>
                <w:sz w:val="20"/>
                <w:szCs w:val="20"/>
                <w:lang w:val="fr-CA"/>
              </w:rPr>
              <w:t xml:space="preserve">Dépôt de la requête en prorogation du délai de signification et de dépôt de la demande d’autorisation d’appel et de la demande d’autorisation d’appel </w:t>
            </w:r>
          </w:p>
          <w:p w:rsidR="00870BB4" w:rsidRPr="00E85E82" w:rsidRDefault="00870BB4" w:rsidP="00870BB4">
            <w:pPr>
              <w:pStyle w:val="SCCShortJudgment"/>
              <w:ind w:firstLine="0"/>
              <w:rPr>
                <w:rFonts w:cs="Times New Roman"/>
                <w:szCs w:val="20"/>
                <w:u w:val="single"/>
                <w:lang w:val="fr-CA"/>
              </w:rPr>
            </w:pPr>
          </w:p>
        </w:tc>
      </w:tr>
    </w:tbl>
    <w:p w:rsidR="00232760" w:rsidRPr="00E85E82" w:rsidRDefault="00B407D6" w:rsidP="00232760">
      <w:pPr>
        <w:rPr>
          <w:rFonts w:cs="Times New Roman"/>
          <w:sz w:val="20"/>
          <w:szCs w:val="20"/>
          <w:lang w:val="fr-CA"/>
        </w:rPr>
      </w:pPr>
      <w:r>
        <w:rPr>
          <w:rFonts w:cs="Times New Roman"/>
          <w:sz w:val="20"/>
          <w:szCs w:val="20"/>
          <w:lang w:val="fr-CA"/>
        </w:rPr>
        <w:pict>
          <v:rect id="_x0000_i1060" style="width:2in;height:1pt" o:hrpct="0" o:hralign="center" o:hrstd="t" o:hrnoshade="t" o:hr="t" fillcolor="black [3213]" stroked="f"/>
        </w:pict>
      </w:r>
    </w:p>
    <w:p w:rsidR="00090F55" w:rsidRPr="00E85E82" w:rsidRDefault="00090F5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Style w:val="SCCFileNumberChar"/>
                <w:sz w:val="20"/>
                <w:szCs w:val="20"/>
              </w:rPr>
              <w:t>36929</w:t>
            </w:r>
          </w:p>
          <w:p w:rsidR="00232760" w:rsidRPr="00E85E82" w:rsidRDefault="00232760" w:rsidP="000F56AC">
            <w:pPr>
              <w:jc w:val="both"/>
              <w:rPr>
                <w:rFonts w:cs="Times New Roman"/>
                <w:b/>
                <w:sz w:val="20"/>
                <w:szCs w:val="20"/>
              </w:rPr>
            </w:pPr>
          </w:p>
        </w:tc>
        <w:tc>
          <w:tcPr>
            <w:tcW w:w="8118" w:type="dxa"/>
            <w:gridSpan w:val="3"/>
          </w:tcPr>
          <w:p w:rsidR="00232760" w:rsidRPr="00E85E82" w:rsidRDefault="004E103B" w:rsidP="000F56AC">
            <w:pPr>
              <w:jc w:val="both"/>
              <w:rPr>
                <w:rFonts w:cs="Times New Roman"/>
                <w:sz w:val="20"/>
                <w:szCs w:val="20"/>
              </w:rPr>
            </w:pPr>
            <w:r w:rsidRPr="00E85E82">
              <w:rPr>
                <w:rStyle w:val="SCCLsocChar"/>
                <w:rFonts w:cs="Times New Roman"/>
                <w:sz w:val="20"/>
                <w:szCs w:val="20"/>
                <w:lang w:val="en-CA"/>
              </w:rPr>
              <w:t>Stephen Patrick Burrows</w:t>
            </w:r>
            <w:r w:rsidR="00232760" w:rsidRPr="00E85E82">
              <w:rPr>
                <w:rStyle w:val="SCCLsocChar"/>
                <w:rFonts w:cs="Times New Roman"/>
                <w:sz w:val="20"/>
                <w:szCs w:val="20"/>
                <w:lang w:val="en-CA"/>
              </w:rPr>
              <w:t xml:space="preserve"> v. </w:t>
            </w:r>
            <w:r w:rsidRPr="00E85E82">
              <w:rPr>
                <w:rStyle w:val="SCCLsocChar"/>
                <w:rFonts w:cs="Times New Roman"/>
                <w:sz w:val="20"/>
                <w:szCs w:val="20"/>
                <w:lang w:val="en-CA"/>
              </w:rPr>
              <w:t>Her Majesty the Queen</w:t>
            </w:r>
            <w:r w:rsidR="00232760" w:rsidRPr="00E85E82">
              <w:rPr>
                <w:rStyle w:val="SCCLsocChar"/>
                <w:rFonts w:cs="Times New Roman"/>
                <w:b w:val="0"/>
                <w:sz w:val="20"/>
                <w:szCs w:val="20"/>
                <w:u w:val="none"/>
                <w:lang w:val="en-CA"/>
              </w:rPr>
              <w:t xml:space="preserve"> </w:t>
            </w:r>
            <w:r w:rsidR="00232760" w:rsidRPr="00E85E82">
              <w:rPr>
                <w:rFonts w:cs="Times New Roman"/>
                <w:sz w:val="20"/>
                <w:szCs w:val="20"/>
              </w:rPr>
              <w:t>(</w:t>
            </w:r>
            <w:r w:rsidRPr="00E85E82">
              <w:rPr>
                <w:rFonts w:cs="Times New Roman"/>
                <w:sz w:val="20"/>
                <w:szCs w:val="20"/>
              </w:rPr>
              <w:t>F.C.</w:t>
            </w:r>
            <w:r w:rsidR="00232760" w:rsidRPr="00E85E82">
              <w:rPr>
                <w:rFonts w:cs="Times New Roman"/>
                <w:sz w:val="20"/>
                <w:szCs w:val="20"/>
              </w:rPr>
              <w:t>) (Civil) (By Leave)</w:t>
            </w:r>
          </w:p>
          <w:p w:rsidR="00232760" w:rsidRPr="00E85E82" w:rsidRDefault="00232760" w:rsidP="000F56AC">
            <w:pPr>
              <w:jc w:val="both"/>
              <w:rPr>
                <w:rFonts w:cs="Times New Roman"/>
                <w:sz w:val="20"/>
                <w:szCs w:val="20"/>
              </w:rPr>
            </w:pPr>
          </w:p>
        </w:tc>
      </w:tr>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Fonts w:cs="Times New Roman"/>
                <w:sz w:val="20"/>
                <w:szCs w:val="20"/>
              </w:rPr>
              <w:t>Coram :</w:t>
            </w:r>
          </w:p>
        </w:tc>
        <w:tc>
          <w:tcPr>
            <w:tcW w:w="8118" w:type="dxa"/>
            <w:gridSpan w:val="3"/>
          </w:tcPr>
          <w:p w:rsidR="00232760" w:rsidRPr="00E85E82" w:rsidRDefault="00232760" w:rsidP="000F56AC">
            <w:pPr>
              <w:jc w:val="both"/>
              <w:rPr>
                <w:rStyle w:val="SCCCoramChar"/>
                <w:sz w:val="20"/>
                <w:szCs w:val="20"/>
                <w:lang w:val="en-CA"/>
              </w:rPr>
            </w:pPr>
            <w:r w:rsidRPr="00E85E82">
              <w:rPr>
                <w:rStyle w:val="SCCCoramChar"/>
                <w:sz w:val="20"/>
                <w:szCs w:val="20"/>
                <w:lang w:val="en-CA"/>
              </w:rPr>
              <w:t>McLachlin C.J. and Moldaver and Gascon JJ.</w:t>
            </w:r>
          </w:p>
          <w:p w:rsidR="00232760" w:rsidRPr="00E85E82" w:rsidRDefault="00232760" w:rsidP="000F56AC">
            <w:pPr>
              <w:jc w:val="both"/>
              <w:rPr>
                <w:rFonts w:cs="Times New Roman"/>
                <w:sz w:val="20"/>
                <w:szCs w:val="20"/>
                <w:u w:val="single"/>
              </w:rPr>
            </w:pPr>
          </w:p>
        </w:tc>
      </w:tr>
      <w:tr w:rsidR="00232760" w:rsidRPr="00B407D6" w:rsidTr="000F56AC">
        <w:trPr>
          <w:cantSplit/>
        </w:trPr>
        <w:tc>
          <w:tcPr>
            <w:tcW w:w="9576" w:type="dxa"/>
            <w:gridSpan w:val="4"/>
          </w:tcPr>
          <w:p w:rsidR="00312B5E" w:rsidRPr="00E85E82" w:rsidRDefault="00312B5E" w:rsidP="00312B5E">
            <w:pPr>
              <w:pStyle w:val="SCCShortJudgment"/>
            </w:pPr>
            <w:r w:rsidRPr="00E85E82">
              <w:t>The motion for an extension of time to serve and file the application for leave to appeal is granted.  The application for leave to appeal from the judgment of the Federal Court of Appeal, Numbers A-289-14 and A-342-14, 2016 FCA 9, dated January 13, 2016, is dismissed with costs.</w:t>
            </w:r>
          </w:p>
          <w:p w:rsidR="00312B5E" w:rsidRPr="00E85E82" w:rsidRDefault="00312B5E" w:rsidP="00312B5E">
            <w:pPr>
              <w:pStyle w:val="SCCShortJudgment"/>
              <w:ind w:firstLine="0"/>
            </w:pPr>
          </w:p>
          <w:p w:rsidR="00312B5E" w:rsidRPr="00C556BB" w:rsidRDefault="00312B5E" w:rsidP="00312B5E">
            <w:pPr>
              <w:pStyle w:val="SCCShortJudgment"/>
              <w:rPr>
                <w:lang w:val="fr-CA"/>
              </w:rPr>
            </w:pPr>
            <w:r w:rsidRPr="00C556BB">
              <w:rPr>
                <w:lang w:val="fr-CA"/>
              </w:rPr>
              <w:t>La requête en prorogation du délai de signification et de dépôt de la demande d’autorisation d’appel est accueillie. La demande d’autorisation d’appel de l’arrêt de la Cour d’appel fédérale, numéros A-289-14 et A-342-14, 2016 FCA 9, daté du 13 janvier 2016, est rejetée avec dépens.</w:t>
            </w:r>
          </w:p>
          <w:p w:rsidR="00232760" w:rsidRPr="00E85E82" w:rsidRDefault="00232760" w:rsidP="000F56AC">
            <w:pPr>
              <w:pStyle w:val="SCCShortJudgment"/>
              <w:ind w:firstLine="0"/>
              <w:rPr>
                <w:rFonts w:cs="Times New Roman"/>
                <w:szCs w:val="20"/>
                <w:lang w:val="fr-CA"/>
              </w:rPr>
            </w:pPr>
          </w:p>
        </w:tc>
      </w:tr>
      <w:tr w:rsidR="00232760" w:rsidRPr="00E85E82" w:rsidTr="000F56AC">
        <w:trPr>
          <w:cantSplit/>
        </w:trPr>
        <w:tc>
          <w:tcPr>
            <w:tcW w:w="9576" w:type="dxa"/>
            <w:gridSpan w:val="4"/>
          </w:tcPr>
          <w:p w:rsidR="00232760" w:rsidRPr="00E85E82" w:rsidRDefault="00232760" w:rsidP="000F56AC">
            <w:pPr>
              <w:pStyle w:val="SCCShortJudgment"/>
              <w:ind w:firstLine="0"/>
              <w:rPr>
                <w:rFonts w:cs="Times New Roman"/>
                <w:szCs w:val="20"/>
                <w:u w:val="single"/>
                <w:lang w:val="fr-CA"/>
              </w:rPr>
            </w:pPr>
            <w:r w:rsidRPr="00E85E82">
              <w:rPr>
                <w:rFonts w:cs="Times New Roman"/>
                <w:szCs w:val="20"/>
                <w:u w:val="single"/>
                <w:lang w:val="fr-CA"/>
              </w:rPr>
              <w:t>CASE SUMMARY</w:t>
            </w:r>
          </w:p>
          <w:p w:rsidR="00232760" w:rsidRPr="00E85E82" w:rsidRDefault="00232760" w:rsidP="000F56AC">
            <w:pPr>
              <w:pStyle w:val="SCCShortJudgment"/>
              <w:ind w:firstLine="0"/>
              <w:rPr>
                <w:rFonts w:cs="Times New Roman"/>
                <w:szCs w:val="20"/>
                <w:u w:val="single"/>
                <w:lang w:val="fr-CA"/>
              </w:rPr>
            </w:pPr>
          </w:p>
        </w:tc>
      </w:tr>
      <w:tr w:rsidR="00232760" w:rsidRPr="00E85E82" w:rsidTr="000F56AC">
        <w:trPr>
          <w:cantSplit/>
        </w:trPr>
        <w:tc>
          <w:tcPr>
            <w:tcW w:w="9576" w:type="dxa"/>
            <w:gridSpan w:val="4"/>
          </w:tcPr>
          <w:p w:rsidR="00232760" w:rsidRPr="00E85E82" w:rsidRDefault="0021524B" w:rsidP="000F56AC">
            <w:pPr>
              <w:pStyle w:val="SCCShortJudgment"/>
              <w:ind w:firstLine="0"/>
              <w:rPr>
                <w:szCs w:val="20"/>
              </w:rPr>
            </w:pPr>
            <w:r w:rsidRPr="00E85E82">
              <w:rPr>
                <w:szCs w:val="20"/>
              </w:rPr>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E85E82">
              <w:rPr>
                <w:i/>
                <w:szCs w:val="20"/>
              </w:rPr>
              <w:t>Controlled Drugs and Substances Act</w:t>
            </w:r>
            <w:r w:rsidRPr="00E85E82">
              <w:rPr>
                <w:szCs w:val="20"/>
              </w:rPr>
              <w:t>, S.C. 1996, c. 19.</w:t>
            </w:r>
          </w:p>
          <w:p w:rsidR="0021524B" w:rsidRPr="00E85E82" w:rsidRDefault="0021524B" w:rsidP="000F56AC">
            <w:pPr>
              <w:pStyle w:val="SCCShortJudgment"/>
              <w:ind w:firstLine="0"/>
              <w:rPr>
                <w:rFonts w:cs="Times New Roman"/>
                <w:szCs w:val="20"/>
              </w:rPr>
            </w:pPr>
          </w:p>
        </w:tc>
      </w:tr>
      <w:tr w:rsidR="00232760" w:rsidRPr="00E85E82" w:rsidTr="000F56AC">
        <w:trPr>
          <w:cantSplit/>
        </w:trPr>
        <w:tc>
          <w:tcPr>
            <w:tcW w:w="9576" w:type="dxa"/>
            <w:gridSpan w:val="4"/>
          </w:tcPr>
          <w:p w:rsidR="00232760" w:rsidRPr="00E85E82" w:rsidRDefault="0021524B" w:rsidP="000F56AC">
            <w:pPr>
              <w:pStyle w:val="SCCShortJudgment"/>
              <w:ind w:firstLine="0"/>
              <w:rPr>
                <w:szCs w:val="20"/>
              </w:rPr>
            </w:pPr>
            <w:r w:rsidRPr="00E85E82">
              <w:rPr>
                <w:szCs w:val="20"/>
              </w:rPr>
              <w:t xml:space="preserve">Since February 2014, approximately 300 self-represented plaintiffs, including the applicant, have filed identical claims seeking declarations that the </w:t>
            </w:r>
            <w:r w:rsidRPr="00E85E82">
              <w:rPr>
                <w:i/>
                <w:szCs w:val="20"/>
              </w:rPr>
              <w:t>Marijuana Medical Access Regulations (“MMAR”)</w:t>
            </w:r>
            <w:r w:rsidRPr="00E85E82">
              <w:rPr>
                <w:szCs w:val="20"/>
              </w:rPr>
              <w:t>, S.O.R./2001-227, which were repealed on March 31, 2014 and the</w:t>
            </w:r>
            <w:r w:rsidRPr="00E85E82">
              <w:rPr>
                <w:i/>
                <w:szCs w:val="20"/>
              </w:rPr>
              <w:t xml:space="preserve"> Marijuana for Medical Purposes Regulations</w:t>
            </w:r>
            <w:r w:rsidRPr="00E85E82">
              <w:rPr>
                <w:szCs w:val="20"/>
              </w:rPr>
              <w:t xml:space="preserve">, S.O.R./2013-119, which succeeded the </w:t>
            </w:r>
            <w:r w:rsidRPr="00E85E82">
              <w:rPr>
                <w:i/>
                <w:szCs w:val="20"/>
              </w:rPr>
              <w:t>MMAR</w:t>
            </w:r>
            <w:r w:rsidRPr="00E85E82">
              <w:rPr>
                <w:szCs w:val="20"/>
              </w:rPr>
              <w:t xml:space="preserve"> are unconstitutional. In the course of their actions, twenty-six plaintiffs, including the applicant, brought motions for interim constitutional exemptions from the </w:t>
            </w:r>
            <w:r w:rsidRPr="00E85E82">
              <w:rPr>
                <w:i/>
                <w:szCs w:val="20"/>
              </w:rPr>
              <w:t>Controlled Drugs and Substances Act</w:t>
            </w:r>
            <w:r w:rsidRPr="00E85E82">
              <w:rPr>
                <w:szCs w:val="20"/>
              </w:rPr>
              <w:t xml:space="preserve"> </w:t>
            </w:r>
            <w:r w:rsidRPr="00E85E82">
              <w:rPr>
                <w:i/>
                <w:szCs w:val="20"/>
              </w:rPr>
              <w:t>(“CDSA”)</w:t>
            </w:r>
            <w:r w:rsidRPr="00E85E82">
              <w:rPr>
                <w:szCs w:val="20"/>
              </w:rPr>
              <w:t xml:space="preserve"> for the personal use of marijuana pending trial of their actions.</w:t>
            </w:r>
          </w:p>
          <w:p w:rsidR="0021524B" w:rsidRPr="00E85E82" w:rsidRDefault="0021524B" w:rsidP="000F56AC">
            <w:pPr>
              <w:pStyle w:val="SCCShortJudgment"/>
              <w:ind w:firstLine="0"/>
              <w:rPr>
                <w:rFonts w:cs="Times New Roman"/>
                <w:szCs w:val="20"/>
              </w:rPr>
            </w:pPr>
          </w:p>
        </w:tc>
      </w:tr>
      <w:tr w:rsidR="00232760" w:rsidRPr="00E85E82" w:rsidTr="000F56AC">
        <w:trPr>
          <w:cantSplit/>
        </w:trPr>
        <w:tc>
          <w:tcPr>
            <w:tcW w:w="4410" w:type="dxa"/>
            <w:gridSpan w:val="2"/>
          </w:tcPr>
          <w:p w:rsidR="0021524B" w:rsidRPr="00E85E82" w:rsidRDefault="0021524B" w:rsidP="0021524B">
            <w:pPr>
              <w:rPr>
                <w:sz w:val="20"/>
                <w:szCs w:val="20"/>
              </w:rPr>
            </w:pPr>
            <w:r w:rsidRPr="00E85E82">
              <w:rPr>
                <w:sz w:val="20"/>
                <w:szCs w:val="20"/>
              </w:rPr>
              <w:t>May 7, 2014</w:t>
            </w:r>
          </w:p>
          <w:p w:rsidR="0021524B" w:rsidRPr="00E85E82" w:rsidRDefault="0021524B" w:rsidP="0021524B">
            <w:pPr>
              <w:rPr>
                <w:sz w:val="20"/>
                <w:szCs w:val="20"/>
              </w:rPr>
            </w:pPr>
            <w:r w:rsidRPr="00E85E82">
              <w:rPr>
                <w:sz w:val="20"/>
                <w:szCs w:val="20"/>
              </w:rPr>
              <w:t>Federal Court</w:t>
            </w:r>
          </w:p>
          <w:p w:rsidR="0021524B" w:rsidRPr="00E85E82" w:rsidRDefault="0021524B" w:rsidP="0021524B">
            <w:pPr>
              <w:rPr>
                <w:sz w:val="20"/>
                <w:szCs w:val="20"/>
              </w:rPr>
            </w:pPr>
            <w:r w:rsidRPr="00E85E82">
              <w:rPr>
                <w:sz w:val="20"/>
                <w:szCs w:val="20"/>
              </w:rPr>
              <w:t>(Phelan J.)</w:t>
            </w:r>
          </w:p>
          <w:p w:rsidR="00232760" w:rsidRPr="00E85E82" w:rsidRDefault="00232760" w:rsidP="000F56AC">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21524B" w:rsidRPr="00E85E82" w:rsidRDefault="0021524B" w:rsidP="0021524B">
            <w:pPr>
              <w:jc w:val="both"/>
              <w:rPr>
                <w:sz w:val="20"/>
                <w:szCs w:val="20"/>
              </w:rPr>
            </w:pPr>
            <w:r w:rsidRPr="00E85E82">
              <w:rPr>
                <w:sz w:val="20"/>
                <w:szCs w:val="20"/>
              </w:rPr>
              <w:t xml:space="preserve">Motion for interim constitutional exemptions from provisions of </w:t>
            </w:r>
            <w:r w:rsidRPr="00E85E82">
              <w:rPr>
                <w:i/>
                <w:sz w:val="20"/>
                <w:szCs w:val="20"/>
              </w:rPr>
              <w:t>Controlled Drugs and Substances Act</w:t>
            </w:r>
            <w:r w:rsidRPr="00E85E82">
              <w:rPr>
                <w:sz w:val="20"/>
                <w:szCs w:val="20"/>
              </w:rPr>
              <w:t xml:space="preserve"> dismissed</w:t>
            </w:r>
          </w:p>
          <w:p w:rsidR="00232760" w:rsidRPr="00E85E82" w:rsidRDefault="00232760" w:rsidP="000F56AC">
            <w:pPr>
              <w:jc w:val="both"/>
              <w:rPr>
                <w:rFonts w:cs="Times New Roman"/>
                <w:sz w:val="20"/>
                <w:szCs w:val="20"/>
              </w:rPr>
            </w:pPr>
          </w:p>
        </w:tc>
      </w:tr>
      <w:tr w:rsidR="00232760" w:rsidRPr="00E85E82" w:rsidTr="000F56AC">
        <w:trPr>
          <w:cantSplit/>
        </w:trPr>
        <w:tc>
          <w:tcPr>
            <w:tcW w:w="4410" w:type="dxa"/>
            <w:gridSpan w:val="2"/>
          </w:tcPr>
          <w:p w:rsidR="0021524B" w:rsidRPr="00E85E82" w:rsidRDefault="0021524B" w:rsidP="0021524B">
            <w:pPr>
              <w:rPr>
                <w:sz w:val="20"/>
                <w:szCs w:val="20"/>
              </w:rPr>
            </w:pPr>
            <w:r w:rsidRPr="00E85E82">
              <w:rPr>
                <w:sz w:val="20"/>
                <w:szCs w:val="20"/>
              </w:rPr>
              <w:t>January 13, 2016</w:t>
            </w:r>
          </w:p>
          <w:p w:rsidR="0021524B" w:rsidRPr="00E85E82" w:rsidRDefault="0021524B" w:rsidP="0021524B">
            <w:pPr>
              <w:rPr>
                <w:sz w:val="20"/>
                <w:szCs w:val="20"/>
              </w:rPr>
            </w:pPr>
            <w:r w:rsidRPr="00E85E82">
              <w:rPr>
                <w:sz w:val="20"/>
                <w:szCs w:val="20"/>
              </w:rPr>
              <w:t>Federal Court of Appeal</w:t>
            </w:r>
          </w:p>
          <w:p w:rsidR="0021524B" w:rsidRPr="00E85E82" w:rsidRDefault="0021524B" w:rsidP="0021524B">
            <w:pPr>
              <w:rPr>
                <w:sz w:val="20"/>
                <w:szCs w:val="20"/>
              </w:rPr>
            </w:pPr>
            <w:r w:rsidRPr="00E85E82">
              <w:rPr>
                <w:sz w:val="20"/>
                <w:szCs w:val="20"/>
              </w:rPr>
              <w:t xml:space="preserve">(Pelletier, </w:t>
            </w:r>
            <w:proofErr w:type="spellStart"/>
            <w:r w:rsidRPr="00E85E82">
              <w:rPr>
                <w:sz w:val="20"/>
                <w:szCs w:val="20"/>
              </w:rPr>
              <w:t>Stratas</w:t>
            </w:r>
            <w:proofErr w:type="spellEnd"/>
            <w:r w:rsidRPr="00E85E82">
              <w:rPr>
                <w:sz w:val="20"/>
                <w:szCs w:val="20"/>
              </w:rPr>
              <w:t xml:space="preserve"> and Gleason JJ.A.)</w:t>
            </w:r>
          </w:p>
          <w:p w:rsidR="0021524B" w:rsidRPr="00E85E82" w:rsidRDefault="00B407D6" w:rsidP="0021524B">
            <w:pPr>
              <w:rPr>
                <w:sz w:val="20"/>
                <w:szCs w:val="20"/>
              </w:rPr>
            </w:pPr>
            <w:hyperlink r:id="rId47" w:history="1">
              <w:hyperlink r:id="rId48" w:history="1">
                <w:r w:rsidR="0021524B" w:rsidRPr="00E85E82">
                  <w:rPr>
                    <w:rStyle w:val="Hyperlink"/>
                    <w:sz w:val="20"/>
                    <w:szCs w:val="20"/>
                  </w:rPr>
                  <w:t>2016 FCA 9</w:t>
                </w:r>
              </w:hyperlink>
            </w:hyperlink>
          </w:p>
          <w:p w:rsidR="00232760" w:rsidRPr="00E85E82" w:rsidRDefault="00232760" w:rsidP="000F56AC">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21524B" w:rsidRPr="00E85E82" w:rsidRDefault="0021524B" w:rsidP="0021524B">
            <w:pPr>
              <w:rPr>
                <w:sz w:val="20"/>
                <w:szCs w:val="20"/>
              </w:rPr>
            </w:pPr>
            <w:r w:rsidRPr="00E85E82">
              <w:rPr>
                <w:sz w:val="20"/>
                <w:szCs w:val="20"/>
              </w:rPr>
              <w:t>Appeal dismissed</w:t>
            </w:r>
          </w:p>
          <w:p w:rsidR="00232760" w:rsidRPr="00E85E82" w:rsidRDefault="00232760" w:rsidP="000F56AC">
            <w:pPr>
              <w:jc w:val="both"/>
              <w:rPr>
                <w:rFonts w:cs="Times New Roman"/>
                <w:sz w:val="20"/>
                <w:szCs w:val="20"/>
              </w:rPr>
            </w:pPr>
          </w:p>
        </w:tc>
      </w:tr>
      <w:tr w:rsidR="00232760" w:rsidRPr="00E85E82" w:rsidTr="000F56AC">
        <w:trPr>
          <w:cantSplit/>
        </w:trPr>
        <w:tc>
          <w:tcPr>
            <w:tcW w:w="4410" w:type="dxa"/>
            <w:gridSpan w:val="2"/>
          </w:tcPr>
          <w:p w:rsidR="0021524B" w:rsidRPr="00E85E82" w:rsidRDefault="0021524B" w:rsidP="0021524B">
            <w:pPr>
              <w:rPr>
                <w:sz w:val="20"/>
                <w:szCs w:val="20"/>
              </w:rPr>
            </w:pPr>
            <w:r w:rsidRPr="00E85E82">
              <w:rPr>
                <w:sz w:val="20"/>
                <w:szCs w:val="20"/>
              </w:rPr>
              <w:t>March 15, 2016</w:t>
            </w:r>
          </w:p>
          <w:p w:rsidR="0021524B" w:rsidRPr="00E85E82" w:rsidRDefault="0021524B" w:rsidP="0021524B">
            <w:pPr>
              <w:rPr>
                <w:sz w:val="20"/>
                <w:szCs w:val="20"/>
              </w:rPr>
            </w:pPr>
            <w:r w:rsidRPr="00E85E82">
              <w:rPr>
                <w:sz w:val="20"/>
                <w:szCs w:val="20"/>
              </w:rPr>
              <w:t>Supreme Court of Canada</w:t>
            </w:r>
          </w:p>
          <w:p w:rsidR="00232760" w:rsidRPr="00E85E82" w:rsidRDefault="00232760" w:rsidP="000F56AC">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21524B" w:rsidRPr="00E85E82" w:rsidRDefault="0021524B" w:rsidP="0021524B">
            <w:pPr>
              <w:jc w:val="both"/>
              <w:rPr>
                <w:sz w:val="20"/>
                <w:szCs w:val="20"/>
              </w:rPr>
            </w:pPr>
            <w:r w:rsidRPr="00E85E82">
              <w:rPr>
                <w:sz w:val="20"/>
                <w:szCs w:val="20"/>
              </w:rPr>
              <w:t>Motion to extend time to serve and file application for leave to appeal and application for leave to appeal filed</w:t>
            </w:r>
          </w:p>
          <w:p w:rsidR="00232760" w:rsidRPr="00E85E82" w:rsidRDefault="00232760" w:rsidP="000F56AC">
            <w:pPr>
              <w:jc w:val="both"/>
              <w:rPr>
                <w:rFonts w:cs="Times New Roman"/>
                <w:sz w:val="20"/>
                <w:szCs w:val="20"/>
              </w:rPr>
            </w:pPr>
          </w:p>
        </w:tc>
      </w:tr>
      <w:tr w:rsidR="00232760" w:rsidRPr="00E85E82" w:rsidTr="000F56AC">
        <w:trPr>
          <w:cantSplit/>
        </w:trPr>
        <w:tc>
          <w:tcPr>
            <w:tcW w:w="9576" w:type="dxa"/>
            <w:gridSpan w:val="4"/>
          </w:tcPr>
          <w:p w:rsidR="00232760" w:rsidRPr="00E85E82" w:rsidRDefault="00B407D6" w:rsidP="000F56AC">
            <w:pPr>
              <w:pStyle w:val="SCCShortJudgment"/>
              <w:ind w:firstLine="0"/>
              <w:rPr>
                <w:rFonts w:cs="Times New Roman"/>
                <w:szCs w:val="20"/>
                <w:lang w:val="fr-CA"/>
              </w:rPr>
            </w:pPr>
            <w:r>
              <w:rPr>
                <w:rFonts w:cs="Times New Roman"/>
                <w:szCs w:val="20"/>
                <w:lang w:val="fr-CA"/>
              </w:rPr>
              <w:pict>
                <v:rect id="_x0000_i1061" style="width:2in;height:1pt" o:hrpct="0" o:hralign="center" o:hrstd="t" o:hrnoshade="t" o:hr="t" fillcolor="black [3213]" stroked="f"/>
              </w:pict>
            </w:r>
          </w:p>
          <w:p w:rsidR="00232760" w:rsidRPr="00E85E82" w:rsidRDefault="00232760" w:rsidP="000F56AC">
            <w:pPr>
              <w:pStyle w:val="SCCShortJudgment"/>
              <w:ind w:firstLine="0"/>
              <w:rPr>
                <w:rFonts w:cs="Times New Roman"/>
                <w:szCs w:val="20"/>
                <w:lang w:val="fr-CA"/>
              </w:rPr>
            </w:pPr>
          </w:p>
        </w:tc>
      </w:tr>
      <w:tr w:rsidR="00232760" w:rsidRPr="00E85E82" w:rsidTr="000F56AC">
        <w:trPr>
          <w:cantSplit/>
        </w:trPr>
        <w:tc>
          <w:tcPr>
            <w:tcW w:w="9576" w:type="dxa"/>
            <w:gridSpan w:val="4"/>
          </w:tcPr>
          <w:p w:rsidR="00232760" w:rsidRPr="00E85E82" w:rsidRDefault="00232760" w:rsidP="000F56AC">
            <w:pPr>
              <w:pStyle w:val="SCCShortJudgment"/>
              <w:ind w:firstLine="0"/>
              <w:rPr>
                <w:rFonts w:cs="Times New Roman"/>
                <w:szCs w:val="20"/>
                <w:u w:val="single"/>
                <w:lang w:val="fr-CA"/>
              </w:rPr>
            </w:pPr>
            <w:r w:rsidRPr="00E85E82">
              <w:rPr>
                <w:rFonts w:cs="Times New Roman"/>
                <w:szCs w:val="20"/>
                <w:u w:val="single"/>
                <w:lang w:val="fr-CA"/>
              </w:rPr>
              <w:t>RÉSUMÉ DE L’AFFAIRE </w:t>
            </w:r>
          </w:p>
          <w:p w:rsidR="00232760" w:rsidRPr="00E85E82" w:rsidRDefault="00232760" w:rsidP="000F56AC">
            <w:pPr>
              <w:pStyle w:val="SCCShortJudgment"/>
              <w:ind w:firstLine="0"/>
              <w:rPr>
                <w:rFonts w:cs="Times New Roman"/>
                <w:szCs w:val="20"/>
                <w:u w:val="single"/>
                <w:lang w:val="fr-CA"/>
              </w:rPr>
            </w:pPr>
          </w:p>
        </w:tc>
      </w:tr>
      <w:tr w:rsidR="00232760" w:rsidRPr="00B407D6" w:rsidTr="000F56AC">
        <w:trPr>
          <w:cantSplit/>
        </w:trPr>
        <w:tc>
          <w:tcPr>
            <w:tcW w:w="9576" w:type="dxa"/>
            <w:gridSpan w:val="4"/>
          </w:tcPr>
          <w:p w:rsidR="00232760" w:rsidRPr="00E85E82" w:rsidRDefault="0021524B" w:rsidP="0021524B">
            <w:pPr>
              <w:pStyle w:val="SCCShortJudgment"/>
              <w:ind w:firstLine="0"/>
              <w:rPr>
                <w:szCs w:val="20"/>
                <w:lang w:val="fr-CA"/>
              </w:rPr>
            </w:pPr>
            <w:r w:rsidRPr="00E85E82">
              <w:rPr>
                <w:szCs w:val="20"/>
                <w:lang w:val="fr-CA"/>
              </w:rPr>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E85E82">
              <w:rPr>
                <w:i/>
                <w:szCs w:val="20"/>
                <w:lang w:val="fr-CA"/>
              </w:rPr>
              <w:t>Loi réglementant certaines drogues et autres substances</w:t>
            </w:r>
            <w:r w:rsidRPr="00E85E82">
              <w:rPr>
                <w:szCs w:val="20"/>
                <w:lang w:val="fr-CA"/>
              </w:rPr>
              <w:t>, L.C., 1996, ch. 19.</w:t>
            </w:r>
          </w:p>
          <w:p w:rsidR="0021524B" w:rsidRPr="00E85E82" w:rsidRDefault="0021524B" w:rsidP="0021524B">
            <w:pPr>
              <w:pStyle w:val="SCCShortJudgment"/>
              <w:ind w:firstLine="0"/>
              <w:rPr>
                <w:rFonts w:cs="Times New Roman"/>
                <w:szCs w:val="20"/>
                <w:u w:val="single"/>
                <w:lang w:val="fr-CA"/>
              </w:rPr>
            </w:pPr>
          </w:p>
        </w:tc>
      </w:tr>
      <w:tr w:rsidR="00232760" w:rsidRPr="00B407D6" w:rsidTr="000F56AC">
        <w:trPr>
          <w:cantSplit/>
        </w:trPr>
        <w:tc>
          <w:tcPr>
            <w:tcW w:w="9576" w:type="dxa"/>
            <w:gridSpan w:val="4"/>
          </w:tcPr>
          <w:p w:rsidR="00232760" w:rsidRPr="00E85E82" w:rsidRDefault="0021524B" w:rsidP="0021524B">
            <w:pPr>
              <w:jc w:val="both"/>
              <w:rPr>
                <w:sz w:val="20"/>
                <w:szCs w:val="20"/>
                <w:lang w:val="fr-CA"/>
              </w:rPr>
            </w:pPr>
            <w:r w:rsidRPr="00E85E82">
              <w:rPr>
                <w:sz w:val="20"/>
                <w:szCs w:val="20"/>
                <w:lang w:val="fr-CA"/>
              </w:rPr>
              <w:t xml:space="preserve">Depuis février 2014, environ 300 plaideurs non représentés, y compris le demandeur, ont déposé des demandes identiques sollicitant des jugements qui déclarent inconstitutionnels le </w:t>
            </w:r>
            <w:r w:rsidRPr="00E85E82">
              <w:rPr>
                <w:i/>
                <w:sz w:val="20"/>
                <w:szCs w:val="20"/>
                <w:lang w:val="fr-CA"/>
              </w:rPr>
              <w:t>Règlement sur l’accès à la marihuana à des fins médicales (« RAMFM »)</w:t>
            </w:r>
            <w:r w:rsidRPr="00E85E82">
              <w:rPr>
                <w:sz w:val="20"/>
                <w:szCs w:val="20"/>
                <w:lang w:val="fr-CA"/>
              </w:rPr>
              <w:t xml:space="preserve">, D.O.R.S./2001-227, abrogé le 31 mars 2014 et le </w:t>
            </w:r>
            <w:r w:rsidRPr="00E85E82">
              <w:rPr>
                <w:i/>
                <w:sz w:val="20"/>
                <w:szCs w:val="20"/>
                <w:lang w:val="fr-CA"/>
              </w:rPr>
              <w:t>Règlement sur la marihuana à des fins médicales</w:t>
            </w:r>
            <w:r w:rsidRPr="00E85E82">
              <w:rPr>
                <w:sz w:val="20"/>
                <w:szCs w:val="20"/>
                <w:lang w:val="fr-CA"/>
              </w:rPr>
              <w:t xml:space="preserve">, D.O.R.S./2013-119, qui a remplacé le </w:t>
            </w:r>
            <w:r w:rsidRPr="00E85E82">
              <w:rPr>
                <w:i/>
                <w:sz w:val="20"/>
                <w:szCs w:val="20"/>
                <w:lang w:val="fr-CA"/>
              </w:rPr>
              <w:t>RAMFM</w:t>
            </w:r>
            <w:r w:rsidRPr="00E85E82">
              <w:rPr>
                <w:sz w:val="20"/>
                <w:szCs w:val="20"/>
                <w:lang w:val="fr-CA"/>
              </w:rPr>
              <w:t xml:space="preserve">. Dans le cadre de leurs actions, vingt-six demandeurs en première instance, y compris le demandeur en l’espèce, ont présenté des requêtes en exemption constitutionnelle visant à écarter temporairement l’application de la </w:t>
            </w:r>
            <w:r w:rsidRPr="00E85E82">
              <w:rPr>
                <w:i/>
                <w:sz w:val="20"/>
                <w:szCs w:val="20"/>
                <w:lang w:val="fr-CA"/>
              </w:rPr>
              <w:t>Loi réglementant certaines drogues et autres substances (« LRCDAS »)</w:t>
            </w:r>
            <w:r w:rsidRPr="00E85E82">
              <w:rPr>
                <w:sz w:val="20"/>
                <w:szCs w:val="20"/>
                <w:lang w:val="fr-CA"/>
              </w:rPr>
              <w:t xml:space="preserve"> pour l’utilisation personnelle de la marihuana en attendant que leurs actions soient instruites.</w:t>
            </w:r>
          </w:p>
          <w:p w:rsidR="0021524B" w:rsidRPr="00E85E82" w:rsidRDefault="0021524B" w:rsidP="0021524B">
            <w:pPr>
              <w:jc w:val="both"/>
              <w:rPr>
                <w:rFonts w:cs="Times New Roman"/>
                <w:sz w:val="20"/>
                <w:szCs w:val="20"/>
                <w:u w:val="single"/>
                <w:lang w:val="fr-CA"/>
              </w:rPr>
            </w:pPr>
          </w:p>
        </w:tc>
      </w:tr>
      <w:tr w:rsidR="00232760" w:rsidRPr="00B407D6" w:rsidTr="000F56AC">
        <w:trPr>
          <w:cantSplit/>
        </w:trPr>
        <w:tc>
          <w:tcPr>
            <w:tcW w:w="4410" w:type="dxa"/>
            <w:gridSpan w:val="2"/>
          </w:tcPr>
          <w:p w:rsidR="0021524B" w:rsidRPr="00E85E82" w:rsidRDefault="0021524B" w:rsidP="0021524B">
            <w:pPr>
              <w:jc w:val="both"/>
              <w:rPr>
                <w:sz w:val="20"/>
                <w:szCs w:val="20"/>
                <w:lang w:val="fr-CA"/>
              </w:rPr>
            </w:pPr>
            <w:r w:rsidRPr="00E85E82">
              <w:rPr>
                <w:sz w:val="20"/>
                <w:szCs w:val="20"/>
                <w:lang w:val="fr-CA"/>
              </w:rPr>
              <w:t>7 mai 2014</w:t>
            </w:r>
          </w:p>
          <w:p w:rsidR="0021524B" w:rsidRPr="00E85E82" w:rsidRDefault="0021524B" w:rsidP="0021524B">
            <w:pPr>
              <w:jc w:val="both"/>
              <w:rPr>
                <w:sz w:val="20"/>
                <w:szCs w:val="20"/>
                <w:lang w:val="fr-CA"/>
              </w:rPr>
            </w:pPr>
            <w:r w:rsidRPr="00E85E82">
              <w:rPr>
                <w:sz w:val="20"/>
                <w:szCs w:val="20"/>
                <w:lang w:val="fr-CA"/>
              </w:rPr>
              <w:t xml:space="preserve">Cour fédérale </w:t>
            </w:r>
          </w:p>
          <w:p w:rsidR="00232760" w:rsidRPr="00E85E82" w:rsidRDefault="0021524B" w:rsidP="0021524B">
            <w:pPr>
              <w:pStyle w:val="SCCShortJudgment"/>
              <w:ind w:firstLine="0"/>
              <w:rPr>
                <w:szCs w:val="20"/>
                <w:lang w:val="fr-CA"/>
              </w:rPr>
            </w:pPr>
            <w:r w:rsidRPr="00E85E82">
              <w:rPr>
                <w:szCs w:val="20"/>
                <w:lang w:val="fr-CA"/>
              </w:rPr>
              <w:t>(Juge Phelan)</w:t>
            </w:r>
          </w:p>
          <w:p w:rsidR="0021524B" w:rsidRPr="00E85E82" w:rsidRDefault="0021524B" w:rsidP="0021524B">
            <w:pPr>
              <w:pStyle w:val="SCCShortJudgment"/>
              <w:ind w:firstLine="0"/>
              <w:rPr>
                <w:rFonts w:cs="Times New Roman"/>
                <w:szCs w:val="20"/>
                <w:u w:val="single"/>
                <w:lang w:val="fr-CA"/>
              </w:rPr>
            </w:pPr>
          </w:p>
        </w:tc>
        <w:tc>
          <w:tcPr>
            <w:tcW w:w="630" w:type="dxa"/>
          </w:tcPr>
          <w:p w:rsidR="00232760" w:rsidRPr="00E85E82" w:rsidRDefault="00232760" w:rsidP="0021524B">
            <w:pPr>
              <w:pStyle w:val="SCCShortJudgment"/>
              <w:ind w:firstLine="0"/>
              <w:rPr>
                <w:rFonts w:cs="Times New Roman"/>
                <w:szCs w:val="20"/>
                <w:u w:val="single"/>
                <w:lang w:val="fr-CA"/>
              </w:rPr>
            </w:pPr>
          </w:p>
        </w:tc>
        <w:tc>
          <w:tcPr>
            <w:tcW w:w="4536" w:type="dxa"/>
          </w:tcPr>
          <w:p w:rsidR="0021524B" w:rsidRPr="00E85E82" w:rsidRDefault="0021524B" w:rsidP="0021524B">
            <w:pPr>
              <w:jc w:val="both"/>
              <w:rPr>
                <w:sz w:val="20"/>
                <w:szCs w:val="20"/>
                <w:lang w:val="fr-CA"/>
              </w:rPr>
            </w:pPr>
            <w:r w:rsidRPr="00E85E82">
              <w:rPr>
                <w:sz w:val="20"/>
                <w:szCs w:val="20"/>
                <w:lang w:val="fr-CA"/>
              </w:rPr>
              <w:t xml:space="preserve">Rejet de la requête en exemption constitutionnelle visant à écarter temporairement l’application de la </w:t>
            </w:r>
            <w:r w:rsidRPr="00E85E82">
              <w:rPr>
                <w:i/>
                <w:sz w:val="20"/>
                <w:szCs w:val="20"/>
                <w:lang w:val="fr-CA"/>
              </w:rPr>
              <w:t>Loi réglementant certaines drogues et autres substances</w:t>
            </w:r>
          </w:p>
          <w:p w:rsidR="00232760" w:rsidRPr="00E85E82" w:rsidRDefault="00232760" w:rsidP="0021524B">
            <w:pPr>
              <w:pStyle w:val="SCCShortJudgment"/>
              <w:ind w:firstLine="0"/>
              <w:rPr>
                <w:rFonts w:cs="Times New Roman"/>
                <w:szCs w:val="20"/>
                <w:u w:val="single"/>
                <w:lang w:val="fr-CA"/>
              </w:rPr>
            </w:pPr>
          </w:p>
        </w:tc>
      </w:tr>
      <w:tr w:rsidR="00232760" w:rsidRPr="00E85E82" w:rsidTr="000F56AC">
        <w:trPr>
          <w:cantSplit/>
        </w:trPr>
        <w:tc>
          <w:tcPr>
            <w:tcW w:w="4410" w:type="dxa"/>
            <w:gridSpan w:val="2"/>
          </w:tcPr>
          <w:p w:rsidR="0021524B" w:rsidRPr="00E85E82" w:rsidRDefault="0021524B" w:rsidP="0021524B">
            <w:pPr>
              <w:jc w:val="both"/>
              <w:rPr>
                <w:sz w:val="20"/>
                <w:szCs w:val="20"/>
                <w:lang w:val="fr-CA"/>
              </w:rPr>
            </w:pPr>
            <w:r w:rsidRPr="00E85E82">
              <w:rPr>
                <w:sz w:val="20"/>
                <w:szCs w:val="20"/>
                <w:lang w:val="fr-CA"/>
              </w:rPr>
              <w:t>13 janvier 2016</w:t>
            </w:r>
          </w:p>
          <w:p w:rsidR="0021524B" w:rsidRPr="00E85E82" w:rsidRDefault="0021524B" w:rsidP="0021524B">
            <w:pPr>
              <w:jc w:val="both"/>
              <w:rPr>
                <w:sz w:val="20"/>
                <w:szCs w:val="20"/>
                <w:lang w:val="fr-CA"/>
              </w:rPr>
            </w:pPr>
            <w:r w:rsidRPr="00E85E82">
              <w:rPr>
                <w:sz w:val="20"/>
                <w:szCs w:val="20"/>
                <w:lang w:val="fr-CA"/>
              </w:rPr>
              <w:t xml:space="preserve">Cour d’appel fédérale </w:t>
            </w:r>
          </w:p>
          <w:p w:rsidR="0021524B" w:rsidRPr="00E85E82" w:rsidRDefault="0021524B" w:rsidP="0021524B">
            <w:pPr>
              <w:jc w:val="both"/>
              <w:rPr>
                <w:rFonts w:eastAsia="Times New Roman" w:cs="Times New Roman"/>
                <w:sz w:val="20"/>
                <w:szCs w:val="20"/>
                <w:lang w:val="fr-CA" w:eastAsia="en-CA"/>
              </w:rPr>
            </w:pPr>
            <w:r w:rsidRPr="00E85E82">
              <w:rPr>
                <w:rFonts w:eastAsia="Times New Roman" w:cs="Times New Roman"/>
                <w:sz w:val="20"/>
                <w:szCs w:val="20"/>
                <w:lang w:val="fr-CA" w:eastAsia="en-CA"/>
              </w:rPr>
              <w:t xml:space="preserve">(Juges Pelletier, </w:t>
            </w:r>
            <w:proofErr w:type="spellStart"/>
            <w:r w:rsidRPr="00E85E82">
              <w:rPr>
                <w:rFonts w:eastAsia="Times New Roman" w:cs="Times New Roman"/>
                <w:sz w:val="20"/>
                <w:szCs w:val="20"/>
                <w:lang w:val="fr-CA" w:eastAsia="en-CA"/>
              </w:rPr>
              <w:t>Stratas</w:t>
            </w:r>
            <w:proofErr w:type="spellEnd"/>
            <w:r w:rsidRPr="00E85E82">
              <w:rPr>
                <w:rFonts w:eastAsia="Times New Roman" w:cs="Times New Roman"/>
                <w:sz w:val="20"/>
                <w:szCs w:val="20"/>
                <w:lang w:val="fr-CA" w:eastAsia="en-CA"/>
              </w:rPr>
              <w:t xml:space="preserve"> et </w:t>
            </w:r>
            <w:proofErr w:type="spellStart"/>
            <w:r w:rsidRPr="00E85E82">
              <w:rPr>
                <w:rFonts w:eastAsia="Times New Roman" w:cs="Times New Roman"/>
                <w:sz w:val="20"/>
                <w:szCs w:val="20"/>
                <w:lang w:val="fr-CA" w:eastAsia="en-CA"/>
              </w:rPr>
              <w:t>Gleason</w:t>
            </w:r>
            <w:proofErr w:type="spellEnd"/>
            <w:r w:rsidRPr="00E85E82">
              <w:rPr>
                <w:rFonts w:eastAsia="Times New Roman" w:cs="Times New Roman"/>
                <w:sz w:val="20"/>
                <w:szCs w:val="20"/>
                <w:lang w:val="fr-CA" w:eastAsia="en-CA"/>
              </w:rPr>
              <w:t>)</w:t>
            </w:r>
          </w:p>
          <w:p w:rsidR="0021524B" w:rsidRPr="00E85E82" w:rsidRDefault="00B407D6" w:rsidP="0021524B">
            <w:pPr>
              <w:jc w:val="both"/>
              <w:rPr>
                <w:rFonts w:eastAsia="Times New Roman" w:cs="Times New Roman"/>
                <w:sz w:val="20"/>
                <w:szCs w:val="20"/>
                <w:lang w:val="fr-CA" w:eastAsia="en-CA"/>
              </w:rPr>
            </w:pPr>
            <w:hyperlink r:id="rId49" w:history="1">
              <w:r w:rsidR="0021524B" w:rsidRPr="00E85E82">
                <w:rPr>
                  <w:rFonts w:eastAsia="Times New Roman" w:cs="Times New Roman"/>
                  <w:color w:val="0000FF" w:themeColor="hyperlink"/>
                  <w:sz w:val="20"/>
                  <w:szCs w:val="20"/>
                  <w:u w:val="single"/>
                  <w:lang w:val="fr-CA" w:eastAsia="en-CA"/>
                </w:rPr>
                <w:t>2016 FCA 9</w:t>
              </w:r>
            </w:hyperlink>
          </w:p>
          <w:p w:rsidR="00232760" w:rsidRPr="00E85E82" w:rsidRDefault="00232760" w:rsidP="0021524B">
            <w:pPr>
              <w:pStyle w:val="SCCShortJudgment"/>
              <w:ind w:firstLine="0"/>
              <w:rPr>
                <w:rFonts w:cs="Times New Roman"/>
                <w:szCs w:val="20"/>
                <w:u w:val="single"/>
                <w:lang w:val="fr-CA"/>
              </w:rPr>
            </w:pPr>
          </w:p>
        </w:tc>
        <w:tc>
          <w:tcPr>
            <w:tcW w:w="630" w:type="dxa"/>
          </w:tcPr>
          <w:p w:rsidR="00232760" w:rsidRPr="00E85E82" w:rsidRDefault="00232760" w:rsidP="0021524B">
            <w:pPr>
              <w:pStyle w:val="SCCShortJudgment"/>
              <w:ind w:firstLine="0"/>
              <w:rPr>
                <w:rFonts w:cs="Times New Roman"/>
                <w:szCs w:val="20"/>
                <w:u w:val="single"/>
                <w:lang w:val="fr-CA"/>
              </w:rPr>
            </w:pPr>
          </w:p>
        </w:tc>
        <w:tc>
          <w:tcPr>
            <w:tcW w:w="4536" w:type="dxa"/>
          </w:tcPr>
          <w:p w:rsidR="0021524B" w:rsidRPr="00E85E82" w:rsidRDefault="0021524B" w:rsidP="0021524B">
            <w:pPr>
              <w:jc w:val="both"/>
              <w:rPr>
                <w:sz w:val="20"/>
                <w:szCs w:val="20"/>
                <w:lang w:val="fr-CA"/>
              </w:rPr>
            </w:pPr>
            <w:r w:rsidRPr="00E85E82">
              <w:rPr>
                <w:sz w:val="20"/>
                <w:szCs w:val="20"/>
                <w:lang w:val="fr-CA"/>
              </w:rPr>
              <w:t>Rejet de l’appel</w:t>
            </w:r>
          </w:p>
          <w:p w:rsidR="00232760" w:rsidRPr="00E85E82" w:rsidRDefault="00232760" w:rsidP="0021524B">
            <w:pPr>
              <w:pStyle w:val="SCCShortJudgment"/>
              <w:ind w:firstLine="0"/>
              <w:rPr>
                <w:rFonts w:cs="Times New Roman"/>
                <w:szCs w:val="20"/>
                <w:u w:val="single"/>
                <w:lang w:val="fr-CA"/>
              </w:rPr>
            </w:pPr>
          </w:p>
        </w:tc>
      </w:tr>
      <w:tr w:rsidR="00232760" w:rsidRPr="00B407D6" w:rsidTr="000F56AC">
        <w:trPr>
          <w:cantSplit/>
        </w:trPr>
        <w:tc>
          <w:tcPr>
            <w:tcW w:w="4410" w:type="dxa"/>
            <w:gridSpan w:val="2"/>
          </w:tcPr>
          <w:p w:rsidR="0021524B" w:rsidRPr="00E85E82" w:rsidRDefault="0021524B" w:rsidP="0021524B">
            <w:pPr>
              <w:jc w:val="both"/>
              <w:rPr>
                <w:sz w:val="20"/>
                <w:szCs w:val="20"/>
                <w:lang w:val="fr-CA"/>
              </w:rPr>
            </w:pPr>
            <w:r w:rsidRPr="00E85E82">
              <w:rPr>
                <w:sz w:val="20"/>
                <w:szCs w:val="20"/>
                <w:lang w:val="fr-CA"/>
              </w:rPr>
              <w:t>15 mars 2016</w:t>
            </w:r>
          </w:p>
          <w:p w:rsidR="0021524B" w:rsidRPr="00E85E82" w:rsidRDefault="0021524B" w:rsidP="0021524B">
            <w:pPr>
              <w:jc w:val="both"/>
              <w:rPr>
                <w:sz w:val="20"/>
                <w:szCs w:val="20"/>
                <w:lang w:val="fr-CA"/>
              </w:rPr>
            </w:pPr>
            <w:r w:rsidRPr="00E85E82">
              <w:rPr>
                <w:sz w:val="20"/>
                <w:szCs w:val="20"/>
                <w:lang w:val="fr-CA"/>
              </w:rPr>
              <w:t>Cour suprême du Canada</w:t>
            </w:r>
          </w:p>
          <w:p w:rsidR="00232760" w:rsidRPr="00E85E82" w:rsidRDefault="00232760" w:rsidP="0021524B">
            <w:pPr>
              <w:pStyle w:val="SCCShortJudgment"/>
              <w:ind w:firstLine="0"/>
              <w:rPr>
                <w:rFonts w:cs="Times New Roman"/>
                <w:szCs w:val="20"/>
                <w:u w:val="single"/>
                <w:lang w:val="fr-CA"/>
              </w:rPr>
            </w:pPr>
          </w:p>
        </w:tc>
        <w:tc>
          <w:tcPr>
            <w:tcW w:w="630" w:type="dxa"/>
          </w:tcPr>
          <w:p w:rsidR="00232760" w:rsidRPr="00E85E82" w:rsidRDefault="00232760" w:rsidP="0021524B">
            <w:pPr>
              <w:pStyle w:val="SCCShortJudgment"/>
              <w:ind w:firstLine="0"/>
              <w:rPr>
                <w:rFonts w:cs="Times New Roman"/>
                <w:szCs w:val="20"/>
                <w:u w:val="single"/>
                <w:lang w:val="fr-CA"/>
              </w:rPr>
            </w:pPr>
          </w:p>
        </w:tc>
        <w:tc>
          <w:tcPr>
            <w:tcW w:w="4536" w:type="dxa"/>
          </w:tcPr>
          <w:p w:rsidR="0021524B" w:rsidRPr="00E85E82" w:rsidRDefault="0021524B" w:rsidP="0021524B">
            <w:pPr>
              <w:jc w:val="both"/>
              <w:rPr>
                <w:sz w:val="20"/>
                <w:szCs w:val="20"/>
                <w:lang w:val="fr-CA"/>
              </w:rPr>
            </w:pPr>
            <w:r w:rsidRPr="00E85E82">
              <w:rPr>
                <w:sz w:val="20"/>
                <w:szCs w:val="20"/>
                <w:lang w:val="fr-CA"/>
              </w:rPr>
              <w:t xml:space="preserve">Dépôt de la requête en prorogation du délai de signification et de dépôt de la demande d’autorisation d’appel et de la demande d’autorisation d’appel </w:t>
            </w:r>
          </w:p>
          <w:p w:rsidR="00232760" w:rsidRPr="00E85E82" w:rsidRDefault="00232760" w:rsidP="0021524B">
            <w:pPr>
              <w:pStyle w:val="SCCShortJudgment"/>
              <w:ind w:firstLine="0"/>
              <w:rPr>
                <w:rFonts w:cs="Times New Roman"/>
                <w:szCs w:val="20"/>
                <w:u w:val="single"/>
                <w:lang w:val="fr-CA"/>
              </w:rPr>
            </w:pPr>
          </w:p>
        </w:tc>
      </w:tr>
    </w:tbl>
    <w:p w:rsidR="00232760" w:rsidRPr="00E85E82" w:rsidRDefault="00B407D6" w:rsidP="0021524B">
      <w:pPr>
        <w:jc w:val="both"/>
        <w:rPr>
          <w:rFonts w:cs="Times New Roman"/>
          <w:sz w:val="20"/>
          <w:szCs w:val="20"/>
          <w:lang w:val="fr-CA"/>
        </w:rPr>
      </w:pPr>
      <w:r>
        <w:rPr>
          <w:rFonts w:cs="Times New Roman"/>
          <w:sz w:val="20"/>
          <w:szCs w:val="20"/>
          <w:lang w:val="fr-CA"/>
        </w:rPr>
        <w:pict>
          <v:rect id="_x0000_i1062" style="width:2in;height:1pt" o:hrpct="0" o:hralign="center" o:hrstd="t" o:hrnoshade="t" o:hr="t" fillcolor="black [3213]" stroked="f"/>
        </w:pict>
      </w:r>
    </w:p>
    <w:p w:rsidR="00232760" w:rsidRPr="00E85E82" w:rsidRDefault="00232760" w:rsidP="0021524B">
      <w:pPr>
        <w:jc w:val="both"/>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232760" w:rsidRPr="00E85E82" w:rsidTr="000F56AC">
        <w:trPr>
          <w:cantSplit/>
        </w:trPr>
        <w:tc>
          <w:tcPr>
            <w:tcW w:w="1458" w:type="dxa"/>
          </w:tcPr>
          <w:p w:rsidR="00232760" w:rsidRPr="00E85E82" w:rsidRDefault="00232760" w:rsidP="0021524B">
            <w:pPr>
              <w:jc w:val="both"/>
              <w:rPr>
                <w:rFonts w:cs="Times New Roman"/>
                <w:sz w:val="20"/>
                <w:szCs w:val="20"/>
              </w:rPr>
            </w:pPr>
            <w:r w:rsidRPr="00E85E82">
              <w:rPr>
                <w:rStyle w:val="SCCFileNumberChar"/>
                <w:sz w:val="20"/>
                <w:szCs w:val="20"/>
              </w:rPr>
              <w:t>36930</w:t>
            </w:r>
          </w:p>
          <w:p w:rsidR="00232760" w:rsidRPr="00E85E82" w:rsidRDefault="00232760" w:rsidP="0021524B">
            <w:pPr>
              <w:jc w:val="both"/>
              <w:rPr>
                <w:rFonts w:cs="Times New Roman"/>
                <w:b/>
                <w:sz w:val="20"/>
                <w:szCs w:val="20"/>
              </w:rPr>
            </w:pPr>
          </w:p>
        </w:tc>
        <w:tc>
          <w:tcPr>
            <w:tcW w:w="8118" w:type="dxa"/>
          </w:tcPr>
          <w:p w:rsidR="00232760" w:rsidRPr="00E85E82" w:rsidRDefault="00080E30" w:rsidP="0021524B">
            <w:pPr>
              <w:jc w:val="both"/>
              <w:rPr>
                <w:rFonts w:cs="Times New Roman"/>
                <w:sz w:val="20"/>
                <w:szCs w:val="20"/>
              </w:rPr>
            </w:pPr>
            <w:proofErr w:type="spellStart"/>
            <w:r w:rsidRPr="00E85E82">
              <w:rPr>
                <w:rStyle w:val="SCCLsocChar"/>
                <w:rFonts w:cs="Times New Roman"/>
                <w:sz w:val="20"/>
                <w:szCs w:val="20"/>
                <w:lang w:val="en-CA"/>
              </w:rPr>
              <w:t>Cheryle</w:t>
            </w:r>
            <w:proofErr w:type="spellEnd"/>
            <w:r w:rsidRPr="00E85E82">
              <w:rPr>
                <w:rStyle w:val="SCCLsocChar"/>
                <w:rFonts w:cs="Times New Roman"/>
                <w:sz w:val="20"/>
                <w:szCs w:val="20"/>
                <w:lang w:val="en-CA"/>
              </w:rPr>
              <w:t xml:space="preserve"> M. Hawkins</w:t>
            </w:r>
            <w:r w:rsidR="00232760" w:rsidRPr="00E85E82">
              <w:rPr>
                <w:rStyle w:val="SCCLsocChar"/>
                <w:rFonts w:cs="Times New Roman"/>
                <w:sz w:val="20"/>
                <w:szCs w:val="20"/>
                <w:lang w:val="en-CA"/>
              </w:rPr>
              <w:t xml:space="preserve"> v. </w:t>
            </w:r>
            <w:r w:rsidRPr="00E85E82">
              <w:rPr>
                <w:rStyle w:val="SCCLsocChar"/>
                <w:rFonts w:cs="Times New Roman"/>
                <w:sz w:val="20"/>
                <w:szCs w:val="20"/>
                <w:lang w:val="en-CA"/>
              </w:rPr>
              <w:t>Her Majesty the Queen</w:t>
            </w:r>
            <w:r w:rsidR="00232760" w:rsidRPr="00E85E82">
              <w:rPr>
                <w:rStyle w:val="SCCLsocChar"/>
                <w:rFonts w:cs="Times New Roman"/>
                <w:sz w:val="20"/>
                <w:szCs w:val="20"/>
                <w:u w:val="none"/>
                <w:lang w:val="en-CA"/>
              </w:rPr>
              <w:t xml:space="preserve"> </w:t>
            </w:r>
            <w:r w:rsidR="00232760" w:rsidRPr="00E85E82">
              <w:rPr>
                <w:rFonts w:cs="Times New Roman"/>
                <w:sz w:val="20"/>
                <w:szCs w:val="20"/>
              </w:rPr>
              <w:t>(</w:t>
            </w:r>
            <w:r w:rsidR="0021524B" w:rsidRPr="00E85E82">
              <w:rPr>
                <w:rFonts w:cs="Times New Roman"/>
                <w:sz w:val="20"/>
                <w:szCs w:val="20"/>
              </w:rPr>
              <w:t>F.C</w:t>
            </w:r>
            <w:r w:rsidR="00232760" w:rsidRPr="00E85E82">
              <w:rPr>
                <w:rFonts w:cs="Times New Roman"/>
                <w:sz w:val="20"/>
                <w:szCs w:val="20"/>
              </w:rPr>
              <w:t>.) (Civil) (By Leave)</w:t>
            </w:r>
          </w:p>
          <w:p w:rsidR="00232760" w:rsidRPr="00E85E82" w:rsidRDefault="00232760" w:rsidP="0021524B">
            <w:pPr>
              <w:jc w:val="both"/>
              <w:rPr>
                <w:rFonts w:cs="Times New Roman"/>
                <w:sz w:val="20"/>
                <w:szCs w:val="20"/>
              </w:rPr>
            </w:pPr>
          </w:p>
        </w:tc>
      </w:tr>
      <w:tr w:rsidR="00232760" w:rsidRPr="00E85E82" w:rsidTr="000F56AC">
        <w:trPr>
          <w:cantSplit/>
        </w:trPr>
        <w:tc>
          <w:tcPr>
            <w:tcW w:w="1458" w:type="dxa"/>
          </w:tcPr>
          <w:p w:rsidR="00232760" w:rsidRPr="00E85E82" w:rsidRDefault="00232760" w:rsidP="0021524B">
            <w:pPr>
              <w:jc w:val="both"/>
              <w:rPr>
                <w:rFonts w:cs="Times New Roman"/>
                <w:sz w:val="20"/>
                <w:szCs w:val="20"/>
              </w:rPr>
            </w:pPr>
            <w:r w:rsidRPr="00E85E82">
              <w:rPr>
                <w:rFonts w:cs="Times New Roman"/>
                <w:sz w:val="20"/>
                <w:szCs w:val="20"/>
              </w:rPr>
              <w:t>Coram :</w:t>
            </w:r>
          </w:p>
        </w:tc>
        <w:tc>
          <w:tcPr>
            <w:tcW w:w="8118" w:type="dxa"/>
          </w:tcPr>
          <w:p w:rsidR="00232760" w:rsidRPr="00E85E82" w:rsidRDefault="00232760" w:rsidP="0021524B">
            <w:pPr>
              <w:jc w:val="both"/>
              <w:rPr>
                <w:rStyle w:val="SCCCoramChar"/>
                <w:sz w:val="20"/>
                <w:szCs w:val="20"/>
                <w:lang w:val="en-CA"/>
              </w:rPr>
            </w:pPr>
            <w:r w:rsidRPr="00E85E82">
              <w:rPr>
                <w:rStyle w:val="SCCCoramChar"/>
                <w:sz w:val="20"/>
                <w:szCs w:val="20"/>
                <w:lang w:val="en-CA"/>
              </w:rPr>
              <w:t>McLachlin C.J. and Moldaver and Gascon JJ.</w:t>
            </w:r>
          </w:p>
          <w:p w:rsidR="00232760" w:rsidRPr="00E85E82" w:rsidRDefault="00232760" w:rsidP="0021524B">
            <w:pPr>
              <w:jc w:val="both"/>
              <w:rPr>
                <w:rFonts w:cs="Times New Roman"/>
                <w:sz w:val="20"/>
                <w:szCs w:val="20"/>
                <w:u w:val="single"/>
              </w:rPr>
            </w:pPr>
          </w:p>
        </w:tc>
      </w:tr>
      <w:tr w:rsidR="00232760" w:rsidRPr="00B407D6" w:rsidTr="00232760">
        <w:tc>
          <w:tcPr>
            <w:tcW w:w="9576" w:type="dxa"/>
            <w:gridSpan w:val="2"/>
          </w:tcPr>
          <w:p w:rsidR="00312B5E" w:rsidRPr="00E85E82" w:rsidRDefault="00312B5E" w:rsidP="00312B5E">
            <w:pPr>
              <w:pStyle w:val="SCCShortJudgment"/>
            </w:pPr>
            <w:r w:rsidRPr="00E85E82">
              <w:t>The motion for an extension of time to serve and file the application for leave to appeal is granted. The application for leave to appeal from the judgment of the Federal Court of Appeal, Numbers A-341-14 and A-342-14, 2016 FCA 9, dated January 13, 2016, is dismissed with costs.</w:t>
            </w:r>
          </w:p>
          <w:p w:rsidR="00312B5E" w:rsidRPr="00E85E82" w:rsidRDefault="00312B5E" w:rsidP="00312B5E">
            <w:pPr>
              <w:pStyle w:val="SCCShortJudgment"/>
              <w:ind w:firstLine="0"/>
            </w:pPr>
          </w:p>
          <w:p w:rsidR="00312B5E" w:rsidRPr="00C556BB" w:rsidRDefault="00312B5E" w:rsidP="00312B5E">
            <w:pPr>
              <w:pStyle w:val="SCCShortJudgment"/>
              <w:rPr>
                <w:lang w:val="fr-CA"/>
              </w:rPr>
            </w:pPr>
            <w:r w:rsidRPr="00C556BB">
              <w:rPr>
                <w:lang w:val="fr-CA"/>
              </w:rPr>
              <w:t>La requête en prorogation du délai de signification et de dépôt de la demande d’autorisation d’appel est accueillie. La demande d’autorisation d’appel de l’arrêt de la Cour d’appel fédérale, numéros A-341-14 et A-342-14, 2016 FCA 9, daté du 13 janvier 2016, est rejetée avec dépens.</w:t>
            </w:r>
          </w:p>
          <w:p w:rsidR="00232760" w:rsidRPr="00E85E82" w:rsidRDefault="00232760" w:rsidP="0021524B">
            <w:pPr>
              <w:pStyle w:val="SCCShortJudgment"/>
              <w:ind w:firstLine="0"/>
              <w:rPr>
                <w:rFonts w:cs="Times New Roman"/>
                <w:szCs w:val="20"/>
                <w:lang w:val="fr-CA"/>
              </w:rPr>
            </w:pPr>
          </w:p>
        </w:tc>
      </w:tr>
    </w:tbl>
    <w:p w:rsidR="00C556BB" w:rsidRPr="00B407D6" w:rsidRDefault="00C556BB">
      <w:pPr>
        <w:rPr>
          <w:lang w:val="fr-CA"/>
        </w:rPr>
      </w:pPr>
      <w:r w:rsidRPr="00B407D6">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232760" w:rsidRPr="00E85E82" w:rsidTr="000F56AC">
        <w:trPr>
          <w:cantSplit/>
        </w:trPr>
        <w:tc>
          <w:tcPr>
            <w:tcW w:w="9576" w:type="dxa"/>
            <w:gridSpan w:val="3"/>
          </w:tcPr>
          <w:p w:rsidR="00232760" w:rsidRPr="00E85E82" w:rsidRDefault="00232760" w:rsidP="0021524B">
            <w:pPr>
              <w:pStyle w:val="SCCShortJudgment"/>
              <w:ind w:firstLine="0"/>
              <w:rPr>
                <w:rFonts w:cs="Times New Roman"/>
                <w:szCs w:val="20"/>
                <w:u w:val="single"/>
                <w:lang w:val="fr-CA"/>
              </w:rPr>
            </w:pPr>
            <w:r w:rsidRPr="00E85E82">
              <w:rPr>
                <w:rFonts w:cs="Times New Roman"/>
                <w:szCs w:val="20"/>
                <w:u w:val="single"/>
                <w:lang w:val="fr-CA"/>
              </w:rPr>
              <w:t>CASE SUMMARY</w:t>
            </w:r>
          </w:p>
          <w:p w:rsidR="00232760" w:rsidRPr="00E85E82" w:rsidRDefault="00232760" w:rsidP="0021524B">
            <w:pPr>
              <w:pStyle w:val="SCCShortJudgment"/>
              <w:ind w:firstLine="0"/>
              <w:rPr>
                <w:rFonts w:cs="Times New Roman"/>
                <w:szCs w:val="20"/>
                <w:u w:val="single"/>
                <w:lang w:val="fr-CA"/>
              </w:rPr>
            </w:pPr>
          </w:p>
        </w:tc>
      </w:tr>
      <w:tr w:rsidR="0021524B" w:rsidRPr="00E85E82" w:rsidTr="000F56AC">
        <w:trPr>
          <w:cantSplit/>
        </w:trPr>
        <w:tc>
          <w:tcPr>
            <w:tcW w:w="9576" w:type="dxa"/>
            <w:gridSpan w:val="3"/>
          </w:tcPr>
          <w:p w:rsidR="0021524B" w:rsidRPr="00E85E82" w:rsidRDefault="0021524B" w:rsidP="0021524B">
            <w:pPr>
              <w:jc w:val="both"/>
              <w:rPr>
                <w:sz w:val="20"/>
                <w:szCs w:val="20"/>
              </w:rPr>
            </w:pPr>
            <w:r w:rsidRPr="00E85E82">
              <w:rPr>
                <w:sz w:val="20"/>
                <w:szCs w:val="20"/>
              </w:rPr>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E85E82">
              <w:rPr>
                <w:i/>
                <w:sz w:val="20"/>
                <w:szCs w:val="20"/>
              </w:rPr>
              <w:t>Controlled Drugs and Substances Act</w:t>
            </w:r>
            <w:r w:rsidRPr="00E85E82">
              <w:rPr>
                <w:sz w:val="20"/>
                <w:szCs w:val="20"/>
              </w:rPr>
              <w:t>, S.C. 1996, c. 19.</w:t>
            </w:r>
          </w:p>
          <w:p w:rsidR="0021524B" w:rsidRPr="00E85E82" w:rsidRDefault="0021524B" w:rsidP="0021524B">
            <w:pPr>
              <w:jc w:val="both"/>
              <w:rPr>
                <w:sz w:val="20"/>
                <w:szCs w:val="20"/>
              </w:rPr>
            </w:pPr>
          </w:p>
        </w:tc>
      </w:tr>
      <w:tr w:rsidR="0021524B" w:rsidRPr="00E85E82" w:rsidTr="0021524B">
        <w:tc>
          <w:tcPr>
            <w:tcW w:w="9576" w:type="dxa"/>
            <w:gridSpan w:val="3"/>
          </w:tcPr>
          <w:p w:rsidR="0021524B" w:rsidRPr="00E85E82" w:rsidRDefault="0021524B" w:rsidP="0021524B">
            <w:pPr>
              <w:jc w:val="both"/>
              <w:rPr>
                <w:sz w:val="20"/>
                <w:szCs w:val="20"/>
              </w:rPr>
            </w:pPr>
            <w:r w:rsidRPr="00E85E82">
              <w:rPr>
                <w:sz w:val="20"/>
                <w:szCs w:val="20"/>
              </w:rPr>
              <w:t xml:space="preserve">Since February 2014, approximately 300 self-represented plaintiffs, including the applicant, have filed identical claims seeking declarations that the </w:t>
            </w:r>
            <w:r w:rsidRPr="00E85E82">
              <w:rPr>
                <w:i/>
                <w:sz w:val="20"/>
                <w:szCs w:val="20"/>
              </w:rPr>
              <w:t>Marijuana Medical Access Regulations (“MMAR”)</w:t>
            </w:r>
            <w:r w:rsidRPr="00E85E82">
              <w:rPr>
                <w:sz w:val="20"/>
                <w:szCs w:val="20"/>
              </w:rPr>
              <w:t>, S.O.R./2001-227, which were repealed on March 31, 2014 and the</w:t>
            </w:r>
            <w:r w:rsidRPr="00E85E82">
              <w:rPr>
                <w:i/>
                <w:sz w:val="20"/>
                <w:szCs w:val="20"/>
              </w:rPr>
              <w:t xml:space="preserve"> Marijuana for Medical Purposes Regulations</w:t>
            </w:r>
            <w:r w:rsidRPr="00E85E82">
              <w:rPr>
                <w:sz w:val="20"/>
                <w:szCs w:val="20"/>
              </w:rPr>
              <w:t xml:space="preserve">, S.O.R./2013-119, which succeeded the </w:t>
            </w:r>
            <w:r w:rsidRPr="00E85E82">
              <w:rPr>
                <w:i/>
                <w:sz w:val="20"/>
                <w:szCs w:val="20"/>
              </w:rPr>
              <w:t>MMAR</w:t>
            </w:r>
            <w:r w:rsidRPr="00E85E82">
              <w:rPr>
                <w:sz w:val="20"/>
                <w:szCs w:val="20"/>
              </w:rPr>
              <w:t xml:space="preserve"> are unconstitutional. In the course of their actions, twenty-six plaintiffs, including the applicant, brought motions for interim constitutional exemptions from the </w:t>
            </w:r>
            <w:r w:rsidRPr="00E85E82">
              <w:rPr>
                <w:i/>
                <w:sz w:val="20"/>
                <w:szCs w:val="20"/>
              </w:rPr>
              <w:t>Controlled Drugs and Substances Act</w:t>
            </w:r>
            <w:r w:rsidRPr="00E85E82">
              <w:rPr>
                <w:sz w:val="20"/>
                <w:szCs w:val="20"/>
              </w:rPr>
              <w:t xml:space="preserve"> </w:t>
            </w:r>
            <w:r w:rsidRPr="00E85E82">
              <w:rPr>
                <w:i/>
                <w:sz w:val="20"/>
                <w:szCs w:val="20"/>
              </w:rPr>
              <w:t>(“CDSA”)</w:t>
            </w:r>
            <w:r w:rsidRPr="00E85E82">
              <w:rPr>
                <w:sz w:val="20"/>
                <w:szCs w:val="20"/>
              </w:rPr>
              <w:t xml:space="preserve"> for the personal use of marijuana pending trial of their actions.</w:t>
            </w:r>
          </w:p>
          <w:p w:rsidR="0021524B" w:rsidRPr="00E85E82" w:rsidRDefault="0021524B" w:rsidP="0021524B">
            <w:pPr>
              <w:jc w:val="both"/>
              <w:rPr>
                <w:sz w:val="20"/>
                <w:szCs w:val="20"/>
              </w:rPr>
            </w:pPr>
          </w:p>
        </w:tc>
      </w:tr>
      <w:tr w:rsidR="0021524B" w:rsidRPr="00E85E82" w:rsidTr="000F56AC">
        <w:trPr>
          <w:cantSplit/>
        </w:trPr>
        <w:tc>
          <w:tcPr>
            <w:tcW w:w="4410" w:type="dxa"/>
          </w:tcPr>
          <w:p w:rsidR="0021524B" w:rsidRPr="00E85E82" w:rsidRDefault="0021524B" w:rsidP="0021524B">
            <w:pPr>
              <w:jc w:val="both"/>
              <w:rPr>
                <w:sz w:val="20"/>
                <w:szCs w:val="20"/>
              </w:rPr>
            </w:pPr>
            <w:r w:rsidRPr="00E85E82">
              <w:rPr>
                <w:sz w:val="20"/>
                <w:szCs w:val="20"/>
              </w:rPr>
              <w:t>May 7, 2014</w:t>
            </w:r>
          </w:p>
          <w:p w:rsidR="0021524B" w:rsidRPr="00E85E82" w:rsidRDefault="0021524B" w:rsidP="0021524B">
            <w:pPr>
              <w:jc w:val="both"/>
              <w:rPr>
                <w:sz w:val="20"/>
                <w:szCs w:val="20"/>
              </w:rPr>
            </w:pPr>
            <w:r w:rsidRPr="00E85E82">
              <w:rPr>
                <w:sz w:val="20"/>
                <w:szCs w:val="20"/>
              </w:rPr>
              <w:t>Federal Court</w:t>
            </w:r>
          </w:p>
          <w:p w:rsidR="0021524B" w:rsidRPr="00E85E82" w:rsidRDefault="0021524B" w:rsidP="0021524B">
            <w:pPr>
              <w:jc w:val="both"/>
              <w:rPr>
                <w:sz w:val="20"/>
                <w:szCs w:val="20"/>
              </w:rPr>
            </w:pPr>
            <w:r w:rsidRPr="00E85E82">
              <w:rPr>
                <w:sz w:val="20"/>
                <w:szCs w:val="20"/>
              </w:rPr>
              <w:t>(Phelan J.)</w:t>
            </w:r>
          </w:p>
          <w:p w:rsidR="0021524B" w:rsidRPr="00E85E82" w:rsidRDefault="0021524B" w:rsidP="0021524B">
            <w:pPr>
              <w:jc w:val="both"/>
              <w:rPr>
                <w:rFonts w:cs="Times New Roman"/>
                <w:sz w:val="20"/>
                <w:szCs w:val="20"/>
              </w:rPr>
            </w:pPr>
          </w:p>
        </w:tc>
        <w:tc>
          <w:tcPr>
            <w:tcW w:w="630" w:type="dxa"/>
          </w:tcPr>
          <w:p w:rsidR="0021524B" w:rsidRPr="00E85E82" w:rsidRDefault="0021524B" w:rsidP="0021524B">
            <w:pPr>
              <w:pStyle w:val="SCCShortJudgment"/>
              <w:ind w:firstLine="0"/>
              <w:rPr>
                <w:rFonts w:cs="Times New Roman"/>
                <w:szCs w:val="20"/>
              </w:rPr>
            </w:pPr>
          </w:p>
        </w:tc>
        <w:tc>
          <w:tcPr>
            <w:tcW w:w="4536" w:type="dxa"/>
          </w:tcPr>
          <w:p w:rsidR="0021524B" w:rsidRPr="00E85E82" w:rsidRDefault="0021524B" w:rsidP="0021524B">
            <w:pPr>
              <w:jc w:val="both"/>
              <w:rPr>
                <w:sz w:val="20"/>
                <w:szCs w:val="20"/>
              </w:rPr>
            </w:pPr>
            <w:r w:rsidRPr="00E85E82">
              <w:rPr>
                <w:sz w:val="20"/>
                <w:szCs w:val="20"/>
              </w:rPr>
              <w:t xml:space="preserve">Motion for interim constitutional exemptions from provisions of </w:t>
            </w:r>
            <w:r w:rsidRPr="00E85E82">
              <w:rPr>
                <w:i/>
                <w:sz w:val="20"/>
                <w:szCs w:val="20"/>
              </w:rPr>
              <w:t>Controlled Drugs and Substances Act</w:t>
            </w:r>
            <w:r w:rsidRPr="00E85E82">
              <w:rPr>
                <w:sz w:val="20"/>
                <w:szCs w:val="20"/>
              </w:rPr>
              <w:t xml:space="preserve"> dismissed</w:t>
            </w:r>
          </w:p>
          <w:p w:rsidR="0021524B" w:rsidRPr="00E85E82" w:rsidRDefault="0021524B" w:rsidP="0021524B">
            <w:pPr>
              <w:ind w:firstLine="720"/>
              <w:jc w:val="both"/>
              <w:rPr>
                <w:rFonts w:cs="Times New Roman"/>
                <w:sz w:val="20"/>
                <w:szCs w:val="20"/>
              </w:rPr>
            </w:pPr>
          </w:p>
        </w:tc>
      </w:tr>
      <w:tr w:rsidR="0021524B" w:rsidRPr="00E85E82" w:rsidTr="000F56AC">
        <w:trPr>
          <w:cantSplit/>
        </w:trPr>
        <w:tc>
          <w:tcPr>
            <w:tcW w:w="4410" w:type="dxa"/>
          </w:tcPr>
          <w:p w:rsidR="0021524B" w:rsidRPr="00E85E82" w:rsidRDefault="0021524B" w:rsidP="0021524B">
            <w:pPr>
              <w:jc w:val="both"/>
              <w:rPr>
                <w:sz w:val="20"/>
                <w:szCs w:val="20"/>
              </w:rPr>
            </w:pPr>
            <w:r w:rsidRPr="00E85E82">
              <w:rPr>
                <w:sz w:val="20"/>
                <w:szCs w:val="20"/>
              </w:rPr>
              <w:t>January 13, 2016</w:t>
            </w:r>
          </w:p>
          <w:p w:rsidR="0021524B" w:rsidRPr="00E85E82" w:rsidRDefault="0021524B" w:rsidP="0021524B">
            <w:pPr>
              <w:jc w:val="both"/>
              <w:rPr>
                <w:sz w:val="20"/>
                <w:szCs w:val="20"/>
              </w:rPr>
            </w:pPr>
            <w:r w:rsidRPr="00E85E82">
              <w:rPr>
                <w:sz w:val="20"/>
                <w:szCs w:val="20"/>
              </w:rPr>
              <w:t>Federal Court of Appeal</w:t>
            </w:r>
          </w:p>
          <w:p w:rsidR="0021524B" w:rsidRPr="00E85E82" w:rsidRDefault="0021524B" w:rsidP="0021524B">
            <w:pPr>
              <w:jc w:val="both"/>
              <w:rPr>
                <w:sz w:val="20"/>
                <w:szCs w:val="20"/>
              </w:rPr>
            </w:pPr>
            <w:r w:rsidRPr="00E85E82">
              <w:rPr>
                <w:sz w:val="20"/>
                <w:szCs w:val="20"/>
              </w:rPr>
              <w:t xml:space="preserve">(Pelletier, </w:t>
            </w:r>
            <w:proofErr w:type="spellStart"/>
            <w:r w:rsidRPr="00E85E82">
              <w:rPr>
                <w:sz w:val="20"/>
                <w:szCs w:val="20"/>
              </w:rPr>
              <w:t>Stratas</w:t>
            </w:r>
            <w:proofErr w:type="spellEnd"/>
            <w:r w:rsidRPr="00E85E82">
              <w:rPr>
                <w:sz w:val="20"/>
                <w:szCs w:val="20"/>
              </w:rPr>
              <w:t xml:space="preserve"> and Gleason JJ.A.)</w:t>
            </w:r>
          </w:p>
          <w:p w:rsidR="0021524B" w:rsidRPr="00E85E82" w:rsidRDefault="00B407D6" w:rsidP="0021524B">
            <w:pPr>
              <w:jc w:val="both"/>
              <w:rPr>
                <w:rFonts w:eastAsia="Times New Roman" w:cs="Times New Roman"/>
                <w:sz w:val="20"/>
                <w:szCs w:val="20"/>
                <w:lang w:eastAsia="en-CA"/>
              </w:rPr>
            </w:pPr>
            <w:hyperlink r:id="rId50" w:history="1">
              <w:r w:rsidR="0021524B" w:rsidRPr="00E85E82">
                <w:rPr>
                  <w:rFonts w:eastAsia="Times New Roman" w:cs="Times New Roman"/>
                  <w:color w:val="0000FF" w:themeColor="hyperlink"/>
                  <w:sz w:val="20"/>
                  <w:szCs w:val="20"/>
                  <w:u w:val="single"/>
                  <w:lang w:eastAsia="en-CA"/>
                </w:rPr>
                <w:t>2016 FCA 9</w:t>
              </w:r>
            </w:hyperlink>
          </w:p>
          <w:p w:rsidR="0021524B" w:rsidRPr="00E85E82" w:rsidRDefault="0021524B" w:rsidP="0021524B">
            <w:pPr>
              <w:jc w:val="both"/>
              <w:rPr>
                <w:rFonts w:cs="Times New Roman"/>
                <w:sz w:val="20"/>
                <w:szCs w:val="20"/>
              </w:rPr>
            </w:pPr>
          </w:p>
        </w:tc>
        <w:tc>
          <w:tcPr>
            <w:tcW w:w="630" w:type="dxa"/>
          </w:tcPr>
          <w:p w:rsidR="0021524B" w:rsidRPr="00E85E82" w:rsidRDefault="0021524B" w:rsidP="0021524B">
            <w:pPr>
              <w:pStyle w:val="SCCShortJudgment"/>
              <w:ind w:firstLine="0"/>
              <w:rPr>
                <w:rFonts w:cs="Times New Roman"/>
                <w:szCs w:val="20"/>
              </w:rPr>
            </w:pPr>
          </w:p>
        </w:tc>
        <w:tc>
          <w:tcPr>
            <w:tcW w:w="4536" w:type="dxa"/>
          </w:tcPr>
          <w:p w:rsidR="0021524B" w:rsidRPr="00E85E82" w:rsidRDefault="0021524B" w:rsidP="0021524B">
            <w:pPr>
              <w:jc w:val="both"/>
              <w:rPr>
                <w:sz w:val="20"/>
                <w:szCs w:val="20"/>
              </w:rPr>
            </w:pPr>
            <w:r w:rsidRPr="00E85E82">
              <w:rPr>
                <w:sz w:val="20"/>
                <w:szCs w:val="20"/>
              </w:rPr>
              <w:t>Appeal dismissed</w:t>
            </w:r>
          </w:p>
          <w:p w:rsidR="0021524B" w:rsidRPr="00E85E82" w:rsidRDefault="0021524B" w:rsidP="0021524B">
            <w:pPr>
              <w:jc w:val="both"/>
              <w:rPr>
                <w:rFonts w:cs="Times New Roman"/>
                <w:sz w:val="20"/>
                <w:szCs w:val="20"/>
              </w:rPr>
            </w:pPr>
          </w:p>
        </w:tc>
      </w:tr>
      <w:tr w:rsidR="0021524B" w:rsidRPr="00E85E82" w:rsidTr="000F56AC">
        <w:trPr>
          <w:cantSplit/>
        </w:trPr>
        <w:tc>
          <w:tcPr>
            <w:tcW w:w="4410" w:type="dxa"/>
          </w:tcPr>
          <w:p w:rsidR="0021524B" w:rsidRPr="00E85E82" w:rsidRDefault="0021524B" w:rsidP="0021524B">
            <w:pPr>
              <w:jc w:val="both"/>
              <w:rPr>
                <w:sz w:val="20"/>
                <w:szCs w:val="20"/>
              </w:rPr>
            </w:pPr>
            <w:r w:rsidRPr="00E85E82">
              <w:rPr>
                <w:sz w:val="20"/>
                <w:szCs w:val="20"/>
              </w:rPr>
              <w:t>March 15, 2016</w:t>
            </w:r>
          </w:p>
          <w:p w:rsidR="0021524B" w:rsidRPr="00E85E82" w:rsidRDefault="0021524B" w:rsidP="0021524B">
            <w:pPr>
              <w:jc w:val="both"/>
              <w:rPr>
                <w:sz w:val="20"/>
                <w:szCs w:val="20"/>
              </w:rPr>
            </w:pPr>
            <w:r w:rsidRPr="00E85E82">
              <w:rPr>
                <w:sz w:val="20"/>
                <w:szCs w:val="20"/>
              </w:rPr>
              <w:t>Supreme Court of Canada</w:t>
            </w:r>
          </w:p>
          <w:p w:rsidR="0021524B" w:rsidRPr="00E85E82" w:rsidRDefault="0021524B" w:rsidP="0021524B">
            <w:pPr>
              <w:jc w:val="both"/>
              <w:rPr>
                <w:rFonts w:cs="Times New Roman"/>
                <w:sz w:val="20"/>
                <w:szCs w:val="20"/>
              </w:rPr>
            </w:pPr>
          </w:p>
        </w:tc>
        <w:tc>
          <w:tcPr>
            <w:tcW w:w="630" w:type="dxa"/>
          </w:tcPr>
          <w:p w:rsidR="0021524B" w:rsidRPr="00E85E82" w:rsidRDefault="0021524B" w:rsidP="0021524B">
            <w:pPr>
              <w:pStyle w:val="SCCShortJudgment"/>
              <w:ind w:firstLine="0"/>
              <w:rPr>
                <w:rFonts w:cs="Times New Roman"/>
                <w:szCs w:val="20"/>
              </w:rPr>
            </w:pPr>
          </w:p>
        </w:tc>
        <w:tc>
          <w:tcPr>
            <w:tcW w:w="4536" w:type="dxa"/>
          </w:tcPr>
          <w:p w:rsidR="0021524B" w:rsidRPr="00E85E82" w:rsidRDefault="0021524B" w:rsidP="0021524B">
            <w:pPr>
              <w:jc w:val="both"/>
              <w:rPr>
                <w:sz w:val="20"/>
                <w:szCs w:val="20"/>
              </w:rPr>
            </w:pPr>
            <w:r w:rsidRPr="00E85E82">
              <w:rPr>
                <w:sz w:val="20"/>
                <w:szCs w:val="20"/>
              </w:rPr>
              <w:t>Motion to extend time to serve and file application for leave to appeal and application for leave to appeal filed</w:t>
            </w:r>
          </w:p>
          <w:p w:rsidR="0021524B" w:rsidRPr="00E85E82" w:rsidRDefault="0021524B" w:rsidP="0021524B">
            <w:pPr>
              <w:jc w:val="both"/>
              <w:rPr>
                <w:rFonts w:cs="Times New Roman"/>
                <w:sz w:val="20"/>
                <w:szCs w:val="20"/>
              </w:rPr>
            </w:pPr>
          </w:p>
        </w:tc>
      </w:tr>
      <w:tr w:rsidR="0021524B" w:rsidRPr="00E85E82" w:rsidTr="000F56AC">
        <w:trPr>
          <w:cantSplit/>
        </w:trPr>
        <w:tc>
          <w:tcPr>
            <w:tcW w:w="9576" w:type="dxa"/>
            <w:gridSpan w:val="3"/>
          </w:tcPr>
          <w:p w:rsidR="0021524B" w:rsidRPr="00E85E82" w:rsidRDefault="00B407D6" w:rsidP="0021524B">
            <w:pPr>
              <w:pStyle w:val="SCCShortJudgment"/>
              <w:ind w:firstLine="0"/>
              <w:rPr>
                <w:rFonts w:cs="Times New Roman"/>
                <w:szCs w:val="20"/>
                <w:lang w:val="fr-CA"/>
              </w:rPr>
            </w:pPr>
            <w:r>
              <w:rPr>
                <w:rFonts w:cs="Times New Roman"/>
                <w:szCs w:val="20"/>
                <w:lang w:val="fr-CA"/>
              </w:rPr>
              <w:pict>
                <v:rect id="_x0000_i1063" style="width:2in;height:1pt" o:hrpct="0" o:hralign="center" o:hrstd="t" o:hrnoshade="t" o:hr="t" fillcolor="black [3213]" stroked="f"/>
              </w:pict>
            </w:r>
          </w:p>
          <w:p w:rsidR="0021524B" w:rsidRPr="00E85E82" w:rsidRDefault="0021524B" w:rsidP="0021524B">
            <w:pPr>
              <w:pStyle w:val="SCCShortJudgment"/>
              <w:ind w:firstLine="0"/>
              <w:rPr>
                <w:rFonts w:cs="Times New Roman"/>
                <w:szCs w:val="20"/>
                <w:lang w:val="fr-CA"/>
              </w:rPr>
            </w:pPr>
          </w:p>
        </w:tc>
      </w:tr>
      <w:tr w:rsidR="0021524B" w:rsidRPr="00E85E82" w:rsidTr="000F56AC">
        <w:trPr>
          <w:cantSplit/>
        </w:trPr>
        <w:tc>
          <w:tcPr>
            <w:tcW w:w="9576" w:type="dxa"/>
            <w:gridSpan w:val="3"/>
          </w:tcPr>
          <w:p w:rsidR="0021524B" w:rsidRPr="00E85E82" w:rsidRDefault="0021524B" w:rsidP="0021524B">
            <w:pPr>
              <w:pStyle w:val="SCCShortJudgment"/>
              <w:ind w:firstLine="0"/>
              <w:rPr>
                <w:rFonts w:cs="Times New Roman"/>
                <w:szCs w:val="20"/>
                <w:u w:val="single"/>
                <w:lang w:val="fr-CA"/>
              </w:rPr>
            </w:pPr>
            <w:r w:rsidRPr="00E85E82">
              <w:rPr>
                <w:rFonts w:cs="Times New Roman"/>
                <w:szCs w:val="20"/>
                <w:u w:val="single"/>
                <w:lang w:val="fr-CA"/>
              </w:rPr>
              <w:t>RÉSUMÉ DE L’AFFAIRE </w:t>
            </w:r>
          </w:p>
          <w:p w:rsidR="0021524B" w:rsidRPr="00E85E82" w:rsidRDefault="0021524B" w:rsidP="0021524B">
            <w:pPr>
              <w:pStyle w:val="SCCShortJudgment"/>
              <w:ind w:firstLine="0"/>
              <w:rPr>
                <w:rFonts w:cs="Times New Roman"/>
                <w:szCs w:val="20"/>
                <w:u w:val="single"/>
                <w:lang w:val="fr-CA"/>
              </w:rPr>
            </w:pPr>
          </w:p>
        </w:tc>
      </w:tr>
      <w:tr w:rsidR="0021524B" w:rsidRPr="00B407D6" w:rsidTr="000F56AC">
        <w:trPr>
          <w:cantSplit/>
        </w:trPr>
        <w:tc>
          <w:tcPr>
            <w:tcW w:w="9576" w:type="dxa"/>
            <w:gridSpan w:val="3"/>
          </w:tcPr>
          <w:p w:rsidR="0021524B" w:rsidRPr="00E85E82" w:rsidRDefault="0021524B" w:rsidP="0021524B">
            <w:pPr>
              <w:pStyle w:val="SCCShortJudgment"/>
              <w:ind w:firstLine="0"/>
              <w:rPr>
                <w:szCs w:val="20"/>
                <w:lang w:val="fr-CA"/>
              </w:rPr>
            </w:pPr>
            <w:r w:rsidRPr="00E85E82">
              <w:rPr>
                <w:szCs w:val="20"/>
                <w:lang w:val="fr-CA"/>
              </w:rPr>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E85E82">
              <w:rPr>
                <w:i/>
                <w:szCs w:val="20"/>
                <w:lang w:val="fr-CA"/>
              </w:rPr>
              <w:t>Loi réglementant certaines drogues et autres substances</w:t>
            </w:r>
            <w:r w:rsidRPr="00E85E82">
              <w:rPr>
                <w:szCs w:val="20"/>
                <w:lang w:val="fr-CA"/>
              </w:rPr>
              <w:t>, L.C., 1996, ch. 19.</w:t>
            </w:r>
          </w:p>
          <w:p w:rsidR="0021524B" w:rsidRPr="00E85E82" w:rsidRDefault="0021524B" w:rsidP="0021524B">
            <w:pPr>
              <w:pStyle w:val="SCCShortJudgment"/>
              <w:ind w:firstLine="0"/>
              <w:rPr>
                <w:rFonts w:cs="Times New Roman"/>
                <w:szCs w:val="20"/>
                <w:u w:val="single"/>
                <w:lang w:val="fr-CA"/>
              </w:rPr>
            </w:pPr>
          </w:p>
        </w:tc>
      </w:tr>
      <w:tr w:rsidR="0021524B" w:rsidRPr="00B407D6" w:rsidTr="000F56AC">
        <w:trPr>
          <w:cantSplit/>
        </w:trPr>
        <w:tc>
          <w:tcPr>
            <w:tcW w:w="9576" w:type="dxa"/>
            <w:gridSpan w:val="3"/>
          </w:tcPr>
          <w:p w:rsidR="0021524B" w:rsidRPr="00E85E82" w:rsidRDefault="0021524B" w:rsidP="0021524B">
            <w:pPr>
              <w:jc w:val="both"/>
              <w:rPr>
                <w:sz w:val="20"/>
                <w:szCs w:val="20"/>
                <w:lang w:val="fr-CA"/>
              </w:rPr>
            </w:pPr>
            <w:r w:rsidRPr="00E85E82">
              <w:rPr>
                <w:sz w:val="20"/>
                <w:szCs w:val="20"/>
                <w:lang w:val="fr-CA"/>
              </w:rPr>
              <w:t xml:space="preserve">Depuis février 2014, environ 300 plaideurs non représentés, y compris la demanderesse, ont déposé des demandes identiques sollicitant des jugements qui déclarent inconstitutionnels le </w:t>
            </w:r>
            <w:r w:rsidRPr="00E85E82">
              <w:rPr>
                <w:i/>
                <w:sz w:val="20"/>
                <w:szCs w:val="20"/>
                <w:lang w:val="fr-CA"/>
              </w:rPr>
              <w:t>Règlement sur l’accès à la marihuana à des fins médicales (« RAMFM »)</w:t>
            </w:r>
            <w:r w:rsidRPr="00E85E82">
              <w:rPr>
                <w:sz w:val="20"/>
                <w:szCs w:val="20"/>
                <w:lang w:val="fr-CA"/>
              </w:rPr>
              <w:t xml:space="preserve">, D.O.R.S./2001-227, abrogé le 31 mars 2014 et le </w:t>
            </w:r>
            <w:r w:rsidRPr="00E85E82">
              <w:rPr>
                <w:i/>
                <w:sz w:val="20"/>
                <w:szCs w:val="20"/>
                <w:lang w:val="fr-CA"/>
              </w:rPr>
              <w:t>Règlement sur la marihuana à des fins médicales</w:t>
            </w:r>
            <w:r w:rsidRPr="00E85E82">
              <w:rPr>
                <w:sz w:val="20"/>
                <w:szCs w:val="20"/>
                <w:lang w:val="fr-CA"/>
              </w:rPr>
              <w:t xml:space="preserve">, D.O.R.S./2013-119, qui a remplacé le </w:t>
            </w:r>
            <w:r w:rsidRPr="00E85E82">
              <w:rPr>
                <w:i/>
                <w:sz w:val="20"/>
                <w:szCs w:val="20"/>
                <w:lang w:val="fr-CA"/>
              </w:rPr>
              <w:t>RAMFM</w:t>
            </w:r>
            <w:r w:rsidRPr="00E85E82">
              <w:rPr>
                <w:sz w:val="20"/>
                <w:szCs w:val="20"/>
                <w:lang w:val="fr-CA"/>
              </w:rPr>
              <w:t xml:space="preserve">. Dans le cadre de leurs actions, vingt-six demandeurs en première instance, y compris la demanderesse en l’espèce, ont présenté des requêtes en exemption constitutionnelle visant à écarter temporairement l’application de la </w:t>
            </w:r>
            <w:r w:rsidRPr="00E85E82">
              <w:rPr>
                <w:i/>
                <w:sz w:val="20"/>
                <w:szCs w:val="20"/>
                <w:lang w:val="fr-CA"/>
              </w:rPr>
              <w:t>Loi réglementant certaines drogues et autres substances (« LRCDAS »)</w:t>
            </w:r>
            <w:r w:rsidRPr="00E85E82">
              <w:rPr>
                <w:sz w:val="20"/>
                <w:szCs w:val="20"/>
                <w:lang w:val="fr-CA"/>
              </w:rPr>
              <w:t xml:space="preserve"> pour l’utilisation personnelle de la marihuana en attendant que leurs actions soient instruites.</w:t>
            </w:r>
          </w:p>
          <w:p w:rsidR="0021524B" w:rsidRPr="00E85E82" w:rsidRDefault="0021524B" w:rsidP="0021524B">
            <w:pPr>
              <w:jc w:val="both"/>
              <w:rPr>
                <w:rFonts w:cs="Times New Roman"/>
                <w:sz w:val="20"/>
                <w:szCs w:val="20"/>
                <w:u w:val="single"/>
                <w:lang w:val="fr-CA"/>
              </w:rPr>
            </w:pPr>
          </w:p>
        </w:tc>
      </w:tr>
      <w:tr w:rsidR="0021524B" w:rsidRPr="00B407D6" w:rsidTr="000F56AC">
        <w:trPr>
          <w:cantSplit/>
        </w:trPr>
        <w:tc>
          <w:tcPr>
            <w:tcW w:w="4410" w:type="dxa"/>
          </w:tcPr>
          <w:p w:rsidR="0021524B" w:rsidRPr="00E85E82" w:rsidRDefault="0021524B" w:rsidP="0021524B">
            <w:pPr>
              <w:rPr>
                <w:sz w:val="20"/>
                <w:szCs w:val="20"/>
                <w:lang w:val="fr-CA"/>
              </w:rPr>
            </w:pPr>
            <w:r w:rsidRPr="00E85E82">
              <w:rPr>
                <w:sz w:val="20"/>
                <w:szCs w:val="20"/>
                <w:lang w:val="fr-CA"/>
              </w:rPr>
              <w:t>7 mai 2014</w:t>
            </w:r>
          </w:p>
          <w:p w:rsidR="0021524B" w:rsidRPr="00E85E82" w:rsidRDefault="0021524B" w:rsidP="0021524B">
            <w:pPr>
              <w:rPr>
                <w:sz w:val="20"/>
                <w:szCs w:val="20"/>
                <w:lang w:val="fr-CA"/>
              </w:rPr>
            </w:pPr>
            <w:r w:rsidRPr="00E85E82">
              <w:rPr>
                <w:sz w:val="20"/>
                <w:szCs w:val="20"/>
                <w:lang w:val="fr-CA"/>
              </w:rPr>
              <w:t xml:space="preserve">Cour fédérale </w:t>
            </w:r>
          </w:p>
          <w:p w:rsidR="0021524B" w:rsidRPr="00E85E82" w:rsidRDefault="0021524B" w:rsidP="0021524B">
            <w:pPr>
              <w:pStyle w:val="SCCShortJudgment"/>
              <w:ind w:firstLine="0"/>
              <w:rPr>
                <w:szCs w:val="20"/>
                <w:lang w:val="fr-CA"/>
              </w:rPr>
            </w:pPr>
            <w:r w:rsidRPr="00E85E82">
              <w:rPr>
                <w:szCs w:val="20"/>
                <w:lang w:val="fr-CA"/>
              </w:rPr>
              <w:t>(Juge Phelan)</w:t>
            </w:r>
          </w:p>
          <w:p w:rsidR="0021524B" w:rsidRPr="00E85E82" w:rsidRDefault="0021524B" w:rsidP="0021524B">
            <w:pPr>
              <w:pStyle w:val="SCCShortJudgment"/>
              <w:ind w:firstLine="0"/>
              <w:rPr>
                <w:rFonts w:cs="Times New Roman"/>
                <w:szCs w:val="20"/>
                <w:u w:val="single"/>
                <w:lang w:val="fr-CA"/>
              </w:rPr>
            </w:pPr>
          </w:p>
        </w:tc>
        <w:tc>
          <w:tcPr>
            <w:tcW w:w="630" w:type="dxa"/>
          </w:tcPr>
          <w:p w:rsidR="0021524B" w:rsidRPr="00E85E82" w:rsidRDefault="0021524B" w:rsidP="0021524B">
            <w:pPr>
              <w:pStyle w:val="SCCShortJudgment"/>
              <w:ind w:firstLine="0"/>
              <w:rPr>
                <w:rFonts w:cs="Times New Roman"/>
                <w:szCs w:val="20"/>
                <w:u w:val="single"/>
                <w:lang w:val="fr-CA"/>
              </w:rPr>
            </w:pPr>
          </w:p>
        </w:tc>
        <w:tc>
          <w:tcPr>
            <w:tcW w:w="4536" w:type="dxa"/>
          </w:tcPr>
          <w:p w:rsidR="0021524B" w:rsidRPr="00E85E82" w:rsidRDefault="0021524B" w:rsidP="0021524B">
            <w:pPr>
              <w:jc w:val="both"/>
              <w:rPr>
                <w:sz w:val="20"/>
                <w:szCs w:val="20"/>
                <w:lang w:val="fr-CA"/>
              </w:rPr>
            </w:pPr>
            <w:r w:rsidRPr="00E85E82">
              <w:rPr>
                <w:sz w:val="20"/>
                <w:szCs w:val="20"/>
                <w:lang w:val="fr-CA"/>
              </w:rPr>
              <w:t xml:space="preserve">Rejet de la requête en exemption constitutionnelle visant à écarter temporairement l’application de la </w:t>
            </w:r>
            <w:r w:rsidRPr="00E85E82">
              <w:rPr>
                <w:i/>
                <w:sz w:val="20"/>
                <w:szCs w:val="20"/>
                <w:lang w:val="fr-CA"/>
              </w:rPr>
              <w:t>Loi réglementant certaines drogues et autres substances</w:t>
            </w:r>
          </w:p>
          <w:p w:rsidR="0021524B" w:rsidRPr="00E85E82" w:rsidRDefault="0021524B" w:rsidP="0021524B">
            <w:pPr>
              <w:pStyle w:val="SCCShortJudgment"/>
              <w:ind w:firstLine="0"/>
              <w:rPr>
                <w:rFonts w:cs="Times New Roman"/>
                <w:szCs w:val="20"/>
                <w:u w:val="single"/>
                <w:lang w:val="fr-CA"/>
              </w:rPr>
            </w:pPr>
          </w:p>
        </w:tc>
      </w:tr>
      <w:tr w:rsidR="0021524B" w:rsidRPr="00E85E82" w:rsidTr="000F56AC">
        <w:trPr>
          <w:cantSplit/>
        </w:trPr>
        <w:tc>
          <w:tcPr>
            <w:tcW w:w="4410" w:type="dxa"/>
          </w:tcPr>
          <w:p w:rsidR="0021524B" w:rsidRPr="00E85E82" w:rsidRDefault="0021524B" w:rsidP="0021524B">
            <w:pPr>
              <w:rPr>
                <w:sz w:val="20"/>
                <w:szCs w:val="20"/>
                <w:lang w:val="fr-CA"/>
              </w:rPr>
            </w:pPr>
            <w:r w:rsidRPr="00E85E82">
              <w:rPr>
                <w:sz w:val="20"/>
                <w:szCs w:val="20"/>
                <w:lang w:val="fr-CA"/>
              </w:rPr>
              <w:t>13 janvier 2016</w:t>
            </w:r>
          </w:p>
          <w:p w:rsidR="0021524B" w:rsidRPr="00E85E82" w:rsidRDefault="0021524B" w:rsidP="0021524B">
            <w:pPr>
              <w:rPr>
                <w:sz w:val="20"/>
                <w:szCs w:val="20"/>
                <w:lang w:val="fr-CA"/>
              </w:rPr>
            </w:pPr>
            <w:r w:rsidRPr="00E85E82">
              <w:rPr>
                <w:sz w:val="20"/>
                <w:szCs w:val="20"/>
                <w:lang w:val="fr-CA"/>
              </w:rPr>
              <w:t xml:space="preserve">Cour d’appel fédérale </w:t>
            </w:r>
          </w:p>
          <w:p w:rsidR="0021524B" w:rsidRPr="00E85E82" w:rsidRDefault="0021524B" w:rsidP="0021524B">
            <w:pPr>
              <w:rPr>
                <w:rFonts w:eastAsia="Times New Roman" w:cs="Times New Roman"/>
                <w:sz w:val="20"/>
                <w:szCs w:val="20"/>
                <w:lang w:val="fr-CA" w:eastAsia="en-CA"/>
              </w:rPr>
            </w:pPr>
            <w:r w:rsidRPr="00E85E82">
              <w:rPr>
                <w:rFonts w:eastAsia="Times New Roman" w:cs="Times New Roman"/>
                <w:sz w:val="20"/>
                <w:szCs w:val="20"/>
                <w:lang w:val="fr-CA" w:eastAsia="en-CA"/>
              </w:rPr>
              <w:t xml:space="preserve">(Juges Pelletier, </w:t>
            </w:r>
            <w:proofErr w:type="spellStart"/>
            <w:r w:rsidRPr="00E85E82">
              <w:rPr>
                <w:rFonts w:eastAsia="Times New Roman" w:cs="Times New Roman"/>
                <w:sz w:val="20"/>
                <w:szCs w:val="20"/>
                <w:lang w:val="fr-CA" w:eastAsia="en-CA"/>
              </w:rPr>
              <w:t>Stratas</w:t>
            </w:r>
            <w:proofErr w:type="spellEnd"/>
            <w:r w:rsidRPr="00E85E82">
              <w:rPr>
                <w:rFonts w:eastAsia="Times New Roman" w:cs="Times New Roman"/>
                <w:sz w:val="20"/>
                <w:szCs w:val="20"/>
                <w:lang w:val="fr-CA" w:eastAsia="en-CA"/>
              </w:rPr>
              <w:t xml:space="preserve"> et </w:t>
            </w:r>
            <w:proofErr w:type="spellStart"/>
            <w:r w:rsidRPr="00E85E82">
              <w:rPr>
                <w:rFonts w:eastAsia="Times New Roman" w:cs="Times New Roman"/>
                <w:sz w:val="20"/>
                <w:szCs w:val="20"/>
                <w:lang w:val="fr-CA" w:eastAsia="en-CA"/>
              </w:rPr>
              <w:t>Gleason</w:t>
            </w:r>
            <w:proofErr w:type="spellEnd"/>
            <w:r w:rsidRPr="00E85E82">
              <w:rPr>
                <w:rFonts w:eastAsia="Times New Roman" w:cs="Times New Roman"/>
                <w:sz w:val="20"/>
                <w:szCs w:val="20"/>
                <w:lang w:val="fr-CA" w:eastAsia="en-CA"/>
              </w:rPr>
              <w:t>)</w:t>
            </w:r>
          </w:p>
          <w:p w:rsidR="0021524B" w:rsidRPr="00E85E82" w:rsidRDefault="00B407D6" w:rsidP="0021524B">
            <w:pPr>
              <w:rPr>
                <w:rFonts w:eastAsia="Times New Roman" w:cs="Times New Roman"/>
                <w:sz w:val="20"/>
                <w:szCs w:val="20"/>
                <w:lang w:val="fr-CA" w:eastAsia="en-CA"/>
              </w:rPr>
            </w:pPr>
            <w:hyperlink r:id="rId51" w:history="1">
              <w:r w:rsidR="0021524B" w:rsidRPr="00E85E82">
                <w:rPr>
                  <w:rFonts w:eastAsia="Times New Roman" w:cs="Times New Roman"/>
                  <w:color w:val="0000FF" w:themeColor="hyperlink"/>
                  <w:sz w:val="20"/>
                  <w:szCs w:val="20"/>
                  <w:u w:val="single"/>
                  <w:lang w:val="fr-CA" w:eastAsia="en-CA"/>
                </w:rPr>
                <w:t>2016 FCA 9</w:t>
              </w:r>
            </w:hyperlink>
          </w:p>
          <w:p w:rsidR="0021524B" w:rsidRPr="00E85E82" w:rsidRDefault="0021524B" w:rsidP="0021524B">
            <w:pPr>
              <w:pStyle w:val="SCCShortJudgment"/>
              <w:ind w:firstLine="0"/>
              <w:rPr>
                <w:rFonts w:cs="Times New Roman"/>
                <w:szCs w:val="20"/>
                <w:u w:val="single"/>
                <w:lang w:val="fr-CA"/>
              </w:rPr>
            </w:pPr>
          </w:p>
        </w:tc>
        <w:tc>
          <w:tcPr>
            <w:tcW w:w="630" w:type="dxa"/>
          </w:tcPr>
          <w:p w:rsidR="0021524B" w:rsidRPr="00E85E82" w:rsidRDefault="0021524B" w:rsidP="0021524B">
            <w:pPr>
              <w:pStyle w:val="SCCShortJudgment"/>
              <w:ind w:firstLine="0"/>
              <w:rPr>
                <w:rFonts w:cs="Times New Roman"/>
                <w:szCs w:val="20"/>
                <w:u w:val="single"/>
                <w:lang w:val="fr-CA"/>
              </w:rPr>
            </w:pPr>
          </w:p>
        </w:tc>
        <w:tc>
          <w:tcPr>
            <w:tcW w:w="4536" w:type="dxa"/>
          </w:tcPr>
          <w:p w:rsidR="0021524B" w:rsidRPr="00E85E82" w:rsidRDefault="0021524B" w:rsidP="0021524B">
            <w:pPr>
              <w:rPr>
                <w:sz w:val="20"/>
                <w:szCs w:val="20"/>
                <w:lang w:val="fr-CA"/>
              </w:rPr>
            </w:pPr>
            <w:r w:rsidRPr="00E85E82">
              <w:rPr>
                <w:sz w:val="20"/>
                <w:szCs w:val="20"/>
                <w:lang w:val="fr-CA"/>
              </w:rPr>
              <w:t>Rejet de l’appel</w:t>
            </w:r>
          </w:p>
          <w:p w:rsidR="0021524B" w:rsidRPr="00E85E82" w:rsidRDefault="0021524B" w:rsidP="0021524B">
            <w:pPr>
              <w:pStyle w:val="SCCShortJudgment"/>
              <w:ind w:firstLine="0"/>
              <w:rPr>
                <w:rFonts w:cs="Times New Roman"/>
                <w:szCs w:val="20"/>
                <w:u w:val="single"/>
                <w:lang w:val="fr-CA"/>
              </w:rPr>
            </w:pPr>
          </w:p>
        </w:tc>
      </w:tr>
      <w:tr w:rsidR="0021524B" w:rsidRPr="00B407D6" w:rsidTr="000F56AC">
        <w:trPr>
          <w:cantSplit/>
        </w:trPr>
        <w:tc>
          <w:tcPr>
            <w:tcW w:w="4410" w:type="dxa"/>
          </w:tcPr>
          <w:p w:rsidR="0021524B" w:rsidRPr="00E85E82" w:rsidRDefault="0021524B" w:rsidP="0021524B">
            <w:pPr>
              <w:rPr>
                <w:sz w:val="20"/>
                <w:szCs w:val="20"/>
                <w:lang w:val="fr-CA"/>
              </w:rPr>
            </w:pPr>
            <w:r w:rsidRPr="00E85E82">
              <w:rPr>
                <w:sz w:val="20"/>
                <w:szCs w:val="20"/>
                <w:lang w:val="fr-CA"/>
              </w:rPr>
              <w:t>15 mars 2016</w:t>
            </w:r>
          </w:p>
          <w:p w:rsidR="0021524B" w:rsidRPr="00E85E82" w:rsidRDefault="0021524B" w:rsidP="0021524B">
            <w:pPr>
              <w:rPr>
                <w:sz w:val="20"/>
                <w:szCs w:val="20"/>
                <w:lang w:val="fr-CA"/>
              </w:rPr>
            </w:pPr>
            <w:r w:rsidRPr="00E85E82">
              <w:rPr>
                <w:sz w:val="20"/>
                <w:szCs w:val="20"/>
                <w:lang w:val="fr-CA"/>
              </w:rPr>
              <w:t>Cour suprême du Canada</w:t>
            </w:r>
          </w:p>
          <w:p w:rsidR="0021524B" w:rsidRPr="00E85E82" w:rsidRDefault="0021524B" w:rsidP="0021524B">
            <w:pPr>
              <w:pStyle w:val="SCCShortJudgment"/>
              <w:ind w:firstLine="0"/>
              <w:rPr>
                <w:rFonts w:cs="Times New Roman"/>
                <w:szCs w:val="20"/>
                <w:u w:val="single"/>
                <w:lang w:val="fr-CA"/>
              </w:rPr>
            </w:pPr>
          </w:p>
        </w:tc>
        <w:tc>
          <w:tcPr>
            <w:tcW w:w="630" w:type="dxa"/>
          </w:tcPr>
          <w:p w:rsidR="0021524B" w:rsidRPr="00E85E82" w:rsidRDefault="0021524B" w:rsidP="0021524B">
            <w:pPr>
              <w:pStyle w:val="SCCShortJudgment"/>
              <w:ind w:firstLine="0"/>
              <w:rPr>
                <w:rFonts w:cs="Times New Roman"/>
                <w:szCs w:val="20"/>
                <w:u w:val="single"/>
                <w:lang w:val="fr-CA"/>
              </w:rPr>
            </w:pPr>
          </w:p>
        </w:tc>
        <w:tc>
          <w:tcPr>
            <w:tcW w:w="4536" w:type="dxa"/>
          </w:tcPr>
          <w:p w:rsidR="0021524B" w:rsidRPr="00E85E82" w:rsidRDefault="0021524B" w:rsidP="0021524B">
            <w:pPr>
              <w:jc w:val="both"/>
              <w:rPr>
                <w:sz w:val="20"/>
                <w:szCs w:val="20"/>
                <w:lang w:val="fr-CA"/>
              </w:rPr>
            </w:pPr>
            <w:r w:rsidRPr="00E85E82">
              <w:rPr>
                <w:sz w:val="20"/>
                <w:szCs w:val="20"/>
                <w:lang w:val="fr-CA"/>
              </w:rPr>
              <w:t xml:space="preserve">Dépôt de la requête en prorogation du délai de signification et de dépôt de la demande d’autorisation d’appel et de la demande d’autorisation d’appel </w:t>
            </w:r>
          </w:p>
          <w:p w:rsidR="004E22A8" w:rsidRPr="00E85E82" w:rsidRDefault="004E22A8" w:rsidP="0021524B">
            <w:pPr>
              <w:jc w:val="both"/>
              <w:rPr>
                <w:sz w:val="20"/>
                <w:szCs w:val="20"/>
                <w:lang w:val="fr-CA"/>
              </w:rPr>
            </w:pPr>
          </w:p>
        </w:tc>
      </w:tr>
    </w:tbl>
    <w:p w:rsidR="00232760" w:rsidRPr="00E85E82" w:rsidRDefault="00B407D6" w:rsidP="00232760">
      <w:pPr>
        <w:rPr>
          <w:rFonts w:cs="Times New Roman"/>
          <w:sz w:val="20"/>
          <w:szCs w:val="20"/>
          <w:lang w:val="fr-CA"/>
        </w:rPr>
      </w:pPr>
      <w:r>
        <w:rPr>
          <w:rFonts w:cs="Times New Roman"/>
          <w:sz w:val="20"/>
          <w:szCs w:val="20"/>
          <w:lang w:val="fr-CA"/>
        </w:rPr>
        <w:pict>
          <v:rect id="_x0000_i1064" style="width:2in;height:1pt" o:hrpct="0" o:hralign="center" o:hrstd="t" o:hrnoshade="t" o:hr="t" fillcolor="black [3213]" stroked="f"/>
        </w:pict>
      </w:r>
    </w:p>
    <w:p w:rsidR="007C090C" w:rsidRPr="00E85E82" w:rsidRDefault="007C090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Style w:val="SCCFileNumberChar"/>
                <w:sz w:val="20"/>
                <w:szCs w:val="20"/>
              </w:rPr>
              <w:t>36937</w:t>
            </w:r>
          </w:p>
          <w:p w:rsidR="00232760" w:rsidRPr="00E85E82" w:rsidRDefault="00232760" w:rsidP="000F56AC">
            <w:pPr>
              <w:jc w:val="both"/>
              <w:rPr>
                <w:rFonts w:cs="Times New Roman"/>
                <w:b/>
                <w:sz w:val="20"/>
                <w:szCs w:val="20"/>
              </w:rPr>
            </w:pPr>
          </w:p>
        </w:tc>
        <w:tc>
          <w:tcPr>
            <w:tcW w:w="8118" w:type="dxa"/>
            <w:gridSpan w:val="3"/>
          </w:tcPr>
          <w:p w:rsidR="00232760" w:rsidRPr="00E85E82" w:rsidRDefault="00080E30" w:rsidP="000F56AC">
            <w:pPr>
              <w:jc w:val="both"/>
              <w:rPr>
                <w:rFonts w:cs="Times New Roman"/>
                <w:sz w:val="20"/>
                <w:szCs w:val="20"/>
              </w:rPr>
            </w:pPr>
            <w:r w:rsidRPr="00E85E82">
              <w:rPr>
                <w:rStyle w:val="SCCLsocChar"/>
                <w:rFonts w:cs="Times New Roman"/>
                <w:sz w:val="20"/>
                <w:szCs w:val="20"/>
                <w:lang w:val="en-CA"/>
              </w:rPr>
              <w:t>John Turmel</w:t>
            </w:r>
            <w:r w:rsidR="00232760" w:rsidRPr="00E85E82">
              <w:rPr>
                <w:rStyle w:val="SCCLsocChar"/>
                <w:rFonts w:cs="Times New Roman"/>
                <w:sz w:val="20"/>
                <w:szCs w:val="20"/>
                <w:lang w:val="en-CA"/>
              </w:rPr>
              <w:t xml:space="preserve"> v. </w:t>
            </w:r>
            <w:r w:rsidRPr="00E85E82">
              <w:rPr>
                <w:rStyle w:val="SCCLsocChar"/>
                <w:rFonts w:cs="Times New Roman"/>
                <w:sz w:val="20"/>
                <w:szCs w:val="20"/>
                <w:lang w:val="en-CA"/>
              </w:rPr>
              <w:t>Her Majesty the Queen</w:t>
            </w:r>
            <w:r w:rsidR="00232760" w:rsidRPr="00E85E82">
              <w:rPr>
                <w:rStyle w:val="SCCLsocChar"/>
                <w:rFonts w:cs="Times New Roman"/>
                <w:sz w:val="20"/>
                <w:szCs w:val="20"/>
                <w:u w:val="none"/>
                <w:lang w:val="en-CA"/>
              </w:rPr>
              <w:t xml:space="preserve"> </w:t>
            </w:r>
            <w:r w:rsidR="00232760" w:rsidRPr="00E85E82">
              <w:rPr>
                <w:rFonts w:cs="Times New Roman"/>
                <w:sz w:val="20"/>
                <w:szCs w:val="20"/>
              </w:rPr>
              <w:t>(</w:t>
            </w:r>
            <w:r w:rsidR="0021524B" w:rsidRPr="00E85E82">
              <w:rPr>
                <w:rFonts w:cs="Times New Roman"/>
                <w:sz w:val="20"/>
                <w:szCs w:val="20"/>
              </w:rPr>
              <w:t>F</w:t>
            </w:r>
            <w:r w:rsidR="00232760" w:rsidRPr="00E85E82">
              <w:rPr>
                <w:rFonts w:cs="Times New Roman"/>
                <w:sz w:val="20"/>
                <w:szCs w:val="20"/>
              </w:rPr>
              <w:t>.</w:t>
            </w:r>
            <w:r w:rsidR="0021524B" w:rsidRPr="00E85E82">
              <w:rPr>
                <w:rFonts w:cs="Times New Roman"/>
                <w:sz w:val="20"/>
                <w:szCs w:val="20"/>
              </w:rPr>
              <w:t>C.</w:t>
            </w:r>
            <w:r w:rsidR="00232760" w:rsidRPr="00E85E82">
              <w:rPr>
                <w:rFonts w:cs="Times New Roman"/>
                <w:sz w:val="20"/>
                <w:szCs w:val="20"/>
              </w:rPr>
              <w:t>) (Civil) (By Leave)</w:t>
            </w:r>
          </w:p>
          <w:p w:rsidR="00232760" w:rsidRPr="00E85E82" w:rsidRDefault="00232760" w:rsidP="000F56AC">
            <w:pPr>
              <w:jc w:val="both"/>
              <w:rPr>
                <w:rFonts w:cs="Times New Roman"/>
                <w:sz w:val="20"/>
                <w:szCs w:val="20"/>
              </w:rPr>
            </w:pPr>
          </w:p>
        </w:tc>
      </w:tr>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Fonts w:cs="Times New Roman"/>
                <w:sz w:val="20"/>
                <w:szCs w:val="20"/>
              </w:rPr>
              <w:t>Coram :</w:t>
            </w:r>
          </w:p>
        </w:tc>
        <w:tc>
          <w:tcPr>
            <w:tcW w:w="8118" w:type="dxa"/>
            <w:gridSpan w:val="3"/>
          </w:tcPr>
          <w:p w:rsidR="00232760" w:rsidRPr="00E85E82" w:rsidRDefault="00232760" w:rsidP="000F56AC">
            <w:pPr>
              <w:jc w:val="both"/>
              <w:rPr>
                <w:rStyle w:val="SCCCoramChar"/>
                <w:sz w:val="20"/>
                <w:szCs w:val="20"/>
                <w:lang w:val="en-CA"/>
              </w:rPr>
            </w:pPr>
            <w:r w:rsidRPr="00E85E82">
              <w:rPr>
                <w:rStyle w:val="SCCCoramChar"/>
                <w:sz w:val="20"/>
                <w:szCs w:val="20"/>
                <w:lang w:val="en-CA"/>
              </w:rPr>
              <w:t>McLachlin C.J. and Moldaver and Gascon JJ.</w:t>
            </w:r>
          </w:p>
          <w:p w:rsidR="00232760" w:rsidRPr="00E85E82" w:rsidRDefault="00232760" w:rsidP="000F56AC">
            <w:pPr>
              <w:jc w:val="both"/>
              <w:rPr>
                <w:rFonts w:cs="Times New Roman"/>
                <w:sz w:val="20"/>
                <w:szCs w:val="20"/>
                <w:u w:val="single"/>
              </w:rPr>
            </w:pPr>
          </w:p>
        </w:tc>
      </w:tr>
      <w:tr w:rsidR="00232760" w:rsidRPr="00B407D6" w:rsidTr="000F56AC">
        <w:trPr>
          <w:cantSplit/>
        </w:trPr>
        <w:tc>
          <w:tcPr>
            <w:tcW w:w="9576" w:type="dxa"/>
            <w:gridSpan w:val="4"/>
          </w:tcPr>
          <w:p w:rsidR="00312B5E" w:rsidRPr="00E85E82" w:rsidRDefault="00312B5E" w:rsidP="00312B5E">
            <w:pPr>
              <w:pStyle w:val="SCCShortJudgment"/>
            </w:pPr>
            <w:r w:rsidRPr="00E85E82">
              <w:t>The motion for an extension of time to serve and file the application for leave to appeal is granted.  The application for leave to appeal from the judgment of the Federal Court of Appeal, Number A-342-14, 2016 FCA 9, dated January 13, 2016,  is dismissed with costs.</w:t>
            </w:r>
          </w:p>
          <w:p w:rsidR="00312B5E" w:rsidRPr="00E85E82" w:rsidRDefault="00312B5E" w:rsidP="00312B5E">
            <w:pPr>
              <w:pStyle w:val="SCCShortJudgment"/>
              <w:ind w:firstLine="0"/>
            </w:pPr>
          </w:p>
          <w:p w:rsidR="00312B5E" w:rsidRPr="00C556BB" w:rsidRDefault="00312B5E" w:rsidP="00312B5E">
            <w:pPr>
              <w:pStyle w:val="SCCShortJudgment"/>
              <w:rPr>
                <w:lang w:val="fr-CA"/>
              </w:rPr>
            </w:pPr>
            <w:r w:rsidRPr="00C556BB">
              <w:rPr>
                <w:lang w:val="fr-CA"/>
              </w:rPr>
              <w:t>La requête en prorogation du délai de signification et de dépôt de la demande d’autorisation d’appel est accueillie. La demande d’autorisation d’appel de l’arrêt de la Cour d’appel fédérale, numéro A-342-14, 2016 FCA 9, daté du 13 janvier 2016, est rejetée avec dépens.</w:t>
            </w:r>
          </w:p>
          <w:p w:rsidR="00232760" w:rsidRPr="00E85E82" w:rsidRDefault="00232760" w:rsidP="000F56AC">
            <w:pPr>
              <w:pStyle w:val="SCCShortJudgment"/>
              <w:ind w:firstLine="0"/>
              <w:rPr>
                <w:rFonts w:cs="Times New Roman"/>
                <w:szCs w:val="20"/>
                <w:lang w:val="fr-CA"/>
              </w:rPr>
            </w:pPr>
          </w:p>
        </w:tc>
      </w:tr>
      <w:tr w:rsidR="00232760" w:rsidRPr="00E85E82" w:rsidTr="000F56AC">
        <w:trPr>
          <w:cantSplit/>
        </w:trPr>
        <w:tc>
          <w:tcPr>
            <w:tcW w:w="9576" w:type="dxa"/>
            <w:gridSpan w:val="4"/>
          </w:tcPr>
          <w:p w:rsidR="00232760" w:rsidRPr="00E85E82" w:rsidRDefault="00232760" w:rsidP="000F56AC">
            <w:pPr>
              <w:pStyle w:val="SCCShortJudgment"/>
              <w:ind w:firstLine="0"/>
              <w:rPr>
                <w:rFonts w:cs="Times New Roman"/>
                <w:szCs w:val="20"/>
                <w:u w:val="single"/>
                <w:lang w:val="fr-CA"/>
              </w:rPr>
            </w:pPr>
            <w:r w:rsidRPr="00E85E82">
              <w:rPr>
                <w:rFonts w:cs="Times New Roman"/>
                <w:szCs w:val="20"/>
                <w:u w:val="single"/>
                <w:lang w:val="fr-CA"/>
              </w:rPr>
              <w:t>CASE SUMMARY</w:t>
            </w:r>
          </w:p>
          <w:p w:rsidR="00232760" w:rsidRPr="00E85E82" w:rsidRDefault="00232760" w:rsidP="000F56AC">
            <w:pPr>
              <w:pStyle w:val="SCCShortJudgment"/>
              <w:ind w:firstLine="0"/>
              <w:rPr>
                <w:rFonts w:cs="Times New Roman"/>
                <w:szCs w:val="20"/>
                <w:u w:val="single"/>
                <w:lang w:val="fr-CA"/>
              </w:rPr>
            </w:pPr>
          </w:p>
        </w:tc>
      </w:tr>
      <w:tr w:rsidR="0021524B" w:rsidRPr="00E85E82" w:rsidTr="000F56AC">
        <w:trPr>
          <w:cantSplit/>
        </w:trPr>
        <w:tc>
          <w:tcPr>
            <w:tcW w:w="9576" w:type="dxa"/>
            <w:gridSpan w:val="4"/>
          </w:tcPr>
          <w:p w:rsidR="0021524B" w:rsidRPr="00E85E82" w:rsidRDefault="0021524B" w:rsidP="0021524B">
            <w:pPr>
              <w:jc w:val="both"/>
              <w:rPr>
                <w:sz w:val="20"/>
                <w:szCs w:val="20"/>
              </w:rPr>
            </w:pPr>
            <w:r w:rsidRPr="00E85E82">
              <w:rPr>
                <w:sz w:val="20"/>
                <w:szCs w:val="20"/>
              </w:rPr>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E85E82">
              <w:rPr>
                <w:i/>
                <w:sz w:val="20"/>
                <w:szCs w:val="20"/>
              </w:rPr>
              <w:t>Controlled Drugs and Substances Act</w:t>
            </w:r>
            <w:r w:rsidRPr="00E85E82">
              <w:rPr>
                <w:sz w:val="20"/>
                <w:szCs w:val="20"/>
              </w:rPr>
              <w:t>, S.C. 1996, c. 19.</w:t>
            </w:r>
          </w:p>
          <w:p w:rsidR="0021524B" w:rsidRPr="00E85E82" w:rsidRDefault="0021524B" w:rsidP="0021524B">
            <w:pPr>
              <w:jc w:val="both"/>
              <w:rPr>
                <w:sz w:val="20"/>
                <w:szCs w:val="20"/>
              </w:rPr>
            </w:pPr>
          </w:p>
        </w:tc>
      </w:tr>
      <w:tr w:rsidR="0021524B" w:rsidRPr="00E85E82" w:rsidTr="000F56AC">
        <w:trPr>
          <w:cantSplit/>
        </w:trPr>
        <w:tc>
          <w:tcPr>
            <w:tcW w:w="9576" w:type="dxa"/>
            <w:gridSpan w:val="4"/>
          </w:tcPr>
          <w:p w:rsidR="0021524B" w:rsidRPr="00E85E82" w:rsidRDefault="00C4652F" w:rsidP="0021524B">
            <w:pPr>
              <w:pStyle w:val="SCCShortJudgment"/>
              <w:ind w:firstLine="0"/>
              <w:rPr>
                <w:szCs w:val="20"/>
              </w:rPr>
            </w:pPr>
            <w:r w:rsidRPr="00E85E82">
              <w:rPr>
                <w:szCs w:val="20"/>
              </w:rPr>
              <w:t xml:space="preserve">Since February 2014, approximately 300 self-represented plaintiffs, including the applicant, have filed identical claims seeking declarations that the </w:t>
            </w:r>
            <w:r w:rsidRPr="00E85E82">
              <w:rPr>
                <w:i/>
                <w:szCs w:val="20"/>
              </w:rPr>
              <w:t>Marijuana Medical Access Regulations</w:t>
            </w:r>
            <w:r w:rsidRPr="00E85E82">
              <w:rPr>
                <w:szCs w:val="20"/>
              </w:rPr>
              <w:t xml:space="preserve"> (“</w:t>
            </w:r>
            <w:r w:rsidRPr="00E85E82">
              <w:rPr>
                <w:i/>
                <w:szCs w:val="20"/>
              </w:rPr>
              <w:t>MMAR</w:t>
            </w:r>
            <w:r w:rsidRPr="00E85E82">
              <w:rPr>
                <w:szCs w:val="20"/>
              </w:rPr>
              <w:t xml:space="preserve">”), S.O.R./2001-227, which were repealed on March 31, 2014 and the marijuana for medical purposes regulations, S.O.R./2013-119, which succeeded the </w:t>
            </w:r>
            <w:r w:rsidRPr="00E85E82">
              <w:rPr>
                <w:i/>
                <w:szCs w:val="20"/>
              </w:rPr>
              <w:t>MMAR</w:t>
            </w:r>
            <w:r w:rsidRPr="00E85E82">
              <w:rPr>
                <w:szCs w:val="20"/>
              </w:rPr>
              <w:t xml:space="preserve"> are unconstitutional. In the course of their actions, twenty-six plaintiffs, including the applicant, brought motions for interim constitutional exemptions from the </w:t>
            </w:r>
            <w:r w:rsidRPr="00E85E82">
              <w:rPr>
                <w:i/>
                <w:szCs w:val="20"/>
              </w:rPr>
              <w:t>Controlled Drugs and Substances Act</w:t>
            </w:r>
            <w:r w:rsidRPr="00E85E82">
              <w:rPr>
                <w:szCs w:val="20"/>
              </w:rPr>
              <w:t xml:space="preserve">. </w:t>
            </w:r>
            <w:r w:rsidRPr="00E85E82">
              <w:rPr>
                <w:i/>
                <w:szCs w:val="20"/>
              </w:rPr>
              <w:t>(“CDSA</w:t>
            </w:r>
            <w:r w:rsidRPr="00E85E82">
              <w:rPr>
                <w:szCs w:val="20"/>
              </w:rPr>
              <w:t>”) for the personal use of marijuana pending trial of their actions.</w:t>
            </w:r>
          </w:p>
          <w:p w:rsidR="00C4652F" w:rsidRPr="00E85E82" w:rsidRDefault="00C4652F" w:rsidP="0021524B">
            <w:pPr>
              <w:pStyle w:val="SCCShortJudgment"/>
              <w:ind w:firstLine="0"/>
              <w:rPr>
                <w:rFonts w:cs="Times New Roman"/>
                <w:szCs w:val="20"/>
              </w:rPr>
            </w:pPr>
          </w:p>
        </w:tc>
      </w:tr>
      <w:tr w:rsidR="0021524B" w:rsidRPr="00E85E82" w:rsidTr="000F56AC">
        <w:trPr>
          <w:cantSplit/>
        </w:trPr>
        <w:tc>
          <w:tcPr>
            <w:tcW w:w="4410" w:type="dxa"/>
            <w:gridSpan w:val="2"/>
          </w:tcPr>
          <w:p w:rsidR="00C4652F" w:rsidRPr="00E85E82" w:rsidRDefault="00C4652F" w:rsidP="00C4652F">
            <w:pPr>
              <w:rPr>
                <w:sz w:val="20"/>
                <w:szCs w:val="20"/>
              </w:rPr>
            </w:pPr>
            <w:r w:rsidRPr="00E85E82">
              <w:rPr>
                <w:sz w:val="20"/>
                <w:szCs w:val="20"/>
              </w:rPr>
              <w:t>May 7, 2014</w:t>
            </w:r>
          </w:p>
          <w:p w:rsidR="00C4652F" w:rsidRPr="00E85E82" w:rsidRDefault="00C4652F" w:rsidP="00C4652F">
            <w:pPr>
              <w:rPr>
                <w:sz w:val="20"/>
                <w:szCs w:val="20"/>
              </w:rPr>
            </w:pPr>
            <w:r w:rsidRPr="00E85E82">
              <w:rPr>
                <w:sz w:val="20"/>
                <w:szCs w:val="20"/>
              </w:rPr>
              <w:t>Federal Court</w:t>
            </w:r>
          </w:p>
          <w:p w:rsidR="00C4652F" w:rsidRPr="00E85E82" w:rsidRDefault="00C4652F" w:rsidP="00C4652F">
            <w:pPr>
              <w:rPr>
                <w:sz w:val="20"/>
                <w:szCs w:val="20"/>
              </w:rPr>
            </w:pPr>
            <w:r w:rsidRPr="00E85E82">
              <w:rPr>
                <w:sz w:val="20"/>
                <w:szCs w:val="20"/>
              </w:rPr>
              <w:t>(Phelan J.)</w:t>
            </w:r>
          </w:p>
          <w:p w:rsidR="0021524B" w:rsidRPr="00E85E82" w:rsidRDefault="0021524B" w:rsidP="0021524B">
            <w:pPr>
              <w:jc w:val="both"/>
              <w:rPr>
                <w:rFonts w:cs="Times New Roman"/>
                <w:sz w:val="20"/>
                <w:szCs w:val="20"/>
              </w:rPr>
            </w:pPr>
          </w:p>
        </w:tc>
        <w:tc>
          <w:tcPr>
            <w:tcW w:w="630" w:type="dxa"/>
          </w:tcPr>
          <w:p w:rsidR="0021524B" w:rsidRPr="00E85E82" w:rsidRDefault="0021524B" w:rsidP="0021524B">
            <w:pPr>
              <w:pStyle w:val="SCCShortJudgment"/>
              <w:ind w:firstLine="0"/>
              <w:rPr>
                <w:rFonts w:cs="Times New Roman"/>
                <w:szCs w:val="20"/>
              </w:rPr>
            </w:pPr>
          </w:p>
        </w:tc>
        <w:tc>
          <w:tcPr>
            <w:tcW w:w="4536" w:type="dxa"/>
          </w:tcPr>
          <w:p w:rsidR="00C4652F" w:rsidRPr="00E85E82" w:rsidRDefault="00C4652F" w:rsidP="00C4652F">
            <w:pPr>
              <w:rPr>
                <w:sz w:val="20"/>
                <w:szCs w:val="20"/>
              </w:rPr>
            </w:pPr>
            <w:r w:rsidRPr="00E85E82">
              <w:rPr>
                <w:sz w:val="20"/>
                <w:szCs w:val="20"/>
              </w:rPr>
              <w:t xml:space="preserve">Motion for interim constitutional exemptions from provisions of </w:t>
            </w:r>
            <w:r w:rsidRPr="00E85E82">
              <w:rPr>
                <w:i/>
                <w:sz w:val="20"/>
                <w:szCs w:val="20"/>
              </w:rPr>
              <w:t>Controlled Drugs and Substances Act</w:t>
            </w:r>
            <w:r w:rsidRPr="00E85E82">
              <w:rPr>
                <w:sz w:val="20"/>
                <w:szCs w:val="20"/>
              </w:rPr>
              <w:t xml:space="preserve"> dismissed</w:t>
            </w:r>
          </w:p>
          <w:p w:rsidR="0021524B" w:rsidRPr="00E85E82" w:rsidRDefault="0021524B" w:rsidP="0021524B">
            <w:pPr>
              <w:jc w:val="both"/>
              <w:rPr>
                <w:rFonts w:cs="Times New Roman"/>
                <w:sz w:val="20"/>
                <w:szCs w:val="20"/>
              </w:rPr>
            </w:pPr>
          </w:p>
        </w:tc>
      </w:tr>
      <w:tr w:rsidR="0021524B" w:rsidRPr="00E85E82" w:rsidTr="000F56AC">
        <w:trPr>
          <w:cantSplit/>
        </w:trPr>
        <w:tc>
          <w:tcPr>
            <w:tcW w:w="4410" w:type="dxa"/>
            <w:gridSpan w:val="2"/>
          </w:tcPr>
          <w:p w:rsidR="00C4652F" w:rsidRPr="00E85E82" w:rsidRDefault="00C4652F" w:rsidP="00C4652F">
            <w:pPr>
              <w:rPr>
                <w:sz w:val="20"/>
                <w:szCs w:val="20"/>
              </w:rPr>
            </w:pPr>
            <w:r w:rsidRPr="00E85E82">
              <w:rPr>
                <w:sz w:val="20"/>
                <w:szCs w:val="20"/>
              </w:rPr>
              <w:t>January 13, 2016</w:t>
            </w:r>
          </w:p>
          <w:p w:rsidR="00C4652F" w:rsidRPr="00E85E82" w:rsidRDefault="00C4652F" w:rsidP="00C4652F">
            <w:pPr>
              <w:rPr>
                <w:sz w:val="20"/>
                <w:szCs w:val="20"/>
              </w:rPr>
            </w:pPr>
            <w:r w:rsidRPr="00E85E82">
              <w:rPr>
                <w:sz w:val="20"/>
                <w:szCs w:val="20"/>
              </w:rPr>
              <w:t>Federal Court of Appeal</w:t>
            </w:r>
          </w:p>
          <w:p w:rsidR="00C4652F" w:rsidRPr="00E85E82" w:rsidRDefault="00C4652F" w:rsidP="00C4652F">
            <w:pPr>
              <w:rPr>
                <w:sz w:val="20"/>
                <w:szCs w:val="20"/>
              </w:rPr>
            </w:pPr>
            <w:r w:rsidRPr="00E85E82">
              <w:rPr>
                <w:sz w:val="20"/>
                <w:szCs w:val="20"/>
              </w:rPr>
              <w:t xml:space="preserve">(Pelletier, </w:t>
            </w:r>
            <w:proofErr w:type="spellStart"/>
            <w:r w:rsidRPr="00E85E82">
              <w:rPr>
                <w:sz w:val="20"/>
                <w:szCs w:val="20"/>
              </w:rPr>
              <w:t>Stratas</w:t>
            </w:r>
            <w:proofErr w:type="spellEnd"/>
            <w:r w:rsidRPr="00E85E82">
              <w:rPr>
                <w:sz w:val="20"/>
                <w:szCs w:val="20"/>
              </w:rPr>
              <w:t xml:space="preserve"> and Gleason JJ.A.)</w:t>
            </w:r>
          </w:p>
          <w:p w:rsidR="00C4652F" w:rsidRPr="00E85E82" w:rsidRDefault="00B407D6" w:rsidP="00C4652F">
            <w:pPr>
              <w:rPr>
                <w:rFonts w:eastAsia="Times New Roman" w:cs="Times New Roman"/>
                <w:sz w:val="20"/>
                <w:szCs w:val="20"/>
                <w:lang w:eastAsia="en-CA"/>
              </w:rPr>
            </w:pPr>
            <w:hyperlink r:id="rId52" w:history="1">
              <w:r w:rsidR="00C4652F" w:rsidRPr="00E85E82">
                <w:rPr>
                  <w:rFonts w:eastAsia="Times New Roman" w:cs="Times New Roman"/>
                  <w:color w:val="0000FF" w:themeColor="hyperlink"/>
                  <w:sz w:val="20"/>
                  <w:szCs w:val="20"/>
                  <w:u w:val="single"/>
                  <w:lang w:eastAsia="en-CA"/>
                </w:rPr>
                <w:t>2016 FCA 9</w:t>
              </w:r>
            </w:hyperlink>
          </w:p>
          <w:p w:rsidR="0021524B" w:rsidRPr="00E85E82" w:rsidRDefault="0021524B" w:rsidP="0021524B">
            <w:pPr>
              <w:jc w:val="both"/>
              <w:rPr>
                <w:rFonts w:cs="Times New Roman"/>
                <w:sz w:val="20"/>
                <w:szCs w:val="20"/>
              </w:rPr>
            </w:pPr>
          </w:p>
        </w:tc>
        <w:tc>
          <w:tcPr>
            <w:tcW w:w="630" w:type="dxa"/>
          </w:tcPr>
          <w:p w:rsidR="0021524B" w:rsidRPr="00E85E82" w:rsidRDefault="0021524B" w:rsidP="0021524B">
            <w:pPr>
              <w:pStyle w:val="SCCShortJudgment"/>
              <w:ind w:firstLine="0"/>
              <w:rPr>
                <w:rFonts w:cs="Times New Roman"/>
                <w:szCs w:val="20"/>
              </w:rPr>
            </w:pPr>
          </w:p>
        </w:tc>
        <w:tc>
          <w:tcPr>
            <w:tcW w:w="4536" w:type="dxa"/>
          </w:tcPr>
          <w:p w:rsidR="00C4652F" w:rsidRPr="00E85E82" w:rsidRDefault="00C4652F" w:rsidP="00C4652F">
            <w:pPr>
              <w:tabs>
                <w:tab w:val="center" w:pos="2160"/>
              </w:tabs>
              <w:rPr>
                <w:sz w:val="20"/>
                <w:szCs w:val="20"/>
              </w:rPr>
            </w:pPr>
            <w:r w:rsidRPr="00E85E82">
              <w:rPr>
                <w:sz w:val="20"/>
                <w:szCs w:val="20"/>
              </w:rPr>
              <w:t>Appeal dismissed</w:t>
            </w:r>
          </w:p>
          <w:p w:rsidR="0021524B" w:rsidRPr="00E85E82" w:rsidRDefault="0021524B" w:rsidP="0021524B">
            <w:pPr>
              <w:jc w:val="both"/>
              <w:rPr>
                <w:rFonts w:cs="Times New Roman"/>
                <w:sz w:val="20"/>
                <w:szCs w:val="20"/>
              </w:rPr>
            </w:pPr>
          </w:p>
        </w:tc>
      </w:tr>
      <w:tr w:rsidR="00C4652F" w:rsidRPr="00E85E82" w:rsidTr="000F56AC">
        <w:trPr>
          <w:cantSplit/>
        </w:trPr>
        <w:tc>
          <w:tcPr>
            <w:tcW w:w="4410" w:type="dxa"/>
            <w:gridSpan w:val="2"/>
          </w:tcPr>
          <w:p w:rsidR="00C4652F" w:rsidRPr="00E85E82" w:rsidRDefault="00C4652F" w:rsidP="00C4652F">
            <w:pPr>
              <w:rPr>
                <w:sz w:val="20"/>
                <w:szCs w:val="20"/>
              </w:rPr>
            </w:pPr>
            <w:r w:rsidRPr="00E85E82">
              <w:rPr>
                <w:sz w:val="20"/>
                <w:szCs w:val="20"/>
              </w:rPr>
              <w:t>March 15, 2016</w:t>
            </w:r>
          </w:p>
          <w:p w:rsidR="00C4652F" w:rsidRPr="00E85E82" w:rsidRDefault="00C4652F" w:rsidP="00C4652F">
            <w:pPr>
              <w:rPr>
                <w:sz w:val="20"/>
                <w:szCs w:val="20"/>
              </w:rPr>
            </w:pPr>
            <w:r w:rsidRPr="00E85E82">
              <w:rPr>
                <w:sz w:val="20"/>
                <w:szCs w:val="20"/>
              </w:rPr>
              <w:t>Supreme Court of Canada</w:t>
            </w:r>
          </w:p>
          <w:p w:rsidR="00C4652F" w:rsidRPr="00E85E82" w:rsidRDefault="00C4652F" w:rsidP="00C4652F">
            <w:pPr>
              <w:jc w:val="both"/>
              <w:rPr>
                <w:rFonts w:cs="Times New Roman"/>
                <w:sz w:val="20"/>
                <w:szCs w:val="20"/>
              </w:rPr>
            </w:pPr>
          </w:p>
        </w:tc>
        <w:tc>
          <w:tcPr>
            <w:tcW w:w="630" w:type="dxa"/>
          </w:tcPr>
          <w:p w:rsidR="00C4652F" w:rsidRPr="00E85E82" w:rsidRDefault="00C4652F" w:rsidP="00C4652F">
            <w:pPr>
              <w:pStyle w:val="SCCShortJudgment"/>
              <w:ind w:firstLine="0"/>
              <w:rPr>
                <w:rFonts w:cs="Times New Roman"/>
                <w:szCs w:val="20"/>
              </w:rPr>
            </w:pPr>
          </w:p>
        </w:tc>
        <w:tc>
          <w:tcPr>
            <w:tcW w:w="4536" w:type="dxa"/>
          </w:tcPr>
          <w:p w:rsidR="00C4652F" w:rsidRPr="00E85E82" w:rsidRDefault="00C4652F" w:rsidP="00C4652F">
            <w:pPr>
              <w:jc w:val="both"/>
              <w:rPr>
                <w:sz w:val="20"/>
                <w:szCs w:val="20"/>
              </w:rPr>
            </w:pPr>
            <w:r w:rsidRPr="00E85E82">
              <w:rPr>
                <w:sz w:val="20"/>
                <w:szCs w:val="20"/>
              </w:rPr>
              <w:t>Motion to extend time to serve and file application for leave to appeal and application for leave to appeal filed</w:t>
            </w:r>
          </w:p>
        </w:tc>
      </w:tr>
      <w:tr w:rsidR="00C4652F" w:rsidRPr="00E85E82" w:rsidTr="000F56AC">
        <w:trPr>
          <w:cantSplit/>
        </w:trPr>
        <w:tc>
          <w:tcPr>
            <w:tcW w:w="9576" w:type="dxa"/>
            <w:gridSpan w:val="4"/>
          </w:tcPr>
          <w:p w:rsidR="00C4652F" w:rsidRPr="00E85E82" w:rsidRDefault="00B407D6" w:rsidP="00C4652F">
            <w:pPr>
              <w:pStyle w:val="SCCShortJudgment"/>
              <w:ind w:firstLine="0"/>
              <w:rPr>
                <w:rFonts w:cs="Times New Roman"/>
                <w:szCs w:val="20"/>
                <w:lang w:val="fr-CA"/>
              </w:rPr>
            </w:pPr>
            <w:r>
              <w:rPr>
                <w:rFonts w:cs="Times New Roman"/>
                <w:szCs w:val="20"/>
                <w:lang w:val="fr-CA"/>
              </w:rPr>
              <w:pict>
                <v:rect id="_x0000_i1065" style="width:2in;height:1pt" o:hrpct="0" o:hralign="center" o:hrstd="t" o:hrnoshade="t" o:hr="t" fillcolor="black [3213]" stroked="f"/>
              </w:pict>
            </w:r>
          </w:p>
          <w:p w:rsidR="00C4652F" w:rsidRPr="00E85E82" w:rsidRDefault="00C4652F" w:rsidP="00C4652F">
            <w:pPr>
              <w:pStyle w:val="SCCShortJudgment"/>
              <w:ind w:firstLine="0"/>
              <w:rPr>
                <w:rFonts w:cs="Times New Roman"/>
                <w:szCs w:val="20"/>
                <w:lang w:val="fr-CA"/>
              </w:rPr>
            </w:pPr>
          </w:p>
        </w:tc>
      </w:tr>
      <w:tr w:rsidR="00C4652F" w:rsidRPr="00E85E82" w:rsidTr="000F56AC">
        <w:trPr>
          <w:cantSplit/>
        </w:trPr>
        <w:tc>
          <w:tcPr>
            <w:tcW w:w="9576" w:type="dxa"/>
            <w:gridSpan w:val="4"/>
          </w:tcPr>
          <w:p w:rsidR="00C4652F" w:rsidRPr="00E85E82" w:rsidRDefault="00C4652F" w:rsidP="00C4652F">
            <w:pPr>
              <w:pStyle w:val="SCCShortJudgment"/>
              <w:ind w:firstLine="0"/>
              <w:rPr>
                <w:rFonts w:cs="Times New Roman"/>
                <w:szCs w:val="20"/>
                <w:u w:val="single"/>
                <w:lang w:val="fr-CA"/>
              </w:rPr>
            </w:pPr>
            <w:r w:rsidRPr="00E85E82">
              <w:rPr>
                <w:rFonts w:cs="Times New Roman"/>
                <w:szCs w:val="20"/>
                <w:u w:val="single"/>
                <w:lang w:val="fr-CA"/>
              </w:rPr>
              <w:t>RÉSUMÉ DE L’AFFAIRE </w:t>
            </w:r>
          </w:p>
          <w:p w:rsidR="00C4652F" w:rsidRPr="00E85E82" w:rsidRDefault="00C4652F" w:rsidP="00C4652F">
            <w:pPr>
              <w:pStyle w:val="SCCShortJudgment"/>
              <w:ind w:firstLine="0"/>
              <w:rPr>
                <w:rFonts w:cs="Times New Roman"/>
                <w:szCs w:val="20"/>
                <w:u w:val="single"/>
                <w:lang w:val="fr-CA"/>
              </w:rPr>
            </w:pPr>
          </w:p>
        </w:tc>
      </w:tr>
      <w:tr w:rsidR="00C4652F" w:rsidRPr="00B407D6" w:rsidTr="000F56AC">
        <w:trPr>
          <w:cantSplit/>
        </w:trPr>
        <w:tc>
          <w:tcPr>
            <w:tcW w:w="9576" w:type="dxa"/>
            <w:gridSpan w:val="4"/>
          </w:tcPr>
          <w:p w:rsidR="00C4652F" w:rsidRPr="00E85E82" w:rsidRDefault="00C4652F" w:rsidP="00BA157F">
            <w:pPr>
              <w:jc w:val="both"/>
              <w:rPr>
                <w:sz w:val="20"/>
                <w:szCs w:val="20"/>
                <w:lang w:val="fr-CA"/>
              </w:rPr>
            </w:pPr>
            <w:r w:rsidRPr="00E85E82">
              <w:rPr>
                <w:sz w:val="20"/>
                <w:szCs w:val="20"/>
                <w:lang w:val="fr-CA"/>
              </w:rPr>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E85E82">
              <w:rPr>
                <w:i/>
                <w:sz w:val="20"/>
                <w:szCs w:val="20"/>
                <w:lang w:val="fr-CA"/>
              </w:rPr>
              <w:t>Loi réglementant certaines drogues et autres substances</w:t>
            </w:r>
            <w:r w:rsidRPr="00E85E82">
              <w:rPr>
                <w:sz w:val="20"/>
                <w:szCs w:val="20"/>
                <w:lang w:val="fr-CA"/>
              </w:rPr>
              <w:t>, L.C., 1996, ch. 19.</w:t>
            </w:r>
          </w:p>
          <w:p w:rsidR="00C4652F" w:rsidRPr="00E85E82" w:rsidRDefault="00C4652F" w:rsidP="00C4652F">
            <w:pPr>
              <w:rPr>
                <w:sz w:val="20"/>
                <w:szCs w:val="20"/>
                <w:lang w:val="fr-CA"/>
              </w:rPr>
            </w:pPr>
          </w:p>
        </w:tc>
      </w:tr>
      <w:tr w:rsidR="00C4652F" w:rsidRPr="00B407D6" w:rsidTr="000F56AC">
        <w:trPr>
          <w:cantSplit/>
        </w:trPr>
        <w:tc>
          <w:tcPr>
            <w:tcW w:w="9576" w:type="dxa"/>
            <w:gridSpan w:val="4"/>
          </w:tcPr>
          <w:p w:rsidR="00C4652F" w:rsidRPr="00E85E82" w:rsidRDefault="00C4652F" w:rsidP="00C4652F">
            <w:pPr>
              <w:jc w:val="both"/>
              <w:rPr>
                <w:sz w:val="20"/>
                <w:szCs w:val="20"/>
                <w:lang w:val="fr-CA"/>
              </w:rPr>
            </w:pPr>
            <w:r w:rsidRPr="00E85E82">
              <w:rPr>
                <w:sz w:val="20"/>
                <w:szCs w:val="20"/>
                <w:lang w:val="fr-CA"/>
              </w:rPr>
              <w:t xml:space="preserve">Depuis février 2014, environ 300 plaideurs non représentés, y compris le demandeur, ont déposé des demandes identiques sollicitant des jugements qui déclarent inconstitutionnels le </w:t>
            </w:r>
            <w:r w:rsidRPr="00E85E82">
              <w:rPr>
                <w:i/>
                <w:sz w:val="20"/>
                <w:szCs w:val="20"/>
                <w:lang w:val="fr-CA"/>
              </w:rPr>
              <w:t>Règlement sur l’accès à la marihuana à des fins médicales (« RAMFM »)</w:t>
            </w:r>
            <w:r w:rsidRPr="00E85E82">
              <w:rPr>
                <w:sz w:val="20"/>
                <w:szCs w:val="20"/>
                <w:lang w:val="fr-CA"/>
              </w:rPr>
              <w:t xml:space="preserve">, D.O.R.S./2001-227, abrogé le 31 mars 2014 et le </w:t>
            </w:r>
            <w:r w:rsidRPr="00E85E82">
              <w:rPr>
                <w:i/>
                <w:sz w:val="20"/>
                <w:szCs w:val="20"/>
                <w:lang w:val="fr-CA"/>
              </w:rPr>
              <w:t>Règlement sur la marihuana à des fins médicales</w:t>
            </w:r>
            <w:r w:rsidRPr="00E85E82">
              <w:rPr>
                <w:sz w:val="20"/>
                <w:szCs w:val="20"/>
                <w:lang w:val="fr-CA"/>
              </w:rPr>
              <w:t xml:space="preserve">, D.O.R.S./2013-119, qui a remplacé le </w:t>
            </w:r>
            <w:r w:rsidRPr="00E85E82">
              <w:rPr>
                <w:i/>
                <w:sz w:val="20"/>
                <w:szCs w:val="20"/>
                <w:lang w:val="fr-CA"/>
              </w:rPr>
              <w:t>RAMFM</w:t>
            </w:r>
            <w:r w:rsidRPr="00E85E82">
              <w:rPr>
                <w:sz w:val="20"/>
                <w:szCs w:val="20"/>
                <w:lang w:val="fr-CA"/>
              </w:rPr>
              <w:t xml:space="preserve">. Dans le cadre de leurs actions, vingt-six demandeurs en première instance, y compris le demandeur en l’espèce, ont présenté des requêtes en exemption constitutionnelle visant à écarter temporairement l’application de la </w:t>
            </w:r>
            <w:r w:rsidRPr="00E85E82">
              <w:rPr>
                <w:i/>
                <w:sz w:val="20"/>
                <w:szCs w:val="20"/>
                <w:lang w:val="fr-CA"/>
              </w:rPr>
              <w:t>Loi réglementant certaines drogues et autres substances («</w:t>
            </w:r>
            <w:r w:rsidRPr="00E85E82">
              <w:rPr>
                <w:sz w:val="20"/>
                <w:szCs w:val="20"/>
                <w:lang w:val="fr-CA"/>
              </w:rPr>
              <w:t> </w:t>
            </w:r>
            <w:r w:rsidRPr="00E85E82">
              <w:rPr>
                <w:i/>
                <w:sz w:val="20"/>
                <w:szCs w:val="20"/>
                <w:lang w:val="fr-CA"/>
              </w:rPr>
              <w:t>LRCDAS »)</w:t>
            </w:r>
            <w:r w:rsidRPr="00E85E82">
              <w:rPr>
                <w:sz w:val="20"/>
                <w:szCs w:val="20"/>
                <w:lang w:val="fr-CA"/>
              </w:rPr>
              <w:t xml:space="preserve"> pour l’utilisation personnelle de la marihuana en attendant que leurs actions soient instruites.</w:t>
            </w:r>
          </w:p>
          <w:p w:rsidR="00C4652F" w:rsidRPr="00E85E82" w:rsidRDefault="00C4652F" w:rsidP="00C4652F">
            <w:pPr>
              <w:jc w:val="both"/>
              <w:rPr>
                <w:sz w:val="20"/>
                <w:szCs w:val="20"/>
                <w:lang w:val="fr-CA"/>
              </w:rPr>
            </w:pPr>
          </w:p>
        </w:tc>
      </w:tr>
      <w:tr w:rsidR="00C4652F" w:rsidRPr="00B407D6" w:rsidTr="000F56AC">
        <w:trPr>
          <w:cantSplit/>
        </w:trPr>
        <w:tc>
          <w:tcPr>
            <w:tcW w:w="4410" w:type="dxa"/>
            <w:gridSpan w:val="2"/>
          </w:tcPr>
          <w:p w:rsidR="00C4652F" w:rsidRPr="00E85E82" w:rsidRDefault="00C4652F" w:rsidP="00C4652F">
            <w:pPr>
              <w:rPr>
                <w:sz w:val="20"/>
                <w:szCs w:val="20"/>
                <w:lang w:val="fr-CA"/>
              </w:rPr>
            </w:pPr>
            <w:r w:rsidRPr="00E85E82">
              <w:rPr>
                <w:sz w:val="20"/>
                <w:szCs w:val="20"/>
                <w:lang w:val="fr-CA"/>
              </w:rPr>
              <w:t>7 mai 2014</w:t>
            </w:r>
          </w:p>
          <w:p w:rsidR="00C4652F" w:rsidRPr="00E85E82" w:rsidRDefault="00C4652F" w:rsidP="00C4652F">
            <w:pPr>
              <w:rPr>
                <w:sz w:val="20"/>
                <w:szCs w:val="20"/>
                <w:lang w:val="fr-CA"/>
              </w:rPr>
            </w:pPr>
            <w:r w:rsidRPr="00E85E82">
              <w:rPr>
                <w:sz w:val="20"/>
                <w:szCs w:val="20"/>
                <w:lang w:val="fr-CA"/>
              </w:rPr>
              <w:t xml:space="preserve">Cour fédérale </w:t>
            </w:r>
          </w:p>
          <w:p w:rsidR="00C4652F" w:rsidRPr="00E85E82" w:rsidRDefault="00C4652F" w:rsidP="00C4652F">
            <w:pPr>
              <w:tabs>
                <w:tab w:val="center" w:pos="2249"/>
              </w:tabs>
              <w:rPr>
                <w:sz w:val="20"/>
                <w:szCs w:val="20"/>
                <w:lang w:val="fr-CA"/>
              </w:rPr>
            </w:pPr>
            <w:r w:rsidRPr="00E85E82">
              <w:rPr>
                <w:sz w:val="20"/>
                <w:szCs w:val="20"/>
                <w:lang w:val="fr-CA"/>
              </w:rPr>
              <w:t>(Juge Phelan)</w:t>
            </w:r>
          </w:p>
          <w:p w:rsidR="00C4652F" w:rsidRPr="00E85E82" w:rsidRDefault="00C4652F" w:rsidP="00C4652F">
            <w:pPr>
              <w:tabs>
                <w:tab w:val="center" w:pos="2249"/>
              </w:tabs>
              <w:rPr>
                <w:sz w:val="20"/>
                <w:szCs w:val="20"/>
                <w:lang w:val="fr-CA"/>
              </w:rPr>
            </w:pPr>
          </w:p>
        </w:tc>
        <w:tc>
          <w:tcPr>
            <w:tcW w:w="630" w:type="dxa"/>
          </w:tcPr>
          <w:p w:rsidR="00C4652F" w:rsidRPr="00E85E82" w:rsidRDefault="00C4652F" w:rsidP="00C4652F">
            <w:pPr>
              <w:pStyle w:val="SCCShortJudgment"/>
              <w:ind w:firstLine="0"/>
              <w:rPr>
                <w:rFonts w:cs="Times New Roman"/>
                <w:szCs w:val="20"/>
                <w:u w:val="single"/>
                <w:lang w:val="fr-CA"/>
              </w:rPr>
            </w:pPr>
          </w:p>
        </w:tc>
        <w:tc>
          <w:tcPr>
            <w:tcW w:w="4536" w:type="dxa"/>
          </w:tcPr>
          <w:p w:rsidR="00C4652F" w:rsidRPr="00E85E82" w:rsidRDefault="00C4652F" w:rsidP="00C4652F">
            <w:pPr>
              <w:jc w:val="both"/>
              <w:rPr>
                <w:sz w:val="20"/>
                <w:szCs w:val="20"/>
                <w:lang w:val="fr-CA"/>
              </w:rPr>
            </w:pPr>
            <w:r w:rsidRPr="00E85E82">
              <w:rPr>
                <w:sz w:val="20"/>
                <w:szCs w:val="20"/>
                <w:lang w:val="fr-CA"/>
              </w:rPr>
              <w:t xml:space="preserve">Rejet de la requête en exemption constitutionnelle visant à écarter temporairement l’application de la </w:t>
            </w:r>
            <w:r w:rsidRPr="00E85E82">
              <w:rPr>
                <w:i/>
                <w:sz w:val="20"/>
                <w:szCs w:val="20"/>
                <w:lang w:val="fr-CA"/>
              </w:rPr>
              <w:t>Loi réglementant certaines drogues et autres substances</w:t>
            </w:r>
          </w:p>
          <w:p w:rsidR="00C4652F" w:rsidRPr="00E85E82" w:rsidRDefault="00C4652F" w:rsidP="00C4652F">
            <w:pPr>
              <w:pStyle w:val="SCCShortJudgment"/>
              <w:ind w:firstLine="0"/>
              <w:rPr>
                <w:rFonts w:cs="Times New Roman"/>
                <w:szCs w:val="20"/>
                <w:u w:val="single"/>
                <w:lang w:val="fr-CA"/>
              </w:rPr>
            </w:pPr>
          </w:p>
        </w:tc>
      </w:tr>
      <w:tr w:rsidR="00C4652F" w:rsidRPr="00E85E82" w:rsidTr="000F56AC">
        <w:trPr>
          <w:cantSplit/>
        </w:trPr>
        <w:tc>
          <w:tcPr>
            <w:tcW w:w="4410" w:type="dxa"/>
            <w:gridSpan w:val="2"/>
          </w:tcPr>
          <w:p w:rsidR="00C4652F" w:rsidRPr="00E85E82" w:rsidRDefault="00C4652F" w:rsidP="00C4652F">
            <w:pPr>
              <w:rPr>
                <w:sz w:val="20"/>
                <w:szCs w:val="20"/>
                <w:lang w:val="fr-CA"/>
              </w:rPr>
            </w:pPr>
            <w:r w:rsidRPr="00E85E82">
              <w:rPr>
                <w:sz w:val="20"/>
                <w:szCs w:val="20"/>
                <w:lang w:val="fr-CA"/>
              </w:rPr>
              <w:t>13 janvier 2016</w:t>
            </w:r>
          </w:p>
          <w:p w:rsidR="00C4652F" w:rsidRPr="00E85E82" w:rsidRDefault="00C4652F" w:rsidP="00C4652F">
            <w:pPr>
              <w:rPr>
                <w:sz w:val="20"/>
                <w:szCs w:val="20"/>
                <w:lang w:val="fr-CA"/>
              </w:rPr>
            </w:pPr>
            <w:r w:rsidRPr="00E85E82">
              <w:rPr>
                <w:sz w:val="20"/>
                <w:szCs w:val="20"/>
                <w:lang w:val="fr-CA"/>
              </w:rPr>
              <w:t xml:space="preserve">Cour d’appel fédérale </w:t>
            </w:r>
          </w:p>
          <w:p w:rsidR="00C4652F" w:rsidRPr="00E85E82" w:rsidRDefault="00C4652F" w:rsidP="00C4652F">
            <w:pPr>
              <w:rPr>
                <w:rFonts w:eastAsia="Times New Roman" w:cs="Times New Roman"/>
                <w:sz w:val="20"/>
                <w:szCs w:val="20"/>
                <w:lang w:val="fr-CA" w:eastAsia="en-CA"/>
              </w:rPr>
            </w:pPr>
            <w:r w:rsidRPr="00E85E82">
              <w:rPr>
                <w:rFonts w:eastAsia="Times New Roman" w:cs="Times New Roman"/>
                <w:sz w:val="20"/>
                <w:szCs w:val="20"/>
                <w:lang w:val="fr-CA" w:eastAsia="en-CA"/>
              </w:rPr>
              <w:t xml:space="preserve">(Juges Pelletier, </w:t>
            </w:r>
            <w:proofErr w:type="spellStart"/>
            <w:r w:rsidRPr="00E85E82">
              <w:rPr>
                <w:rFonts w:eastAsia="Times New Roman" w:cs="Times New Roman"/>
                <w:sz w:val="20"/>
                <w:szCs w:val="20"/>
                <w:lang w:val="fr-CA" w:eastAsia="en-CA"/>
              </w:rPr>
              <w:t>Stratas</w:t>
            </w:r>
            <w:proofErr w:type="spellEnd"/>
            <w:r w:rsidRPr="00E85E82">
              <w:rPr>
                <w:rFonts w:eastAsia="Times New Roman" w:cs="Times New Roman"/>
                <w:sz w:val="20"/>
                <w:szCs w:val="20"/>
                <w:lang w:val="fr-CA" w:eastAsia="en-CA"/>
              </w:rPr>
              <w:t xml:space="preserve"> et </w:t>
            </w:r>
            <w:proofErr w:type="spellStart"/>
            <w:r w:rsidRPr="00E85E82">
              <w:rPr>
                <w:rFonts w:eastAsia="Times New Roman" w:cs="Times New Roman"/>
                <w:sz w:val="20"/>
                <w:szCs w:val="20"/>
                <w:lang w:val="fr-CA" w:eastAsia="en-CA"/>
              </w:rPr>
              <w:t>Gleason</w:t>
            </w:r>
            <w:proofErr w:type="spellEnd"/>
            <w:r w:rsidRPr="00E85E82">
              <w:rPr>
                <w:rFonts w:eastAsia="Times New Roman" w:cs="Times New Roman"/>
                <w:sz w:val="20"/>
                <w:szCs w:val="20"/>
                <w:lang w:val="fr-CA" w:eastAsia="en-CA"/>
              </w:rPr>
              <w:t>)</w:t>
            </w:r>
          </w:p>
          <w:p w:rsidR="00C4652F" w:rsidRPr="00E85E82" w:rsidRDefault="00B407D6" w:rsidP="00C4652F">
            <w:pPr>
              <w:rPr>
                <w:rFonts w:eastAsia="Times New Roman" w:cs="Times New Roman"/>
                <w:sz w:val="20"/>
                <w:szCs w:val="20"/>
                <w:lang w:val="fr-CA" w:eastAsia="en-CA"/>
              </w:rPr>
            </w:pPr>
            <w:hyperlink r:id="rId53" w:history="1">
              <w:r w:rsidR="00C4652F" w:rsidRPr="00E85E82">
                <w:rPr>
                  <w:rFonts w:eastAsia="Times New Roman" w:cs="Times New Roman"/>
                  <w:color w:val="0000FF" w:themeColor="hyperlink"/>
                  <w:sz w:val="20"/>
                  <w:szCs w:val="20"/>
                  <w:u w:val="single"/>
                  <w:lang w:val="fr-CA" w:eastAsia="en-CA"/>
                </w:rPr>
                <w:t>2016 FCA 9</w:t>
              </w:r>
            </w:hyperlink>
          </w:p>
          <w:p w:rsidR="00C4652F" w:rsidRPr="00E85E82" w:rsidRDefault="00C4652F" w:rsidP="00C4652F">
            <w:pPr>
              <w:pStyle w:val="SCCShortJudgment"/>
              <w:ind w:firstLine="0"/>
              <w:rPr>
                <w:rFonts w:cs="Times New Roman"/>
                <w:szCs w:val="20"/>
                <w:u w:val="single"/>
                <w:lang w:val="fr-CA"/>
              </w:rPr>
            </w:pPr>
          </w:p>
        </w:tc>
        <w:tc>
          <w:tcPr>
            <w:tcW w:w="630" w:type="dxa"/>
          </w:tcPr>
          <w:p w:rsidR="00C4652F" w:rsidRPr="00E85E82" w:rsidRDefault="00C4652F" w:rsidP="00C4652F">
            <w:pPr>
              <w:pStyle w:val="SCCShortJudgment"/>
              <w:ind w:firstLine="0"/>
              <w:rPr>
                <w:rFonts w:cs="Times New Roman"/>
                <w:szCs w:val="20"/>
                <w:u w:val="single"/>
                <w:lang w:val="fr-CA"/>
              </w:rPr>
            </w:pPr>
          </w:p>
        </w:tc>
        <w:tc>
          <w:tcPr>
            <w:tcW w:w="4536" w:type="dxa"/>
          </w:tcPr>
          <w:p w:rsidR="00C4652F" w:rsidRPr="00E85E82" w:rsidRDefault="00C4652F" w:rsidP="00C4652F">
            <w:pPr>
              <w:rPr>
                <w:sz w:val="20"/>
                <w:szCs w:val="20"/>
                <w:lang w:val="fr-CA"/>
              </w:rPr>
            </w:pPr>
            <w:r w:rsidRPr="00E85E82">
              <w:rPr>
                <w:sz w:val="20"/>
                <w:szCs w:val="20"/>
                <w:lang w:val="fr-CA"/>
              </w:rPr>
              <w:t>Rejet de l’appel</w:t>
            </w:r>
          </w:p>
          <w:p w:rsidR="00C4652F" w:rsidRPr="00E85E82" w:rsidRDefault="00C4652F" w:rsidP="00C4652F">
            <w:pPr>
              <w:pStyle w:val="SCCShortJudgment"/>
              <w:ind w:firstLine="0"/>
              <w:rPr>
                <w:rFonts w:cs="Times New Roman"/>
                <w:szCs w:val="20"/>
                <w:u w:val="single"/>
                <w:lang w:val="fr-CA"/>
              </w:rPr>
            </w:pPr>
          </w:p>
        </w:tc>
      </w:tr>
      <w:tr w:rsidR="00C4652F" w:rsidRPr="00B407D6" w:rsidTr="000F56AC">
        <w:trPr>
          <w:cantSplit/>
        </w:trPr>
        <w:tc>
          <w:tcPr>
            <w:tcW w:w="4410" w:type="dxa"/>
            <w:gridSpan w:val="2"/>
          </w:tcPr>
          <w:p w:rsidR="00C4652F" w:rsidRPr="00E85E82" w:rsidRDefault="00C4652F" w:rsidP="00C4652F">
            <w:pPr>
              <w:rPr>
                <w:sz w:val="20"/>
                <w:szCs w:val="20"/>
                <w:lang w:val="fr-CA"/>
              </w:rPr>
            </w:pPr>
            <w:r w:rsidRPr="00E85E82">
              <w:rPr>
                <w:sz w:val="20"/>
                <w:szCs w:val="20"/>
                <w:lang w:val="fr-CA"/>
              </w:rPr>
              <w:t>15 mars 2016</w:t>
            </w:r>
          </w:p>
          <w:p w:rsidR="00C4652F" w:rsidRPr="00E85E82" w:rsidRDefault="00C4652F" w:rsidP="00C4652F">
            <w:pPr>
              <w:rPr>
                <w:sz w:val="20"/>
                <w:szCs w:val="20"/>
                <w:lang w:val="fr-CA"/>
              </w:rPr>
            </w:pPr>
            <w:r w:rsidRPr="00E85E82">
              <w:rPr>
                <w:sz w:val="20"/>
                <w:szCs w:val="20"/>
                <w:lang w:val="fr-CA"/>
              </w:rPr>
              <w:t>Cour suprême du Canada</w:t>
            </w:r>
          </w:p>
          <w:p w:rsidR="00C4652F" w:rsidRPr="00E85E82" w:rsidRDefault="00C4652F" w:rsidP="00C4652F">
            <w:pPr>
              <w:pStyle w:val="SCCShortJudgment"/>
              <w:ind w:firstLine="0"/>
              <w:rPr>
                <w:rFonts w:cs="Times New Roman"/>
                <w:szCs w:val="20"/>
                <w:u w:val="single"/>
                <w:lang w:val="fr-CA"/>
              </w:rPr>
            </w:pPr>
          </w:p>
        </w:tc>
        <w:tc>
          <w:tcPr>
            <w:tcW w:w="630" w:type="dxa"/>
          </w:tcPr>
          <w:p w:rsidR="00C4652F" w:rsidRPr="00E85E82" w:rsidRDefault="00C4652F" w:rsidP="00C4652F">
            <w:pPr>
              <w:pStyle w:val="SCCShortJudgment"/>
              <w:ind w:firstLine="0"/>
              <w:rPr>
                <w:rFonts w:cs="Times New Roman"/>
                <w:szCs w:val="20"/>
                <w:u w:val="single"/>
                <w:lang w:val="fr-CA"/>
              </w:rPr>
            </w:pPr>
          </w:p>
        </w:tc>
        <w:tc>
          <w:tcPr>
            <w:tcW w:w="4536" w:type="dxa"/>
          </w:tcPr>
          <w:p w:rsidR="00C4652F" w:rsidRPr="00E85E82" w:rsidRDefault="00C4652F" w:rsidP="00C4652F">
            <w:pPr>
              <w:jc w:val="both"/>
              <w:rPr>
                <w:sz w:val="20"/>
                <w:szCs w:val="20"/>
                <w:lang w:val="fr-CA"/>
              </w:rPr>
            </w:pPr>
            <w:r w:rsidRPr="00E85E82">
              <w:rPr>
                <w:sz w:val="20"/>
                <w:szCs w:val="20"/>
                <w:lang w:val="fr-CA"/>
              </w:rPr>
              <w:t xml:space="preserve">Dépôt de la requête en prorogation du délai de signification et de dépôt de la demande d’autorisation d’appel et de la demande d’autorisation d’appel </w:t>
            </w:r>
          </w:p>
          <w:p w:rsidR="004E22A8" w:rsidRPr="00E85E82" w:rsidRDefault="004E22A8" w:rsidP="00C4652F">
            <w:pPr>
              <w:jc w:val="both"/>
              <w:rPr>
                <w:sz w:val="20"/>
                <w:szCs w:val="20"/>
                <w:lang w:val="fr-CA"/>
              </w:rPr>
            </w:pPr>
          </w:p>
        </w:tc>
      </w:tr>
    </w:tbl>
    <w:p w:rsidR="00232760" w:rsidRPr="00E85E82" w:rsidRDefault="00B407D6" w:rsidP="00232760">
      <w:pPr>
        <w:rPr>
          <w:rFonts w:cs="Times New Roman"/>
          <w:sz w:val="20"/>
          <w:szCs w:val="20"/>
          <w:lang w:val="fr-CA"/>
        </w:rPr>
      </w:pPr>
      <w:r>
        <w:rPr>
          <w:rFonts w:cs="Times New Roman"/>
          <w:sz w:val="20"/>
          <w:szCs w:val="20"/>
          <w:lang w:val="fr-CA"/>
        </w:rPr>
        <w:pict>
          <v:rect id="_x0000_i1066" style="width:2in;height:1pt" o:hrpct="0" o:hralign="center" o:hrstd="t" o:hrnoshade="t" o:hr="t" fillcolor="black [3213]" stroked="f"/>
        </w:pict>
      </w:r>
    </w:p>
    <w:p w:rsidR="00232760" w:rsidRPr="00E85E82" w:rsidRDefault="00232760" w:rsidP="0023276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Style w:val="SCCFileNumberChar"/>
                <w:sz w:val="20"/>
                <w:szCs w:val="20"/>
              </w:rPr>
              <w:t>36938</w:t>
            </w:r>
          </w:p>
          <w:p w:rsidR="00232760" w:rsidRPr="00E85E82" w:rsidRDefault="00232760" w:rsidP="000F56AC">
            <w:pPr>
              <w:jc w:val="both"/>
              <w:rPr>
                <w:rFonts w:cs="Times New Roman"/>
                <w:b/>
                <w:sz w:val="20"/>
                <w:szCs w:val="20"/>
              </w:rPr>
            </w:pPr>
          </w:p>
        </w:tc>
        <w:tc>
          <w:tcPr>
            <w:tcW w:w="8118" w:type="dxa"/>
            <w:gridSpan w:val="3"/>
          </w:tcPr>
          <w:p w:rsidR="00232760" w:rsidRPr="00E85E82" w:rsidRDefault="001510B6" w:rsidP="000F56AC">
            <w:pPr>
              <w:jc w:val="both"/>
              <w:rPr>
                <w:rFonts w:cs="Times New Roman"/>
                <w:sz w:val="20"/>
                <w:szCs w:val="20"/>
              </w:rPr>
            </w:pPr>
            <w:r w:rsidRPr="00E85E82">
              <w:rPr>
                <w:rStyle w:val="SCCLsocChar"/>
                <w:rFonts w:cs="Times New Roman"/>
                <w:sz w:val="20"/>
                <w:szCs w:val="20"/>
                <w:lang w:val="en-CA"/>
              </w:rPr>
              <w:t>Terrance Parker</w:t>
            </w:r>
            <w:r w:rsidR="00232760" w:rsidRPr="00E85E82">
              <w:rPr>
                <w:rStyle w:val="SCCLsocChar"/>
                <w:rFonts w:cs="Times New Roman"/>
                <w:sz w:val="20"/>
                <w:szCs w:val="20"/>
                <w:lang w:val="en-CA"/>
              </w:rPr>
              <w:t xml:space="preserve"> v. </w:t>
            </w:r>
            <w:r w:rsidRPr="00E85E82">
              <w:rPr>
                <w:rStyle w:val="SCCLsocChar"/>
                <w:rFonts w:cs="Times New Roman"/>
                <w:sz w:val="20"/>
                <w:szCs w:val="20"/>
                <w:lang w:val="en-CA"/>
              </w:rPr>
              <w:t>Her Majesty the Queen</w:t>
            </w:r>
            <w:r w:rsidR="00232760" w:rsidRPr="00E85E82">
              <w:rPr>
                <w:rStyle w:val="SCCLsocChar"/>
                <w:rFonts w:cs="Times New Roman"/>
                <w:sz w:val="20"/>
                <w:szCs w:val="20"/>
                <w:u w:val="none"/>
                <w:lang w:val="en-CA"/>
              </w:rPr>
              <w:t xml:space="preserve"> </w:t>
            </w:r>
            <w:r w:rsidR="00232760" w:rsidRPr="00E85E82">
              <w:rPr>
                <w:rFonts w:cs="Times New Roman"/>
                <w:sz w:val="20"/>
                <w:szCs w:val="20"/>
              </w:rPr>
              <w:t>(</w:t>
            </w:r>
            <w:r w:rsidRPr="00E85E82">
              <w:rPr>
                <w:rFonts w:cs="Times New Roman"/>
                <w:sz w:val="20"/>
                <w:szCs w:val="20"/>
              </w:rPr>
              <w:t>F.C.</w:t>
            </w:r>
            <w:r w:rsidR="00232760" w:rsidRPr="00E85E82">
              <w:rPr>
                <w:rFonts w:cs="Times New Roman"/>
                <w:sz w:val="20"/>
                <w:szCs w:val="20"/>
              </w:rPr>
              <w:t>) (Civil) (By Leave)</w:t>
            </w:r>
          </w:p>
          <w:p w:rsidR="00232760" w:rsidRPr="00E85E82" w:rsidRDefault="00232760" w:rsidP="000F56AC">
            <w:pPr>
              <w:jc w:val="both"/>
              <w:rPr>
                <w:rFonts w:cs="Times New Roman"/>
                <w:sz w:val="20"/>
                <w:szCs w:val="20"/>
              </w:rPr>
            </w:pPr>
          </w:p>
        </w:tc>
      </w:tr>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Fonts w:cs="Times New Roman"/>
                <w:sz w:val="20"/>
                <w:szCs w:val="20"/>
              </w:rPr>
              <w:t>Coram :</w:t>
            </w:r>
          </w:p>
        </w:tc>
        <w:tc>
          <w:tcPr>
            <w:tcW w:w="8118" w:type="dxa"/>
            <w:gridSpan w:val="3"/>
          </w:tcPr>
          <w:p w:rsidR="00232760" w:rsidRPr="00E85E82" w:rsidRDefault="00232760" w:rsidP="000F56AC">
            <w:pPr>
              <w:jc w:val="both"/>
              <w:rPr>
                <w:rStyle w:val="SCCCoramChar"/>
                <w:sz w:val="20"/>
                <w:szCs w:val="20"/>
                <w:lang w:val="en-CA"/>
              </w:rPr>
            </w:pPr>
            <w:r w:rsidRPr="00E85E82">
              <w:rPr>
                <w:rStyle w:val="SCCCoramChar"/>
                <w:sz w:val="20"/>
                <w:szCs w:val="20"/>
                <w:lang w:val="en-CA"/>
              </w:rPr>
              <w:t>McLachlin C.J. and Moldaver and Gascon JJ.</w:t>
            </w:r>
          </w:p>
          <w:p w:rsidR="00232760" w:rsidRPr="00E85E82" w:rsidRDefault="00232760" w:rsidP="000F56AC">
            <w:pPr>
              <w:jc w:val="both"/>
              <w:rPr>
                <w:rFonts w:cs="Times New Roman"/>
                <w:sz w:val="20"/>
                <w:szCs w:val="20"/>
                <w:u w:val="single"/>
              </w:rPr>
            </w:pPr>
          </w:p>
        </w:tc>
      </w:tr>
      <w:tr w:rsidR="00232760" w:rsidRPr="00B407D6" w:rsidTr="000F56AC">
        <w:trPr>
          <w:cantSplit/>
        </w:trPr>
        <w:tc>
          <w:tcPr>
            <w:tcW w:w="9576" w:type="dxa"/>
            <w:gridSpan w:val="4"/>
          </w:tcPr>
          <w:p w:rsidR="00312B5E" w:rsidRPr="00E85E82" w:rsidRDefault="00312B5E" w:rsidP="00312B5E">
            <w:pPr>
              <w:pStyle w:val="SCCShortJudgment"/>
            </w:pPr>
            <w:r w:rsidRPr="00E85E82">
              <w:t>The motion for an extension of time to serve and file the application for leave to appeal is granted.  The application for leave to appeal from the judgment of the Federal Court of Appeal, Numbers A-287-14 and A-342-14, 2016 FCA 9, dated January 13, 2016, is dismissed with costs.</w:t>
            </w:r>
          </w:p>
          <w:p w:rsidR="00312B5E" w:rsidRPr="00E85E82" w:rsidRDefault="00312B5E" w:rsidP="00312B5E">
            <w:pPr>
              <w:pStyle w:val="SCCShortJudgment"/>
              <w:ind w:firstLine="0"/>
            </w:pPr>
          </w:p>
          <w:p w:rsidR="00312B5E" w:rsidRPr="00C556BB" w:rsidRDefault="00312B5E" w:rsidP="00312B5E">
            <w:pPr>
              <w:pStyle w:val="SCCShortJudgment"/>
              <w:rPr>
                <w:lang w:val="fr-CA"/>
              </w:rPr>
            </w:pPr>
            <w:r w:rsidRPr="00C556BB">
              <w:rPr>
                <w:lang w:val="fr-CA"/>
              </w:rPr>
              <w:t>La requête en prorogation du délai de signification et de dépôt de la demande d’autorisation d’appel est accueillie. La demande d’autorisation d’appel de l’arrêt de la Cour d’appel fédérale, numéros A-287-14 et A-342-14, 2016 FCA 9, daté du 13 janvier 2016, est rejetée avec dépens.</w:t>
            </w:r>
          </w:p>
          <w:p w:rsidR="00232760" w:rsidRPr="00E85E82" w:rsidRDefault="00232760" w:rsidP="000F56AC">
            <w:pPr>
              <w:pStyle w:val="SCCShortJudgment"/>
              <w:ind w:firstLine="0"/>
              <w:rPr>
                <w:rFonts w:cs="Times New Roman"/>
                <w:szCs w:val="20"/>
                <w:lang w:val="fr-CA"/>
              </w:rPr>
            </w:pPr>
          </w:p>
        </w:tc>
      </w:tr>
      <w:tr w:rsidR="00232760" w:rsidRPr="00E85E82" w:rsidTr="000F56AC">
        <w:trPr>
          <w:cantSplit/>
        </w:trPr>
        <w:tc>
          <w:tcPr>
            <w:tcW w:w="9576" w:type="dxa"/>
            <w:gridSpan w:val="4"/>
          </w:tcPr>
          <w:p w:rsidR="00232760" w:rsidRPr="00E85E82" w:rsidRDefault="00232760" w:rsidP="000F56AC">
            <w:pPr>
              <w:pStyle w:val="SCCShortJudgment"/>
              <w:ind w:firstLine="0"/>
              <w:rPr>
                <w:rFonts w:cs="Times New Roman"/>
                <w:szCs w:val="20"/>
                <w:u w:val="single"/>
                <w:lang w:val="fr-CA"/>
              </w:rPr>
            </w:pPr>
            <w:r w:rsidRPr="00E85E82">
              <w:rPr>
                <w:rFonts w:cs="Times New Roman"/>
                <w:szCs w:val="20"/>
                <w:u w:val="single"/>
                <w:lang w:val="fr-CA"/>
              </w:rPr>
              <w:t>CASE SUMMARY</w:t>
            </w:r>
          </w:p>
          <w:p w:rsidR="00232760" w:rsidRPr="00E85E82" w:rsidRDefault="00232760" w:rsidP="000F56AC">
            <w:pPr>
              <w:pStyle w:val="SCCShortJudgment"/>
              <w:ind w:firstLine="0"/>
              <w:rPr>
                <w:rFonts w:cs="Times New Roman"/>
                <w:szCs w:val="20"/>
                <w:u w:val="single"/>
                <w:lang w:val="fr-CA"/>
              </w:rPr>
            </w:pPr>
          </w:p>
        </w:tc>
      </w:tr>
      <w:tr w:rsidR="00232760" w:rsidRPr="00E85E82" w:rsidTr="000F56AC">
        <w:trPr>
          <w:cantSplit/>
        </w:trPr>
        <w:tc>
          <w:tcPr>
            <w:tcW w:w="9576" w:type="dxa"/>
            <w:gridSpan w:val="4"/>
          </w:tcPr>
          <w:p w:rsidR="00232760" w:rsidRPr="00E85E82" w:rsidRDefault="00C4652F" w:rsidP="000F56AC">
            <w:pPr>
              <w:pStyle w:val="SCCShortJudgment"/>
              <w:ind w:firstLine="0"/>
              <w:rPr>
                <w:szCs w:val="20"/>
              </w:rPr>
            </w:pPr>
            <w:r w:rsidRPr="00E85E82">
              <w:rPr>
                <w:szCs w:val="20"/>
              </w:rPr>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E85E82">
              <w:rPr>
                <w:i/>
                <w:szCs w:val="20"/>
              </w:rPr>
              <w:t>Controlled Drugs and Substances Act</w:t>
            </w:r>
            <w:r w:rsidRPr="00E85E82">
              <w:rPr>
                <w:szCs w:val="20"/>
              </w:rPr>
              <w:t>, S.C. 1996, c. 19.</w:t>
            </w:r>
          </w:p>
          <w:p w:rsidR="00C4652F" w:rsidRPr="00E85E82" w:rsidRDefault="00C4652F" w:rsidP="000F56AC">
            <w:pPr>
              <w:pStyle w:val="SCCShortJudgment"/>
              <w:ind w:firstLine="0"/>
              <w:rPr>
                <w:rFonts w:cs="Times New Roman"/>
                <w:szCs w:val="20"/>
              </w:rPr>
            </w:pPr>
          </w:p>
        </w:tc>
      </w:tr>
      <w:tr w:rsidR="00232760" w:rsidRPr="00E85E82" w:rsidTr="000F56AC">
        <w:trPr>
          <w:cantSplit/>
        </w:trPr>
        <w:tc>
          <w:tcPr>
            <w:tcW w:w="9576" w:type="dxa"/>
            <w:gridSpan w:val="4"/>
          </w:tcPr>
          <w:p w:rsidR="00232760" w:rsidRPr="00E85E82" w:rsidRDefault="00C4652F" w:rsidP="000F56AC">
            <w:pPr>
              <w:pStyle w:val="SCCShortJudgment"/>
              <w:ind w:firstLine="0"/>
              <w:rPr>
                <w:szCs w:val="20"/>
              </w:rPr>
            </w:pPr>
            <w:r w:rsidRPr="00E85E82">
              <w:rPr>
                <w:szCs w:val="20"/>
              </w:rPr>
              <w:t xml:space="preserve">Since February 2014, approximately 300 self-represented plaintiffs, including the applicant, have filed identical claims seeking declarations that the </w:t>
            </w:r>
            <w:r w:rsidRPr="00E85E82">
              <w:rPr>
                <w:i/>
                <w:szCs w:val="20"/>
              </w:rPr>
              <w:t>Marijuana Medical Access Regulations (“MMAR”)</w:t>
            </w:r>
            <w:r w:rsidRPr="00E85E82">
              <w:rPr>
                <w:szCs w:val="20"/>
              </w:rPr>
              <w:t>, S.O.R./2001-227, which were repealed on March 31, 2014 and the</w:t>
            </w:r>
            <w:r w:rsidRPr="00E85E82">
              <w:rPr>
                <w:i/>
                <w:szCs w:val="20"/>
              </w:rPr>
              <w:t xml:space="preserve"> Marijuana for Medical Purposes Regulations</w:t>
            </w:r>
            <w:r w:rsidRPr="00E85E82">
              <w:rPr>
                <w:szCs w:val="20"/>
              </w:rPr>
              <w:t xml:space="preserve">, S.O.R./2013-119, which succeeded the </w:t>
            </w:r>
            <w:r w:rsidRPr="00E85E82">
              <w:rPr>
                <w:i/>
                <w:szCs w:val="20"/>
              </w:rPr>
              <w:t xml:space="preserve">MMRA </w:t>
            </w:r>
            <w:r w:rsidRPr="00E85E82">
              <w:rPr>
                <w:szCs w:val="20"/>
              </w:rPr>
              <w:t xml:space="preserve">are unconstitutional. In the course of their actions, twenty-six plaintiffs, including the applicant, brought motions for interim constitutional exemptions from the </w:t>
            </w:r>
            <w:r w:rsidRPr="00E85E82">
              <w:rPr>
                <w:i/>
                <w:szCs w:val="20"/>
              </w:rPr>
              <w:t>Controlled Drugs and Substances Act</w:t>
            </w:r>
            <w:r w:rsidRPr="00E85E82">
              <w:rPr>
                <w:szCs w:val="20"/>
              </w:rPr>
              <w:t xml:space="preserve"> </w:t>
            </w:r>
            <w:r w:rsidRPr="00E85E82">
              <w:rPr>
                <w:i/>
                <w:szCs w:val="20"/>
              </w:rPr>
              <w:t>(“CDSA”)</w:t>
            </w:r>
            <w:r w:rsidRPr="00E85E82">
              <w:rPr>
                <w:szCs w:val="20"/>
              </w:rPr>
              <w:t xml:space="preserve"> for the personal use of marijuana pending trial of their actions.</w:t>
            </w:r>
          </w:p>
          <w:p w:rsidR="00C4652F" w:rsidRPr="00E85E82" w:rsidRDefault="00C4652F" w:rsidP="000F56AC">
            <w:pPr>
              <w:pStyle w:val="SCCShortJudgment"/>
              <w:ind w:firstLine="0"/>
              <w:rPr>
                <w:rFonts w:cs="Times New Roman"/>
                <w:szCs w:val="20"/>
              </w:rPr>
            </w:pPr>
          </w:p>
        </w:tc>
      </w:tr>
      <w:tr w:rsidR="00232760" w:rsidRPr="00E85E82" w:rsidTr="000F56AC">
        <w:trPr>
          <w:cantSplit/>
        </w:trPr>
        <w:tc>
          <w:tcPr>
            <w:tcW w:w="4410" w:type="dxa"/>
            <w:gridSpan w:val="2"/>
          </w:tcPr>
          <w:p w:rsidR="00C4652F" w:rsidRPr="00E85E82" w:rsidRDefault="00C4652F" w:rsidP="00C4652F">
            <w:pPr>
              <w:rPr>
                <w:sz w:val="20"/>
                <w:szCs w:val="20"/>
              </w:rPr>
            </w:pPr>
            <w:r w:rsidRPr="00E85E82">
              <w:rPr>
                <w:sz w:val="20"/>
                <w:szCs w:val="20"/>
              </w:rPr>
              <w:t>May 7, 2014</w:t>
            </w:r>
          </w:p>
          <w:p w:rsidR="00C4652F" w:rsidRPr="00E85E82" w:rsidRDefault="00C4652F" w:rsidP="00C4652F">
            <w:pPr>
              <w:rPr>
                <w:sz w:val="20"/>
                <w:szCs w:val="20"/>
              </w:rPr>
            </w:pPr>
            <w:r w:rsidRPr="00E85E82">
              <w:rPr>
                <w:sz w:val="20"/>
                <w:szCs w:val="20"/>
              </w:rPr>
              <w:t>Federal Court</w:t>
            </w:r>
          </w:p>
          <w:p w:rsidR="00C4652F" w:rsidRPr="00E85E82" w:rsidRDefault="00C4652F" w:rsidP="00C4652F">
            <w:pPr>
              <w:rPr>
                <w:sz w:val="20"/>
                <w:szCs w:val="20"/>
              </w:rPr>
            </w:pPr>
            <w:r w:rsidRPr="00E85E82">
              <w:rPr>
                <w:sz w:val="20"/>
                <w:szCs w:val="20"/>
              </w:rPr>
              <w:t>(Phelan J.)</w:t>
            </w:r>
          </w:p>
          <w:p w:rsidR="00232760" w:rsidRPr="00E85E82" w:rsidRDefault="00232760" w:rsidP="000F56AC">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C4652F" w:rsidRPr="00E85E82" w:rsidRDefault="00C4652F" w:rsidP="00C4652F">
            <w:pPr>
              <w:jc w:val="both"/>
              <w:rPr>
                <w:sz w:val="20"/>
                <w:szCs w:val="20"/>
              </w:rPr>
            </w:pPr>
            <w:r w:rsidRPr="00E85E82">
              <w:rPr>
                <w:sz w:val="20"/>
                <w:szCs w:val="20"/>
              </w:rPr>
              <w:t xml:space="preserve">Motion for interim constitutional exemptions from provisions of </w:t>
            </w:r>
            <w:r w:rsidRPr="00E85E82">
              <w:rPr>
                <w:i/>
                <w:sz w:val="20"/>
                <w:szCs w:val="20"/>
              </w:rPr>
              <w:t>Controlled Drugs and Substances Act</w:t>
            </w:r>
            <w:r w:rsidRPr="00E85E82">
              <w:rPr>
                <w:sz w:val="20"/>
                <w:szCs w:val="20"/>
              </w:rPr>
              <w:t xml:space="preserve"> dismissed</w:t>
            </w:r>
          </w:p>
          <w:p w:rsidR="00232760" w:rsidRPr="00E85E82" w:rsidRDefault="00232760" w:rsidP="000F56AC">
            <w:pPr>
              <w:jc w:val="both"/>
              <w:rPr>
                <w:rFonts w:cs="Times New Roman"/>
                <w:sz w:val="20"/>
                <w:szCs w:val="20"/>
              </w:rPr>
            </w:pPr>
          </w:p>
        </w:tc>
      </w:tr>
      <w:tr w:rsidR="00232760" w:rsidRPr="00E85E82" w:rsidTr="000F56AC">
        <w:trPr>
          <w:cantSplit/>
        </w:trPr>
        <w:tc>
          <w:tcPr>
            <w:tcW w:w="4410" w:type="dxa"/>
            <w:gridSpan w:val="2"/>
          </w:tcPr>
          <w:p w:rsidR="00C4652F" w:rsidRPr="00E85E82" w:rsidRDefault="00C4652F" w:rsidP="00C4652F">
            <w:pPr>
              <w:rPr>
                <w:sz w:val="20"/>
                <w:szCs w:val="20"/>
              </w:rPr>
            </w:pPr>
            <w:r w:rsidRPr="00E85E82">
              <w:rPr>
                <w:sz w:val="20"/>
                <w:szCs w:val="20"/>
              </w:rPr>
              <w:t>January 13, 2016</w:t>
            </w:r>
          </w:p>
          <w:p w:rsidR="00C4652F" w:rsidRPr="00E85E82" w:rsidRDefault="00C4652F" w:rsidP="00C4652F">
            <w:pPr>
              <w:rPr>
                <w:sz w:val="20"/>
                <w:szCs w:val="20"/>
              </w:rPr>
            </w:pPr>
            <w:r w:rsidRPr="00E85E82">
              <w:rPr>
                <w:sz w:val="20"/>
                <w:szCs w:val="20"/>
              </w:rPr>
              <w:t>Federal Court of Appeal</w:t>
            </w:r>
          </w:p>
          <w:p w:rsidR="00C4652F" w:rsidRPr="00E85E82" w:rsidRDefault="00C4652F" w:rsidP="00C4652F">
            <w:pPr>
              <w:rPr>
                <w:sz w:val="20"/>
                <w:szCs w:val="20"/>
              </w:rPr>
            </w:pPr>
            <w:r w:rsidRPr="00E85E82">
              <w:rPr>
                <w:sz w:val="20"/>
                <w:szCs w:val="20"/>
              </w:rPr>
              <w:t xml:space="preserve">(Pelletier, </w:t>
            </w:r>
            <w:proofErr w:type="spellStart"/>
            <w:r w:rsidRPr="00E85E82">
              <w:rPr>
                <w:sz w:val="20"/>
                <w:szCs w:val="20"/>
              </w:rPr>
              <w:t>Stratas</w:t>
            </w:r>
            <w:proofErr w:type="spellEnd"/>
            <w:r w:rsidRPr="00E85E82">
              <w:rPr>
                <w:sz w:val="20"/>
                <w:szCs w:val="20"/>
              </w:rPr>
              <w:t xml:space="preserve"> and Gleason JJ.A.)</w:t>
            </w:r>
          </w:p>
          <w:p w:rsidR="00C4652F" w:rsidRPr="00E85E82" w:rsidRDefault="00B407D6" w:rsidP="00C4652F">
            <w:pPr>
              <w:rPr>
                <w:rFonts w:eastAsia="Times New Roman" w:cs="Times New Roman"/>
                <w:sz w:val="20"/>
                <w:szCs w:val="20"/>
                <w:lang w:eastAsia="en-CA"/>
              </w:rPr>
            </w:pPr>
            <w:hyperlink r:id="rId54" w:history="1">
              <w:r w:rsidR="00C4652F" w:rsidRPr="00E85E82">
                <w:rPr>
                  <w:rFonts w:eastAsia="Times New Roman" w:cs="Times New Roman"/>
                  <w:color w:val="0000FF" w:themeColor="hyperlink"/>
                  <w:sz w:val="20"/>
                  <w:szCs w:val="20"/>
                  <w:u w:val="single"/>
                  <w:lang w:eastAsia="en-CA"/>
                </w:rPr>
                <w:t>2016 FCA 9</w:t>
              </w:r>
            </w:hyperlink>
          </w:p>
          <w:p w:rsidR="00232760" w:rsidRPr="00E85E82" w:rsidRDefault="00232760" w:rsidP="000F56AC">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C4652F" w:rsidRPr="00E85E82" w:rsidRDefault="00C4652F" w:rsidP="00C4652F">
            <w:pPr>
              <w:rPr>
                <w:sz w:val="20"/>
                <w:szCs w:val="20"/>
              </w:rPr>
            </w:pPr>
            <w:r w:rsidRPr="00E85E82">
              <w:rPr>
                <w:sz w:val="20"/>
                <w:szCs w:val="20"/>
              </w:rPr>
              <w:t>Appeal dismissed</w:t>
            </w:r>
          </w:p>
          <w:p w:rsidR="00232760" w:rsidRPr="00E85E82" w:rsidRDefault="00232760" w:rsidP="000F56AC">
            <w:pPr>
              <w:jc w:val="both"/>
              <w:rPr>
                <w:rFonts w:cs="Times New Roman"/>
                <w:sz w:val="20"/>
                <w:szCs w:val="20"/>
              </w:rPr>
            </w:pPr>
          </w:p>
        </w:tc>
      </w:tr>
      <w:tr w:rsidR="00232760" w:rsidRPr="00E85E82" w:rsidTr="000F56AC">
        <w:trPr>
          <w:cantSplit/>
        </w:trPr>
        <w:tc>
          <w:tcPr>
            <w:tcW w:w="4410" w:type="dxa"/>
            <w:gridSpan w:val="2"/>
          </w:tcPr>
          <w:p w:rsidR="00C4652F" w:rsidRPr="00E85E82" w:rsidRDefault="00C4652F" w:rsidP="00C4652F">
            <w:pPr>
              <w:rPr>
                <w:sz w:val="20"/>
                <w:szCs w:val="20"/>
              </w:rPr>
            </w:pPr>
            <w:r w:rsidRPr="00E85E82">
              <w:rPr>
                <w:sz w:val="20"/>
                <w:szCs w:val="20"/>
              </w:rPr>
              <w:t>March 15, 2016</w:t>
            </w:r>
          </w:p>
          <w:p w:rsidR="00C4652F" w:rsidRPr="00E85E82" w:rsidRDefault="00C4652F" w:rsidP="00C4652F">
            <w:pPr>
              <w:rPr>
                <w:sz w:val="20"/>
                <w:szCs w:val="20"/>
              </w:rPr>
            </w:pPr>
            <w:r w:rsidRPr="00E85E82">
              <w:rPr>
                <w:sz w:val="20"/>
                <w:szCs w:val="20"/>
              </w:rPr>
              <w:t>Supreme Court of Canada</w:t>
            </w:r>
          </w:p>
          <w:p w:rsidR="00232760" w:rsidRPr="00E85E82" w:rsidRDefault="00232760" w:rsidP="000F56AC">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C4652F" w:rsidRPr="00E85E82" w:rsidRDefault="00C4652F" w:rsidP="00C4652F">
            <w:pPr>
              <w:jc w:val="both"/>
              <w:rPr>
                <w:sz w:val="20"/>
                <w:szCs w:val="20"/>
              </w:rPr>
            </w:pPr>
            <w:r w:rsidRPr="00E85E82">
              <w:rPr>
                <w:sz w:val="20"/>
                <w:szCs w:val="20"/>
              </w:rPr>
              <w:t>Motion to extend time to serve and file application for leave to appeal and application for leave to appeal filed</w:t>
            </w:r>
          </w:p>
          <w:p w:rsidR="00232760" w:rsidRPr="00E85E82" w:rsidRDefault="00232760" w:rsidP="000F56AC">
            <w:pPr>
              <w:jc w:val="both"/>
              <w:rPr>
                <w:rFonts w:cs="Times New Roman"/>
                <w:sz w:val="20"/>
                <w:szCs w:val="20"/>
              </w:rPr>
            </w:pPr>
          </w:p>
        </w:tc>
      </w:tr>
      <w:tr w:rsidR="00232760" w:rsidRPr="00E85E82" w:rsidTr="000F56AC">
        <w:trPr>
          <w:cantSplit/>
        </w:trPr>
        <w:tc>
          <w:tcPr>
            <w:tcW w:w="9576" w:type="dxa"/>
            <w:gridSpan w:val="4"/>
          </w:tcPr>
          <w:p w:rsidR="00232760" w:rsidRPr="00E85E82" w:rsidRDefault="00B407D6" w:rsidP="000F56AC">
            <w:pPr>
              <w:pStyle w:val="SCCShortJudgment"/>
              <w:ind w:firstLine="0"/>
              <w:rPr>
                <w:rFonts w:cs="Times New Roman"/>
                <w:szCs w:val="20"/>
                <w:lang w:val="fr-CA"/>
              </w:rPr>
            </w:pPr>
            <w:r>
              <w:rPr>
                <w:rFonts w:cs="Times New Roman"/>
                <w:szCs w:val="20"/>
                <w:lang w:val="fr-CA"/>
              </w:rPr>
              <w:pict>
                <v:rect id="_x0000_i1067" style="width:2in;height:1pt" o:hrpct="0" o:hralign="center" o:hrstd="t" o:hrnoshade="t" o:hr="t" fillcolor="black [3213]" stroked="f"/>
              </w:pict>
            </w:r>
          </w:p>
          <w:p w:rsidR="00232760" w:rsidRPr="00E85E82" w:rsidRDefault="00232760" w:rsidP="000F56AC">
            <w:pPr>
              <w:pStyle w:val="SCCShortJudgment"/>
              <w:ind w:firstLine="0"/>
              <w:rPr>
                <w:rFonts w:cs="Times New Roman"/>
                <w:szCs w:val="20"/>
                <w:lang w:val="fr-CA"/>
              </w:rPr>
            </w:pPr>
          </w:p>
        </w:tc>
      </w:tr>
      <w:tr w:rsidR="00232760" w:rsidRPr="00E85E82" w:rsidTr="000F56AC">
        <w:trPr>
          <w:cantSplit/>
        </w:trPr>
        <w:tc>
          <w:tcPr>
            <w:tcW w:w="9576" w:type="dxa"/>
            <w:gridSpan w:val="4"/>
          </w:tcPr>
          <w:p w:rsidR="00232760" w:rsidRPr="00E85E82" w:rsidRDefault="00232760" w:rsidP="000F56AC">
            <w:pPr>
              <w:pStyle w:val="SCCShortJudgment"/>
              <w:ind w:firstLine="0"/>
              <w:rPr>
                <w:rFonts w:cs="Times New Roman"/>
                <w:szCs w:val="20"/>
                <w:u w:val="single"/>
                <w:lang w:val="fr-CA"/>
              </w:rPr>
            </w:pPr>
            <w:r w:rsidRPr="00E85E82">
              <w:rPr>
                <w:rFonts w:cs="Times New Roman"/>
                <w:szCs w:val="20"/>
                <w:u w:val="single"/>
                <w:lang w:val="fr-CA"/>
              </w:rPr>
              <w:t>RÉSUMÉ DE L’AFFAIRE </w:t>
            </w:r>
          </w:p>
          <w:p w:rsidR="00232760" w:rsidRPr="00E85E82" w:rsidRDefault="00232760" w:rsidP="000F56AC">
            <w:pPr>
              <w:pStyle w:val="SCCShortJudgment"/>
              <w:ind w:firstLine="0"/>
              <w:rPr>
                <w:rFonts w:cs="Times New Roman"/>
                <w:szCs w:val="20"/>
                <w:u w:val="single"/>
                <w:lang w:val="fr-CA"/>
              </w:rPr>
            </w:pPr>
          </w:p>
        </w:tc>
      </w:tr>
      <w:tr w:rsidR="00232760" w:rsidRPr="00B407D6" w:rsidTr="000F56AC">
        <w:trPr>
          <w:cantSplit/>
        </w:trPr>
        <w:tc>
          <w:tcPr>
            <w:tcW w:w="9576" w:type="dxa"/>
            <w:gridSpan w:val="4"/>
          </w:tcPr>
          <w:p w:rsidR="00232760" w:rsidRPr="00E85E82" w:rsidRDefault="00630E4C" w:rsidP="000F56AC">
            <w:pPr>
              <w:pStyle w:val="SCCShortJudgment"/>
              <w:ind w:firstLine="0"/>
              <w:rPr>
                <w:szCs w:val="20"/>
                <w:lang w:val="fr-CA"/>
              </w:rPr>
            </w:pPr>
            <w:r w:rsidRPr="00E85E82">
              <w:rPr>
                <w:szCs w:val="20"/>
                <w:lang w:val="fr-CA"/>
              </w:rPr>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E85E82">
              <w:rPr>
                <w:i/>
                <w:szCs w:val="20"/>
                <w:lang w:val="fr-CA"/>
              </w:rPr>
              <w:t>Loi réglementant certaines drogues et autres substances</w:t>
            </w:r>
            <w:r w:rsidRPr="00E85E82">
              <w:rPr>
                <w:szCs w:val="20"/>
                <w:lang w:val="fr-CA"/>
              </w:rPr>
              <w:t>, L.C., 1996, ch. 19.</w:t>
            </w:r>
          </w:p>
          <w:p w:rsidR="00630E4C" w:rsidRPr="00E85E82" w:rsidRDefault="00630E4C" w:rsidP="000F56AC">
            <w:pPr>
              <w:pStyle w:val="SCCShortJudgment"/>
              <w:ind w:firstLine="0"/>
              <w:rPr>
                <w:rFonts w:cs="Times New Roman"/>
                <w:szCs w:val="20"/>
                <w:u w:val="single"/>
                <w:lang w:val="fr-CA"/>
              </w:rPr>
            </w:pPr>
          </w:p>
        </w:tc>
      </w:tr>
      <w:tr w:rsidR="00232760" w:rsidRPr="00B407D6" w:rsidTr="000F56AC">
        <w:trPr>
          <w:cantSplit/>
        </w:trPr>
        <w:tc>
          <w:tcPr>
            <w:tcW w:w="9576" w:type="dxa"/>
            <w:gridSpan w:val="4"/>
          </w:tcPr>
          <w:p w:rsidR="00232760" w:rsidRPr="00E85E82" w:rsidRDefault="00630E4C" w:rsidP="000F56AC">
            <w:pPr>
              <w:jc w:val="both"/>
              <w:rPr>
                <w:sz w:val="20"/>
                <w:szCs w:val="20"/>
                <w:lang w:val="fr-CA"/>
              </w:rPr>
            </w:pPr>
            <w:r w:rsidRPr="00E85E82">
              <w:rPr>
                <w:sz w:val="20"/>
                <w:szCs w:val="20"/>
                <w:lang w:val="fr-CA"/>
              </w:rPr>
              <w:t xml:space="preserve">Depuis février 2014, environ 300 plaideurs non représentés, y compris le demandeur, ont déposé des demandes identiques sollicitant des jugements qui déclarent inconstitutionnels le </w:t>
            </w:r>
            <w:r w:rsidRPr="00E85E82">
              <w:rPr>
                <w:i/>
                <w:sz w:val="20"/>
                <w:szCs w:val="20"/>
                <w:lang w:val="fr-CA"/>
              </w:rPr>
              <w:t>Règlement sur l’accès à la marihuana à des fins médicales (« RAMFM »)</w:t>
            </w:r>
            <w:r w:rsidRPr="00E85E82">
              <w:rPr>
                <w:sz w:val="20"/>
                <w:szCs w:val="20"/>
                <w:lang w:val="fr-CA"/>
              </w:rPr>
              <w:t xml:space="preserve">, D.O.R.S./2001-227, abrogé le 31 mars 2014 et le </w:t>
            </w:r>
            <w:r w:rsidRPr="00E85E82">
              <w:rPr>
                <w:i/>
                <w:sz w:val="20"/>
                <w:szCs w:val="20"/>
                <w:lang w:val="fr-CA"/>
              </w:rPr>
              <w:t>Règlement sur la marihuana à des fins médicales</w:t>
            </w:r>
            <w:r w:rsidRPr="00E85E82">
              <w:rPr>
                <w:sz w:val="20"/>
                <w:szCs w:val="20"/>
                <w:lang w:val="fr-CA"/>
              </w:rPr>
              <w:t xml:space="preserve">, D.O.R.S./2013-119, qui a remplacé le </w:t>
            </w:r>
            <w:r w:rsidRPr="00E85E82">
              <w:rPr>
                <w:i/>
                <w:sz w:val="20"/>
                <w:szCs w:val="20"/>
                <w:lang w:val="fr-CA"/>
              </w:rPr>
              <w:t>RAMFM</w:t>
            </w:r>
            <w:r w:rsidRPr="00E85E82">
              <w:rPr>
                <w:sz w:val="20"/>
                <w:szCs w:val="20"/>
                <w:lang w:val="fr-CA"/>
              </w:rPr>
              <w:t xml:space="preserve">. Dans le cadre de leurs actions, vingt-six demandeurs en première instance, y compris le demandeur en l’espèce, ont présenté des requêtes en exemption constitutionnelle visant à écarter temporairement l’application de la </w:t>
            </w:r>
            <w:r w:rsidRPr="00E85E82">
              <w:rPr>
                <w:i/>
                <w:sz w:val="20"/>
                <w:szCs w:val="20"/>
                <w:lang w:val="fr-CA"/>
              </w:rPr>
              <w:t>Loi réglementant certaines drogues et autres substances (« LRCDAS »)</w:t>
            </w:r>
            <w:r w:rsidRPr="00E85E82">
              <w:rPr>
                <w:sz w:val="20"/>
                <w:szCs w:val="20"/>
                <w:lang w:val="fr-CA"/>
              </w:rPr>
              <w:t xml:space="preserve"> pour l’utilisation personnelle de la marihuana en attendant que leurs actions soient instruites.</w:t>
            </w:r>
          </w:p>
          <w:p w:rsidR="00630E4C" w:rsidRPr="00E85E82" w:rsidRDefault="00630E4C" w:rsidP="000F56AC">
            <w:pPr>
              <w:jc w:val="both"/>
              <w:rPr>
                <w:rFonts w:cs="Times New Roman"/>
                <w:sz w:val="20"/>
                <w:szCs w:val="20"/>
                <w:u w:val="single"/>
                <w:lang w:val="fr-CA"/>
              </w:rPr>
            </w:pPr>
          </w:p>
        </w:tc>
      </w:tr>
      <w:tr w:rsidR="00232760" w:rsidRPr="00B407D6" w:rsidTr="000F56AC">
        <w:trPr>
          <w:cantSplit/>
        </w:trPr>
        <w:tc>
          <w:tcPr>
            <w:tcW w:w="4410" w:type="dxa"/>
            <w:gridSpan w:val="2"/>
          </w:tcPr>
          <w:p w:rsidR="00630E4C" w:rsidRPr="00E85E82" w:rsidRDefault="00630E4C" w:rsidP="00630E4C">
            <w:pPr>
              <w:rPr>
                <w:sz w:val="20"/>
                <w:szCs w:val="20"/>
                <w:lang w:val="fr-CA"/>
              </w:rPr>
            </w:pPr>
            <w:r w:rsidRPr="00E85E82">
              <w:rPr>
                <w:sz w:val="20"/>
                <w:szCs w:val="20"/>
                <w:lang w:val="fr-CA"/>
              </w:rPr>
              <w:t>7 mai 2014</w:t>
            </w:r>
          </w:p>
          <w:p w:rsidR="00630E4C" w:rsidRPr="00E85E82" w:rsidRDefault="00630E4C" w:rsidP="00630E4C">
            <w:pPr>
              <w:rPr>
                <w:sz w:val="20"/>
                <w:szCs w:val="20"/>
                <w:lang w:val="fr-CA"/>
              </w:rPr>
            </w:pPr>
            <w:r w:rsidRPr="00E85E82">
              <w:rPr>
                <w:sz w:val="20"/>
                <w:szCs w:val="20"/>
                <w:lang w:val="fr-CA"/>
              </w:rPr>
              <w:t xml:space="preserve">Cour fédérale </w:t>
            </w:r>
          </w:p>
          <w:p w:rsidR="00232760" w:rsidRPr="00E85E82" w:rsidRDefault="00630E4C" w:rsidP="00630E4C">
            <w:pPr>
              <w:pStyle w:val="SCCShortJudgment"/>
              <w:ind w:firstLine="0"/>
              <w:rPr>
                <w:szCs w:val="20"/>
                <w:lang w:val="fr-CA"/>
              </w:rPr>
            </w:pPr>
            <w:r w:rsidRPr="00E85E82">
              <w:rPr>
                <w:szCs w:val="20"/>
                <w:lang w:val="fr-CA"/>
              </w:rPr>
              <w:t>(Juge Phelan)</w:t>
            </w:r>
          </w:p>
          <w:p w:rsidR="00630E4C" w:rsidRPr="00E85E82" w:rsidRDefault="00630E4C" w:rsidP="00630E4C">
            <w:pPr>
              <w:pStyle w:val="SCCShortJudgment"/>
              <w:ind w:firstLine="0"/>
              <w:rPr>
                <w:rFonts w:cs="Times New Roman"/>
                <w:szCs w:val="20"/>
                <w:u w:val="single"/>
                <w:lang w:val="fr-CA"/>
              </w:rPr>
            </w:pPr>
          </w:p>
        </w:tc>
        <w:tc>
          <w:tcPr>
            <w:tcW w:w="630" w:type="dxa"/>
          </w:tcPr>
          <w:p w:rsidR="00232760" w:rsidRPr="00E85E82" w:rsidRDefault="00232760" w:rsidP="000F56AC">
            <w:pPr>
              <w:pStyle w:val="SCCShortJudgment"/>
              <w:ind w:firstLine="0"/>
              <w:rPr>
                <w:rFonts w:cs="Times New Roman"/>
                <w:szCs w:val="20"/>
                <w:u w:val="single"/>
                <w:lang w:val="fr-CA"/>
              </w:rPr>
            </w:pPr>
          </w:p>
        </w:tc>
        <w:tc>
          <w:tcPr>
            <w:tcW w:w="4536" w:type="dxa"/>
          </w:tcPr>
          <w:p w:rsidR="00630E4C" w:rsidRPr="00E85E82" w:rsidRDefault="00630E4C" w:rsidP="00630E4C">
            <w:pPr>
              <w:jc w:val="both"/>
              <w:rPr>
                <w:sz w:val="20"/>
                <w:szCs w:val="20"/>
                <w:lang w:val="fr-CA"/>
              </w:rPr>
            </w:pPr>
            <w:r w:rsidRPr="00E85E82">
              <w:rPr>
                <w:sz w:val="20"/>
                <w:szCs w:val="20"/>
                <w:lang w:val="fr-CA"/>
              </w:rPr>
              <w:t xml:space="preserve">Rejet de la requête en exemption constitutionnelle visant à écarter temporairement l’application de la </w:t>
            </w:r>
            <w:r w:rsidRPr="00E85E82">
              <w:rPr>
                <w:i/>
                <w:sz w:val="20"/>
                <w:szCs w:val="20"/>
                <w:lang w:val="fr-CA"/>
              </w:rPr>
              <w:t>Loi réglementant certaines drogues et autres substances</w:t>
            </w:r>
          </w:p>
          <w:p w:rsidR="00232760" w:rsidRPr="00E85E82" w:rsidRDefault="00232760" w:rsidP="000F56AC">
            <w:pPr>
              <w:pStyle w:val="SCCShortJudgment"/>
              <w:ind w:firstLine="0"/>
              <w:rPr>
                <w:rFonts w:cs="Times New Roman"/>
                <w:szCs w:val="20"/>
                <w:u w:val="single"/>
                <w:lang w:val="fr-CA"/>
              </w:rPr>
            </w:pPr>
          </w:p>
        </w:tc>
      </w:tr>
      <w:tr w:rsidR="00232760" w:rsidRPr="00E85E82" w:rsidTr="000F56AC">
        <w:trPr>
          <w:cantSplit/>
        </w:trPr>
        <w:tc>
          <w:tcPr>
            <w:tcW w:w="4410" w:type="dxa"/>
            <w:gridSpan w:val="2"/>
          </w:tcPr>
          <w:p w:rsidR="00630E4C" w:rsidRPr="00E85E82" w:rsidRDefault="00630E4C" w:rsidP="00630E4C">
            <w:pPr>
              <w:rPr>
                <w:sz w:val="20"/>
                <w:szCs w:val="20"/>
                <w:lang w:val="fr-CA"/>
              </w:rPr>
            </w:pPr>
            <w:r w:rsidRPr="00E85E82">
              <w:rPr>
                <w:sz w:val="20"/>
                <w:szCs w:val="20"/>
                <w:lang w:val="fr-CA"/>
              </w:rPr>
              <w:t>13 janvier 2016</w:t>
            </w:r>
          </w:p>
          <w:p w:rsidR="00630E4C" w:rsidRPr="00E85E82" w:rsidRDefault="00630E4C" w:rsidP="00630E4C">
            <w:pPr>
              <w:rPr>
                <w:sz w:val="20"/>
                <w:szCs w:val="20"/>
                <w:lang w:val="fr-CA"/>
              </w:rPr>
            </w:pPr>
            <w:r w:rsidRPr="00E85E82">
              <w:rPr>
                <w:sz w:val="20"/>
                <w:szCs w:val="20"/>
                <w:lang w:val="fr-CA"/>
              </w:rPr>
              <w:t xml:space="preserve">Cour d’appel fédérale </w:t>
            </w:r>
          </w:p>
          <w:p w:rsidR="00630E4C" w:rsidRPr="00E85E82" w:rsidRDefault="00630E4C" w:rsidP="00630E4C">
            <w:pPr>
              <w:rPr>
                <w:rFonts w:eastAsia="Times New Roman" w:cs="Times New Roman"/>
                <w:sz w:val="20"/>
                <w:szCs w:val="20"/>
                <w:lang w:val="fr-CA" w:eastAsia="en-CA"/>
              </w:rPr>
            </w:pPr>
            <w:r w:rsidRPr="00E85E82">
              <w:rPr>
                <w:rFonts w:eastAsia="Times New Roman" w:cs="Times New Roman"/>
                <w:sz w:val="20"/>
                <w:szCs w:val="20"/>
                <w:lang w:val="fr-CA" w:eastAsia="en-CA"/>
              </w:rPr>
              <w:t xml:space="preserve">(Juges Pelletier, </w:t>
            </w:r>
            <w:proofErr w:type="spellStart"/>
            <w:r w:rsidRPr="00E85E82">
              <w:rPr>
                <w:rFonts w:eastAsia="Times New Roman" w:cs="Times New Roman"/>
                <w:sz w:val="20"/>
                <w:szCs w:val="20"/>
                <w:lang w:val="fr-CA" w:eastAsia="en-CA"/>
              </w:rPr>
              <w:t>Stratas</w:t>
            </w:r>
            <w:proofErr w:type="spellEnd"/>
            <w:r w:rsidRPr="00E85E82">
              <w:rPr>
                <w:rFonts w:eastAsia="Times New Roman" w:cs="Times New Roman"/>
                <w:sz w:val="20"/>
                <w:szCs w:val="20"/>
                <w:lang w:val="fr-CA" w:eastAsia="en-CA"/>
              </w:rPr>
              <w:t xml:space="preserve"> et </w:t>
            </w:r>
            <w:proofErr w:type="spellStart"/>
            <w:r w:rsidRPr="00E85E82">
              <w:rPr>
                <w:rFonts w:eastAsia="Times New Roman" w:cs="Times New Roman"/>
                <w:sz w:val="20"/>
                <w:szCs w:val="20"/>
                <w:lang w:val="fr-CA" w:eastAsia="en-CA"/>
              </w:rPr>
              <w:t>Gleason</w:t>
            </w:r>
            <w:proofErr w:type="spellEnd"/>
            <w:r w:rsidRPr="00E85E82">
              <w:rPr>
                <w:rFonts w:eastAsia="Times New Roman" w:cs="Times New Roman"/>
                <w:sz w:val="20"/>
                <w:szCs w:val="20"/>
                <w:lang w:val="fr-CA" w:eastAsia="en-CA"/>
              </w:rPr>
              <w:t>)</w:t>
            </w:r>
          </w:p>
          <w:p w:rsidR="00630E4C" w:rsidRPr="00E85E82" w:rsidRDefault="00B407D6" w:rsidP="00630E4C">
            <w:pPr>
              <w:rPr>
                <w:rFonts w:eastAsia="Times New Roman" w:cs="Times New Roman"/>
                <w:sz w:val="20"/>
                <w:szCs w:val="20"/>
                <w:lang w:val="fr-CA" w:eastAsia="en-CA"/>
              </w:rPr>
            </w:pPr>
            <w:hyperlink r:id="rId55" w:history="1">
              <w:r w:rsidR="00630E4C" w:rsidRPr="00E85E82">
                <w:rPr>
                  <w:rFonts w:eastAsia="Times New Roman" w:cs="Times New Roman"/>
                  <w:color w:val="0000FF" w:themeColor="hyperlink"/>
                  <w:sz w:val="20"/>
                  <w:szCs w:val="20"/>
                  <w:u w:val="single"/>
                  <w:lang w:val="fr-CA" w:eastAsia="en-CA"/>
                </w:rPr>
                <w:t>2016 FCA 9</w:t>
              </w:r>
            </w:hyperlink>
          </w:p>
          <w:p w:rsidR="00232760" w:rsidRPr="00E85E82" w:rsidRDefault="00232760" w:rsidP="000F56AC">
            <w:pPr>
              <w:pStyle w:val="SCCShortJudgment"/>
              <w:ind w:firstLine="0"/>
              <w:rPr>
                <w:rFonts w:cs="Times New Roman"/>
                <w:szCs w:val="20"/>
                <w:u w:val="single"/>
                <w:lang w:val="fr-CA"/>
              </w:rPr>
            </w:pPr>
          </w:p>
        </w:tc>
        <w:tc>
          <w:tcPr>
            <w:tcW w:w="630" w:type="dxa"/>
          </w:tcPr>
          <w:p w:rsidR="00232760" w:rsidRPr="00E85E82" w:rsidRDefault="00232760" w:rsidP="000F56AC">
            <w:pPr>
              <w:pStyle w:val="SCCShortJudgment"/>
              <w:ind w:firstLine="0"/>
              <w:rPr>
                <w:rFonts w:cs="Times New Roman"/>
                <w:szCs w:val="20"/>
                <w:u w:val="single"/>
                <w:lang w:val="fr-CA"/>
              </w:rPr>
            </w:pPr>
          </w:p>
        </w:tc>
        <w:tc>
          <w:tcPr>
            <w:tcW w:w="4536" w:type="dxa"/>
          </w:tcPr>
          <w:p w:rsidR="00630E4C" w:rsidRPr="00E85E82" w:rsidRDefault="00630E4C" w:rsidP="00630E4C">
            <w:pPr>
              <w:rPr>
                <w:sz w:val="20"/>
                <w:szCs w:val="20"/>
                <w:lang w:val="fr-CA"/>
              </w:rPr>
            </w:pPr>
            <w:r w:rsidRPr="00E85E82">
              <w:rPr>
                <w:sz w:val="20"/>
                <w:szCs w:val="20"/>
                <w:lang w:val="fr-CA"/>
              </w:rPr>
              <w:t>Rejet de l’appel</w:t>
            </w:r>
          </w:p>
          <w:p w:rsidR="00232760" w:rsidRPr="00E85E82" w:rsidRDefault="00232760" w:rsidP="000F56AC">
            <w:pPr>
              <w:pStyle w:val="SCCShortJudgment"/>
              <w:ind w:firstLine="0"/>
              <w:rPr>
                <w:rFonts w:cs="Times New Roman"/>
                <w:szCs w:val="20"/>
                <w:u w:val="single"/>
                <w:lang w:val="fr-CA"/>
              </w:rPr>
            </w:pPr>
          </w:p>
        </w:tc>
      </w:tr>
      <w:tr w:rsidR="00630E4C" w:rsidRPr="00B407D6" w:rsidTr="000F56AC">
        <w:trPr>
          <w:cantSplit/>
        </w:trPr>
        <w:tc>
          <w:tcPr>
            <w:tcW w:w="4410" w:type="dxa"/>
            <w:gridSpan w:val="2"/>
          </w:tcPr>
          <w:p w:rsidR="00630E4C" w:rsidRPr="00E85E82" w:rsidRDefault="00630E4C" w:rsidP="00630E4C">
            <w:pPr>
              <w:rPr>
                <w:sz w:val="20"/>
                <w:szCs w:val="20"/>
                <w:lang w:val="fr-CA"/>
              </w:rPr>
            </w:pPr>
            <w:r w:rsidRPr="00E85E82">
              <w:rPr>
                <w:sz w:val="20"/>
                <w:szCs w:val="20"/>
                <w:lang w:val="fr-CA"/>
              </w:rPr>
              <w:t>15 mars 2016</w:t>
            </w:r>
          </w:p>
          <w:p w:rsidR="00630E4C" w:rsidRPr="00E85E82" w:rsidRDefault="00630E4C" w:rsidP="00630E4C">
            <w:pPr>
              <w:rPr>
                <w:sz w:val="20"/>
                <w:szCs w:val="20"/>
                <w:lang w:val="fr-CA"/>
              </w:rPr>
            </w:pPr>
            <w:r w:rsidRPr="00E85E82">
              <w:rPr>
                <w:sz w:val="20"/>
                <w:szCs w:val="20"/>
                <w:lang w:val="fr-CA"/>
              </w:rPr>
              <w:t>Cour suprême du Canada</w:t>
            </w:r>
          </w:p>
          <w:p w:rsidR="00630E4C" w:rsidRPr="00E85E82" w:rsidRDefault="00630E4C" w:rsidP="00630E4C">
            <w:pPr>
              <w:pStyle w:val="SCCShortJudgment"/>
              <w:ind w:firstLine="0"/>
              <w:rPr>
                <w:rFonts w:cs="Times New Roman"/>
                <w:szCs w:val="20"/>
                <w:u w:val="single"/>
                <w:lang w:val="fr-CA"/>
              </w:rPr>
            </w:pPr>
          </w:p>
        </w:tc>
        <w:tc>
          <w:tcPr>
            <w:tcW w:w="630" w:type="dxa"/>
          </w:tcPr>
          <w:p w:rsidR="00630E4C" w:rsidRPr="00E85E82" w:rsidRDefault="00630E4C" w:rsidP="00630E4C">
            <w:pPr>
              <w:pStyle w:val="SCCShortJudgment"/>
              <w:ind w:firstLine="0"/>
              <w:rPr>
                <w:rFonts w:cs="Times New Roman"/>
                <w:szCs w:val="20"/>
                <w:u w:val="single"/>
                <w:lang w:val="fr-CA"/>
              </w:rPr>
            </w:pPr>
          </w:p>
        </w:tc>
        <w:tc>
          <w:tcPr>
            <w:tcW w:w="4536" w:type="dxa"/>
          </w:tcPr>
          <w:p w:rsidR="00630E4C" w:rsidRPr="00E85E82" w:rsidRDefault="00630E4C" w:rsidP="00630E4C">
            <w:pPr>
              <w:jc w:val="both"/>
              <w:rPr>
                <w:sz w:val="20"/>
                <w:szCs w:val="20"/>
                <w:lang w:val="fr-CA"/>
              </w:rPr>
            </w:pPr>
            <w:r w:rsidRPr="00E85E82">
              <w:rPr>
                <w:sz w:val="20"/>
                <w:szCs w:val="20"/>
                <w:lang w:val="fr-CA"/>
              </w:rPr>
              <w:t xml:space="preserve">Dépôt de la requête en prorogation du délai de signification et de dépôt de la demande d’autorisation d’appel et de la demande d’autorisation d’appel </w:t>
            </w:r>
          </w:p>
          <w:p w:rsidR="004E22A8" w:rsidRPr="00E85E82" w:rsidRDefault="004E22A8" w:rsidP="00630E4C">
            <w:pPr>
              <w:jc w:val="both"/>
              <w:rPr>
                <w:sz w:val="20"/>
                <w:szCs w:val="20"/>
                <w:lang w:val="fr-CA"/>
              </w:rPr>
            </w:pPr>
          </w:p>
        </w:tc>
      </w:tr>
    </w:tbl>
    <w:p w:rsidR="00232760" w:rsidRDefault="00B407D6" w:rsidP="00232760">
      <w:pPr>
        <w:rPr>
          <w:rFonts w:cs="Times New Roman"/>
          <w:sz w:val="20"/>
          <w:szCs w:val="20"/>
          <w:lang w:val="fr-CA"/>
        </w:rPr>
      </w:pPr>
      <w:r>
        <w:rPr>
          <w:rFonts w:cs="Times New Roman"/>
          <w:sz w:val="20"/>
          <w:szCs w:val="20"/>
          <w:lang w:val="fr-CA"/>
        </w:rPr>
        <w:pict>
          <v:rect id="_x0000_i1068" style="width:2in;height:1pt" o:hrpct="0" o:hralign="center" o:hrstd="t" o:hrnoshade="t" o:hr="t" fillcolor="black [3213]" stroked="f"/>
        </w:pict>
      </w:r>
    </w:p>
    <w:p w:rsidR="00C556BB" w:rsidRPr="00E85E82" w:rsidRDefault="00C556BB" w:rsidP="00232760">
      <w:pPr>
        <w:rPr>
          <w:rFonts w:cs="Times New Roman"/>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Style w:val="SCCFileNumberChar"/>
                <w:sz w:val="20"/>
                <w:szCs w:val="20"/>
              </w:rPr>
              <w:t>36939</w:t>
            </w:r>
          </w:p>
          <w:p w:rsidR="00232760" w:rsidRPr="00E85E82" w:rsidRDefault="00232760" w:rsidP="000F56AC">
            <w:pPr>
              <w:jc w:val="both"/>
              <w:rPr>
                <w:rFonts w:cs="Times New Roman"/>
                <w:b/>
                <w:sz w:val="20"/>
                <w:szCs w:val="20"/>
              </w:rPr>
            </w:pPr>
          </w:p>
        </w:tc>
        <w:tc>
          <w:tcPr>
            <w:tcW w:w="8118" w:type="dxa"/>
            <w:gridSpan w:val="3"/>
          </w:tcPr>
          <w:p w:rsidR="00232760" w:rsidRPr="00E85E82" w:rsidRDefault="000A2075" w:rsidP="000F56AC">
            <w:pPr>
              <w:jc w:val="both"/>
              <w:rPr>
                <w:rFonts w:cs="Times New Roman"/>
                <w:sz w:val="20"/>
                <w:szCs w:val="20"/>
              </w:rPr>
            </w:pPr>
            <w:r w:rsidRPr="00E85E82">
              <w:rPr>
                <w:rStyle w:val="SCCLsocChar"/>
                <w:rFonts w:cs="Times New Roman"/>
                <w:sz w:val="20"/>
                <w:szCs w:val="20"/>
                <w:lang w:val="en-CA"/>
              </w:rPr>
              <w:t xml:space="preserve">Arthur </w:t>
            </w:r>
            <w:proofErr w:type="spellStart"/>
            <w:r w:rsidRPr="00E85E82">
              <w:rPr>
                <w:rStyle w:val="SCCLsocChar"/>
                <w:rFonts w:cs="Times New Roman"/>
                <w:sz w:val="20"/>
                <w:szCs w:val="20"/>
                <w:lang w:val="en-CA"/>
              </w:rPr>
              <w:t>Jackes</w:t>
            </w:r>
            <w:proofErr w:type="spellEnd"/>
            <w:r w:rsidR="00232760" w:rsidRPr="00E85E82">
              <w:rPr>
                <w:rStyle w:val="SCCLsocChar"/>
                <w:rFonts w:cs="Times New Roman"/>
                <w:sz w:val="20"/>
                <w:szCs w:val="20"/>
                <w:lang w:val="en-CA"/>
              </w:rPr>
              <w:t xml:space="preserve"> v. </w:t>
            </w:r>
            <w:r w:rsidRPr="00E85E82">
              <w:rPr>
                <w:rStyle w:val="SCCLsocChar"/>
                <w:rFonts w:cs="Times New Roman"/>
                <w:sz w:val="20"/>
                <w:szCs w:val="20"/>
                <w:lang w:val="en-CA"/>
              </w:rPr>
              <w:t>Her Majesty the Queen</w:t>
            </w:r>
            <w:r w:rsidR="00232760" w:rsidRPr="00E85E82">
              <w:rPr>
                <w:rStyle w:val="SCCLsocChar"/>
                <w:rFonts w:cs="Times New Roman"/>
                <w:sz w:val="20"/>
                <w:szCs w:val="20"/>
                <w:u w:val="none"/>
                <w:lang w:val="en-CA"/>
              </w:rPr>
              <w:t xml:space="preserve"> </w:t>
            </w:r>
            <w:r w:rsidR="00232760" w:rsidRPr="00E85E82">
              <w:rPr>
                <w:rFonts w:cs="Times New Roman"/>
                <w:sz w:val="20"/>
                <w:szCs w:val="20"/>
              </w:rPr>
              <w:t>(</w:t>
            </w:r>
            <w:r w:rsidR="00630E4C" w:rsidRPr="00E85E82">
              <w:rPr>
                <w:rFonts w:cs="Times New Roman"/>
                <w:sz w:val="20"/>
                <w:szCs w:val="20"/>
              </w:rPr>
              <w:t>F.C</w:t>
            </w:r>
            <w:r w:rsidR="00232760" w:rsidRPr="00E85E82">
              <w:rPr>
                <w:rFonts w:cs="Times New Roman"/>
                <w:sz w:val="20"/>
                <w:szCs w:val="20"/>
              </w:rPr>
              <w:t>.) (Civil) (By Leave)</w:t>
            </w:r>
          </w:p>
          <w:p w:rsidR="00232760" w:rsidRPr="00E85E82" w:rsidRDefault="00232760" w:rsidP="000A2075">
            <w:pPr>
              <w:ind w:firstLine="720"/>
              <w:jc w:val="both"/>
              <w:rPr>
                <w:rFonts w:cs="Times New Roman"/>
                <w:sz w:val="20"/>
                <w:szCs w:val="20"/>
              </w:rPr>
            </w:pPr>
          </w:p>
        </w:tc>
      </w:tr>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Fonts w:cs="Times New Roman"/>
                <w:sz w:val="20"/>
                <w:szCs w:val="20"/>
              </w:rPr>
              <w:t>Coram :</w:t>
            </w:r>
          </w:p>
        </w:tc>
        <w:tc>
          <w:tcPr>
            <w:tcW w:w="8118" w:type="dxa"/>
            <w:gridSpan w:val="3"/>
          </w:tcPr>
          <w:p w:rsidR="00232760" w:rsidRPr="00E85E82" w:rsidRDefault="00232760" w:rsidP="000F56AC">
            <w:pPr>
              <w:jc w:val="both"/>
              <w:rPr>
                <w:rStyle w:val="SCCCoramChar"/>
                <w:sz w:val="20"/>
                <w:szCs w:val="20"/>
                <w:lang w:val="en-CA"/>
              </w:rPr>
            </w:pPr>
            <w:r w:rsidRPr="00E85E82">
              <w:rPr>
                <w:rStyle w:val="SCCCoramChar"/>
                <w:sz w:val="20"/>
                <w:szCs w:val="20"/>
                <w:lang w:val="en-CA"/>
              </w:rPr>
              <w:t>McLachlin C.J. and Moldaver and Gascon JJ.</w:t>
            </w:r>
          </w:p>
          <w:p w:rsidR="00232760" w:rsidRPr="00E85E82" w:rsidRDefault="00232760" w:rsidP="000F56AC">
            <w:pPr>
              <w:jc w:val="both"/>
              <w:rPr>
                <w:rFonts w:cs="Times New Roman"/>
                <w:sz w:val="20"/>
                <w:szCs w:val="20"/>
                <w:u w:val="single"/>
              </w:rPr>
            </w:pPr>
          </w:p>
        </w:tc>
      </w:tr>
      <w:tr w:rsidR="00232760" w:rsidRPr="00B407D6" w:rsidTr="00630E4C">
        <w:tc>
          <w:tcPr>
            <w:tcW w:w="9576" w:type="dxa"/>
            <w:gridSpan w:val="4"/>
          </w:tcPr>
          <w:p w:rsidR="00312B5E" w:rsidRPr="00E85E82" w:rsidRDefault="00312B5E" w:rsidP="00312B5E">
            <w:pPr>
              <w:pStyle w:val="SCCShortJudgment"/>
            </w:pPr>
            <w:r w:rsidRPr="00E85E82">
              <w:t>The motion for an extension of time to serve and file the application for leave to appeal is granted.  The application for leave to appeal from the judgment of the Federal Court of Appeal, Numbers A-342-14 and A-347-14, 2014 FCA 9, dated January 13, 2016, is dismissed with costs.</w:t>
            </w:r>
          </w:p>
          <w:p w:rsidR="00312B5E" w:rsidRPr="00E85E82" w:rsidRDefault="00312B5E" w:rsidP="00312B5E">
            <w:pPr>
              <w:pStyle w:val="SCCShortJudgment"/>
              <w:ind w:firstLine="0"/>
            </w:pPr>
          </w:p>
          <w:p w:rsidR="00312B5E" w:rsidRPr="00C556BB" w:rsidRDefault="00312B5E" w:rsidP="00312B5E">
            <w:pPr>
              <w:pStyle w:val="SCCShortJudgment"/>
              <w:rPr>
                <w:lang w:val="fr-CA"/>
              </w:rPr>
            </w:pPr>
            <w:r w:rsidRPr="00C556BB">
              <w:rPr>
                <w:lang w:val="fr-CA"/>
              </w:rPr>
              <w:t>La requête en prorogation du délai de signification et de dépôt de la demande d’autorisation d’appel est accueillie. La demande d’autorisation d’appel de l’arrêt de la Cour d’appel fédérale, numéros A-342-14 et A-347-14, 2014 FCA 9, daté du 13 janvier 2016, est rejetée avec dépens.</w:t>
            </w:r>
          </w:p>
          <w:p w:rsidR="00232760" w:rsidRPr="00E85E82" w:rsidRDefault="00232760" w:rsidP="000F56AC">
            <w:pPr>
              <w:pStyle w:val="SCCShortJudgment"/>
              <w:ind w:firstLine="0"/>
              <w:rPr>
                <w:rFonts w:cs="Times New Roman"/>
                <w:szCs w:val="20"/>
                <w:lang w:val="fr-CA"/>
              </w:rPr>
            </w:pPr>
          </w:p>
        </w:tc>
      </w:tr>
      <w:tr w:rsidR="00232760" w:rsidRPr="00E85E82" w:rsidTr="000F56AC">
        <w:trPr>
          <w:cantSplit/>
        </w:trPr>
        <w:tc>
          <w:tcPr>
            <w:tcW w:w="9576" w:type="dxa"/>
            <w:gridSpan w:val="4"/>
          </w:tcPr>
          <w:p w:rsidR="00232760" w:rsidRPr="00E85E82" w:rsidRDefault="00232760" w:rsidP="000F56AC">
            <w:pPr>
              <w:pStyle w:val="SCCShortJudgment"/>
              <w:ind w:firstLine="0"/>
              <w:rPr>
                <w:rFonts w:cs="Times New Roman"/>
                <w:szCs w:val="20"/>
                <w:u w:val="single"/>
                <w:lang w:val="fr-CA"/>
              </w:rPr>
            </w:pPr>
            <w:r w:rsidRPr="00E85E82">
              <w:rPr>
                <w:rFonts w:cs="Times New Roman"/>
                <w:szCs w:val="20"/>
                <w:u w:val="single"/>
                <w:lang w:val="fr-CA"/>
              </w:rPr>
              <w:t>CASE SUMMARY</w:t>
            </w:r>
          </w:p>
          <w:p w:rsidR="00232760" w:rsidRPr="00E85E82" w:rsidRDefault="00232760" w:rsidP="000F56AC">
            <w:pPr>
              <w:pStyle w:val="SCCShortJudgment"/>
              <w:ind w:firstLine="0"/>
              <w:rPr>
                <w:rFonts w:cs="Times New Roman"/>
                <w:szCs w:val="20"/>
                <w:u w:val="single"/>
                <w:lang w:val="fr-CA"/>
              </w:rPr>
            </w:pPr>
          </w:p>
        </w:tc>
      </w:tr>
      <w:tr w:rsidR="00630E4C" w:rsidRPr="00E85E82" w:rsidTr="000F56AC">
        <w:trPr>
          <w:cantSplit/>
        </w:trPr>
        <w:tc>
          <w:tcPr>
            <w:tcW w:w="9576" w:type="dxa"/>
            <w:gridSpan w:val="4"/>
          </w:tcPr>
          <w:p w:rsidR="00630E4C" w:rsidRPr="00E85E82" w:rsidRDefault="00630E4C" w:rsidP="00630E4C">
            <w:pPr>
              <w:jc w:val="both"/>
              <w:rPr>
                <w:sz w:val="20"/>
                <w:szCs w:val="20"/>
              </w:rPr>
            </w:pPr>
            <w:r w:rsidRPr="00E85E82">
              <w:rPr>
                <w:sz w:val="20"/>
                <w:szCs w:val="20"/>
              </w:rPr>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E85E82">
              <w:rPr>
                <w:i/>
                <w:sz w:val="20"/>
                <w:szCs w:val="20"/>
              </w:rPr>
              <w:t>Controlled Drugs and Substances Act</w:t>
            </w:r>
            <w:r w:rsidRPr="00E85E82">
              <w:rPr>
                <w:sz w:val="20"/>
                <w:szCs w:val="20"/>
              </w:rPr>
              <w:t>, S.C. 1996, c. 19.</w:t>
            </w:r>
          </w:p>
          <w:p w:rsidR="00630E4C" w:rsidRPr="00E85E82" w:rsidRDefault="00630E4C" w:rsidP="00630E4C">
            <w:pPr>
              <w:jc w:val="both"/>
              <w:rPr>
                <w:sz w:val="20"/>
                <w:szCs w:val="20"/>
              </w:rPr>
            </w:pPr>
          </w:p>
        </w:tc>
      </w:tr>
      <w:tr w:rsidR="00630E4C" w:rsidRPr="00E85E82" w:rsidTr="000F56AC">
        <w:trPr>
          <w:cantSplit/>
        </w:trPr>
        <w:tc>
          <w:tcPr>
            <w:tcW w:w="9576" w:type="dxa"/>
            <w:gridSpan w:val="4"/>
          </w:tcPr>
          <w:p w:rsidR="00630E4C" w:rsidRPr="00E85E82" w:rsidRDefault="00630E4C" w:rsidP="00630E4C">
            <w:pPr>
              <w:jc w:val="both"/>
              <w:rPr>
                <w:sz w:val="20"/>
                <w:szCs w:val="20"/>
              </w:rPr>
            </w:pPr>
            <w:r w:rsidRPr="00E85E82">
              <w:rPr>
                <w:sz w:val="20"/>
                <w:szCs w:val="20"/>
              </w:rPr>
              <w:t xml:space="preserve">Since February 2014, approximately 300 self-represented plaintiffs, including the applicant, have filed identical claims seeking declarations that the </w:t>
            </w:r>
            <w:r w:rsidRPr="00E85E82">
              <w:rPr>
                <w:i/>
                <w:sz w:val="20"/>
                <w:szCs w:val="20"/>
              </w:rPr>
              <w:t>Marijuana Medical Access Regulations (“MMAR”)</w:t>
            </w:r>
            <w:r w:rsidRPr="00E85E82">
              <w:rPr>
                <w:sz w:val="20"/>
                <w:szCs w:val="20"/>
              </w:rPr>
              <w:t>, S.O.R./2001-227, which were repealed on March 31, 2014 and the</w:t>
            </w:r>
            <w:r w:rsidRPr="00E85E82">
              <w:rPr>
                <w:i/>
                <w:sz w:val="20"/>
                <w:szCs w:val="20"/>
              </w:rPr>
              <w:t xml:space="preserve"> Marijuana for Medical Purposes Regulations</w:t>
            </w:r>
            <w:r w:rsidRPr="00E85E82">
              <w:rPr>
                <w:sz w:val="20"/>
                <w:szCs w:val="20"/>
              </w:rPr>
              <w:t xml:space="preserve">, S.O.R./2013-119, which succeeded the </w:t>
            </w:r>
            <w:r w:rsidRPr="00E85E82">
              <w:rPr>
                <w:i/>
                <w:sz w:val="20"/>
                <w:szCs w:val="20"/>
              </w:rPr>
              <w:t>MMAR</w:t>
            </w:r>
            <w:r w:rsidRPr="00E85E82">
              <w:rPr>
                <w:sz w:val="20"/>
                <w:szCs w:val="20"/>
              </w:rPr>
              <w:t xml:space="preserve"> are unconstitutional. In the course of their actions, twenty-six plaintiffs, including the applicant, brought motions for interim constitutional exemptions from the </w:t>
            </w:r>
            <w:r w:rsidRPr="00E85E82">
              <w:rPr>
                <w:i/>
                <w:sz w:val="20"/>
                <w:szCs w:val="20"/>
              </w:rPr>
              <w:t>Controlled Drugs and Substances Act</w:t>
            </w:r>
            <w:r w:rsidRPr="00E85E82">
              <w:rPr>
                <w:sz w:val="20"/>
                <w:szCs w:val="20"/>
              </w:rPr>
              <w:t xml:space="preserve"> </w:t>
            </w:r>
            <w:r w:rsidRPr="00E85E82">
              <w:rPr>
                <w:i/>
                <w:sz w:val="20"/>
                <w:szCs w:val="20"/>
              </w:rPr>
              <w:t>(“CDSA”)</w:t>
            </w:r>
            <w:r w:rsidRPr="00E85E82">
              <w:rPr>
                <w:sz w:val="20"/>
                <w:szCs w:val="20"/>
              </w:rPr>
              <w:t xml:space="preserve"> for the personal use of marijuana pending trial of their actions.</w:t>
            </w:r>
          </w:p>
          <w:p w:rsidR="00630E4C" w:rsidRPr="00E85E82" w:rsidRDefault="00630E4C" w:rsidP="00630E4C">
            <w:pPr>
              <w:jc w:val="both"/>
              <w:rPr>
                <w:sz w:val="20"/>
                <w:szCs w:val="20"/>
              </w:rPr>
            </w:pPr>
          </w:p>
        </w:tc>
      </w:tr>
      <w:tr w:rsidR="00630E4C" w:rsidRPr="00E85E82" w:rsidTr="000F56AC">
        <w:trPr>
          <w:cantSplit/>
        </w:trPr>
        <w:tc>
          <w:tcPr>
            <w:tcW w:w="4410" w:type="dxa"/>
            <w:gridSpan w:val="2"/>
          </w:tcPr>
          <w:p w:rsidR="00630E4C" w:rsidRPr="00E85E82" w:rsidRDefault="00630E4C" w:rsidP="00630E4C">
            <w:pPr>
              <w:rPr>
                <w:sz w:val="20"/>
                <w:szCs w:val="20"/>
              </w:rPr>
            </w:pPr>
            <w:r w:rsidRPr="00E85E82">
              <w:rPr>
                <w:sz w:val="20"/>
                <w:szCs w:val="20"/>
              </w:rPr>
              <w:t>May 7, 2014</w:t>
            </w:r>
          </w:p>
          <w:p w:rsidR="00630E4C" w:rsidRPr="00E85E82" w:rsidRDefault="00630E4C" w:rsidP="00630E4C">
            <w:pPr>
              <w:rPr>
                <w:sz w:val="20"/>
                <w:szCs w:val="20"/>
              </w:rPr>
            </w:pPr>
            <w:r w:rsidRPr="00E85E82">
              <w:rPr>
                <w:sz w:val="20"/>
                <w:szCs w:val="20"/>
              </w:rPr>
              <w:t>Federal Court</w:t>
            </w:r>
          </w:p>
          <w:p w:rsidR="00630E4C" w:rsidRPr="00E85E82" w:rsidRDefault="00630E4C" w:rsidP="00630E4C">
            <w:pPr>
              <w:tabs>
                <w:tab w:val="left" w:pos="1558"/>
              </w:tabs>
              <w:rPr>
                <w:sz w:val="20"/>
                <w:szCs w:val="20"/>
              </w:rPr>
            </w:pPr>
            <w:r w:rsidRPr="00E85E82">
              <w:rPr>
                <w:sz w:val="20"/>
                <w:szCs w:val="20"/>
              </w:rPr>
              <w:t>(Phelan J.)</w:t>
            </w:r>
          </w:p>
          <w:p w:rsidR="00630E4C" w:rsidRPr="00E85E82" w:rsidRDefault="00630E4C" w:rsidP="00630E4C">
            <w:pPr>
              <w:tabs>
                <w:tab w:val="left" w:pos="1558"/>
              </w:tabs>
              <w:rPr>
                <w:sz w:val="20"/>
                <w:szCs w:val="20"/>
              </w:rPr>
            </w:pPr>
          </w:p>
        </w:tc>
        <w:tc>
          <w:tcPr>
            <w:tcW w:w="630" w:type="dxa"/>
          </w:tcPr>
          <w:p w:rsidR="00630E4C" w:rsidRPr="00E85E82" w:rsidRDefault="00630E4C" w:rsidP="00630E4C">
            <w:pPr>
              <w:pStyle w:val="SCCShortJudgment"/>
              <w:ind w:firstLine="0"/>
              <w:rPr>
                <w:rFonts w:cs="Times New Roman"/>
                <w:szCs w:val="20"/>
              </w:rPr>
            </w:pPr>
          </w:p>
        </w:tc>
        <w:tc>
          <w:tcPr>
            <w:tcW w:w="4536" w:type="dxa"/>
          </w:tcPr>
          <w:p w:rsidR="00630E4C" w:rsidRPr="00E85E82" w:rsidRDefault="00630E4C" w:rsidP="00630E4C">
            <w:pPr>
              <w:jc w:val="both"/>
              <w:rPr>
                <w:sz w:val="20"/>
                <w:szCs w:val="20"/>
              </w:rPr>
            </w:pPr>
            <w:r w:rsidRPr="00E85E82">
              <w:rPr>
                <w:sz w:val="20"/>
                <w:szCs w:val="20"/>
              </w:rPr>
              <w:t xml:space="preserve">Motion for interim constitutional exemptions from provisions of </w:t>
            </w:r>
            <w:r w:rsidRPr="00E85E82">
              <w:rPr>
                <w:i/>
                <w:sz w:val="20"/>
                <w:szCs w:val="20"/>
              </w:rPr>
              <w:t>Controlled Drugs and Substances Act</w:t>
            </w:r>
            <w:r w:rsidRPr="00E85E82">
              <w:rPr>
                <w:sz w:val="20"/>
                <w:szCs w:val="20"/>
              </w:rPr>
              <w:t xml:space="preserve"> dismissed</w:t>
            </w:r>
          </w:p>
          <w:p w:rsidR="00630E4C" w:rsidRPr="00E85E82" w:rsidRDefault="00630E4C" w:rsidP="00630E4C">
            <w:pPr>
              <w:jc w:val="both"/>
              <w:rPr>
                <w:rFonts w:cs="Times New Roman"/>
                <w:sz w:val="20"/>
                <w:szCs w:val="20"/>
              </w:rPr>
            </w:pPr>
          </w:p>
        </w:tc>
      </w:tr>
      <w:tr w:rsidR="00630E4C" w:rsidRPr="00E85E82" w:rsidTr="000F56AC">
        <w:trPr>
          <w:cantSplit/>
        </w:trPr>
        <w:tc>
          <w:tcPr>
            <w:tcW w:w="4410" w:type="dxa"/>
            <w:gridSpan w:val="2"/>
          </w:tcPr>
          <w:p w:rsidR="00630E4C" w:rsidRPr="00E85E82" w:rsidRDefault="00630E4C" w:rsidP="00630E4C">
            <w:pPr>
              <w:rPr>
                <w:sz w:val="20"/>
                <w:szCs w:val="20"/>
              </w:rPr>
            </w:pPr>
            <w:r w:rsidRPr="00E85E82">
              <w:rPr>
                <w:sz w:val="20"/>
                <w:szCs w:val="20"/>
              </w:rPr>
              <w:t>January 13, 2016</w:t>
            </w:r>
          </w:p>
          <w:p w:rsidR="00630E4C" w:rsidRPr="00E85E82" w:rsidRDefault="00630E4C" w:rsidP="00630E4C">
            <w:pPr>
              <w:rPr>
                <w:sz w:val="20"/>
                <w:szCs w:val="20"/>
              </w:rPr>
            </w:pPr>
            <w:r w:rsidRPr="00E85E82">
              <w:rPr>
                <w:sz w:val="20"/>
                <w:szCs w:val="20"/>
              </w:rPr>
              <w:t>Federal Court of Appeal</w:t>
            </w:r>
          </w:p>
          <w:p w:rsidR="00630E4C" w:rsidRPr="00E85E82" w:rsidRDefault="00630E4C" w:rsidP="00630E4C">
            <w:pPr>
              <w:rPr>
                <w:sz w:val="20"/>
                <w:szCs w:val="20"/>
              </w:rPr>
            </w:pPr>
            <w:r w:rsidRPr="00E85E82">
              <w:rPr>
                <w:sz w:val="20"/>
                <w:szCs w:val="20"/>
              </w:rPr>
              <w:t xml:space="preserve">(Pelletier, </w:t>
            </w:r>
            <w:proofErr w:type="spellStart"/>
            <w:r w:rsidRPr="00E85E82">
              <w:rPr>
                <w:sz w:val="20"/>
                <w:szCs w:val="20"/>
              </w:rPr>
              <w:t>Stratas</w:t>
            </w:r>
            <w:proofErr w:type="spellEnd"/>
            <w:r w:rsidRPr="00E85E82">
              <w:rPr>
                <w:sz w:val="20"/>
                <w:szCs w:val="20"/>
              </w:rPr>
              <w:t xml:space="preserve"> and Gleason JJ.A.)</w:t>
            </w:r>
          </w:p>
          <w:p w:rsidR="00630E4C" w:rsidRPr="00E85E82" w:rsidRDefault="00B407D6" w:rsidP="00630E4C">
            <w:pPr>
              <w:rPr>
                <w:rFonts w:eastAsia="Times New Roman" w:cs="Times New Roman"/>
                <w:sz w:val="20"/>
                <w:szCs w:val="20"/>
                <w:lang w:eastAsia="en-CA"/>
              </w:rPr>
            </w:pPr>
            <w:hyperlink r:id="rId56" w:history="1">
              <w:r w:rsidR="00630E4C" w:rsidRPr="00E85E82">
                <w:rPr>
                  <w:rFonts w:eastAsia="Times New Roman" w:cs="Times New Roman"/>
                  <w:color w:val="0000FF" w:themeColor="hyperlink"/>
                  <w:sz w:val="20"/>
                  <w:szCs w:val="20"/>
                  <w:u w:val="single"/>
                  <w:lang w:eastAsia="en-CA"/>
                </w:rPr>
                <w:t>2016 FCA 9</w:t>
              </w:r>
            </w:hyperlink>
          </w:p>
          <w:p w:rsidR="00630E4C" w:rsidRPr="00E85E82" w:rsidRDefault="00630E4C" w:rsidP="00630E4C">
            <w:pPr>
              <w:jc w:val="both"/>
              <w:rPr>
                <w:rFonts w:cs="Times New Roman"/>
                <w:sz w:val="20"/>
                <w:szCs w:val="20"/>
              </w:rPr>
            </w:pPr>
          </w:p>
        </w:tc>
        <w:tc>
          <w:tcPr>
            <w:tcW w:w="630" w:type="dxa"/>
          </w:tcPr>
          <w:p w:rsidR="00630E4C" w:rsidRPr="00E85E82" w:rsidRDefault="00630E4C" w:rsidP="00630E4C">
            <w:pPr>
              <w:pStyle w:val="SCCShortJudgment"/>
              <w:ind w:firstLine="0"/>
              <w:rPr>
                <w:rFonts w:cs="Times New Roman"/>
                <w:szCs w:val="20"/>
              </w:rPr>
            </w:pPr>
          </w:p>
        </w:tc>
        <w:tc>
          <w:tcPr>
            <w:tcW w:w="4536" w:type="dxa"/>
          </w:tcPr>
          <w:p w:rsidR="00630E4C" w:rsidRPr="00E85E82" w:rsidRDefault="00630E4C" w:rsidP="00630E4C">
            <w:pPr>
              <w:rPr>
                <w:sz w:val="20"/>
                <w:szCs w:val="20"/>
              </w:rPr>
            </w:pPr>
            <w:r w:rsidRPr="00E85E82">
              <w:rPr>
                <w:sz w:val="20"/>
                <w:szCs w:val="20"/>
              </w:rPr>
              <w:t>Appeal dismissed</w:t>
            </w:r>
          </w:p>
          <w:p w:rsidR="00630E4C" w:rsidRPr="00E85E82" w:rsidRDefault="00630E4C" w:rsidP="00630E4C">
            <w:pPr>
              <w:jc w:val="both"/>
              <w:rPr>
                <w:rFonts w:cs="Times New Roman"/>
                <w:sz w:val="20"/>
                <w:szCs w:val="20"/>
              </w:rPr>
            </w:pPr>
          </w:p>
        </w:tc>
      </w:tr>
      <w:tr w:rsidR="00630E4C" w:rsidRPr="00E85E82" w:rsidTr="000F56AC">
        <w:trPr>
          <w:cantSplit/>
        </w:trPr>
        <w:tc>
          <w:tcPr>
            <w:tcW w:w="4410" w:type="dxa"/>
            <w:gridSpan w:val="2"/>
          </w:tcPr>
          <w:p w:rsidR="00630E4C" w:rsidRPr="00E85E82" w:rsidRDefault="00630E4C" w:rsidP="00630E4C">
            <w:pPr>
              <w:rPr>
                <w:sz w:val="20"/>
                <w:szCs w:val="20"/>
              </w:rPr>
            </w:pPr>
            <w:r w:rsidRPr="00E85E82">
              <w:rPr>
                <w:sz w:val="20"/>
                <w:szCs w:val="20"/>
              </w:rPr>
              <w:t>March 15, 2016</w:t>
            </w:r>
          </w:p>
          <w:p w:rsidR="00630E4C" w:rsidRPr="00E85E82" w:rsidRDefault="00630E4C" w:rsidP="00630E4C">
            <w:pPr>
              <w:rPr>
                <w:sz w:val="20"/>
                <w:szCs w:val="20"/>
              </w:rPr>
            </w:pPr>
            <w:r w:rsidRPr="00E85E82">
              <w:rPr>
                <w:sz w:val="20"/>
                <w:szCs w:val="20"/>
              </w:rPr>
              <w:t>Supreme Court of Canada</w:t>
            </w:r>
          </w:p>
          <w:p w:rsidR="00630E4C" w:rsidRPr="00E85E82" w:rsidRDefault="00630E4C" w:rsidP="00630E4C">
            <w:pPr>
              <w:jc w:val="both"/>
              <w:rPr>
                <w:rFonts w:cs="Times New Roman"/>
                <w:sz w:val="20"/>
                <w:szCs w:val="20"/>
              </w:rPr>
            </w:pPr>
          </w:p>
        </w:tc>
        <w:tc>
          <w:tcPr>
            <w:tcW w:w="630" w:type="dxa"/>
          </w:tcPr>
          <w:p w:rsidR="00630E4C" w:rsidRPr="00E85E82" w:rsidRDefault="00630E4C" w:rsidP="00630E4C">
            <w:pPr>
              <w:pStyle w:val="SCCShortJudgment"/>
              <w:ind w:firstLine="0"/>
              <w:rPr>
                <w:rFonts w:cs="Times New Roman"/>
                <w:szCs w:val="20"/>
              </w:rPr>
            </w:pPr>
          </w:p>
        </w:tc>
        <w:tc>
          <w:tcPr>
            <w:tcW w:w="4536" w:type="dxa"/>
          </w:tcPr>
          <w:p w:rsidR="00630E4C" w:rsidRPr="00E85E82" w:rsidRDefault="00630E4C" w:rsidP="00630E4C">
            <w:pPr>
              <w:jc w:val="both"/>
              <w:rPr>
                <w:sz w:val="20"/>
                <w:szCs w:val="20"/>
              </w:rPr>
            </w:pPr>
            <w:r w:rsidRPr="00E85E82">
              <w:rPr>
                <w:sz w:val="20"/>
                <w:szCs w:val="20"/>
              </w:rPr>
              <w:t>Motion to extend time to serve and file application for leave to appeal and application for leave to appeal filed</w:t>
            </w:r>
          </w:p>
        </w:tc>
      </w:tr>
      <w:tr w:rsidR="00630E4C" w:rsidRPr="00E85E82" w:rsidTr="000F56AC">
        <w:trPr>
          <w:cantSplit/>
        </w:trPr>
        <w:tc>
          <w:tcPr>
            <w:tcW w:w="9576" w:type="dxa"/>
            <w:gridSpan w:val="4"/>
          </w:tcPr>
          <w:p w:rsidR="00630E4C" w:rsidRPr="00E85E82" w:rsidRDefault="00B407D6" w:rsidP="00630E4C">
            <w:pPr>
              <w:pStyle w:val="SCCShortJudgment"/>
              <w:ind w:firstLine="0"/>
              <w:rPr>
                <w:rFonts w:cs="Times New Roman"/>
                <w:szCs w:val="20"/>
                <w:lang w:val="fr-CA"/>
              </w:rPr>
            </w:pPr>
            <w:r>
              <w:rPr>
                <w:rFonts w:cs="Times New Roman"/>
                <w:szCs w:val="20"/>
                <w:lang w:val="fr-CA"/>
              </w:rPr>
              <w:pict>
                <v:rect id="_x0000_i1069" style="width:2in;height:1pt" o:hrpct="0" o:hralign="center" o:hrstd="t" o:hrnoshade="t" o:hr="t" fillcolor="black [3213]" stroked="f"/>
              </w:pict>
            </w:r>
          </w:p>
          <w:p w:rsidR="00630E4C" w:rsidRPr="00E85E82" w:rsidRDefault="00630E4C" w:rsidP="00630E4C">
            <w:pPr>
              <w:pStyle w:val="SCCShortJudgment"/>
              <w:ind w:firstLine="0"/>
              <w:rPr>
                <w:rFonts w:cs="Times New Roman"/>
                <w:szCs w:val="20"/>
                <w:lang w:val="fr-CA"/>
              </w:rPr>
            </w:pPr>
          </w:p>
        </w:tc>
      </w:tr>
      <w:tr w:rsidR="00630E4C" w:rsidRPr="00E85E82" w:rsidTr="000F56AC">
        <w:trPr>
          <w:cantSplit/>
        </w:trPr>
        <w:tc>
          <w:tcPr>
            <w:tcW w:w="9576" w:type="dxa"/>
            <w:gridSpan w:val="4"/>
          </w:tcPr>
          <w:p w:rsidR="00630E4C" w:rsidRPr="00E85E82" w:rsidRDefault="00630E4C" w:rsidP="00630E4C">
            <w:pPr>
              <w:pStyle w:val="SCCShortJudgment"/>
              <w:ind w:firstLine="0"/>
              <w:rPr>
                <w:rFonts w:cs="Times New Roman"/>
                <w:szCs w:val="20"/>
                <w:u w:val="single"/>
                <w:lang w:val="fr-CA"/>
              </w:rPr>
            </w:pPr>
            <w:r w:rsidRPr="00E85E82">
              <w:rPr>
                <w:rFonts w:cs="Times New Roman"/>
                <w:szCs w:val="20"/>
                <w:u w:val="single"/>
                <w:lang w:val="fr-CA"/>
              </w:rPr>
              <w:t>RÉSUMÉ DE L’AFFAIRE </w:t>
            </w:r>
          </w:p>
          <w:p w:rsidR="00630E4C" w:rsidRPr="00E85E82" w:rsidRDefault="00630E4C" w:rsidP="00630E4C">
            <w:pPr>
              <w:pStyle w:val="SCCShortJudgment"/>
              <w:ind w:firstLine="0"/>
              <w:rPr>
                <w:rFonts w:cs="Times New Roman"/>
                <w:szCs w:val="20"/>
                <w:u w:val="single"/>
                <w:lang w:val="fr-CA"/>
              </w:rPr>
            </w:pPr>
          </w:p>
        </w:tc>
      </w:tr>
      <w:tr w:rsidR="00630E4C" w:rsidRPr="00B407D6" w:rsidTr="000F56AC">
        <w:trPr>
          <w:cantSplit/>
        </w:trPr>
        <w:tc>
          <w:tcPr>
            <w:tcW w:w="9576" w:type="dxa"/>
            <w:gridSpan w:val="4"/>
          </w:tcPr>
          <w:p w:rsidR="00630E4C" w:rsidRPr="00E85E82" w:rsidRDefault="00A36BE5" w:rsidP="00630E4C">
            <w:pPr>
              <w:pStyle w:val="SCCShortJudgment"/>
              <w:ind w:firstLine="0"/>
              <w:rPr>
                <w:szCs w:val="20"/>
                <w:lang w:val="fr-CA"/>
              </w:rPr>
            </w:pPr>
            <w:r w:rsidRPr="00E85E82">
              <w:rPr>
                <w:szCs w:val="20"/>
                <w:lang w:val="fr-CA"/>
              </w:rPr>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E85E82">
              <w:rPr>
                <w:i/>
                <w:szCs w:val="20"/>
                <w:lang w:val="fr-CA"/>
              </w:rPr>
              <w:t>Loi réglementant certaines drogues et autres substances</w:t>
            </w:r>
            <w:r w:rsidRPr="00E85E82">
              <w:rPr>
                <w:szCs w:val="20"/>
                <w:lang w:val="fr-CA"/>
              </w:rPr>
              <w:t>, L.C., 1996, ch. 19.</w:t>
            </w:r>
          </w:p>
          <w:p w:rsidR="00A36BE5" w:rsidRPr="00E85E82" w:rsidRDefault="00A36BE5" w:rsidP="00630E4C">
            <w:pPr>
              <w:pStyle w:val="SCCShortJudgment"/>
              <w:ind w:firstLine="0"/>
              <w:rPr>
                <w:rFonts w:cs="Times New Roman"/>
                <w:szCs w:val="20"/>
                <w:u w:val="single"/>
                <w:lang w:val="fr-CA"/>
              </w:rPr>
            </w:pPr>
          </w:p>
        </w:tc>
      </w:tr>
      <w:tr w:rsidR="00A36BE5" w:rsidRPr="00B407D6" w:rsidTr="000F56AC">
        <w:trPr>
          <w:cantSplit/>
        </w:trPr>
        <w:tc>
          <w:tcPr>
            <w:tcW w:w="9576" w:type="dxa"/>
            <w:gridSpan w:val="4"/>
          </w:tcPr>
          <w:p w:rsidR="00A36BE5" w:rsidRPr="00E85E82" w:rsidRDefault="00A36BE5" w:rsidP="00A36BE5">
            <w:pPr>
              <w:jc w:val="both"/>
              <w:rPr>
                <w:sz w:val="20"/>
                <w:szCs w:val="20"/>
                <w:lang w:val="fr-CA"/>
              </w:rPr>
            </w:pPr>
            <w:r w:rsidRPr="00E85E82">
              <w:rPr>
                <w:sz w:val="20"/>
                <w:szCs w:val="20"/>
                <w:lang w:val="fr-CA"/>
              </w:rPr>
              <w:t xml:space="preserve">Depuis février 2014, environ 300 plaideurs non représentés, y compris le demandeur, ont déposé des demandes identiques sollicitant des jugements qui déclarent inconstitutionnels le </w:t>
            </w:r>
            <w:r w:rsidRPr="00E85E82">
              <w:rPr>
                <w:i/>
                <w:sz w:val="20"/>
                <w:szCs w:val="20"/>
                <w:lang w:val="fr-CA"/>
              </w:rPr>
              <w:t>Règlement sur l’accès à la marihuana à des fins médicales (« RAMFM »)</w:t>
            </w:r>
            <w:r w:rsidRPr="00E85E82">
              <w:rPr>
                <w:sz w:val="20"/>
                <w:szCs w:val="20"/>
                <w:lang w:val="fr-CA"/>
              </w:rPr>
              <w:t xml:space="preserve">, D.O.R.S./2001-227, abrogé le 31 mars 2014 et le </w:t>
            </w:r>
            <w:r w:rsidRPr="00E85E82">
              <w:rPr>
                <w:i/>
                <w:sz w:val="20"/>
                <w:szCs w:val="20"/>
                <w:lang w:val="fr-CA"/>
              </w:rPr>
              <w:t>Règlement sur la marihuana à des fins médicales</w:t>
            </w:r>
            <w:r w:rsidRPr="00E85E82">
              <w:rPr>
                <w:sz w:val="20"/>
                <w:szCs w:val="20"/>
                <w:lang w:val="fr-CA"/>
              </w:rPr>
              <w:t xml:space="preserve">, D.O.R.S./2013-119, qui a remplacé le </w:t>
            </w:r>
            <w:r w:rsidRPr="00E85E82">
              <w:rPr>
                <w:i/>
                <w:sz w:val="20"/>
                <w:szCs w:val="20"/>
                <w:lang w:val="fr-CA"/>
              </w:rPr>
              <w:t>RAMFM</w:t>
            </w:r>
            <w:r w:rsidRPr="00E85E82">
              <w:rPr>
                <w:sz w:val="20"/>
                <w:szCs w:val="20"/>
                <w:lang w:val="fr-CA"/>
              </w:rPr>
              <w:t xml:space="preserve">. Dans le cadre de leurs actions, vingt-six demandeurs en première instance, y compris le demandeur en l’espèce, ont présenté des requêtes en exemption constitutionnelle visant à écarter temporairement l’application de la </w:t>
            </w:r>
            <w:r w:rsidRPr="00E85E82">
              <w:rPr>
                <w:i/>
                <w:sz w:val="20"/>
                <w:szCs w:val="20"/>
                <w:lang w:val="fr-CA"/>
              </w:rPr>
              <w:t>Loi réglementant certaines drogues et autres substances («</w:t>
            </w:r>
            <w:r w:rsidRPr="00E85E82">
              <w:rPr>
                <w:sz w:val="20"/>
                <w:szCs w:val="20"/>
                <w:lang w:val="fr-CA"/>
              </w:rPr>
              <w:t> </w:t>
            </w:r>
            <w:r w:rsidRPr="00E85E82">
              <w:rPr>
                <w:i/>
                <w:sz w:val="20"/>
                <w:szCs w:val="20"/>
                <w:lang w:val="fr-CA"/>
              </w:rPr>
              <w:t>LRCDAS »)</w:t>
            </w:r>
            <w:r w:rsidRPr="00E85E82">
              <w:rPr>
                <w:sz w:val="20"/>
                <w:szCs w:val="20"/>
                <w:lang w:val="fr-CA"/>
              </w:rPr>
              <w:t xml:space="preserve"> pour l’utilisation personnelle de la marihuana en attendant que leurs actions soient instruites.</w:t>
            </w:r>
          </w:p>
          <w:p w:rsidR="00A36BE5" w:rsidRPr="00E85E82" w:rsidRDefault="00A36BE5" w:rsidP="00A36BE5">
            <w:pPr>
              <w:jc w:val="both"/>
              <w:rPr>
                <w:sz w:val="20"/>
                <w:szCs w:val="20"/>
                <w:lang w:val="fr-CA"/>
              </w:rPr>
            </w:pPr>
          </w:p>
        </w:tc>
      </w:tr>
      <w:tr w:rsidR="00A36BE5" w:rsidRPr="00B407D6" w:rsidTr="000F56AC">
        <w:trPr>
          <w:cantSplit/>
        </w:trPr>
        <w:tc>
          <w:tcPr>
            <w:tcW w:w="4410" w:type="dxa"/>
            <w:gridSpan w:val="2"/>
          </w:tcPr>
          <w:p w:rsidR="00A36BE5" w:rsidRPr="00E85E82" w:rsidRDefault="00A36BE5" w:rsidP="00A36BE5">
            <w:pPr>
              <w:rPr>
                <w:sz w:val="20"/>
                <w:szCs w:val="20"/>
                <w:lang w:val="fr-CA"/>
              </w:rPr>
            </w:pPr>
            <w:r w:rsidRPr="00E85E82">
              <w:rPr>
                <w:sz w:val="20"/>
                <w:szCs w:val="20"/>
                <w:lang w:val="fr-CA"/>
              </w:rPr>
              <w:t>7 mai 2014</w:t>
            </w:r>
          </w:p>
          <w:p w:rsidR="00A36BE5" w:rsidRPr="00E85E82" w:rsidRDefault="00A36BE5" w:rsidP="00A36BE5">
            <w:pPr>
              <w:rPr>
                <w:sz w:val="20"/>
                <w:szCs w:val="20"/>
                <w:lang w:val="fr-CA"/>
              </w:rPr>
            </w:pPr>
            <w:r w:rsidRPr="00E85E82">
              <w:rPr>
                <w:sz w:val="20"/>
                <w:szCs w:val="20"/>
                <w:lang w:val="fr-CA"/>
              </w:rPr>
              <w:t xml:space="preserve">Cour fédérale </w:t>
            </w:r>
          </w:p>
          <w:p w:rsidR="00A36BE5" w:rsidRPr="00E85E82" w:rsidRDefault="00A36BE5" w:rsidP="00A36BE5">
            <w:pPr>
              <w:pStyle w:val="SCCShortJudgment"/>
              <w:ind w:firstLine="0"/>
              <w:rPr>
                <w:szCs w:val="20"/>
                <w:lang w:val="fr-CA"/>
              </w:rPr>
            </w:pPr>
            <w:r w:rsidRPr="00E85E82">
              <w:rPr>
                <w:szCs w:val="20"/>
                <w:lang w:val="fr-CA"/>
              </w:rPr>
              <w:t>(Juge Phelan)</w:t>
            </w:r>
          </w:p>
          <w:p w:rsidR="00A36BE5" w:rsidRPr="00E85E82" w:rsidRDefault="00A36BE5" w:rsidP="00A36BE5">
            <w:pPr>
              <w:pStyle w:val="SCCShortJudgment"/>
              <w:ind w:firstLine="0"/>
              <w:rPr>
                <w:rFonts w:cs="Times New Roman"/>
                <w:szCs w:val="20"/>
                <w:u w:val="single"/>
                <w:lang w:val="fr-CA"/>
              </w:rPr>
            </w:pPr>
          </w:p>
        </w:tc>
        <w:tc>
          <w:tcPr>
            <w:tcW w:w="630" w:type="dxa"/>
          </w:tcPr>
          <w:p w:rsidR="00A36BE5" w:rsidRPr="00E85E82" w:rsidRDefault="00A36BE5" w:rsidP="00A36BE5">
            <w:pPr>
              <w:pStyle w:val="SCCShortJudgment"/>
              <w:ind w:firstLine="0"/>
              <w:rPr>
                <w:rFonts w:cs="Times New Roman"/>
                <w:szCs w:val="20"/>
                <w:u w:val="single"/>
                <w:lang w:val="fr-CA"/>
              </w:rPr>
            </w:pPr>
          </w:p>
        </w:tc>
        <w:tc>
          <w:tcPr>
            <w:tcW w:w="4536" w:type="dxa"/>
          </w:tcPr>
          <w:p w:rsidR="00A36BE5" w:rsidRPr="00E85E82" w:rsidRDefault="00A36BE5" w:rsidP="00A36BE5">
            <w:pPr>
              <w:jc w:val="both"/>
              <w:rPr>
                <w:sz w:val="20"/>
                <w:szCs w:val="20"/>
                <w:lang w:val="fr-CA"/>
              </w:rPr>
            </w:pPr>
            <w:r w:rsidRPr="00E85E82">
              <w:rPr>
                <w:sz w:val="20"/>
                <w:szCs w:val="20"/>
                <w:lang w:val="fr-CA"/>
              </w:rPr>
              <w:t xml:space="preserve">Rejet de la requête en exemption constitutionnelle visant à écarter temporairement l’application de la </w:t>
            </w:r>
            <w:r w:rsidRPr="00E85E82">
              <w:rPr>
                <w:i/>
                <w:sz w:val="20"/>
                <w:szCs w:val="20"/>
                <w:lang w:val="fr-CA"/>
              </w:rPr>
              <w:t>Loi réglementant certaines drogues et autres substances</w:t>
            </w:r>
          </w:p>
          <w:p w:rsidR="00A36BE5" w:rsidRPr="00E85E82" w:rsidRDefault="00A36BE5" w:rsidP="00A36BE5">
            <w:pPr>
              <w:pStyle w:val="SCCShortJudgment"/>
              <w:ind w:firstLine="0"/>
              <w:rPr>
                <w:rFonts w:cs="Times New Roman"/>
                <w:szCs w:val="20"/>
                <w:u w:val="single"/>
                <w:lang w:val="fr-CA"/>
              </w:rPr>
            </w:pPr>
          </w:p>
        </w:tc>
      </w:tr>
      <w:tr w:rsidR="00A36BE5" w:rsidRPr="00E85E82" w:rsidTr="000F56AC">
        <w:trPr>
          <w:cantSplit/>
        </w:trPr>
        <w:tc>
          <w:tcPr>
            <w:tcW w:w="4410" w:type="dxa"/>
            <w:gridSpan w:val="2"/>
          </w:tcPr>
          <w:p w:rsidR="00A36BE5" w:rsidRPr="00E85E82" w:rsidRDefault="00A36BE5" w:rsidP="00A36BE5">
            <w:pPr>
              <w:rPr>
                <w:sz w:val="20"/>
                <w:szCs w:val="20"/>
                <w:lang w:val="fr-CA"/>
              </w:rPr>
            </w:pPr>
            <w:r w:rsidRPr="00E85E82">
              <w:rPr>
                <w:sz w:val="20"/>
                <w:szCs w:val="20"/>
                <w:lang w:val="fr-CA"/>
              </w:rPr>
              <w:t>13 janvier 2016</w:t>
            </w:r>
          </w:p>
          <w:p w:rsidR="00A36BE5" w:rsidRPr="00E85E82" w:rsidRDefault="00A36BE5" w:rsidP="00A36BE5">
            <w:pPr>
              <w:rPr>
                <w:sz w:val="20"/>
                <w:szCs w:val="20"/>
                <w:lang w:val="fr-CA"/>
              </w:rPr>
            </w:pPr>
            <w:r w:rsidRPr="00E85E82">
              <w:rPr>
                <w:sz w:val="20"/>
                <w:szCs w:val="20"/>
                <w:lang w:val="fr-CA"/>
              </w:rPr>
              <w:t xml:space="preserve">Cour d’appel fédérale </w:t>
            </w:r>
          </w:p>
          <w:p w:rsidR="00A36BE5" w:rsidRPr="00E85E82" w:rsidRDefault="00A36BE5" w:rsidP="00A36BE5">
            <w:pPr>
              <w:rPr>
                <w:rFonts w:eastAsia="Times New Roman" w:cs="Times New Roman"/>
                <w:sz w:val="20"/>
                <w:szCs w:val="20"/>
                <w:lang w:val="fr-CA" w:eastAsia="en-CA"/>
              </w:rPr>
            </w:pPr>
            <w:r w:rsidRPr="00E85E82">
              <w:rPr>
                <w:rFonts w:eastAsia="Times New Roman" w:cs="Times New Roman"/>
                <w:sz w:val="20"/>
                <w:szCs w:val="20"/>
                <w:lang w:val="fr-CA" w:eastAsia="en-CA"/>
              </w:rPr>
              <w:t xml:space="preserve">(Juges Pelletier, </w:t>
            </w:r>
            <w:proofErr w:type="spellStart"/>
            <w:r w:rsidRPr="00E85E82">
              <w:rPr>
                <w:rFonts w:eastAsia="Times New Roman" w:cs="Times New Roman"/>
                <w:sz w:val="20"/>
                <w:szCs w:val="20"/>
                <w:lang w:val="fr-CA" w:eastAsia="en-CA"/>
              </w:rPr>
              <w:t>Stratas</w:t>
            </w:r>
            <w:proofErr w:type="spellEnd"/>
            <w:r w:rsidRPr="00E85E82">
              <w:rPr>
                <w:rFonts w:eastAsia="Times New Roman" w:cs="Times New Roman"/>
                <w:sz w:val="20"/>
                <w:szCs w:val="20"/>
                <w:lang w:val="fr-CA" w:eastAsia="en-CA"/>
              </w:rPr>
              <w:t xml:space="preserve"> et </w:t>
            </w:r>
            <w:proofErr w:type="spellStart"/>
            <w:r w:rsidRPr="00E85E82">
              <w:rPr>
                <w:rFonts w:eastAsia="Times New Roman" w:cs="Times New Roman"/>
                <w:sz w:val="20"/>
                <w:szCs w:val="20"/>
                <w:lang w:val="fr-CA" w:eastAsia="en-CA"/>
              </w:rPr>
              <w:t>Gleason</w:t>
            </w:r>
            <w:proofErr w:type="spellEnd"/>
            <w:r w:rsidRPr="00E85E82">
              <w:rPr>
                <w:rFonts w:eastAsia="Times New Roman" w:cs="Times New Roman"/>
                <w:sz w:val="20"/>
                <w:szCs w:val="20"/>
                <w:lang w:val="fr-CA" w:eastAsia="en-CA"/>
              </w:rPr>
              <w:t>)</w:t>
            </w:r>
          </w:p>
          <w:p w:rsidR="00A36BE5" w:rsidRPr="00E85E82" w:rsidRDefault="00B407D6" w:rsidP="00A36BE5">
            <w:pPr>
              <w:rPr>
                <w:rFonts w:eastAsia="Times New Roman" w:cs="Times New Roman"/>
                <w:sz w:val="20"/>
                <w:szCs w:val="20"/>
                <w:lang w:val="fr-CA" w:eastAsia="en-CA"/>
              </w:rPr>
            </w:pPr>
            <w:hyperlink r:id="rId57" w:history="1">
              <w:r w:rsidR="00A36BE5" w:rsidRPr="00E85E82">
                <w:rPr>
                  <w:rFonts w:eastAsia="Times New Roman" w:cs="Times New Roman"/>
                  <w:color w:val="0000FF" w:themeColor="hyperlink"/>
                  <w:sz w:val="20"/>
                  <w:szCs w:val="20"/>
                  <w:u w:val="single"/>
                  <w:lang w:val="fr-CA" w:eastAsia="en-CA"/>
                </w:rPr>
                <w:t>2016 FCA 9</w:t>
              </w:r>
            </w:hyperlink>
          </w:p>
          <w:p w:rsidR="00A36BE5" w:rsidRPr="00E85E82" w:rsidRDefault="00A36BE5" w:rsidP="00A36BE5">
            <w:pPr>
              <w:pStyle w:val="SCCShortJudgment"/>
              <w:ind w:firstLine="0"/>
              <w:rPr>
                <w:rFonts w:cs="Times New Roman"/>
                <w:szCs w:val="20"/>
                <w:u w:val="single"/>
                <w:lang w:val="fr-CA"/>
              </w:rPr>
            </w:pPr>
          </w:p>
        </w:tc>
        <w:tc>
          <w:tcPr>
            <w:tcW w:w="630" w:type="dxa"/>
          </w:tcPr>
          <w:p w:rsidR="00A36BE5" w:rsidRPr="00E85E82" w:rsidRDefault="00A36BE5" w:rsidP="00A36BE5">
            <w:pPr>
              <w:pStyle w:val="SCCShortJudgment"/>
              <w:ind w:firstLine="0"/>
              <w:rPr>
                <w:rFonts w:cs="Times New Roman"/>
                <w:szCs w:val="20"/>
                <w:u w:val="single"/>
                <w:lang w:val="fr-CA"/>
              </w:rPr>
            </w:pPr>
          </w:p>
        </w:tc>
        <w:tc>
          <w:tcPr>
            <w:tcW w:w="4536" w:type="dxa"/>
          </w:tcPr>
          <w:p w:rsidR="00A36BE5" w:rsidRPr="00E85E82" w:rsidRDefault="00A36BE5" w:rsidP="00A36BE5">
            <w:pPr>
              <w:tabs>
                <w:tab w:val="center" w:pos="2160"/>
              </w:tabs>
              <w:rPr>
                <w:sz w:val="20"/>
                <w:szCs w:val="20"/>
                <w:lang w:val="fr-CA"/>
              </w:rPr>
            </w:pPr>
            <w:r w:rsidRPr="00E85E82">
              <w:rPr>
                <w:sz w:val="20"/>
                <w:szCs w:val="20"/>
                <w:lang w:val="fr-CA"/>
              </w:rPr>
              <w:t>Rejet de l’appel</w:t>
            </w:r>
          </w:p>
          <w:p w:rsidR="00A36BE5" w:rsidRPr="00E85E82" w:rsidRDefault="00A36BE5" w:rsidP="00A36BE5">
            <w:pPr>
              <w:pStyle w:val="SCCShortJudgment"/>
              <w:ind w:firstLine="0"/>
              <w:rPr>
                <w:rFonts w:cs="Times New Roman"/>
                <w:szCs w:val="20"/>
                <w:u w:val="single"/>
                <w:lang w:val="fr-CA"/>
              </w:rPr>
            </w:pPr>
          </w:p>
        </w:tc>
      </w:tr>
      <w:tr w:rsidR="00A36BE5" w:rsidRPr="00B407D6" w:rsidTr="000F56AC">
        <w:trPr>
          <w:cantSplit/>
        </w:trPr>
        <w:tc>
          <w:tcPr>
            <w:tcW w:w="4410" w:type="dxa"/>
            <w:gridSpan w:val="2"/>
          </w:tcPr>
          <w:p w:rsidR="00A36BE5" w:rsidRPr="00E85E82" w:rsidRDefault="00A36BE5" w:rsidP="00A36BE5">
            <w:pPr>
              <w:rPr>
                <w:sz w:val="20"/>
                <w:szCs w:val="20"/>
                <w:lang w:val="fr-CA"/>
              </w:rPr>
            </w:pPr>
            <w:r w:rsidRPr="00E85E82">
              <w:rPr>
                <w:sz w:val="20"/>
                <w:szCs w:val="20"/>
                <w:lang w:val="fr-CA"/>
              </w:rPr>
              <w:t>15 mars 2016</w:t>
            </w:r>
          </w:p>
          <w:p w:rsidR="00A36BE5" w:rsidRPr="00E85E82" w:rsidRDefault="00A36BE5" w:rsidP="00A36BE5">
            <w:pPr>
              <w:rPr>
                <w:sz w:val="20"/>
                <w:szCs w:val="20"/>
                <w:lang w:val="fr-CA"/>
              </w:rPr>
            </w:pPr>
            <w:r w:rsidRPr="00E85E82">
              <w:rPr>
                <w:sz w:val="20"/>
                <w:szCs w:val="20"/>
                <w:lang w:val="fr-CA"/>
              </w:rPr>
              <w:t>Cour suprême du Canada</w:t>
            </w:r>
          </w:p>
          <w:p w:rsidR="00A36BE5" w:rsidRPr="00E85E82" w:rsidRDefault="00A36BE5" w:rsidP="00A36BE5">
            <w:pPr>
              <w:pStyle w:val="SCCShortJudgment"/>
              <w:ind w:firstLine="0"/>
              <w:rPr>
                <w:rFonts w:cs="Times New Roman"/>
                <w:szCs w:val="20"/>
                <w:u w:val="single"/>
                <w:lang w:val="fr-CA"/>
              </w:rPr>
            </w:pPr>
          </w:p>
        </w:tc>
        <w:tc>
          <w:tcPr>
            <w:tcW w:w="630" w:type="dxa"/>
          </w:tcPr>
          <w:p w:rsidR="00A36BE5" w:rsidRPr="00E85E82" w:rsidRDefault="00A36BE5" w:rsidP="00A36BE5">
            <w:pPr>
              <w:pStyle w:val="SCCShortJudgment"/>
              <w:ind w:firstLine="0"/>
              <w:rPr>
                <w:rFonts w:cs="Times New Roman"/>
                <w:szCs w:val="20"/>
                <w:u w:val="single"/>
                <w:lang w:val="fr-CA"/>
              </w:rPr>
            </w:pPr>
          </w:p>
        </w:tc>
        <w:tc>
          <w:tcPr>
            <w:tcW w:w="4536" w:type="dxa"/>
          </w:tcPr>
          <w:p w:rsidR="00A36BE5" w:rsidRPr="00E85E82" w:rsidRDefault="00A36BE5" w:rsidP="00A36BE5">
            <w:pPr>
              <w:pStyle w:val="SCCShortJudgment"/>
              <w:ind w:firstLine="0"/>
              <w:rPr>
                <w:szCs w:val="20"/>
                <w:lang w:val="fr-CA"/>
              </w:rPr>
            </w:pPr>
            <w:r w:rsidRPr="00E85E82">
              <w:rPr>
                <w:szCs w:val="20"/>
                <w:lang w:val="fr-CA"/>
              </w:rPr>
              <w:t>Dépôt de la requête en prorogation du délai de signification et de dépôt de la demande d’autorisation d’appel et de la demande d’autorisation d’appel</w:t>
            </w:r>
          </w:p>
          <w:p w:rsidR="004E22A8" w:rsidRPr="00E85E82" w:rsidRDefault="004E22A8" w:rsidP="00A36BE5">
            <w:pPr>
              <w:pStyle w:val="SCCShortJudgment"/>
              <w:ind w:firstLine="0"/>
              <w:rPr>
                <w:rFonts w:cs="Times New Roman"/>
                <w:szCs w:val="20"/>
                <w:u w:val="single"/>
                <w:lang w:val="fr-CA"/>
              </w:rPr>
            </w:pPr>
          </w:p>
        </w:tc>
      </w:tr>
    </w:tbl>
    <w:p w:rsidR="00232760" w:rsidRPr="00E85E82" w:rsidRDefault="00B407D6" w:rsidP="00232760">
      <w:pPr>
        <w:rPr>
          <w:rFonts w:cs="Times New Roman"/>
          <w:sz w:val="20"/>
          <w:szCs w:val="20"/>
          <w:lang w:val="fr-CA"/>
        </w:rPr>
      </w:pPr>
      <w:r>
        <w:rPr>
          <w:rFonts w:cs="Times New Roman"/>
          <w:sz w:val="20"/>
          <w:szCs w:val="20"/>
          <w:lang w:val="fr-CA"/>
        </w:rPr>
        <w:pict>
          <v:rect id="_x0000_i1070" style="width:2in;height:1pt" o:hrpct="0" o:hralign="center" o:hrstd="t" o:hrnoshade="t" o:hr="t" fillcolor="black [3213]" stroked="f"/>
        </w:pict>
      </w:r>
    </w:p>
    <w:p w:rsidR="00232760" w:rsidRPr="00E85E82" w:rsidRDefault="00232760" w:rsidP="0023276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Style w:val="SCCFileNumberChar"/>
                <w:sz w:val="20"/>
                <w:szCs w:val="20"/>
              </w:rPr>
              <w:t>36940</w:t>
            </w:r>
          </w:p>
          <w:p w:rsidR="00232760" w:rsidRPr="00E85E82" w:rsidRDefault="00232760" w:rsidP="000F56AC">
            <w:pPr>
              <w:jc w:val="both"/>
              <w:rPr>
                <w:rFonts w:cs="Times New Roman"/>
                <w:b/>
                <w:sz w:val="20"/>
                <w:szCs w:val="20"/>
              </w:rPr>
            </w:pPr>
          </w:p>
        </w:tc>
        <w:tc>
          <w:tcPr>
            <w:tcW w:w="8118" w:type="dxa"/>
            <w:gridSpan w:val="3"/>
          </w:tcPr>
          <w:p w:rsidR="00232760" w:rsidRPr="00E85E82" w:rsidRDefault="00934B0E" w:rsidP="000F56AC">
            <w:pPr>
              <w:jc w:val="both"/>
              <w:rPr>
                <w:rFonts w:cs="Times New Roman"/>
                <w:sz w:val="20"/>
                <w:szCs w:val="20"/>
              </w:rPr>
            </w:pPr>
            <w:r w:rsidRPr="00E85E82">
              <w:rPr>
                <w:rStyle w:val="SCCLsocChar"/>
                <w:rFonts w:cs="Times New Roman"/>
                <w:sz w:val="20"/>
                <w:szCs w:val="20"/>
                <w:lang w:val="en-CA"/>
              </w:rPr>
              <w:t>Elsie Gear</w:t>
            </w:r>
            <w:r w:rsidR="00232760" w:rsidRPr="00E85E82">
              <w:rPr>
                <w:rStyle w:val="SCCLsocChar"/>
                <w:rFonts w:cs="Times New Roman"/>
                <w:sz w:val="20"/>
                <w:szCs w:val="20"/>
                <w:lang w:val="en-CA"/>
              </w:rPr>
              <w:t xml:space="preserve"> v. </w:t>
            </w:r>
            <w:r w:rsidRPr="00E85E82">
              <w:rPr>
                <w:rStyle w:val="SCCLsocChar"/>
                <w:rFonts w:cs="Times New Roman"/>
                <w:sz w:val="20"/>
                <w:szCs w:val="20"/>
                <w:lang w:val="en-CA"/>
              </w:rPr>
              <w:t>Her Majesty the Queen</w:t>
            </w:r>
            <w:r w:rsidR="00232760" w:rsidRPr="00E85E82">
              <w:rPr>
                <w:rStyle w:val="SCCLsocChar"/>
                <w:rFonts w:cs="Times New Roman"/>
                <w:sz w:val="20"/>
                <w:szCs w:val="20"/>
                <w:u w:val="none"/>
                <w:lang w:val="en-CA"/>
              </w:rPr>
              <w:t xml:space="preserve"> </w:t>
            </w:r>
            <w:r w:rsidR="00232760" w:rsidRPr="00E85E82">
              <w:rPr>
                <w:rFonts w:cs="Times New Roman"/>
                <w:sz w:val="20"/>
                <w:szCs w:val="20"/>
              </w:rPr>
              <w:t>(</w:t>
            </w:r>
            <w:r w:rsidRPr="00E85E82">
              <w:rPr>
                <w:rFonts w:cs="Times New Roman"/>
                <w:sz w:val="20"/>
                <w:szCs w:val="20"/>
              </w:rPr>
              <w:t>F.C</w:t>
            </w:r>
            <w:r w:rsidR="00232760" w:rsidRPr="00E85E82">
              <w:rPr>
                <w:rFonts w:cs="Times New Roman"/>
                <w:sz w:val="20"/>
                <w:szCs w:val="20"/>
              </w:rPr>
              <w:t>.) (Civil) (By Leave)</w:t>
            </w:r>
          </w:p>
          <w:p w:rsidR="00232760" w:rsidRPr="00E85E82" w:rsidRDefault="00232760" w:rsidP="000F56AC">
            <w:pPr>
              <w:jc w:val="both"/>
              <w:rPr>
                <w:rFonts w:cs="Times New Roman"/>
                <w:sz w:val="20"/>
                <w:szCs w:val="20"/>
              </w:rPr>
            </w:pPr>
          </w:p>
        </w:tc>
      </w:tr>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Fonts w:cs="Times New Roman"/>
                <w:sz w:val="20"/>
                <w:szCs w:val="20"/>
              </w:rPr>
              <w:t>Coram :</w:t>
            </w:r>
          </w:p>
        </w:tc>
        <w:tc>
          <w:tcPr>
            <w:tcW w:w="8118" w:type="dxa"/>
            <w:gridSpan w:val="3"/>
          </w:tcPr>
          <w:p w:rsidR="00232760" w:rsidRPr="00E85E82" w:rsidRDefault="00232760" w:rsidP="000F56AC">
            <w:pPr>
              <w:jc w:val="both"/>
              <w:rPr>
                <w:rStyle w:val="SCCCoramChar"/>
                <w:sz w:val="20"/>
                <w:szCs w:val="20"/>
                <w:lang w:val="en-CA"/>
              </w:rPr>
            </w:pPr>
            <w:r w:rsidRPr="00E85E82">
              <w:rPr>
                <w:rStyle w:val="SCCCoramChar"/>
                <w:sz w:val="20"/>
                <w:szCs w:val="20"/>
                <w:lang w:val="en-CA"/>
              </w:rPr>
              <w:t>McLachlin C.J. and Moldaver and Gascon JJ.</w:t>
            </w:r>
          </w:p>
          <w:p w:rsidR="00232760" w:rsidRPr="00E85E82" w:rsidRDefault="00232760" w:rsidP="000F56AC">
            <w:pPr>
              <w:jc w:val="both"/>
              <w:rPr>
                <w:rFonts w:cs="Times New Roman"/>
                <w:sz w:val="20"/>
                <w:szCs w:val="20"/>
                <w:u w:val="single"/>
              </w:rPr>
            </w:pPr>
          </w:p>
        </w:tc>
      </w:tr>
      <w:tr w:rsidR="00232760" w:rsidRPr="00B407D6" w:rsidTr="00232760">
        <w:tc>
          <w:tcPr>
            <w:tcW w:w="9576" w:type="dxa"/>
            <w:gridSpan w:val="4"/>
          </w:tcPr>
          <w:p w:rsidR="00312B5E" w:rsidRPr="00E85E82" w:rsidRDefault="00312B5E" w:rsidP="00312B5E">
            <w:pPr>
              <w:pStyle w:val="SCCShortJudgment"/>
            </w:pPr>
            <w:r w:rsidRPr="00E85E82">
              <w:t>The motion for an extension of time to serve and file the application for leave to appeal is granted.  The application for leave to appeal from the judgment of the Federal Court of Appeal, Numbers A-336-14 and A-342-14, 2016 FCA 9, dated January 13, 2016, is dismissed with costs.</w:t>
            </w:r>
          </w:p>
          <w:p w:rsidR="00312B5E" w:rsidRPr="00E85E82" w:rsidRDefault="00312B5E" w:rsidP="00312B5E">
            <w:pPr>
              <w:pStyle w:val="SCCShortJudgment"/>
              <w:ind w:firstLine="0"/>
            </w:pPr>
          </w:p>
          <w:p w:rsidR="00312B5E" w:rsidRPr="00C556BB" w:rsidRDefault="00312B5E" w:rsidP="00312B5E">
            <w:pPr>
              <w:pStyle w:val="SCCShortJudgment"/>
              <w:rPr>
                <w:lang w:val="fr-CA"/>
              </w:rPr>
            </w:pPr>
            <w:r w:rsidRPr="00C556BB">
              <w:rPr>
                <w:lang w:val="fr-CA"/>
              </w:rPr>
              <w:t>La requête en prorogation du délai de signification et de dépôt de la demande d’autorisation d’appel est accueillie. La demande d’autorisation d’appel de l’arrêt de la Cour d’appel fédérale, numéros A-336-14 et A-342-14, 2016 FCA 9, daté du 13 janvier 2016, est rejetée avec dépens.</w:t>
            </w:r>
          </w:p>
          <w:p w:rsidR="00232760" w:rsidRPr="00E85E82" w:rsidRDefault="00232760" w:rsidP="000F56AC">
            <w:pPr>
              <w:pStyle w:val="SCCShortJudgment"/>
              <w:ind w:firstLine="0"/>
              <w:rPr>
                <w:rFonts w:cs="Times New Roman"/>
                <w:szCs w:val="20"/>
                <w:lang w:val="fr-CA"/>
              </w:rPr>
            </w:pPr>
          </w:p>
        </w:tc>
      </w:tr>
      <w:tr w:rsidR="00232760" w:rsidRPr="00E85E82" w:rsidTr="000F56AC">
        <w:trPr>
          <w:cantSplit/>
        </w:trPr>
        <w:tc>
          <w:tcPr>
            <w:tcW w:w="9576" w:type="dxa"/>
            <w:gridSpan w:val="4"/>
          </w:tcPr>
          <w:p w:rsidR="00232760" w:rsidRPr="00E85E82" w:rsidRDefault="00232760" w:rsidP="000F56AC">
            <w:pPr>
              <w:pStyle w:val="SCCShortJudgment"/>
              <w:ind w:firstLine="0"/>
              <w:rPr>
                <w:rFonts w:cs="Times New Roman"/>
                <w:szCs w:val="20"/>
                <w:u w:val="single"/>
                <w:lang w:val="fr-CA"/>
              </w:rPr>
            </w:pPr>
            <w:r w:rsidRPr="00E85E82">
              <w:rPr>
                <w:rFonts w:cs="Times New Roman"/>
                <w:szCs w:val="20"/>
                <w:u w:val="single"/>
                <w:lang w:val="fr-CA"/>
              </w:rPr>
              <w:t>CASE SUMMARY</w:t>
            </w:r>
          </w:p>
          <w:p w:rsidR="00232760" w:rsidRPr="00E85E82" w:rsidRDefault="00232760" w:rsidP="000F56AC">
            <w:pPr>
              <w:pStyle w:val="SCCShortJudgment"/>
              <w:ind w:firstLine="0"/>
              <w:rPr>
                <w:rFonts w:cs="Times New Roman"/>
                <w:szCs w:val="20"/>
                <w:u w:val="single"/>
                <w:lang w:val="fr-CA"/>
              </w:rPr>
            </w:pPr>
          </w:p>
        </w:tc>
      </w:tr>
      <w:tr w:rsidR="00232760" w:rsidRPr="00E85E82" w:rsidTr="000F56AC">
        <w:trPr>
          <w:cantSplit/>
        </w:trPr>
        <w:tc>
          <w:tcPr>
            <w:tcW w:w="9576" w:type="dxa"/>
            <w:gridSpan w:val="4"/>
          </w:tcPr>
          <w:p w:rsidR="00232760" w:rsidRPr="00E85E82" w:rsidRDefault="004B51D9" w:rsidP="000F56AC">
            <w:pPr>
              <w:pStyle w:val="SCCShortJudgment"/>
              <w:ind w:firstLine="0"/>
              <w:rPr>
                <w:szCs w:val="20"/>
              </w:rPr>
            </w:pPr>
            <w:r w:rsidRPr="00E85E82">
              <w:rPr>
                <w:szCs w:val="20"/>
              </w:rPr>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E85E82">
              <w:rPr>
                <w:i/>
                <w:szCs w:val="20"/>
              </w:rPr>
              <w:t>Controlled Drugs and Substances Act</w:t>
            </w:r>
            <w:r w:rsidRPr="00E85E82">
              <w:rPr>
                <w:szCs w:val="20"/>
              </w:rPr>
              <w:t>, S.C. 1996, c. 19.</w:t>
            </w:r>
          </w:p>
          <w:p w:rsidR="004B51D9" w:rsidRPr="00E85E82" w:rsidRDefault="004B51D9" w:rsidP="000F56AC">
            <w:pPr>
              <w:pStyle w:val="SCCShortJudgment"/>
              <w:ind w:firstLine="0"/>
              <w:rPr>
                <w:rFonts w:cs="Times New Roman"/>
                <w:szCs w:val="20"/>
              </w:rPr>
            </w:pPr>
          </w:p>
        </w:tc>
      </w:tr>
      <w:tr w:rsidR="004B51D9" w:rsidRPr="00E85E82" w:rsidTr="000F56AC">
        <w:trPr>
          <w:cantSplit/>
        </w:trPr>
        <w:tc>
          <w:tcPr>
            <w:tcW w:w="9576" w:type="dxa"/>
            <w:gridSpan w:val="4"/>
          </w:tcPr>
          <w:p w:rsidR="004B51D9" w:rsidRPr="00E85E82" w:rsidRDefault="004B51D9" w:rsidP="004B51D9">
            <w:pPr>
              <w:jc w:val="both"/>
              <w:rPr>
                <w:sz w:val="20"/>
                <w:szCs w:val="20"/>
              </w:rPr>
            </w:pPr>
            <w:r w:rsidRPr="00E85E82">
              <w:rPr>
                <w:sz w:val="20"/>
                <w:szCs w:val="20"/>
              </w:rPr>
              <w:t xml:space="preserve">Since February 2014, approximately 300 self-represented plaintiffs, including the applicant, have filed identical claims seeking declarations that the </w:t>
            </w:r>
            <w:r w:rsidRPr="00E85E82">
              <w:rPr>
                <w:i/>
                <w:sz w:val="20"/>
                <w:szCs w:val="20"/>
              </w:rPr>
              <w:t>marijuana medical access regulations (“MMAR”)</w:t>
            </w:r>
            <w:r w:rsidRPr="00E85E82">
              <w:rPr>
                <w:sz w:val="20"/>
                <w:szCs w:val="20"/>
              </w:rPr>
              <w:t>, S.O.R./2001-227, which were repealed on March 31, 2014 and the</w:t>
            </w:r>
            <w:r w:rsidRPr="00E85E82">
              <w:rPr>
                <w:i/>
                <w:sz w:val="20"/>
                <w:szCs w:val="20"/>
              </w:rPr>
              <w:t xml:space="preserve"> marijuana for medical purposes regulations</w:t>
            </w:r>
            <w:r w:rsidRPr="00E85E82">
              <w:rPr>
                <w:sz w:val="20"/>
                <w:szCs w:val="20"/>
              </w:rPr>
              <w:t xml:space="preserve">, S.O.R./2013-119, which succeeded the </w:t>
            </w:r>
            <w:r w:rsidRPr="00E85E82">
              <w:rPr>
                <w:i/>
                <w:sz w:val="20"/>
                <w:szCs w:val="20"/>
              </w:rPr>
              <w:t xml:space="preserve">MMRA </w:t>
            </w:r>
            <w:r w:rsidRPr="00E85E82">
              <w:rPr>
                <w:sz w:val="20"/>
                <w:szCs w:val="20"/>
              </w:rPr>
              <w:t xml:space="preserve">are unconstitutional. In the course of their actions, twenty-six plaintiffs, including the applicant, brought motions for interim constitutional exemptions from the </w:t>
            </w:r>
            <w:r w:rsidRPr="00E85E82">
              <w:rPr>
                <w:i/>
                <w:sz w:val="20"/>
                <w:szCs w:val="20"/>
              </w:rPr>
              <w:t>controlled drugs and substances act</w:t>
            </w:r>
            <w:r w:rsidRPr="00E85E82">
              <w:rPr>
                <w:sz w:val="20"/>
                <w:szCs w:val="20"/>
              </w:rPr>
              <w:t xml:space="preserve"> </w:t>
            </w:r>
            <w:r w:rsidRPr="00E85E82">
              <w:rPr>
                <w:i/>
                <w:sz w:val="20"/>
                <w:szCs w:val="20"/>
              </w:rPr>
              <w:t>(“CDSA”)</w:t>
            </w:r>
            <w:r w:rsidRPr="00E85E82">
              <w:rPr>
                <w:sz w:val="20"/>
                <w:szCs w:val="20"/>
              </w:rPr>
              <w:t xml:space="preserve"> for the personal use of marijuana pending trial of their actions.</w:t>
            </w:r>
          </w:p>
          <w:p w:rsidR="004B51D9" w:rsidRPr="00E85E82" w:rsidRDefault="004B51D9" w:rsidP="004B51D9">
            <w:pPr>
              <w:jc w:val="both"/>
              <w:rPr>
                <w:sz w:val="20"/>
                <w:szCs w:val="20"/>
              </w:rPr>
            </w:pPr>
          </w:p>
        </w:tc>
      </w:tr>
      <w:tr w:rsidR="004B51D9" w:rsidRPr="00E85E82" w:rsidTr="000F56AC">
        <w:trPr>
          <w:cantSplit/>
        </w:trPr>
        <w:tc>
          <w:tcPr>
            <w:tcW w:w="4410" w:type="dxa"/>
            <w:gridSpan w:val="2"/>
          </w:tcPr>
          <w:p w:rsidR="004B51D9" w:rsidRPr="00E85E82" w:rsidRDefault="004B51D9" w:rsidP="004B51D9">
            <w:pPr>
              <w:rPr>
                <w:sz w:val="20"/>
                <w:szCs w:val="20"/>
              </w:rPr>
            </w:pPr>
            <w:r w:rsidRPr="00E85E82">
              <w:rPr>
                <w:sz w:val="20"/>
                <w:szCs w:val="20"/>
              </w:rPr>
              <w:t>May 7, 2015</w:t>
            </w:r>
          </w:p>
          <w:p w:rsidR="004B51D9" w:rsidRPr="00E85E82" w:rsidRDefault="004B51D9" w:rsidP="004B51D9">
            <w:pPr>
              <w:rPr>
                <w:sz w:val="20"/>
                <w:szCs w:val="20"/>
              </w:rPr>
            </w:pPr>
            <w:r w:rsidRPr="00E85E82">
              <w:rPr>
                <w:sz w:val="20"/>
                <w:szCs w:val="20"/>
              </w:rPr>
              <w:t>Federal Court</w:t>
            </w:r>
          </w:p>
          <w:p w:rsidR="004B51D9" w:rsidRPr="00E85E82" w:rsidRDefault="004B51D9" w:rsidP="004B51D9">
            <w:pPr>
              <w:rPr>
                <w:sz w:val="20"/>
                <w:szCs w:val="20"/>
              </w:rPr>
            </w:pPr>
            <w:r w:rsidRPr="00E85E82">
              <w:rPr>
                <w:sz w:val="20"/>
                <w:szCs w:val="20"/>
              </w:rPr>
              <w:t>(Phelan J.)</w:t>
            </w:r>
          </w:p>
          <w:p w:rsidR="004B51D9" w:rsidRPr="00E85E82" w:rsidRDefault="004B51D9" w:rsidP="004B51D9">
            <w:pPr>
              <w:jc w:val="both"/>
              <w:rPr>
                <w:rFonts w:cs="Times New Roman"/>
                <w:sz w:val="20"/>
                <w:szCs w:val="20"/>
              </w:rPr>
            </w:pPr>
          </w:p>
        </w:tc>
        <w:tc>
          <w:tcPr>
            <w:tcW w:w="630" w:type="dxa"/>
          </w:tcPr>
          <w:p w:rsidR="004B51D9" w:rsidRPr="00E85E82" w:rsidRDefault="004B51D9" w:rsidP="004B51D9">
            <w:pPr>
              <w:pStyle w:val="SCCShortJudgment"/>
              <w:ind w:firstLine="0"/>
              <w:rPr>
                <w:rFonts w:cs="Times New Roman"/>
                <w:szCs w:val="20"/>
              </w:rPr>
            </w:pPr>
          </w:p>
        </w:tc>
        <w:tc>
          <w:tcPr>
            <w:tcW w:w="4536" w:type="dxa"/>
          </w:tcPr>
          <w:p w:rsidR="004B51D9" w:rsidRPr="00E85E82" w:rsidRDefault="004B51D9" w:rsidP="004B51D9">
            <w:pPr>
              <w:jc w:val="both"/>
              <w:rPr>
                <w:sz w:val="20"/>
                <w:szCs w:val="20"/>
              </w:rPr>
            </w:pPr>
            <w:r w:rsidRPr="00E85E82">
              <w:rPr>
                <w:sz w:val="20"/>
                <w:szCs w:val="20"/>
              </w:rPr>
              <w:t xml:space="preserve">Motion for interim constitutional exemptions from provisions of </w:t>
            </w:r>
            <w:r w:rsidRPr="00E85E82">
              <w:rPr>
                <w:i/>
                <w:sz w:val="20"/>
                <w:szCs w:val="20"/>
              </w:rPr>
              <w:t>Controlled Drugs and Substances Act</w:t>
            </w:r>
            <w:r w:rsidRPr="00E85E82">
              <w:rPr>
                <w:sz w:val="20"/>
                <w:szCs w:val="20"/>
              </w:rPr>
              <w:t xml:space="preserve"> dismissed</w:t>
            </w:r>
          </w:p>
          <w:p w:rsidR="004B51D9" w:rsidRPr="00E85E82" w:rsidRDefault="004B51D9" w:rsidP="004B51D9">
            <w:pPr>
              <w:jc w:val="both"/>
              <w:rPr>
                <w:rFonts w:cs="Times New Roman"/>
                <w:sz w:val="20"/>
                <w:szCs w:val="20"/>
              </w:rPr>
            </w:pPr>
          </w:p>
        </w:tc>
      </w:tr>
      <w:tr w:rsidR="004B51D9" w:rsidRPr="00E85E82" w:rsidTr="000F56AC">
        <w:trPr>
          <w:cantSplit/>
        </w:trPr>
        <w:tc>
          <w:tcPr>
            <w:tcW w:w="4410" w:type="dxa"/>
            <w:gridSpan w:val="2"/>
          </w:tcPr>
          <w:p w:rsidR="004B51D9" w:rsidRPr="00E85E82" w:rsidRDefault="004B51D9" w:rsidP="004B51D9">
            <w:pPr>
              <w:rPr>
                <w:sz w:val="20"/>
                <w:szCs w:val="20"/>
              </w:rPr>
            </w:pPr>
            <w:r w:rsidRPr="00E85E82">
              <w:rPr>
                <w:sz w:val="20"/>
                <w:szCs w:val="20"/>
              </w:rPr>
              <w:t>January 13, 2016</w:t>
            </w:r>
          </w:p>
          <w:p w:rsidR="004B51D9" w:rsidRPr="00E85E82" w:rsidRDefault="004B51D9" w:rsidP="004B51D9">
            <w:pPr>
              <w:rPr>
                <w:sz w:val="20"/>
                <w:szCs w:val="20"/>
              </w:rPr>
            </w:pPr>
            <w:r w:rsidRPr="00E85E82">
              <w:rPr>
                <w:sz w:val="20"/>
                <w:szCs w:val="20"/>
              </w:rPr>
              <w:t>Federal Court of Appeal</w:t>
            </w:r>
          </w:p>
          <w:p w:rsidR="004B51D9" w:rsidRPr="00E85E82" w:rsidRDefault="004B51D9" w:rsidP="004B51D9">
            <w:pPr>
              <w:rPr>
                <w:sz w:val="20"/>
                <w:szCs w:val="20"/>
              </w:rPr>
            </w:pPr>
            <w:r w:rsidRPr="00E85E82">
              <w:rPr>
                <w:sz w:val="20"/>
                <w:szCs w:val="20"/>
              </w:rPr>
              <w:t xml:space="preserve">(Pelletier, </w:t>
            </w:r>
            <w:proofErr w:type="spellStart"/>
            <w:r w:rsidRPr="00E85E82">
              <w:rPr>
                <w:sz w:val="20"/>
                <w:szCs w:val="20"/>
              </w:rPr>
              <w:t>Stratas</w:t>
            </w:r>
            <w:proofErr w:type="spellEnd"/>
            <w:r w:rsidRPr="00E85E82">
              <w:rPr>
                <w:sz w:val="20"/>
                <w:szCs w:val="20"/>
              </w:rPr>
              <w:t xml:space="preserve"> and Gleason JJ.A.)</w:t>
            </w:r>
          </w:p>
          <w:p w:rsidR="004B51D9" w:rsidRPr="00E85E82" w:rsidRDefault="00B407D6" w:rsidP="004B51D9">
            <w:pPr>
              <w:rPr>
                <w:rFonts w:eastAsia="Times New Roman" w:cs="Times New Roman"/>
                <w:sz w:val="20"/>
                <w:szCs w:val="20"/>
                <w:lang w:eastAsia="en-CA"/>
              </w:rPr>
            </w:pPr>
            <w:hyperlink r:id="rId58" w:history="1">
              <w:r w:rsidR="004B51D9" w:rsidRPr="00E85E82">
                <w:rPr>
                  <w:rFonts w:eastAsia="Times New Roman" w:cs="Times New Roman"/>
                  <w:color w:val="0000FF" w:themeColor="hyperlink"/>
                  <w:sz w:val="20"/>
                  <w:szCs w:val="20"/>
                  <w:u w:val="single"/>
                  <w:lang w:eastAsia="en-CA"/>
                </w:rPr>
                <w:t>2016 FCA 9</w:t>
              </w:r>
            </w:hyperlink>
          </w:p>
          <w:p w:rsidR="004B51D9" w:rsidRPr="00E85E82" w:rsidRDefault="004B51D9" w:rsidP="004B51D9">
            <w:pPr>
              <w:jc w:val="both"/>
              <w:rPr>
                <w:rFonts w:cs="Times New Roman"/>
                <w:sz w:val="20"/>
                <w:szCs w:val="20"/>
              </w:rPr>
            </w:pPr>
          </w:p>
        </w:tc>
        <w:tc>
          <w:tcPr>
            <w:tcW w:w="630" w:type="dxa"/>
          </w:tcPr>
          <w:p w:rsidR="004B51D9" w:rsidRPr="00E85E82" w:rsidRDefault="004B51D9" w:rsidP="004B51D9">
            <w:pPr>
              <w:pStyle w:val="SCCShortJudgment"/>
              <w:ind w:firstLine="0"/>
              <w:rPr>
                <w:rFonts w:cs="Times New Roman"/>
                <w:szCs w:val="20"/>
              </w:rPr>
            </w:pPr>
          </w:p>
        </w:tc>
        <w:tc>
          <w:tcPr>
            <w:tcW w:w="4536" w:type="dxa"/>
          </w:tcPr>
          <w:p w:rsidR="004B51D9" w:rsidRPr="00E85E82" w:rsidRDefault="004B51D9" w:rsidP="004B51D9">
            <w:pPr>
              <w:rPr>
                <w:sz w:val="20"/>
                <w:szCs w:val="20"/>
              </w:rPr>
            </w:pPr>
            <w:r w:rsidRPr="00E85E82">
              <w:rPr>
                <w:sz w:val="20"/>
                <w:szCs w:val="20"/>
              </w:rPr>
              <w:t>Appeal dismissed</w:t>
            </w:r>
          </w:p>
        </w:tc>
      </w:tr>
      <w:tr w:rsidR="004B51D9" w:rsidRPr="00E85E82" w:rsidTr="000F56AC">
        <w:trPr>
          <w:cantSplit/>
        </w:trPr>
        <w:tc>
          <w:tcPr>
            <w:tcW w:w="4410" w:type="dxa"/>
            <w:gridSpan w:val="2"/>
          </w:tcPr>
          <w:p w:rsidR="004B51D9" w:rsidRPr="00E85E82" w:rsidRDefault="004B51D9" w:rsidP="004B51D9">
            <w:pPr>
              <w:rPr>
                <w:sz w:val="20"/>
                <w:szCs w:val="20"/>
              </w:rPr>
            </w:pPr>
            <w:r w:rsidRPr="00E85E82">
              <w:rPr>
                <w:sz w:val="20"/>
                <w:szCs w:val="20"/>
              </w:rPr>
              <w:t>March 29, 2016</w:t>
            </w:r>
          </w:p>
          <w:p w:rsidR="004B51D9" w:rsidRPr="00E85E82" w:rsidRDefault="004B51D9" w:rsidP="004B51D9">
            <w:pPr>
              <w:rPr>
                <w:sz w:val="20"/>
                <w:szCs w:val="20"/>
              </w:rPr>
            </w:pPr>
            <w:r w:rsidRPr="00E85E82">
              <w:rPr>
                <w:sz w:val="20"/>
                <w:szCs w:val="20"/>
              </w:rPr>
              <w:t>Supreme Court of Canada</w:t>
            </w:r>
          </w:p>
          <w:p w:rsidR="004B51D9" w:rsidRPr="00E85E82" w:rsidRDefault="004B51D9" w:rsidP="004B51D9">
            <w:pPr>
              <w:jc w:val="both"/>
              <w:rPr>
                <w:rFonts w:cs="Times New Roman"/>
                <w:sz w:val="20"/>
                <w:szCs w:val="20"/>
              </w:rPr>
            </w:pPr>
          </w:p>
        </w:tc>
        <w:tc>
          <w:tcPr>
            <w:tcW w:w="630" w:type="dxa"/>
          </w:tcPr>
          <w:p w:rsidR="004B51D9" w:rsidRPr="00E85E82" w:rsidRDefault="004B51D9" w:rsidP="004B51D9">
            <w:pPr>
              <w:pStyle w:val="SCCShortJudgment"/>
              <w:ind w:firstLine="0"/>
              <w:rPr>
                <w:rFonts w:cs="Times New Roman"/>
                <w:szCs w:val="20"/>
              </w:rPr>
            </w:pPr>
          </w:p>
        </w:tc>
        <w:tc>
          <w:tcPr>
            <w:tcW w:w="4536" w:type="dxa"/>
          </w:tcPr>
          <w:p w:rsidR="004B51D9" w:rsidRPr="00E85E82" w:rsidRDefault="004B51D9" w:rsidP="004B51D9">
            <w:pPr>
              <w:jc w:val="both"/>
              <w:rPr>
                <w:sz w:val="20"/>
                <w:szCs w:val="20"/>
              </w:rPr>
            </w:pPr>
            <w:r w:rsidRPr="00E85E82">
              <w:rPr>
                <w:sz w:val="20"/>
                <w:szCs w:val="20"/>
              </w:rPr>
              <w:t>Motion to extend time to serve and file application for leave to appeal and application for leave to appeal filed</w:t>
            </w:r>
          </w:p>
          <w:p w:rsidR="004B51D9" w:rsidRPr="00E85E82" w:rsidRDefault="004B51D9" w:rsidP="004B51D9">
            <w:pPr>
              <w:jc w:val="both"/>
              <w:rPr>
                <w:rFonts w:cs="Times New Roman"/>
                <w:sz w:val="20"/>
                <w:szCs w:val="20"/>
              </w:rPr>
            </w:pPr>
          </w:p>
        </w:tc>
      </w:tr>
      <w:tr w:rsidR="004B51D9" w:rsidRPr="00E85E82" w:rsidTr="000F56AC">
        <w:trPr>
          <w:cantSplit/>
        </w:trPr>
        <w:tc>
          <w:tcPr>
            <w:tcW w:w="9576" w:type="dxa"/>
            <w:gridSpan w:val="4"/>
          </w:tcPr>
          <w:p w:rsidR="004B51D9" w:rsidRPr="00E85E82" w:rsidRDefault="00B407D6" w:rsidP="004B51D9">
            <w:pPr>
              <w:pStyle w:val="SCCShortJudgment"/>
              <w:ind w:firstLine="0"/>
              <w:rPr>
                <w:rFonts w:cs="Times New Roman"/>
                <w:szCs w:val="20"/>
                <w:lang w:val="fr-CA"/>
              </w:rPr>
            </w:pPr>
            <w:r>
              <w:rPr>
                <w:rFonts w:cs="Times New Roman"/>
                <w:szCs w:val="20"/>
                <w:lang w:val="fr-CA"/>
              </w:rPr>
              <w:pict>
                <v:rect id="_x0000_i1071" style="width:2in;height:1pt" o:hrpct="0" o:hralign="center" o:hrstd="t" o:hrnoshade="t" o:hr="t" fillcolor="black [3213]" stroked="f"/>
              </w:pict>
            </w:r>
          </w:p>
          <w:p w:rsidR="004B51D9" w:rsidRPr="00E85E82" w:rsidRDefault="004B51D9" w:rsidP="004B51D9">
            <w:pPr>
              <w:pStyle w:val="SCCShortJudgment"/>
              <w:ind w:firstLine="0"/>
              <w:rPr>
                <w:rFonts w:cs="Times New Roman"/>
                <w:szCs w:val="20"/>
                <w:lang w:val="fr-CA"/>
              </w:rPr>
            </w:pPr>
          </w:p>
        </w:tc>
      </w:tr>
      <w:tr w:rsidR="004B51D9" w:rsidRPr="00E85E82" w:rsidTr="000F56AC">
        <w:trPr>
          <w:cantSplit/>
        </w:trPr>
        <w:tc>
          <w:tcPr>
            <w:tcW w:w="9576" w:type="dxa"/>
            <w:gridSpan w:val="4"/>
          </w:tcPr>
          <w:p w:rsidR="004B51D9" w:rsidRPr="00E85E82" w:rsidRDefault="004B51D9" w:rsidP="004B51D9">
            <w:pPr>
              <w:pStyle w:val="SCCShortJudgment"/>
              <w:ind w:firstLine="0"/>
              <w:rPr>
                <w:rFonts w:cs="Times New Roman"/>
                <w:szCs w:val="20"/>
                <w:u w:val="single"/>
                <w:lang w:val="fr-CA"/>
              </w:rPr>
            </w:pPr>
            <w:r w:rsidRPr="00E85E82">
              <w:rPr>
                <w:rFonts w:cs="Times New Roman"/>
                <w:szCs w:val="20"/>
                <w:u w:val="single"/>
                <w:lang w:val="fr-CA"/>
              </w:rPr>
              <w:t>RÉSUMÉ DE L’AFFAIRE </w:t>
            </w:r>
          </w:p>
          <w:p w:rsidR="004B51D9" w:rsidRPr="00E85E82" w:rsidRDefault="004B51D9" w:rsidP="004B51D9">
            <w:pPr>
              <w:pStyle w:val="SCCShortJudgment"/>
              <w:ind w:firstLine="0"/>
              <w:rPr>
                <w:rFonts w:cs="Times New Roman"/>
                <w:szCs w:val="20"/>
                <w:u w:val="single"/>
                <w:lang w:val="fr-CA"/>
              </w:rPr>
            </w:pPr>
          </w:p>
        </w:tc>
      </w:tr>
      <w:tr w:rsidR="004B51D9" w:rsidRPr="00B407D6" w:rsidTr="000F56AC">
        <w:trPr>
          <w:cantSplit/>
        </w:trPr>
        <w:tc>
          <w:tcPr>
            <w:tcW w:w="9576" w:type="dxa"/>
            <w:gridSpan w:val="4"/>
          </w:tcPr>
          <w:p w:rsidR="004B51D9" w:rsidRPr="00E85E82" w:rsidRDefault="004B51D9" w:rsidP="004B51D9">
            <w:pPr>
              <w:pStyle w:val="SCCShortJudgment"/>
              <w:ind w:firstLine="0"/>
              <w:rPr>
                <w:szCs w:val="20"/>
                <w:lang w:val="fr-CA"/>
              </w:rPr>
            </w:pPr>
            <w:r w:rsidRPr="00E85E82">
              <w:rPr>
                <w:szCs w:val="20"/>
                <w:lang w:val="fr-CA"/>
              </w:rPr>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E85E82">
              <w:rPr>
                <w:i/>
                <w:szCs w:val="20"/>
                <w:lang w:val="fr-CA"/>
              </w:rPr>
              <w:t>Loi réglementant certaines drogues et autres substances</w:t>
            </w:r>
            <w:r w:rsidRPr="00E85E82">
              <w:rPr>
                <w:szCs w:val="20"/>
                <w:lang w:val="fr-CA"/>
              </w:rPr>
              <w:t>, L.C., 1996, ch. 19.</w:t>
            </w:r>
          </w:p>
          <w:p w:rsidR="004B51D9" w:rsidRPr="00E85E82" w:rsidRDefault="004B51D9" w:rsidP="004B51D9">
            <w:pPr>
              <w:pStyle w:val="SCCShortJudgment"/>
              <w:ind w:firstLine="0"/>
              <w:rPr>
                <w:rFonts w:cs="Times New Roman"/>
                <w:szCs w:val="20"/>
                <w:u w:val="single"/>
                <w:lang w:val="fr-CA"/>
              </w:rPr>
            </w:pPr>
          </w:p>
        </w:tc>
      </w:tr>
      <w:tr w:rsidR="004B51D9" w:rsidRPr="00B407D6" w:rsidTr="000F56AC">
        <w:trPr>
          <w:cantSplit/>
        </w:trPr>
        <w:tc>
          <w:tcPr>
            <w:tcW w:w="9576" w:type="dxa"/>
            <w:gridSpan w:val="4"/>
          </w:tcPr>
          <w:p w:rsidR="004B51D9" w:rsidRPr="00E85E82" w:rsidRDefault="004B51D9" w:rsidP="004B51D9">
            <w:pPr>
              <w:jc w:val="both"/>
              <w:rPr>
                <w:sz w:val="20"/>
                <w:szCs w:val="20"/>
                <w:lang w:val="fr-CA"/>
              </w:rPr>
            </w:pPr>
            <w:r w:rsidRPr="00E85E82">
              <w:rPr>
                <w:sz w:val="20"/>
                <w:szCs w:val="20"/>
                <w:lang w:val="fr-CA"/>
              </w:rPr>
              <w:t xml:space="preserve">Depuis février 2014, environ 300 plaideurs non représentés, y compris la demanderesse, ont déposé des demandes identiques sollicitant des jugements qui déclarent inconstitutionnels le </w:t>
            </w:r>
            <w:r w:rsidRPr="00E85E82">
              <w:rPr>
                <w:i/>
                <w:sz w:val="20"/>
                <w:szCs w:val="20"/>
                <w:lang w:val="fr-CA"/>
              </w:rPr>
              <w:t>Règlement sur l’accès à la marihuana à des fins médicales (« RAMFM »)</w:t>
            </w:r>
            <w:r w:rsidRPr="00E85E82">
              <w:rPr>
                <w:sz w:val="20"/>
                <w:szCs w:val="20"/>
                <w:lang w:val="fr-CA"/>
              </w:rPr>
              <w:t xml:space="preserve">, D.O.R.S./2001-227, abrogé le 31 mars 2014 et le </w:t>
            </w:r>
            <w:r w:rsidRPr="00E85E82">
              <w:rPr>
                <w:i/>
                <w:sz w:val="20"/>
                <w:szCs w:val="20"/>
                <w:lang w:val="fr-CA"/>
              </w:rPr>
              <w:t>Règlement sur la marihuana à des fins médicales</w:t>
            </w:r>
            <w:r w:rsidRPr="00E85E82">
              <w:rPr>
                <w:sz w:val="20"/>
                <w:szCs w:val="20"/>
                <w:lang w:val="fr-CA"/>
              </w:rPr>
              <w:t xml:space="preserve">, D.O.R.S./2013-119, qui a remplacé le </w:t>
            </w:r>
            <w:r w:rsidRPr="00E85E82">
              <w:rPr>
                <w:i/>
                <w:sz w:val="20"/>
                <w:szCs w:val="20"/>
                <w:lang w:val="fr-CA"/>
              </w:rPr>
              <w:t>RAMFM</w:t>
            </w:r>
            <w:r w:rsidRPr="00E85E82">
              <w:rPr>
                <w:sz w:val="20"/>
                <w:szCs w:val="20"/>
                <w:lang w:val="fr-CA"/>
              </w:rPr>
              <w:t xml:space="preserve">. Dans le cadre de leurs actions, vingt-six demandeurs en première instance, y compris la demanderesse en l’espèce, ont présenté des requêtes en exemption constitutionnelle visant à écarter temporairement l’application de la </w:t>
            </w:r>
            <w:r w:rsidRPr="00E85E82">
              <w:rPr>
                <w:i/>
                <w:sz w:val="20"/>
                <w:szCs w:val="20"/>
                <w:lang w:val="fr-CA"/>
              </w:rPr>
              <w:t>Loi réglementant certaines drogues et autres substances («</w:t>
            </w:r>
            <w:r w:rsidRPr="00E85E82">
              <w:rPr>
                <w:sz w:val="20"/>
                <w:szCs w:val="20"/>
                <w:lang w:val="fr-CA"/>
              </w:rPr>
              <w:t> </w:t>
            </w:r>
            <w:r w:rsidRPr="00E85E82">
              <w:rPr>
                <w:i/>
                <w:sz w:val="20"/>
                <w:szCs w:val="20"/>
                <w:lang w:val="fr-CA"/>
              </w:rPr>
              <w:t>LRCDAS »)</w:t>
            </w:r>
            <w:r w:rsidRPr="00E85E82">
              <w:rPr>
                <w:sz w:val="20"/>
                <w:szCs w:val="20"/>
                <w:lang w:val="fr-CA"/>
              </w:rPr>
              <w:t xml:space="preserve"> pour l’utilisation personnelle de la marihuana en attendant que leurs actions soient instruites.</w:t>
            </w:r>
          </w:p>
          <w:p w:rsidR="004B51D9" w:rsidRPr="00E85E82" w:rsidRDefault="004B51D9" w:rsidP="004B51D9">
            <w:pPr>
              <w:rPr>
                <w:sz w:val="20"/>
                <w:szCs w:val="20"/>
                <w:lang w:val="fr-CA"/>
              </w:rPr>
            </w:pPr>
          </w:p>
        </w:tc>
      </w:tr>
      <w:tr w:rsidR="004B51D9" w:rsidRPr="00B407D6" w:rsidTr="000F56AC">
        <w:trPr>
          <w:cantSplit/>
        </w:trPr>
        <w:tc>
          <w:tcPr>
            <w:tcW w:w="4410" w:type="dxa"/>
            <w:gridSpan w:val="2"/>
          </w:tcPr>
          <w:p w:rsidR="004B51D9" w:rsidRPr="00E85E82" w:rsidRDefault="004B51D9" w:rsidP="004B51D9">
            <w:pPr>
              <w:rPr>
                <w:sz w:val="20"/>
                <w:szCs w:val="20"/>
                <w:lang w:val="fr-CA"/>
              </w:rPr>
            </w:pPr>
            <w:r w:rsidRPr="00E85E82">
              <w:rPr>
                <w:sz w:val="20"/>
                <w:szCs w:val="20"/>
                <w:lang w:val="fr-CA"/>
              </w:rPr>
              <w:t>7 mai 2014</w:t>
            </w:r>
          </w:p>
          <w:p w:rsidR="004B51D9" w:rsidRPr="00E85E82" w:rsidRDefault="004B51D9" w:rsidP="004B51D9">
            <w:pPr>
              <w:rPr>
                <w:sz w:val="20"/>
                <w:szCs w:val="20"/>
                <w:lang w:val="fr-CA"/>
              </w:rPr>
            </w:pPr>
            <w:r w:rsidRPr="00E85E82">
              <w:rPr>
                <w:sz w:val="20"/>
                <w:szCs w:val="20"/>
                <w:lang w:val="fr-CA"/>
              </w:rPr>
              <w:t xml:space="preserve">Cour fédérale </w:t>
            </w:r>
          </w:p>
          <w:p w:rsidR="004B51D9" w:rsidRPr="00E85E82" w:rsidRDefault="004B51D9" w:rsidP="004B51D9">
            <w:pPr>
              <w:pStyle w:val="SCCShortJudgment"/>
              <w:ind w:firstLine="0"/>
              <w:rPr>
                <w:szCs w:val="20"/>
                <w:lang w:val="fr-CA"/>
              </w:rPr>
            </w:pPr>
            <w:r w:rsidRPr="00E85E82">
              <w:rPr>
                <w:szCs w:val="20"/>
                <w:lang w:val="fr-CA"/>
              </w:rPr>
              <w:t>(Juge Phelan)</w:t>
            </w:r>
          </w:p>
          <w:p w:rsidR="004B51D9" w:rsidRPr="00E85E82" w:rsidRDefault="004B51D9" w:rsidP="004B51D9">
            <w:pPr>
              <w:pStyle w:val="SCCShortJudgment"/>
              <w:ind w:firstLine="0"/>
              <w:rPr>
                <w:rFonts w:cs="Times New Roman"/>
                <w:szCs w:val="20"/>
                <w:u w:val="single"/>
                <w:lang w:val="fr-CA"/>
              </w:rPr>
            </w:pPr>
          </w:p>
        </w:tc>
        <w:tc>
          <w:tcPr>
            <w:tcW w:w="630" w:type="dxa"/>
          </w:tcPr>
          <w:p w:rsidR="004B51D9" w:rsidRPr="00E85E82" w:rsidRDefault="004B51D9" w:rsidP="004B51D9">
            <w:pPr>
              <w:pStyle w:val="SCCShortJudgment"/>
              <w:ind w:firstLine="0"/>
              <w:rPr>
                <w:rFonts w:cs="Times New Roman"/>
                <w:szCs w:val="20"/>
                <w:u w:val="single"/>
                <w:lang w:val="fr-CA"/>
              </w:rPr>
            </w:pPr>
          </w:p>
        </w:tc>
        <w:tc>
          <w:tcPr>
            <w:tcW w:w="4536" w:type="dxa"/>
          </w:tcPr>
          <w:p w:rsidR="004B51D9" w:rsidRPr="00E85E82" w:rsidRDefault="004B51D9" w:rsidP="004B51D9">
            <w:pPr>
              <w:jc w:val="both"/>
              <w:rPr>
                <w:sz w:val="20"/>
                <w:szCs w:val="20"/>
                <w:lang w:val="fr-CA"/>
              </w:rPr>
            </w:pPr>
            <w:r w:rsidRPr="00E85E82">
              <w:rPr>
                <w:sz w:val="20"/>
                <w:szCs w:val="20"/>
                <w:lang w:val="fr-CA"/>
              </w:rPr>
              <w:t xml:space="preserve">Rejet de la requête en exemption constitutionnelle visant à écarter temporairement l’application de la </w:t>
            </w:r>
            <w:r w:rsidRPr="00E85E82">
              <w:rPr>
                <w:i/>
                <w:sz w:val="20"/>
                <w:szCs w:val="20"/>
                <w:lang w:val="fr-CA"/>
              </w:rPr>
              <w:t>Loi réglementant certaines drogues et autres substances</w:t>
            </w:r>
          </w:p>
          <w:p w:rsidR="004B51D9" w:rsidRPr="00E85E82" w:rsidRDefault="004B51D9" w:rsidP="004B51D9">
            <w:pPr>
              <w:pStyle w:val="SCCShortJudgment"/>
              <w:ind w:firstLine="0"/>
              <w:rPr>
                <w:rFonts w:cs="Times New Roman"/>
                <w:szCs w:val="20"/>
                <w:u w:val="single"/>
                <w:lang w:val="fr-CA"/>
              </w:rPr>
            </w:pPr>
          </w:p>
        </w:tc>
      </w:tr>
      <w:tr w:rsidR="004B51D9" w:rsidRPr="00E85E82" w:rsidTr="000F56AC">
        <w:trPr>
          <w:cantSplit/>
        </w:trPr>
        <w:tc>
          <w:tcPr>
            <w:tcW w:w="4410" w:type="dxa"/>
            <w:gridSpan w:val="2"/>
          </w:tcPr>
          <w:p w:rsidR="004B51D9" w:rsidRPr="00E85E82" w:rsidRDefault="004B51D9" w:rsidP="004B51D9">
            <w:pPr>
              <w:rPr>
                <w:sz w:val="20"/>
                <w:szCs w:val="20"/>
                <w:lang w:val="fr-CA"/>
              </w:rPr>
            </w:pPr>
            <w:r w:rsidRPr="00E85E82">
              <w:rPr>
                <w:sz w:val="20"/>
                <w:szCs w:val="20"/>
                <w:lang w:val="fr-CA"/>
              </w:rPr>
              <w:t>13 janvier 2016</w:t>
            </w:r>
          </w:p>
          <w:p w:rsidR="004B51D9" w:rsidRPr="00E85E82" w:rsidRDefault="004B51D9" w:rsidP="004B51D9">
            <w:pPr>
              <w:rPr>
                <w:sz w:val="20"/>
                <w:szCs w:val="20"/>
                <w:lang w:val="fr-CA"/>
              </w:rPr>
            </w:pPr>
            <w:r w:rsidRPr="00E85E82">
              <w:rPr>
                <w:sz w:val="20"/>
                <w:szCs w:val="20"/>
                <w:lang w:val="fr-CA"/>
              </w:rPr>
              <w:t xml:space="preserve">Cour d’appel fédérale </w:t>
            </w:r>
          </w:p>
          <w:p w:rsidR="004B51D9" w:rsidRPr="00E85E82" w:rsidRDefault="004B51D9" w:rsidP="004B51D9">
            <w:pPr>
              <w:rPr>
                <w:rFonts w:eastAsia="Times New Roman" w:cs="Times New Roman"/>
                <w:sz w:val="20"/>
                <w:szCs w:val="20"/>
                <w:lang w:val="fr-CA" w:eastAsia="en-CA"/>
              </w:rPr>
            </w:pPr>
            <w:r w:rsidRPr="00E85E82">
              <w:rPr>
                <w:rFonts w:eastAsia="Times New Roman" w:cs="Times New Roman"/>
                <w:sz w:val="20"/>
                <w:szCs w:val="20"/>
                <w:lang w:val="fr-CA" w:eastAsia="en-CA"/>
              </w:rPr>
              <w:t xml:space="preserve">(Juges Pelletier, </w:t>
            </w:r>
            <w:proofErr w:type="spellStart"/>
            <w:r w:rsidRPr="00E85E82">
              <w:rPr>
                <w:rFonts w:eastAsia="Times New Roman" w:cs="Times New Roman"/>
                <w:sz w:val="20"/>
                <w:szCs w:val="20"/>
                <w:lang w:val="fr-CA" w:eastAsia="en-CA"/>
              </w:rPr>
              <w:t>Stratas</w:t>
            </w:r>
            <w:proofErr w:type="spellEnd"/>
            <w:r w:rsidRPr="00E85E82">
              <w:rPr>
                <w:rFonts w:eastAsia="Times New Roman" w:cs="Times New Roman"/>
                <w:sz w:val="20"/>
                <w:szCs w:val="20"/>
                <w:lang w:val="fr-CA" w:eastAsia="en-CA"/>
              </w:rPr>
              <w:t xml:space="preserve"> et </w:t>
            </w:r>
            <w:proofErr w:type="spellStart"/>
            <w:r w:rsidRPr="00E85E82">
              <w:rPr>
                <w:rFonts w:eastAsia="Times New Roman" w:cs="Times New Roman"/>
                <w:sz w:val="20"/>
                <w:szCs w:val="20"/>
                <w:lang w:val="fr-CA" w:eastAsia="en-CA"/>
              </w:rPr>
              <w:t>Gleason</w:t>
            </w:r>
            <w:proofErr w:type="spellEnd"/>
            <w:r w:rsidRPr="00E85E82">
              <w:rPr>
                <w:rFonts w:eastAsia="Times New Roman" w:cs="Times New Roman"/>
                <w:sz w:val="20"/>
                <w:szCs w:val="20"/>
                <w:lang w:val="fr-CA" w:eastAsia="en-CA"/>
              </w:rPr>
              <w:t>)</w:t>
            </w:r>
          </w:p>
          <w:p w:rsidR="004B51D9" w:rsidRPr="00E85E82" w:rsidRDefault="00B407D6" w:rsidP="004B51D9">
            <w:pPr>
              <w:rPr>
                <w:rFonts w:eastAsia="Times New Roman" w:cs="Times New Roman"/>
                <w:sz w:val="20"/>
                <w:szCs w:val="20"/>
                <w:lang w:val="fr-CA" w:eastAsia="en-CA"/>
              </w:rPr>
            </w:pPr>
            <w:hyperlink r:id="rId59" w:history="1">
              <w:r w:rsidR="004B51D9" w:rsidRPr="00E85E82">
                <w:rPr>
                  <w:rFonts w:eastAsia="Times New Roman" w:cs="Times New Roman"/>
                  <w:color w:val="0000FF" w:themeColor="hyperlink"/>
                  <w:sz w:val="20"/>
                  <w:szCs w:val="20"/>
                  <w:u w:val="single"/>
                  <w:lang w:val="fr-CA" w:eastAsia="en-CA"/>
                </w:rPr>
                <w:t>2016 FCA 9</w:t>
              </w:r>
            </w:hyperlink>
          </w:p>
          <w:p w:rsidR="004B51D9" w:rsidRPr="00E85E82" w:rsidRDefault="004B51D9" w:rsidP="004B51D9">
            <w:pPr>
              <w:pStyle w:val="SCCShortJudgment"/>
              <w:ind w:firstLine="0"/>
              <w:rPr>
                <w:rFonts w:cs="Times New Roman"/>
                <w:szCs w:val="20"/>
                <w:u w:val="single"/>
                <w:lang w:val="fr-CA"/>
              </w:rPr>
            </w:pPr>
          </w:p>
        </w:tc>
        <w:tc>
          <w:tcPr>
            <w:tcW w:w="630" w:type="dxa"/>
          </w:tcPr>
          <w:p w:rsidR="004B51D9" w:rsidRPr="00E85E82" w:rsidRDefault="004B51D9" w:rsidP="004B51D9">
            <w:pPr>
              <w:pStyle w:val="SCCShortJudgment"/>
              <w:ind w:firstLine="0"/>
              <w:rPr>
                <w:rFonts w:cs="Times New Roman"/>
                <w:szCs w:val="20"/>
                <w:u w:val="single"/>
                <w:lang w:val="fr-CA"/>
              </w:rPr>
            </w:pPr>
          </w:p>
        </w:tc>
        <w:tc>
          <w:tcPr>
            <w:tcW w:w="4536" w:type="dxa"/>
          </w:tcPr>
          <w:p w:rsidR="004B51D9" w:rsidRPr="00E85E82" w:rsidRDefault="004B51D9" w:rsidP="004B51D9">
            <w:pPr>
              <w:rPr>
                <w:sz w:val="20"/>
                <w:szCs w:val="20"/>
                <w:lang w:val="fr-CA"/>
              </w:rPr>
            </w:pPr>
            <w:r w:rsidRPr="00E85E82">
              <w:rPr>
                <w:sz w:val="20"/>
                <w:szCs w:val="20"/>
                <w:lang w:val="fr-CA"/>
              </w:rPr>
              <w:t>Rejet de l’appel</w:t>
            </w:r>
          </w:p>
          <w:p w:rsidR="004B51D9" w:rsidRPr="00E85E82" w:rsidRDefault="004B51D9" w:rsidP="004B51D9">
            <w:pPr>
              <w:pStyle w:val="SCCShortJudgment"/>
              <w:ind w:firstLine="0"/>
              <w:rPr>
                <w:rFonts w:cs="Times New Roman"/>
                <w:szCs w:val="20"/>
                <w:u w:val="single"/>
                <w:lang w:val="fr-CA"/>
              </w:rPr>
            </w:pPr>
          </w:p>
        </w:tc>
      </w:tr>
      <w:tr w:rsidR="004B51D9" w:rsidRPr="00B407D6" w:rsidTr="000F56AC">
        <w:trPr>
          <w:cantSplit/>
        </w:trPr>
        <w:tc>
          <w:tcPr>
            <w:tcW w:w="4410" w:type="dxa"/>
            <w:gridSpan w:val="2"/>
          </w:tcPr>
          <w:p w:rsidR="004B51D9" w:rsidRPr="00E85E82" w:rsidRDefault="004B51D9" w:rsidP="004B51D9">
            <w:pPr>
              <w:rPr>
                <w:sz w:val="20"/>
                <w:szCs w:val="20"/>
                <w:lang w:val="fr-CA"/>
              </w:rPr>
            </w:pPr>
            <w:r w:rsidRPr="00E85E82">
              <w:rPr>
                <w:sz w:val="20"/>
                <w:szCs w:val="20"/>
                <w:lang w:val="fr-CA"/>
              </w:rPr>
              <w:t>29 mars 2016</w:t>
            </w:r>
          </w:p>
          <w:p w:rsidR="004B51D9" w:rsidRPr="00E85E82" w:rsidRDefault="004B51D9" w:rsidP="004B51D9">
            <w:pPr>
              <w:rPr>
                <w:sz w:val="20"/>
                <w:szCs w:val="20"/>
                <w:lang w:val="fr-CA"/>
              </w:rPr>
            </w:pPr>
            <w:r w:rsidRPr="00E85E82">
              <w:rPr>
                <w:sz w:val="20"/>
                <w:szCs w:val="20"/>
                <w:lang w:val="fr-CA"/>
              </w:rPr>
              <w:t>Cour suprême du Canada</w:t>
            </w:r>
          </w:p>
          <w:p w:rsidR="004B51D9" w:rsidRPr="00E85E82" w:rsidRDefault="004B51D9" w:rsidP="004B51D9">
            <w:pPr>
              <w:pStyle w:val="SCCShortJudgment"/>
              <w:ind w:firstLine="0"/>
              <w:rPr>
                <w:rFonts w:cs="Times New Roman"/>
                <w:szCs w:val="20"/>
                <w:u w:val="single"/>
                <w:lang w:val="fr-CA"/>
              </w:rPr>
            </w:pPr>
          </w:p>
        </w:tc>
        <w:tc>
          <w:tcPr>
            <w:tcW w:w="630" w:type="dxa"/>
          </w:tcPr>
          <w:p w:rsidR="004B51D9" w:rsidRPr="00E85E82" w:rsidRDefault="004B51D9" w:rsidP="004B51D9">
            <w:pPr>
              <w:pStyle w:val="SCCShortJudgment"/>
              <w:ind w:firstLine="0"/>
              <w:rPr>
                <w:rFonts w:cs="Times New Roman"/>
                <w:szCs w:val="20"/>
                <w:u w:val="single"/>
                <w:lang w:val="fr-CA"/>
              </w:rPr>
            </w:pPr>
          </w:p>
        </w:tc>
        <w:tc>
          <w:tcPr>
            <w:tcW w:w="4536" w:type="dxa"/>
          </w:tcPr>
          <w:p w:rsidR="004B51D9" w:rsidRPr="00E85E82" w:rsidRDefault="004B51D9" w:rsidP="004B51D9">
            <w:pPr>
              <w:jc w:val="both"/>
              <w:rPr>
                <w:sz w:val="20"/>
                <w:szCs w:val="20"/>
                <w:lang w:val="fr-CA"/>
              </w:rPr>
            </w:pPr>
            <w:r w:rsidRPr="00E85E82">
              <w:rPr>
                <w:sz w:val="20"/>
                <w:szCs w:val="20"/>
                <w:lang w:val="fr-CA"/>
              </w:rPr>
              <w:t xml:space="preserve">Dépôt de la requête en prorogation du délai de signification et de dépôt de la demande d’autorisation d’appel et de la demande d’autorisation d’appel </w:t>
            </w:r>
          </w:p>
          <w:p w:rsidR="004E22A8" w:rsidRPr="00E85E82" w:rsidRDefault="004E22A8" w:rsidP="004B51D9">
            <w:pPr>
              <w:jc w:val="both"/>
              <w:rPr>
                <w:sz w:val="20"/>
                <w:szCs w:val="20"/>
                <w:lang w:val="fr-CA"/>
              </w:rPr>
            </w:pPr>
          </w:p>
        </w:tc>
      </w:tr>
    </w:tbl>
    <w:p w:rsidR="00232760" w:rsidRPr="00E85E82" w:rsidRDefault="00B407D6" w:rsidP="00232760">
      <w:pPr>
        <w:rPr>
          <w:rFonts w:cs="Times New Roman"/>
          <w:sz w:val="20"/>
          <w:szCs w:val="20"/>
          <w:lang w:val="fr-CA"/>
        </w:rPr>
      </w:pPr>
      <w:r>
        <w:rPr>
          <w:rFonts w:cs="Times New Roman"/>
          <w:sz w:val="20"/>
          <w:szCs w:val="20"/>
          <w:lang w:val="fr-CA"/>
        </w:rPr>
        <w:pict>
          <v:rect id="_x0000_i1072" style="width:2in;height:1pt" o:hrpct="0" o:hralign="center" o:hrstd="t" o:hrnoshade="t" o:hr="t" fillcolor="black [3213]" stroked="f"/>
        </w:pict>
      </w:r>
    </w:p>
    <w:p w:rsidR="00BE530C" w:rsidRPr="00E85E82" w:rsidRDefault="00BE530C">
      <w:pPr>
        <w:rPr>
          <w:sz w:val="20"/>
          <w:szCs w:val="20"/>
        </w:rPr>
      </w:pPr>
      <w:r w:rsidRPr="00E85E82">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Style w:val="SCCFileNumberChar"/>
                <w:sz w:val="20"/>
                <w:szCs w:val="20"/>
              </w:rPr>
              <w:t>36941</w:t>
            </w:r>
          </w:p>
          <w:p w:rsidR="00232760" w:rsidRPr="00E85E82" w:rsidRDefault="00232760" w:rsidP="000F56AC">
            <w:pPr>
              <w:jc w:val="both"/>
              <w:rPr>
                <w:rFonts w:cs="Times New Roman"/>
                <w:b/>
                <w:sz w:val="20"/>
                <w:szCs w:val="20"/>
              </w:rPr>
            </w:pPr>
          </w:p>
        </w:tc>
        <w:tc>
          <w:tcPr>
            <w:tcW w:w="8118" w:type="dxa"/>
            <w:gridSpan w:val="3"/>
          </w:tcPr>
          <w:p w:rsidR="00232760" w:rsidRPr="00E85E82" w:rsidRDefault="00251C0A" w:rsidP="000F56AC">
            <w:pPr>
              <w:jc w:val="both"/>
              <w:rPr>
                <w:rFonts w:cs="Times New Roman"/>
                <w:sz w:val="20"/>
                <w:szCs w:val="20"/>
              </w:rPr>
            </w:pPr>
            <w:r w:rsidRPr="00E85E82">
              <w:rPr>
                <w:rStyle w:val="SCCLsocChar"/>
                <w:rFonts w:cs="Times New Roman"/>
                <w:sz w:val="20"/>
                <w:szCs w:val="20"/>
                <w:lang w:val="en-CA"/>
              </w:rPr>
              <w:t>Heidi Chartrand</w:t>
            </w:r>
            <w:r w:rsidR="00232760" w:rsidRPr="00E85E82">
              <w:rPr>
                <w:rStyle w:val="SCCLsocChar"/>
                <w:rFonts w:cs="Times New Roman"/>
                <w:sz w:val="20"/>
                <w:szCs w:val="20"/>
                <w:lang w:val="en-CA"/>
              </w:rPr>
              <w:t xml:space="preserve"> v. </w:t>
            </w:r>
            <w:r w:rsidRPr="00E85E82">
              <w:rPr>
                <w:rStyle w:val="SCCLsocChar"/>
                <w:rFonts w:cs="Times New Roman"/>
                <w:sz w:val="20"/>
                <w:szCs w:val="20"/>
                <w:lang w:val="en-CA"/>
              </w:rPr>
              <w:t>Her Majesty the Queen</w:t>
            </w:r>
            <w:r w:rsidR="00232760" w:rsidRPr="00E85E82">
              <w:rPr>
                <w:rStyle w:val="SCCLsocChar"/>
                <w:rFonts w:cs="Times New Roman"/>
                <w:sz w:val="20"/>
                <w:szCs w:val="20"/>
                <w:u w:val="none"/>
                <w:lang w:val="en-CA"/>
              </w:rPr>
              <w:t xml:space="preserve"> </w:t>
            </w:r>
            <w:r w:rsidR="00232760" w:rsidRPr="00E85E82">
              <w:rPr>
                <w:rFonts w:cs="Times New Roman"/>
                <w:sz w:val="20"/>
                <w:szCs w:val="20"/>
              </w:rPr>
              <w:t>(Ont.) (Civil) (By Leave)</w:t>
            </w:r>
          </w:p>
          <w:p w:rsidR="00232760" w:rsidRPr="00E85E82" w:rsidRDefault="00232760" w:rsidP="000F56AC">
            <w:pPr>
              <w:jc w:val="both"/>
              <w:rPr>
                <w:rFonts w:cs="Times New Roman"/>
                <w:sz w:val="20"/>
                <w:szCs w:val="20"/>
              </w:rPr>
            </w:pPr>
          </w:p>
        </w:tc>
      </w:tr>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Fonts w:cs="Times New Roman"/>
                <w:sz w:val="20"/>
                <w:szCs w:val="20"/>
              </w:rPr>
              <w:t>Coram :</w:t>
            </w:r>
          </w:p>
        </w:tc>
        <w:tc>
          <w:tcPr>
            <w:tcW w:w="8118" w:type="dxa"/>
            <w:gridSpan w:val="3"/>
          </w:tcPr>
          <w:p w:rsidR="00232760" w:rsidRPr="00E85E82" w:rsidRDefault="00232760" w:rsidP="000F56AC">
            <w:pPr>
              <w:jc w:val="both"/>
              <w:rPr>
                <w:rStyle w:val="SCCCoramChar"/>
                <w:sz w:val="20"/>
                <w:szCs w:val="20"/>
                <w:lang w:val="en-CA"/>
              </w:rPr>
            </w:pPr>
            <w:r w:rsidRPr="00E85E82">
              <w:rPr>
                <w:rStyle w:val="SCCCoramChar"/>
                <w:sz w:val="20"/>
                <w:szCs w:val="20"/>
                <w:lang w:val="en-CA"/>
              </w:rPr>
              <w:t>McLachlin C.J. and Moldaver and Gascon JJ.</w:t>
            </w:r>
          </w:p>
          <w:p w:rsidR="00232760" w:rsidRPr="00E85E82" w:rsidRDefault="00232760" w:rsidP="000F56AC">
            <w:pPr>
              <w:jc w:val="both"/>
              <w:rPr>
                <w:rFonts w:cs="Times New Roman"/>
                <w:sz w:val="20"/>
                <w:szCs w:val="20"/>
                <w:u w:val="single"/>
              </w:rPr>
            </w:pPr>
          </w:p>
        </w:tc>
      </w:tr>
      <w:tr w:rsidR="00232760" w:rsidRPr="00B407D6" w:rsidTr="000F56AC">
        <w:trPr>
          <w:cantSplit/>
        </w:trPr>
        <w:tc>
          <w:tcPr>
            <w:tcW w:w="9576" w:type="dxa"/>
            <w:gridSpan w:val="4"/>
          </w:tcPr>
          <w:p w:rsidR="00A31102" w:rsidRPr="00E85E82" w:rsidRDefault="00A31102" w:rsidP="00A31102">
            <w:pPr>
              <w:pStyle w:val="SCCShortJudgment"/>
            </w:pPr>
            <w:r w:rsidRPr="00E85E82">
              <w:t>The motion for an extension of time to serve and file the application for leave to appeal is granted.  The application for leave to appeal from the judgment of the Federal Court of Appeal, Numbers A-332-14 and A-342-14, 2016 FCA 9, dated January 13, 2016, is dismissed with costs.</w:t>
            </w:r>
          </w:p>
          <w:p w:rsidR="00A31102" w:rsidRPr="00E85E82" w:rsidRDefault="00A31102" w:rsidP="00A31102">
            <w:pPr>
              <w:pStyle w:val="SCCShortJudgment"/>
              <w:ind w:firstLine="0"/>
            </w:pPr>
          </w:p>
          <w:p w:rsidR="00A31102" w:rsidRPr="00C556BB" w:rsidRDefault="00A31102" w:rsidP="00A31102">
            <w:pPr>
              <w:pStyle w:val="SCCShortJudgment"/>
              <w:rPr>
                <w:lang w:val="fr-CA"/>
              </w:rPr>
            </w:pPr>
            <w:r w:rsidRPr="00C556BB">
              <w:rPr>
                <w:lang w:val="fr-CA"/>
              </w:rPr>
              <w:t>La requête en prorogation du délai de signification et de dépôt de la demande d’autorisation d’appel est accueillie. La demande d’autorisation d’appel de l’arrêt de la Cour d’appel fédérale, numéros A-332-14 et A-342-14, 2016 FCA 9, daté du 13 janvier 2016, est rejetée avec dépens.</w:t>
            </w:r>
          </w:p>
          <w:p w:rsidR="00232760" w:rsidRPr="00E85E82" w:rsidRDefault="00232760" w:rsidP="000F56AC">
            <w:pPr>
              <w:pStyle w:val="SCCShortJudgment"/>
              <w:ind w:firstLine="0"/>
              <w:rPr>
                <w:rFonts w:cs="Times New Roman"/>
                <w:szCs w:val="20"/>
                <w:lang w:val="fr-CA"/>
              </w:rPr>
            </w:pPr>
          </w:p>
        </w:tc>
      </w:tr>
      <w:tr w:rsidR="00232760" w:rsidRPr="00E85E82" w:rsidTr="000F56AC">
        <w:trPr>
          <w:cantSplit/>
        </w:trPr>
        <w:tc>
          <w:tcPr>
            <w:tcW w:w="9576" w:type="dxa"/>
            <w:gridSpan w:val="4"/>
          </w:tcPr>
          <w:p w:rsidR="00232760" w:rsidRPr="00E85E82" w:rsidRDefault="00232760" w:rsidP="000F56AC">
            <w:pPr>
              <w:pStyle w:val="SCCShortJudgment"/>
              <w:ind w:firstLine="0"/>
              <w:rPr>
                <w:rFonts w:cs="Times New Roman"/>
                <w:szCs w:val="20"/>
                <w:u w:val="single"/>
                <w:lang w:val="fr-CA"/>
              </w:rPr>
            </w:pPr>
            <w:r w:rsidRPr="00E85E82">
              <w:rPr>
                <w:rFonts w:cs="Times New Roman"/>
                <w:szCs w:val="20"/>
                <w:u w:val="single"/>
                <w:lang w:val="fr-CA"/>
              </w:rPr>
              <w:t>CASE SUMMARY</w:t>
            </w:r>
          </w:p>
          <w:p w:rsidR="00232760" w:rsidRPr="00E85E82" w:rsidRDefault="00232760" w:rsidP="000F56AC">
            <w:pPr>
              <w:pStyle w:val="SCCShortJudgment"/>
              <w:ind w:firstLine="0"/>
              <w:rPr>
                <w:rFonts w:cs="Times New Roman"/>
                <w:szCs w:val="20"/>
                <w:u w:val="single"/>
                <w:lang w:val="fr-CA"/>
              </w:rPr>
            </w:pPr>
          </w:p>
        </w:tc>
      </w:tr>
      <w:tr w:rsidR="00232760" w:rsidRPr="00E85E82" w:rsidTr="001B279E">
        <w:tc>
          <w:tcPr>
            <w:tcW w:w="9576" w:type="dxa"/>
            <w:gridSpan w:val="4"/>
          </w:tcPr>
          <w:p w:rsidR="00232760" w:rsidRPr="00E85E82" w:rsidRDefault="001B279E" w:rsidP="000F56AC">
            <w:pPr>
              <w:pStyle w:val="SCCShortJudgment"/>
              <w:ind w:firstLine="0"/>
              <w:rPr>
                <w:szCs w:val="20"/>
              </w:rPr>
            </w:pPr>
            <w:r w:rsidRPr="00E85E82">
              <w:rPr>
                <w:szCs w:val="20"/>
              </w:rPr>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E85E82">
              <w:rPr>
                <w:i/>
                <w:szCs w:val="20"/>
              </w:rPr>
              <w:t>Controlled Drugs and Substances Act</w:t>
            </w:r>
            <w:r w:rsidRPr="00E85E82">
              <w:rPr>
                <w:szCs w:val="20"/>
              </w:rPr>
              <w:t>, S.C. 1996, c. 19.</w:t>
            </w:r>
          </w:p>
          <w:p w:rsidR="001B279E" w:rsidRPr="00E85E82" w:rsidRDefault="001B279E" w:rsidP="000F56AC">
            <w:pPr>
              <w:pStyle w:val="SCCShortJudgment"/>
              <w:ind w:firstLine="0"/>
              <w:rPr>
                <w:rFonts w:cs="Times New Roman"/>
                <w:szCs w:val="20"/>
              </w:rPr>
            </w:pPr>
          </w:p>
        </w:tc>
      </w:tr>
      <w:tr w:rsidR="00232760" w:rsidRPr="00E85E82" w:rsidTr="000F56AC">
        <w:trPr>
          <w:cantSplit/>
        </w:trPr>
        <w:tc>
          <w:tcPr>
            <w:tcW w:w="9576" w:type="dxa"/>
            <w:gridSpan w:val="4"/>
          </w:tcPr>
          <w:p w:rsidR="00232760" w:rsidRPr="00E85E82" w:rsidRDefault="001B279E" w:rsidP="000F56AC">
            <w:pPr>
              <w:pStyle w:val="SCCShortJudgment"/>
              <w:ind w:firstLine="0"/>
              <w:rPr>
                <w:szCs w:val="20"/>
              </w:rPr>
            </w:pPr>
            <w:r w:rsidRPr="00E85E82">
              <w:rPr>
                <w:szCs w:val="20"/>
              </w:rPr>
              <w:t xml:space="preserve">Since February 2014, approximately 300 self-represented plaintiffs, including the applicant, have filed identical claims seeking declarations that the </w:t>
            </w:r>
            <w:r w:rsidRPr="00E85E82">
              <w:rPr>
                <w:i/>
                <w:szCs w:val="20"/>
              </w:rPr>
              <w:t>Marijuana Medical Access Regulations (“MMAR”)</w:t>
            </w:r>
            <w:r w:rsidRPr="00E85E82">
              <w:rPr>
                <w:szCs w:val="20"/>
              </w:rPr>
              <w:t>, S.O.R./2001-227, which were repealed on March 31, 2014 and the</w:t>
            </w:r>
            <w:r w:rsidRPr="00E85E82">
              <w:rPr>
                <w:i/>
                <w:szCs w:val="20"/>
              </w:rPr>
              <w:t xml:space="preserve"> Marijuana for Medical Purposes Regulations</w:t>
            </w:r>
            <w:r w:rsidRPr="00E85E82">
              <w:rPr>
                <w:szCs w:val="20"/>
              </w:rPr>
              <w:t xml:space="preserve">, S.O.R./2013-119, which succeeded the </w:t>
            </w:r>
            <w:r w:rsidRPr="00E85E82">
              <w:rPr>
                <w:i/>
                <w:szCs w:val="20"/>
              </w:rPr>
              <w:t>MMAR</w:t>
            </w:r>
            <w:r w:rsidRPr="00E85E82">
              <w:rPr>
                <w:szCs w:val="20"/>
              </w:rPr>
              <w:t xml:space="preserve"> are unconstitutional. In the course of their actions, twenty-six plaintiffs, including the applicant, brought motions for interim constitutional exemptions from the </w:t>
            </w:r>
            <w:r w:rsidRPr="00E85E82">
              <w:rPr>
                <w:i/>
                <w:szCs w:val="20"/>
              </w:rPr>
              <w:t>Controlled Drugs and Substances Act</w:t>
            </w:r>
            <w:r w:rsidRPr="00E85E82">
              <w:rPr>
                <w:szCs w:val="20"/>
              </w:rPr>
              <w:t xml:space="preserve"> </w:t>
            </w:r>
            <w:r w:rsidRPr="00E85E82">
              <w:rPr>
                <w:i/>
                <w:szCs w:val="20"/>
              </w:rPr>
              <w:t>(“CDSA”)</w:t>
            </w:r>
            <w:r w:rsidRPr="00E85E82">
              <w:rPr>
                <w:szCs w:val="20"/>
              </w:rPr>
              <w:t xml:space="preserve"> for the personal use of marijuana pending trial of their actions.</w:t>
            </w:r>
          </w:p>
          <w:p w:rsidR="001B279E" w:rsidRPr="00E85E82" w:rsidRDefault="001B279E" w:rsidP="000F56AC">
            <w:pPr>
              <w:pStyle w:val="SCCShortJudgment"/>
              <w:ind w:firstLine="0"/>
              <w:rPr>
                <w:rFonts w:cs="Times New Roman"/>
                <w:szCs w:val="20"/>
              </w:rPr>
            </w:pPr>
          </w:p>
        </w:tc>
      </w:tr>
      <w:tr w:rsidR="00232760" w:rsidRPr="00E85E82" w:rsidTr="000F56AC">
        <w:trPr>
          <w:cantSplit/>
        </w:trPr>
        <w:tc>
          <w:tcPr>
            <w:tcW w:w="4410" w:type="dxa"/>
            <w:gridSpan w:val="2"/>
          </w:tcPr>
          <w:p w:rsidR="001B279E" w:rsidRPr="00E85E82" w:rsidRDefault="001B279E" w:rsidP="001B279E">
            <w:pPr>
              <w:rPr>
                <w:sz w:val="20"/>
                <w:szCs w:val="20"/>
              </w:rPr>
            </w:pPr>
            <w:r w:rsidRPr="00E85E82">
              <w:rPr>
                <w:sz w:val="20"/>
                <w:szCs w:val="20"/>
              </w:rPr>
              <w:t>May 7, 2014</w:t>
            </w:r>
          </w:p>
          <w:p w:rsidR="001B279E" w:rsidRPr="00E85E82" w:rsidRDefault="001B279E" w:rsidP="001B279E">
            <w:pPr>
              <w:rPr>
                <w:sz w:val="20"/>
                <w:szCs w:val="20"/>
              </w:rPr>
            </w:pPr>
            <w:r w:rsidRPr="00E85E82">
              <w:rPr>
                <w:sz w:val="20"/>
                <w:szCs w:val="20"/>
              </w:rPr>
              <w:t>Federal Court</w:t>
            </w:r>
          </w:p>
          <w:p w:rsidR="00232760" w:rsidRPr="00E85E82" w:rsidRDefault="001B279E" w:rsidP="001B279E">
            <w:pPr>
              <w:jc w:val="both"/>
              <w:rPr>
                <w:sz w:val="20"/>
                <w:szCs w:val="20"/>
              </w:rPr>
            </w:pPr>
            <w:r w:rsidRPr="00E85E82">
              <w:rPr>
                <w:sz w:val="20"/>
                <w:szCs w:val="20"/>
              </w:rPr>
              <w:t>(Phelan J.)</w:t>
            </w:r>
          </w:p>
          <w:p w:rsidR="001B279E" w:rsidRPr="00E85E82" w:rsidRDefault="001B279E" w:rsidP="001B279E">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1B279E" w:rsidRPr="00E85E82" w:rsidRDefault="001B279E" w:rsidP="001B279E">
            <w:pPr>
              <w:jc w:val="both"/>
              <w:rPr>
                <w:sz w:val="20"/>
                <w:szCs w:val="20"/>
              </w:rPr>
            </w:pPr>
            <w:r w:rsidRPr="00E85E82">
              <w:rPr>
                <w:sz w:val="20"/>
                <w:szCs w:val="20"/>
              </w:rPr>
              <w:t xml:space="preserve">Motion for interim constitutional exemptions from provisions of </w:t>
            </w:r>
            <w:r w:rsidRPr="00E85E82">
              <w:rPr>
                <w:i/>
                <w:sz w:val="20"/>
                <w:szCs w:val="20"/>
              </w:rPr>
              <w:t>Controlled Drugs and Substances Act</w:t>
            </w:r>
            <w:r w:rsidRPr="00E85E82">
              <w:rPr>
                <w:sz w:val="20"/>
                <w:szCs w:val="20"/>
              </w:rPr>
              <w:t xml:space="preserve"> dismissed</w:t>
            </w:r>
          </w:p>
          <w:p w:rsidR="00232760" w:rsidRPr="00E85E82" w:rsidRDefault="00232760" w:rsidP="000F56AC">
            <w:pPr>
              <w:jc w:val="both"/>
              <w:rPr>
                <w:rFonts w:cs="Times New Roman"/>
                <w:sz w:val="20"/>
                <w:szCs w:val="20"/>
              </w:rPr>
            </w:pPr>
          </w:p>
        </w:tc>
      </w:tr>
      <w:tr w:rsidR="00232760" w:rsidRPr="00E85E82" w:rsidTr="000F56AC">
        <w:trPr>
          <w:cantSplit/>
        </w:trPr>
        <w:tc>
          <w:tcPr>
            <w:tcW w:w="4410" w:type="dxa"/>
            <w:gridSpan w:val="2"/>
          </w:tcPr>
          <w:p w:rsidR="001B279E" w:rsidRPr="00E85E82" w:rsidRDefault="001B279E" w:rsidP="001B279E">
            <w:pPr>
              <w:rPr>
                <w:sz w:val="20"/>
                <w:szCs w:val="20"/>
              </w:rPr>
            </w:pPr>
            <w:r w:rsidRPr="00E85E82">
              <w:rPr>
                <w:sz w:val="20"/>
                <w:szCs w:val="20"/>
              </w:rPr>
              <w:t>January 13, 2016</w:t>
            </w:r>
          </w:p>
          <w:p w:rsidR="001B279E" w:rsidRPr="00E85E82" w:rsidRDefault="001B279E" w:rsidP="001B279E">
            <w:pPr>
              <w:rPr>
                <w:sz w:val="20"/>
                <w:szCs w:val="20"/>
              </w:rPr>
            </w:pPr>
            <w:r w:rsidRPr="00E85E82">
              <w:rPr>
                <w:sz w:val="20"/>
                <w:szCs w:val="20"/>
              </w:rPr>
              <w:t>Federal Court of Appeal</w:t>
            </w:r>
          </w:p>
          <w:p w:rsidR="001B279E" w:rsidRPr="00E85E82" w:rsidRDefault="001B279E" w:rsidP="001B279E">
            <w:pPr>
              <w:rPr>
                <w:sz w:val="20"/>
                <w:szCs w:val="20"/>
              </w:rPr>
            </w:pPr>
            <w:r w:rsidRPr="00E85E82">
              <w:rPr>
                <w:sz w:val="20"/>
                <w:szCs w:val="20"/>
              </w:rPr>
              <w:t xml:space="preserve">(Pelletier, </w:t>
            </w:r>
            <w:proofErr w:type="spellStart"/>
            <w:r w:rsidRPr="00E85E82">
              <w:rPr>
                <w:sz w:val="20"/>
                <w:szCs w:val="20"/>
              </w:rPr>
              <w:t>Stratas</w:t>
            </w:r>
            <w:proofErr w:type="spellEnd"/>
            <w:r w:rsidRPr="00E85E82">
              <w:rPr>
                <w:sz w:val="20"/>
                <w:szCs w:val="20"/>
              </w:rPr>
              <w:t xml:space="preserve"> and Gleason JJ.A.)</w:t>
            </w:r>
          </w:p>
          <w:p w:rsidR="001B279E" w:rsidRPr="00E85E82" w:rsidRDefault="00B407D6" w:rsidP="001B279E">
            <w:pPr>
              <w:rPr>
                <w:rFonts w:eastAsia="Times New Roman" w:cs="Times New Roman"/>
                <w:sz w:val="20"/>
                <w:szCs w:val="20"/>
                <w:lang w:eastAsia="en-CA"/>
              </w:rPr>
            </w:pPr>
            <w:hyperlink r:id="rId60" w:history="1">
              <w:r w:rsidR="001B279E" w:rsidRPr="00E85E82">
                <w:rPr>
                  <w:rFonts w:eastAsia="Times New Roman" w:cs="Times New Roman"/>
                  <w:color w:val="0000FF" w:themeColor="hyperlink"/>
                  <w:sz w:val="20"/>
                  <w:szCs w:val="20"/>
                  <w:u w:val="single"/>
                  <w:lang w:eastAsia="en-CA"/>
                </w:rPr>
                <w:t>2016 FCA 9</w:t>
              </w:r>
            </w:hyperlink>
          </w:p>
          <w:p w:rsidR="00232760" w:rsidRPr="00E85E82" w:rsidRDefault="00232760" w:rsidP="000F56AC">
            <w:pPr>
              <w:jc w:val="both"/>
              <w:rPr>
                <w:rFonts w:cs="Times New Roman"/>
                <w:sz w:val="20"/>
                <w:szCs w:val="20"/>
              </w:rPr>
            </w:pPr>
          </w:p>
        </w:tc>
        <w:tc>
          <w:tcPr>
            <w:tcW w:w="630" w:type="dxa"/>
          </w:tcPr>
          <w:p w:rsidR="00232760" w:rsidRPr="00E85E82" w:rsidRDefault="00232760" w:rsidP="000F56AC">
            <w:pPr>
              <w:pStyle w:val="SCCShortJudgment"/>
              <w:ind w:firstLine="0"/>
              <w:rPr>
                <w:rFonts w:cs="Times New Roman"/>
                <w:szCs w:val="20"/>
              </w:rPr>
            </w:pPr>
          </w:p>
        </w:tc>
        <w:tc>
          <w:tcPr>
            <w:tcW w:w="4536" w:type="dxa"/>
          </w:tcPr>
          <w:p w:rsidR="001B279E" w:rsidRPr="00E85E82" w:rsidRDefault="001B279E" w:rsidP="001B279E">
            <w:pPr>
              <w:rPr>
                <w:sz w:val="20"/>
                <w:szCs w:val="20"/>
              </w:rPr>
            </w:pPr>
            <w:r w:rsidRPr="00E85E82">
              <w:rPr>
                <w:sz w:val="20"/>
                <w:szCs w:val="20"/>
              </w:rPr>
              <w:t>Appeal dismissed</w:t>
            </w:r>
          </w:p>
          <w:p w:rsidR="00232760" w:rsidRPr="00E85E82" w:rsidRDefault="00232760" w:rsidP="000F56AC">
            <w:pPr>
              <w:jc w:val="both"/>
              <w:rPr>
                <w:rFonts w:cs="Times New Roman"/>
                <w:sz w:val="20"/>
                <w:szCs w:val="20"/>
              </w:rPr>
            </w:pPr>
          </w:p>
        </w:tc>
      </w:tr>
      <w:tr w:rsidR="001B279E" w:rsidRPr="00E85E82" w:rsidTr="000F56AC">
        <w:trPr>
          <w:cantSplit/>
        </w:trPr>
        <w:tc>
          <w:tcPr>
            <w:tcW w:w="4410" w:type="dxa"/>
            <w:gridSpan w:val="2"/>
          </w:tcPr>
          <w:p w:rsidR="001B279E" w:rsidRPr="00E85E82" w:rsidRDefault="001B279E" w:rsidP="001B279E">
            <w:pPr>
              <w:rPr>
                <w:sz w:val="20"/>
                <w:szCs w:val="20"/>
              </w:rPr>
            </w:pPr>
            <w:r w:rsidRPr="00E85E82">
              <w:rPr>
                <w:sz w:val="20"/>
                <w:szCs w:val="20"/>
              </w:rPr>
              <w:t>March 29, 2016</w:t>
            </w:r>
          </w:p>
          <w:p w:rsidR="001B279E" w:rsidRPr="00E85E82" w:rsidRDefault="001B279E" w:rsidP="001B279E">
            <w:pPr>
              <w:rPr>
                <w:sz w:val="20"/>
                <w:szCs w:val="20"/>
              </w:rPr>
            </w:pPr>
            <w:r w:rsidRPr="00E85E82">
              <w:rPr>
                <w:sz w:val="20"/>
                <w:szCs w:val="20"/>
              </w:rPr>
              <w:t>Supreme Court of Canada</w:t>
            </w:r>
          </w:p>
          <w:p w:rsidR="001B279E" w:rsidRPr="00E85E82" w:rsidRDefault="001B279E" w:rsidP="001B279E">
            <w:pPr>
              <w:jc w:val="both"/>
              <w:rPr>
                <w:rFonts w:cs="Times New Roman"/>
                <w:sz w:val="20"/>
                <w:szCs w:val="20"/>
              </w:rPr>
            </w:pPr>
          </w:p>
        </w:tc>
        <w:tc>
          <w:tcPr>
            <w:tcW w:w="630" w:type="dxa"/>
          </w:tcPr>
          <w:p w:rsidR="001B279E" w:rsidRPr="00E85E82" w:rsidRDefault="001B279E" w:rsidP="001B279E">
            <w:pPr>
              <w:pStyle w:val="SCCShortJudgment"/>
              <w:ind w:firstLine="0"/>
              <w:rPr>
                <w:rFonts w:cs="Times New Roman"/>
                <w:szCs w:val="20"/>
              </w:rPr>
            </w:pPr>
          </w:p>
        </w:tc>
        <w:tc>
          <w:tcPr>
            <w:tcW w:w="4536" w:type="dxa"/>
          </w:tcPr>
          <w:p w:rsidR="001B279E" w:rsidRPr="00E85E82" w:rsidRDefault="001B279E" w:rsidP="001B279E">
            <w:pPr>
              <w:jc w:val="both"/>
              <w:rPr>
                <w:sz w:val="20"/>
                <w:szCs w:val="20"/>
              </w:rPr>
            </w:pPr>
            <w:r w:rsidRPr="00E85E82">
              <w:rPr>
                <w:sz w:val="20"/>
                <w:szCs w:val="20"/>
              </w:rPr>
              <w:t>Motion to extend to serve and file application for leave to appeal and application for leave to appeal filed</w:t>
            </w:r>
          </w:p>
        </w:tc>
      </w:tr>
      <w:tr w:rsidR="001B279E" w:rsidRPr="00E85E82" w:rsidTr="000F56AC">
        <w:trPr>
          <w:cantSplit/>
        </w:trPr>
        <w:tc>
          <w:tcPr>
            <w:tcW w:w="9576" w:type="dxa"/>
            <w:gridSpan w:val="4"/>
          </w:tcPr>
          <w:p w:rsidR="001B279E" w:rsidRPr="00E85E82" w:rsidRDefault="00B407D6" w:rsidP="001B279E">
            <w:pPr>
              <w:pStyle w:val="SCCShortJudgment"/>
              <w:ind w:firstLine="0"/>
              <w:rPr>
                <w:rFonts w:cs="Times New Roman"/>
                <w:szCs w:val="20"/>
                <w:lang w:val="fr-CA"/>
              </w:rPr>
            </w:pPr>
            <w:r>
              <w:rPr>
                <w:rFonts w:cs="Times New Roman"/>
                <w:szCs w:val="20"/>
                <w:lang w:val="fr-CA"/>
              </w:rPr>
              <w:pict>
                <v:rect id="_x0000_i1073" style="width:2in;height:1pt" o:hrpct="0" o:hralign="center" o:hrstd="t" o:hrnoshade="t" o:hr="t" fillcolor="black [3213]" stroked="f"/>
              </w:pict>
            </w:r>
          </w:p>
          <w:p w:rsidR="001B279E" w:rsidRPr="00E85E82" w:rsidRDefault="001B279E" w:rsidP="001B279E">
            <w:pPr>
              <w:pStyle w:val="SCCShortJudgment"/>
              <w:ind w:firstLine="0"/>
              <w:rPr>
                <w:rFonts w:cs="Times New Roman"/>
                <w:szCs w:val="20"/>
                <w:lang w:val="fr-CA"/>
              </w:rPr>
            </w:pPr>
          </w:p>
        </w:tc>
      </w:tr>
      <w:tr w:rsidR="001B279E" w:rsidRPr="00E85E82" w:rsidTr="000F56AC">
        <w:trPr>
          <w:cantSplit/>
        </w:trPr>
        <w:tc>
          <w:tcPr>
            <w:tcW w:w="9576" w:type="dxa"/>
            <w:gridSpan w:val="4"/>
          </w:tcPr>
          <w:p w:rsidR="001B279E" w:rsidRPr="00E85E82" w:rsidRDefault="001B279E" w:rsidP="001B279E">
            <w:pPr>
              <w:pStyle w:val="SCCShortJudgment"/>
              <w:ind w:firstLine="0"/>
              <w:rPr>
                <w:rFonts w:cs="Times New Roman"/>
                <w:szCs w:val="20"/>
                <w:u w:val="single"/>
                <w:lang w:val="fr-CA"/>
              </w:rPr>
            </w:pPr>
            <w:r w:rsidRPr="00E85E82">
              <w:rPr>
                <w:rFonts w:cs="Times New Roman"/>
                <w:szCs w:val="20"/>
                <w:u w:val="single"/>
                <w:lang w:val="fr-CA"/>
              </w:rPr>
              <w:t>RÉSUMÉ DE L’AFFAIRE </w:t>
            </w:r>
          </w:p>
          <w:p w:rsidR="001B279E" w:rsidRPr="00E85E82" w:rsidRDefault="001B279E" w:rsidP="001B279E">
            <w:pPr>
              <w:pStyle w:val="SCCShortJudgment"/>
              <w:ind w:firstLine="0"/>
              <w:rPr>
                <w:rFonts w:cs="Times New Roman"/>
                <w:szCs w:val="20"/>
                <w:u w:val="single"/>
                <w:lang w:val="fr-CA"/>
              </w:rPr>
            </w:pPr>
          </w:p>
        </w:tc>
      </w:tr>
      <w:tr w:rsidR="001B279E" w:rsidRPr="00B407D6" w:rsidTr="000F56AC">
        <w:trPr>
          <w:cantSplit/>
        </w:trPr>
        <w:tc>
          <w:tcPr>
            <w:tcW w:w="9576" w:type="dxa"/>
            <w:gridSpan w:val="4"/>
          </w:tcPr>
          <w:p w:rsidR="001B279E" w:rsidRPr="00E85E82" w:rsidRDefault="001B279E" w:rsidP="001B279E">
            <w:pPr>
              <w:pStyle w:val="SCCShortJudgment"/>
              <w:ind w:firstLine="0"/>
              <w:rPr>
                <w:szCs w:val="20"/>
                <w:lang w:val="fr-CA"/>
              </w:rPr>
            </w:pPr>
            <w:r w:rsidRPr="00E85E82">
              <w:rPr>
                <w:szCs w:val="20"/>
                <w:lang w:val="fr-CA"/>
              </w:rPr>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E85E82">
              <w:rPr>
                <w:i/>
                <w:szCs w:val="20"/>
                <w:lang w:val="fr-CA"/>
              </w:rPr>
              <w:t>Loi réglementant certaines drogues et autres substances</w:t>
            </w:r>
            <w:r w:rsidRPr="00E85E82">
              <w:rPr>
                <w:szCs w:val="20"/>
                <w:lang w:val="fr-CA"/>
              </w:rPr>
              <w:t>, L.C., 1996, ch. 19.</w:t>
            </w:r>
          </w:p>
          <w:p w:rsidR="001B279E" w:rsidRPr="00E85E82" w:rsidRDefault="001B279E" w:rsidP="001B279E">
            <w:pPr>
              <w:pStyle w:val="SCCShortJudgment"/>
              <w:ind w:firstLine="0"/>
              <w:rPr>
                <w:rFonts w:cs="Times New Roman"/>
                <w:szCs w:val="20"/>
                <w:u w:val="single"/>
                <w:lang w:val="fr-CA"/>
              </w:rPr>
            </w:pPr>
          </w:p>
        </w:tc>
      </w:tr>
      <w:tr w:rsidR="001B279E" w:rsidRPr="00B407D6" w:rsidTr="000F56AC">
        <w:trPr>
          <w:cantSplit/>
        </w:trPr>
        <w:tc>
          <w:tcPr>
            <w:tcW w:w="9576" w:type="dxa"/>
            <w:gridSpan w:val="4"/>
          </w:tcPr>
          <w:p w:rsidR="001B279E" w:rsidRPr="00E85E82" w:rsidRDefault="001B279E" w:rsidP="001B279E">
            <w:pPr>
              <w:jc w:val="both"/>
              <w:rPr>
                <w:sz w:val="20"/>
                <w:szCs w:val="20"/>
                <w:lang w:val="fr-CA"/>
              </w:rPr>
            </w:pPr>
            <w:r w:rsidRPr="00E85E82">
              <w:rPr>
                <w:sz w:val="20"/>
                <w:szCs w:val="20"/>
                <w:lang w:val="fr-CA"/>
              </w:rPr>
              <w:t xml:space="preserve">Depuis février 2014, environ 300 plaideurs non représentés, y compris la demanderesse, ont déposé des demandes identiques sollicitant des jugements qui déclarent inconstitutionnels le </w:t>
            </w:r>
            <w:r w:rsidRPr="00E85E82">
              <w:rPr>
                <w:i/>
                <w:sz w:val="20"/>
                <w:szCs w:val="20"/>
                <w:lang w:val="fr-CA"/>
              </w:rPr>
              <w:t>Règlement sur l’accès à la marihuana à des fins médicales (« RAMFM »)</w:t>
            </w:r>
            <w:r w:rsidRPr="00E85E82">
              <w:rPr>
                <w:sz w:val="20"/>
                <w:szCs w:val="20"/>
                <w:lang w:val="fr-CA"/>
              </w:rPr>
              <w:t xml:space="preserve">, D.O.R.S./2001-227, abrogé le 31 mars 2014 et le </w:t>
            </w:r>
            <w:r w:rsidRPr="00E85E82">
              <w:rPr>
                <w:i/>
                <w:sz w:val="20"/>
                <w:szCs w:val="20"/>
                <w:lang w:val="fr-CA"/>
              </w:rPr>
              <w:t>Règlement sur la marihuana à des fins médicales</w:t>
            </w:r>
            <w:r w:rsidRPr="00E85E82">
              <w:rPr>
                <w:sz w:val="20"/>
                <w:szCs w:val="20"/>
                <w:lang w:val="fr-CA"/>
              </w:rPr>
              <w:t xml:space="preserve">, D.O.R.S./2013-119, qui a remplacé le </w:t>
            </w:r>
            <w:r w:rsidRPr="00E85E82">
              <w:rPr>
                <w:i/>
                <w:sz w:val="20"/>
                <w:szCs w:val="20"/>
                <w:lang w:val="fr-CA"/>
              </w:rPr>
              <w:t>RAMFM</w:t>
            </w:r>
            <w:r w:rsidRPr="00E85E82">
              <w:rPr>
                <w:sz w:val="20"/>
                <w:szCs w:val="20"/>
                <w:lang w:val="fr-CA"/>
              </w:rPr>
              <w:t xml:space="preserve">. Dans le cadre de leurs actions, vingt-six demandeurs en première instance, y compris la demanderesse en l’espèce, ont présenté des requêtes en exemption constitutionnelle visant à écarter temporairement l’application de la </w:t>
            </w:r>
            <w:r w:rsidRPr="00E85E82">
              <w:rPr>
                <w:i/>
                <w:sz w:val="20"/>
                <w:szCs w:val="20"/>
                <w:lang w:val="fr-CA"/>
              </w:rPr>
              <w:t xml:space="preserve">Loi réglementant certaines drogues et autres substances </w:t>
            </w:r>
            <w:r w:rsidRPr="00E85E82">
              <w:rPr>
                <w:sz w:val="20"/>
                <w:szCs w:val="20"/>
                <w:lang w:val="fr-CA"/>
              </w:rPr>
              <w:t>(« </w:t>
            </w:r>
            <w:r w:rsidRPr="00E85E82">
              <w:rPr>
                <w:i/>
                <w:sz w:val="20"/>
                <w:szCs w:val="20"/>
                <w:lang w:val="fr-CA"/>
              </w:rPr>
              <w:t>LRCDAS »)</w:t>
            </w:r>
            <w:r w:rsidRPr="00E85E82">
              <w:rPr>
                <w:sz w:val="20"/>
                <w:szCs w:val="20"/>
                <w:lang w:val="fr-CA"/>
              </w:rPr>
              <w:t xml:space="preserve"> pour l’utilisation personnelle de la marihuana en attendant que leurs actions soient instruites.</w:t>
            </w:r>
          </w:p>
          <w:p w:rsidR="001B279E" w:rsidRPr="00E85E82" w:rsidRDefault="001B279E" w:rsidP="001B279E">
            <w:pPr>
              <w:jc w:val="both"/>
              <w:rPr>
                <w:sz w:val="20"/>
                <w:szCs w:val="20"/>
                <w:lang w:val="fr-CA"/>
              </w:rPr>
            </w:pPr>
          </w:p>
        </w:tc>
      </w:tr>
      <w:tr w:rsidR="001B279E" w:rsidRPr="00B407D6" w:rsidTr="000F56AC">
        <w:trPr>
          <w:cantSplit/>
        </w:trPr>
        <w:tc>
          <w:tcPr>
            <w:tcW w:w="4410" w:type="dxa"/>
            <w:gridSpan w:val="2"/>
          </w:tcPr>
          <w:p w:rsidR="001B279E" w:rsidRPr="00E85E82" w:rsidRDefault="001B279E" w:rsidP="001B279E">
            <w:pPr>
              <w:rPr>
                <w:sz w:val="20"/>
                <w:szCs w:val="20"/>
                <w:lang w:val="fr-CA"/>
              </w:rPr>
            </w:pPr>
            <w:r w:rsidRPr="00E85E82">
              <w:rPr>
                <w:sz w:val="20"/>
                <w:szCs w:val="20"/>
                <w:lang w:val="fr-CA"/>
              </w:rPr>
              <w:t>7 mai 2014</w:t>
            </w:r>
          </w:p>
          <w:p w:rsidR="001B279E" w:rsidRPr="00E85E82" w:rsidRDefault="001B279E" w:rsidP="001B279E">
            <w:pPr>
              <w:rPr>
                <w:sz w:val="20"/>
                <w:szCs w:val="20"/>
                <w:lang w:val="fr-CA"/>
              </w:rPr>
            </w:pPr>
            <w:r w:rsidRPr="00E85E82">
              <w:rPr>
                <w:sz w:val="20"/>
                <w:szCs w:val="20"/>
                <w:lang w:val="fr-CA"/>
              </w:rPr>
              <w:t xml:space="preserve">Cour fédérale </w:t>
            </w:r>
          </w:p>
          <w:p w:rsidR="001B279E" w:rsidRPr="00E85E82" w:rsidRDefault="001B279E" w:rsidP="001B279E">
            <w:pPr>
              <w:pStyle w:val="SCCShortJudgment"/>
              <w:ind w:firstLine="0"/>
              <w:rPr>
                <w:szCs w:val="20"/>
                <w:lang w:val="fr-CA"/>
              </w:rPr>
            </w:pPr>
            <w:r w:rsidRPr="00E85E82">
              <w:rPr>
                <w:szCs w:val="20"/>
                <w:lang w:val="fr-CA"/>
              </w:rPr>
              <w:t>(Juge Phelan)</w:t>
            </w:r>
          </w:p>
          <w:p w:rsidR="001B279E" w:rsidRPr="00E85E82" w:rsidRDefault="001B279E" w:rsidP="001B279E">
            <w:pPr>
              <w:pStyle w:val="SCCShortJudgment"/>
              <w:ind w:firstLine="0"/>
              <w:rPr>
                <w:rFonts w:cs="Times New Roman"/>
                <w:szCs w:val="20"/>
                <w:u w:val="single"/>
                <w:lang w:val="fr-CA"/>
              </w:rPr>
            </w:pPr>
          </w:p>
        </w:tc>
        <w:tc>
          <w:tcPr>
            <w:tcW w:w="630" w:type="dxa"/>
          </w:tcPr>
          <w:p w:rsidR="001B279E" w:rsidRPr="00E85E82" w:rsidRDefault="001B279E" w:rsidP="001B279E">
            <w:pPr>
              <w:pStyle w:val="SCCShortJudgment"/>
              <w:ind w:firstLine="0"/>
              <w:rPr>
                <w:rFonts w:cs="Times New Roman"/>
                <w:szCs w:val="20"/>
                <w:u w:val="single"/>
                <w:lang w:val="fr-CA"/>
              </w:rPr>
            </w:pPr>
          </w:p>
        </w:tc>
        <w:tc>
          <w:tcPr>
            <w:tcW w:w="4536" w:type="dxa"/>
          </w:tcPr>
          <w:p w:rsidR="001B279E" w:rsidRPr="00E85E82" w:rsidRDefault="001B279E" w:rsidP="001B279E">
            <w:pPr>
              <w:jc w:val="both"/>
              <w:rPr>
                <w:sz w:val="20"/>
                <w:szCs w:val="20"/>
                <w:lang w:val="fr-CA"/>
              </w:rPr>
            </w:pPr>
            <w:r w:rsidRPr="00E85E82">
              <w:rPr>
                <w:sz w:val="20"/>
                <w:szCs w:val="20"/>
                <w:lang w:val="fr-CA"/>
              </w:rPr>
              <w:t xml:space="preserve">Rejet de la requête en exemption constitutionnelle visant à écarter temporairement l’application de la </w:t>
            </w:r>
            <w:r w:rsidRPr="00E85E82">
              <w:rPr>
                <w:i/>
                <w:sz w:val="20"/>
                <w:szCs w:val="20"/>
                <w:lang w:val="fr-CA"/>
              </w:rPr>
              <w:t>Loi réglementant certaines drogues et autres substances</w:t>
            </w:r>
          </w:p>
          <w:p w:rsidR="001B279E" w:rsidRPr="00E85E82" w:rsidRDefault="001B279E" w:rsidP="001B279E">
            <w:pPr>
              <w:pStyle w:val="SCCShortJudgment"/>
              <w:ind w:firstLine="0"/>
              <w:rPr>
                <w:rFonts w:cs="Times New Roman"/>
                <w:szCs w:val="20"/>
                <w:u w:val="single"/>
                <w:lang w:val="fr-CA"/>
              </w:rPr>
            </w:pPr>
          </w:p>
        </w:tc>
      </w:tr>
      <w:tr w:rsidR="001B279E" w:rsidRPr="00E85E82" w:rsidTr="000F56AC">
        <w:trPr>
          <w:cantSplit/>
        </w:trPr>
        <w:tc>
          <w:tcPr>
            <w:tcW w:w="4410" w:type="dxa"/>
            <w:gridSpan w:val="2"/>
          </w:tcPr>
          <w:p w:rsidR="001B279E" w:rsidRPr="00E85E82" w:rsidRDefault="001B279E" w:rsidP="001B279E">
            <w:pPr>
              <w:rPr>
                <w:sz w:val="20"/>
                <w:szCs w:val="20"/>
                <w:lang w:val="fr-CA"/>
              </w:rPr>
            </w:pPr>
            <w:r w:rsidRPr="00E85E82">
              <w:rPr>
                <w:sz w:val="20"/>
                <w:szCs w:val="20"/>
                <w:lang w:val="fr-CA"/>
              </w:rPr>
              <w:t>13 janvier 2016</w:t>
            </w:r>
          </w:p>
          <w:p w:rsidR="001B279E" w:rsidRPr="00E85E82" w:rsidRDefault="001B279E" w:rsidP="001B279E">
            <w:pPr>
              <w:rPr>
                <w:sz w:val="20"/>
                <w:szCs w:val="20"/>
                <w:lang w:val="fr-CA"/>
              </w:rPr>
            </w:pPr>
            <w:r w:rsidRPr="00E85E82">
              <w:rPr>
                <w:sz w:val="20"/>
                <w:szCs w:val="20"/>
                <w:lang w:val="fr-CA"/>
              </w:rPr>
              <w:t xml:space="preserve">Cour d’appel fédérale </w:t>
            </w:r>
          </w:p>
          <w:p w:rsidR="001B279E" w:rsidRPr="00E85E82" w:rsidRDefault="001B279E" w:rsidP="001B279E">
            <w:pPr>
              <w:rPr>
                <w:rFonts w:eastAsia="Times New Roman" w:cs="Times New Roman"/>
                <w:sz w:val="20"/>
                <w:szCs w:val="20"/>
                <w:lang w:val="fr-CA" w:eastAsia="en-CA"/>
              </w:rPr>
            </w:pPr>
            <w:r w:rsidRPr="00E85E82">
              <w:rPr>
                <w:rFonts w:eastAsia="Times New Roman" w:cs="Times New Roman"/>
                <w:sz w:val="20"/>
                <w:szCs w:val="20"/>
                <w:lang w:val="fr-CA" w:eastAsia="en-CA"/>
              </w:rPr>
              <w:t xml:space="preserve">(Juges Pelletier, </w:t>
            </w:r>
            <w:proofErr w:type="spellStart"/>
            <w:r w:rsidRPr="00E85E82">
              <w:rPr>
                <w:rFonts w:eastAsia="Times New Roman" w:cs="Times New Roman"/>
                <w:sz w:val="20"/>
                <w:szCs w:val="20"/>
                <w:lang w:val="fr-CA" w:eastAsia="en-CA"/>
              </w:rPr>
              <w:t>Stratas</w:t>
            </w:r>
            <w:proofErr w:type="spellEnd"/>
            <w:r w:rsidRPr="00E85E82">
              <w:rPr>
                <w:rFonts w:eastAsia="Times New Roman" w:cs="Times New Roman"/>
                <w:sz w:val="20"/>
                <w:szCs w:val="20"/>
                <w:lang w:val="fr-CA" w:eastAsia="en-CA"/>
              </w:rPr>
              <w:t xml:space="preserve"> et </w:t>
            </w:r>
            <w:proofErr w:type="spellStart"/>
            <w:r w:rsidRPr="00E85E82">
              <w:rPr>
                <w:rFonts w:eastAsia="Times New Roman" w:cs="Times New Roman"/>
                <w:sz w:val="20"/>
                <w:szCs w:val="20"/>
                <w:lang w:val="fr-CA" w:eastAsia="en-CA"/>
              </w:rPr>
              <w:t>Gleason</w:t>
            </w:r>
            <w:proofErr w:type="spellEnd"/>
            <w:r w:rsidRPr="00E85E82">
              <w:rPr>
                <w:rFonts w:eastAsia="Times New Roman" w:cs="Times New Roman"/>
                <w:sz w:val="20"/>
                <w:szCs w:val="20"/>
                <w:lang w:val="fr-CA" w:eastAsia="en-CA"/>
              </w:rPr>
              <w:t>)</w:t>
            </w:r>
          </w:p>
          <w:p w:rsidR="001B279E" w:rsidRPr="00E85E82" w:rsidRDefault="00B407D6" w:rsidP="001B279E">
            <w:pPr>
              <w:rPr>
                <w:rFonts w:eastAsia="Times New Roman" w:cs="Times New Roman"/>
                <w:sz w:val="20"/>
                <w:szCs w:val="20"/>
                <w:lang w:val="fr-CA" w:eastAsia="en-CA"/>
              </w:rPr>
            </w:pPr>
            <w:hyperlink r:id="rId61" w:history="1">
              <w:r w:rsidR="001B279E" w:rsidRPr="00E85E82">
                <w:rPr>
                  <w:rFonts w:eastAsia="Times New Roman" w:cs="Times New Roman"/>
                  <w:color w:val="0000FF" w:themeColor="hyperlink"/>
                  <w:sz w:val="20"/>
                  <w:szCs w:val="20"/>
                  <w:u w:val="single"/>
                  <w:lang w:val="fr-CA" w:eastAsia="en-CA"/>
                </w:rPr>
                <w:t>2016 FCA 9</w:t>
              </w:r>
            </w:hyperlink>
          </w:p>
          <w:p w:rsidR="001B279E" w:rsidRPr="00E85E82" w:rsidRDefault="001B279E" w:rsidP="001B279E">
            <w:pPr>
              <w:pStyle w:val="SCCShortJudgment"/>
              <w:ind w:firstLine="0"/>
              <w:rPr>
                <w:rFonts w:cs="Times New Roman"/>
                <w:szCs w:val="20"/>
                <w:u w:val="single"/>
                <w:lang w:val="fr-CA"/>
              </w:rPr>
            </w:pPr>
          </w:p>
        </w:tc>
        <w:tc>
          <w:tcPr>
            <w:tcW w:w="630" w:type="dxa"/>
          </w:tcPr>
          <w:p w:rsidR="001B279E" w:rsidRPr="00E85E82" w:rsidRDefault="001B279E" w:rsidP="001B279E">
            <w:pPr>
              <w:pStyle w:val="SCCShortJudgment"/>
              <w:ind w:firstLine="0"/>
              <w:rPr>
                <w:rFonts w:cs="Times New Roman"/>
                <w:szCs w:val="20"/>
                <w:u w:val="single"/>
                <w:lang w:val="fr-CA"/>
              </w:rPr>
            </w:pPr>
          </w:p>
        </w:tc>
        <w:tc>
          <w:tcPr>
            <w:tcW w:w="4536" w:type="dxa"/>
          </w:tcPr>
          <w:p w:rsidR="001B279E" w:rsidRPr="00E85E82" w:rsidRDefault="001B279E" w:rsidP="001B279E">
            <w:pPr>
              <w:rPr>
                <w:sz w:val="20"/>
                <w:szCs w:val="20"/>
                <w:lang w:val="fr-CA"/>
              </w:rPr>
            </w:pPr>
            <w:r w:rsidRPr="00E85E82">
              <w:rPr>
                <w:sz w:val="20"/>
                <w:szCs w:val="20"/>
                <w:lang w:val="fr-CA"/>
              </w:rPr>
              <w:t>Rejet de l’appel</w:t>
            </w:r>
          </w:p>
          <w:p w:rsidR="001B279E" w:rsidRPr="00E85E82" w:rsidRDefault="001B279E" w:rsidP="001B279E">
            <w:pPr>
              <w:jc w:val="center"/>
              <w:rPr>
                <w:sz w:val="20"/>
                <w:szCs w:val="20"/>
                <w:lang w:val="fr-CA"/>
              </w:rPr>
            </w:pPr>
          </w:p>
        </w:tc>
      </w:tr>
      <w:tr w:rsidR="001B279E" w:rsidRPr="00B407D6" w:rsidTr="000F56AC">
        <w:trPr>
          <w:cantSplit/>
        </w:trPr>
        <w:tc>
          <w:tcPr>
            <w:tcW w:w="4410" w:type="dxa"/>
            <w:gridSpan w:val="2"/>
          </w:tcPr>
          <w:p w:rsidR="001B279E" w:rsidRPr="00E85E82" w:rsidRDefault="001B279E" w:rsidP="001B279E">
            <w:pPr>
              <w:rPr>
                <w:sz w:val="20"/>
                <w:szCs w:val="20"/>
                <w:lang w:val="fr-CA"/>
              </w:rPr>
            </w:pPr>
            <w:r w:rsidRPr="00E85E82">
              <w:rPr>
                <w:sz w:val="20"/>
                <w:szCs w:val="20"/>
                <w:lang w:val="fr-CA"/>
              </w:rPr>
              <w:t>29 mars 2016</w:t>
            </w:r>
          </w:p>
          <w:p w:rsidR="001B279E" w:rsidRPr="00E85E82" w:rsidRDefault="001B279E" w:rsidP="001B279E">
            <w:pPr>
              <w:rPr>
                <w:sz w:val="20"/>
                <w:szCs w:val="20"/>
                <w:lang w:val="fr-CA"/>
              </w:rPr>
            </w:pPr>
            <w:r w:rsidRPr="00E85E82">
              <w:rPr>
                <w:sz w:val="20"/>
                <w:szCs w:val="20"/>
                <w:lang w:val="fr-CA"/>
              </w:rPr>
              <w:t>Cour suprême du Canada</w:t>
            </w:r>
          </w:p>
          <w:p w:rsidR="001B279E" w:rsidRPr="00E85E82" w:rsidRDefault="001B279E" w:rsidP="001B279E">
            <w:pPr>
              <w:pStyle w:val="SCCShortJudgment"/>
              <w:ind w:firstLine="0"/>
              <w:rPr>
                <w:rFonts w:cs="Times New Roman"/>
                <w:szCs w:val="20"/>
                <w:u w:val="single"/>
                <w:lang w:val="fr-CA"/>
              </w:rPr>
            </w:pPr>
          </w:p>
        </w:tc>
        <w:tc>
          <w:tcPr>
            <w:tcW w:w="630" w:type="dxa"/>
          </w:tcPr>
          <w:p w:rsidR="001B279E" w:rsidRPr="00E85E82" w:rsidRDefault="001B279E" w:rsidP="001B279E">
            <w:pPr>
              <w:pStyle w:val="SCCShortJudgment"/>
              <w:ind w:firstLine="0"/>
              <w:rPr>
                <w:rFonts w:cs="Times New Roman"/>
                <w:szCs w:val="20"/>
                <w:u w:val="single"/>
                <w:lang w:val="fr-CA"/>
              </w:rPr>
            </w:pPr>
          </w:p>
        </w:tc>
        <w:tc>
          <w:tcPr>
            <w:tcW w:w="4536" w:type="dxa"/>
          </w:tcPr>
          <w:p w:rsidR="001B279E" w:rsidRPr="00E85E82" w:rsidRDefault="001B279E" w:rsidP="001B279E">
            <w:pPr>
              <w:jc w:val="both"/>
              <w:rPr>
                <w:sz w:val="20"/>
                <w:szCs w:val="20"/>
                <w:lang w:val="fr-CA"/>
              </w:rPr>
            </w:pPr>
            <w:r w:rsidRPr="00E85E82">
              <w:rPr>
                <w:sz w:val="20"/>
                <w:szCs w:val="20"/>
                <w:lang w:val="fr-CA"/>
              </w:rPr>
              <w:t xml:space="preserve">Dépôt de la requête en prorogation du délai de signification et de dépôt de la demande d’autorisation d’appel et de la demande d’autorisation d’appel </w:t>
            </w:r>
          </w:p>
          <w:p w:rsidR="004E22A8" w:rsidRPr="00E85E82" w:rsidRDefault="004E22A8" w:rsidP="001B279E">
            <w:pPr>
              <w:jc w:val="both"/>
              <w:rPr>
                <w:sz w:val="20"/>
                <w:szCs w:val="20"/>
                <w:lang w:val="fr-CA"/>
              </w:rPr>
            </w:pPr>
          </w:p>
        </w:tc>
      </w:tr>
    </w:tbl>
    <w:p w:rsidR="00232760" w:rsidRPr="00E85E82" w:rsidRDefault="00B407D6" w:rsidP="00232760">
      <w:pPr>
        <w:rPr>
          <w:rFonts w:cs="Times New Roman"/>
          <w:sz w:val="20"/>
          <w:szCs w:val="20"/>
          <w:lang w:val="fr-CA"/>
        </w:rPr>
      </w:pPr>
      <w:r>
        <w:rPr>
          <w:rFonts w:cs="Times New Roman"/>
          <w:sz w:val="20"/>
          <w:szCs w:val="20"/>
          <w:lang w:val="fr-CA"/>
        </w:rPr>
        <w:pict>
          <v:rect id="_x0000_i1074" style="width:2in;height:1pt" o:hrpct="0" o:hralign="center" o:hrstd="t" o:hrnoshade="t" o:hr="t" fillcolor="black [3213]" stroked="f"/>
        </w:pict>
      </w:r>
    </w:p>
    <w:p w:rsidR="00232760" w:rsidRPr="00E85E82" w:rsidRDefault="00232760" w:rsidP="0023276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32760" w:rsidRPr="00B407D6" w:rsidTr="000F56AC">
        <w:trPr>
          <w:cantSplit/>
        </w:trPr>
        <w:tc>
          <w:tcPr>
            <w:tcW w:w="1458" w:type="dxa"/>
          </w:tcPr>
          <w:p w:rsidR="00232760" w:rsidRPr="00E85E82" w:rsidRDefault="00232760" w:rsidP="000F56AC">
            <w:pPr>
              <w:jc w:val="both"/>
              <w:rPr>
                <w:rFonts w:cs="Times New Roman"/>
                <w:sz w:val="20"/>
                <w:szCs w:val="20"/>
              </w:rPr>
            </w:pPr>
            <w:r w:rsidRPr="00E85E82">
              <w:rPr>
                <w:rStyle w:val="SCCFileNumberChar"/>
                <w:sz w:val="20"/>
                <w:szCs w:val="20"/>
              </w:rPr>
              <w:t>36951</w:t>
            </w:r>
          </w:p>
          <w:p w:rsidR="00232760" w:rsidRPr="00E85E82" w:rsidRDefault="00232760" w:rsidP="000F56AC">
            <w:pPr>
              <w:jc w:val="both"/>
              <w:rPr>
                <w:rFonts w:cs="Times New Roman"/>
                <w:b/>
                <w:sz w:val="20"/>
                <w:szCs w:val="20"/>
              </w:rPr>
            </w:pPr>
          </w:p>
        </w:tc>
        <w:tc>
          <w:tcPr>
            <w:tcW w:w="8118" w:type="dxa"/>
            <w:gridSpan w:val="3"/>
          </w:tcPr>
          <w:p w:rsidR="00232760" w:rsidRPr="00C556BB" w:rsidRDefault="004D2D17" w:rsidP="000F56AC">
            <w:pPr>
              <w:jc w:val="both"/>
              <w:rPr>
                <w:rFonts w:cs="Times New Roman"/>
                <w:sz w:val="20"/>
                <w:szCs w:val="20"/>
                <w:lang w:val="fr-CA"/>
              </w:rPr>
            </w:pPr>
            <w:r w:rsidRPr="00C556BB">
              <w:rPr>
                <w:rStyle w:val="SCCLsocChar"/>
                <w:rFonts w:cs="Times New Roman"/>
                <w:sz w:val="20"/>
                <w:szCs w:val="20"/>
              </w:rPr>
              <w:t>Pierre Mailloux</w:t>
            </w:r>
            <w:r w:rsidR="00232760" w:rsidRPr="00C556BB">
              <w:rPr>
                <w:rStyle w:val="SCCLsocChar"/>
                <w:rFonts w:cs="Times New Roman"/>
                <w:sz w:val="20"/>
                <w:szCs w:val="20"/>
              </w:rPr>
              <w:t xml:space="preserve"> </w:t>
            </w:r>
            <w:r w:rsidRPr="00C556BB">
              <w:rPr>
                <w:rStyle w:val="SCCLsocChar"/>
                <w:rFonts w:cs="Times New Roman"/>
                <w:sz w:val="20"/>
                <w:szCs w:val="20"/>
              </w:rPr>
              <w:t>c</w:t>
            </w:r>
            <w:r w:rsidR="00232760" w:rsidRPr="00C556BB">
              <w:rPr>
                <w:rStyle w:val="SCCLsocChar"/>
                <w:rFonts w:cs="Times New Roman"/>
                <w:sz w:val="20"/>
                <w:szCs w:val="20"/>
              </w:rPr>
              <w:t xml:space="preserve">. </w:t>
            </w:r>
            <w:r w:rsidRPr="00C556BB">
              <w:rPr>
                <w:rStyle w:val="SCCLsocChar"/>
                <w:rFonts w:cs="Times New Roman"/>
                <w:sz w:val="20"/>
                <w:szCs w:val="20"/>
              </w:rPr>
              <w:t>Jean-Claude Fortin, ès qualités de syndic adjoint du Collège des médecins du Québec</w:t>
            </w:r>
            <w:r w:rsidR="00232760" w:rsidRPr="00C556BB">
              <w:rPr>
                <w:rStyle w:val="SCCLsocChar"/>
                <w:rFonts w:cs="Times New Roman"/>
                <w:sz w:val="20"/>
                <w:szCs w:val="20"/>
                <w:u w:val="none"/>
              </w:rPr>
              <w:t xml:space="preserve"> </w:t>
            </w:r>
            <w:r w:rsidR="00232760" w:rsidRPr="00C556BB">
              <w:rPr>
                <w:rFonts w:cs="Times New Roman"/>
                <w:sz w:val="20"/>
                <w:szCs w:val="20"/>
                <w:lang w:val="fr-CA"/>
              </w:rPr>
              <w:t>(</w:t>
            </w:r>
            <w:proofErr w:type="spellStart"/>
            <w:r w:rsidR="009A2C36" w:rsidRPr="00C556BB">
              <w:rPr>
                <w:rFonts w:cs="Times New Roman"/>
                <w:sz w:val="20"/>
                <w:szCs w:val="20"/>
                <w:lang w:val="fr-CA"/>
              </w:rPr>
              <w:t>Q</w:t>
            </w:r>
            <w:r w:rsidRPr="00C556BB">
              <w:rPr>
                <w:rFonts w:cs="Times New Roman"/>
                <w:sz w:val="20"/>
                <w:szCs w:val="20"/>
                <w:lang w:val="fr-CA"/>
              </w:rPr>
              <w:t>c</w:t>
            </w:r>
            <w:proofErr w:type="spellEnd"/>
            <w:r w:rsidR="00232760" w:rsidRPr="00C556BB">
              <w:rPr>
                <w:rFonts w:cs="Times New Roman"/>
                <w:sz w:val="20"/>
                <w:szCs w:val="20"/>
                <w:lang w:val="fr-CA"/>
              </w:rPr>
              <w:t>) (Civil</w:t>
            </w:r>
            <w:r w:rsidRPr="00C556BB">
              <w:rPr>
                <w:rFonts w:cs="Times New Roman"/>
                <w:sz w:val="20"/>
                <w:szCs w:val="20"/>
                <w:lang w:val="fr-CA"/>
              </w:rPr>
              <w:t>e</w:t>
            </w:r>
            <w:r w:rsidR="00232760" w:rsidRPr="00C556BB">
              <w:rPr>
                <w:rFonts w:cs="Times New Roman"/>
                <w:sz w:val="20"/>
                <w:szCs w:val="20"/>
                <w:lang w:val="fr-CA"/>
              </w:rPr>
              <w:t>) (</w:t>
            </w:r>
            <w:r w:rsidRPr="00C556BB">
              <w:rPr>
                <w:rFonts w:cs="Times New Roman"/>
                <w:sz w:val="20"/>
                <w:szCs w:val="20"/>
                <w:lang w:val="fr-CA"/>
              </w:rPr>
              <w:t>Autorisation</w:t>
            </w:r>
            <w:r w:rsidR="00232760" w:rsidRPr="00C556BB">
              <w:rPr>
                <w:rFonts w:cs="Times New Roman"/>
                <w:sz w:val="20"/>
                <w:szCs w:val="20"/>
                <w:lang w:val="fr-CA"/>
              </w:rPr>
              <w:t>)</w:t>
            </w:r>
          </w:p>
          <w:p w:rsidR="00232760" w:rsidRPr="00C556BB" w:rsidRDefault="00232760" w:rsidP="000F56AC">
            <w:pPr>
              <w:jc w:val="both"/>
              <w:rPr>
                <w:rFonts w:cs="Times New Roman"/>
                <w:sz w:val="20"/>
                <w:szCs w:val="20"/>
                <w:lang w:val="fr-CA"/>
              </w:rPr>
            </w:pPr>
          </w:p>
        </w:tc>
      </w:tr>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Fonts w:cs="Times New Roman"/>
                <w:sz w:val="20"/>
                <w:szCs w:val="20"/>
              </w:rPr>
              <w:t>Coram :</w:t>
            </w:r>
          </w:p>
        </w:tc>
        <w:tc>
          <w:tcPr>
            <w:tcW w:w="8118" w:type="dxa"/>
            <w:gridSpan w:val="3"/>
          </w:tcPr>
          <w:p w:rsidR="00232760" w:rsidRPr="00E85E82" w:rsidRDefault="004D2D17" w:rsidP="000F56AC">
            <w:pPr>
              <w:jc w:val="both"/>
              <w:rPr>
                <w:rStyle w:val="SCCCoramChar"/>
                <w:sz w:val="20"/>
                <w:szCs w:val="20"/>
                <w:lang w:val="en-CA"/>
              </w:rPr>
            </w:pPr>
            <w:r w:rsidRPr="00E85E82">
              <w:rPr>
                <w:rStyle w:val="SCCCoramChar"/>
                <w:sz w:val="20"/>
                <w:szCs w:val="20"/>
                <w:lang w:val="en-CA"/>
              </w:rPr>
              <w:t>Cromwell, Wagner</w:t>
            </w:r>
            <w:r w:rsidR="00232760" w:rsidRPr="00E85E82">
              <w:rPr>
                <w:rStyle w:val="SCCCoramChar"/>
                <w:sz w:val="20"/>
                <w:szCs w:val="20"/>
                <w:lang w:val="en-CA"/>
              </w:rPr>
              <w:t xml:space="preserve"> and </w:t>
            </w:r>
            <w:r w:rsidRPr="00E85E82">
              <w:rPr>
                <w:rStyle w:val="SCCCoramChar"/>
                <w:sz w:val="20"/>
                <w:szCs w:val="20"/>
                <w:lang w:val="en-CA"/>
              </w:rPr>
              <w:t>Côté</w:t>
            </w:r>
            <w:r w:rsidR="00232760" w:rsidRPr="00E85E82">
              <w:rPr>
                <w:rStyle w:val="SCCCoramChar"/>
                <w:sz w:val="20"/>
                <w:szCs w:val="20"/>
                <w:lang w:val="en-CA"/>
              </w:rPr>
              <w:t xml:space="preserve"> JJ.</w:t>
            </w:r>
          </w:p>
          <w:p w:rsidR="00232760" w:rsidRPr="00E85E82" w:rsidRDefault="00232760" w:rsidP="000F56AC">
            <w:pPr>
              <w:jc w:val="both"/>
              <w:rPr>
                <w:rFonts w:cs="Times New Roman"/>
                <w:sz w:val="20"/>
                <w:szCs w:val="20"/>
                <w:u w:val="single"/>
              </w:rPr>
            </w:pPr>
          </w:p>
        </w:tc>
      </w:tr>
      <w:tr w:rsidR="00232760" w:rsidRPr="00E85E82" w:rsidTr="000F56AC">
        <w:trPr>
          <w:cantSplit/>
        </w:trPr>
        <w:tc>
          <w:tcPr>
            <w:tcW w:w="9576" w:type="dxa"/>
            <w:gridSpan w:val="4"/>
          </w:tcPr>
          <w:p w:rsidR="00A31102" w:rsidRPr="00C556BB" w:rsidRDefault="00A31102" w:rsidP="00A31102">
            <w:pPr>
              <w:pStyle w:val="SCCShortJudgment"/>
              <w:rPr>
                <w:lang w:val="fr-CA"/>
              </w:rPr>
            </w:pPr>
            <w:r w:rsidRPr="00C556BB">
              <w:rPr>
                <w:lang w:val="fr-CA"/>
              </w:rPr>
              <w:t>La demande d’autorisation d’appel de l’arrêt de la Cour d’appel du Québec (Québec), numéro 200-09-008341-148, 2016 QCCA 62, daté du 22 janvier 2016, est rejetée avec dépens.</w:t>
            </w:r>
          </w:p>
          <w:p w:rsidR="00A31102" w:rsidRPr="00C556BB" w:rsidRDefault="00A31102" w:rsidP="00A31102">
            <w:pPr>
              <w:pStyle w:val="SCCShortJudgment"/>
              <w:ind w:firstLine="0"/>
              <w:rPr>
                <w:lang w:val="fr-CA"/>
              </w:rPr>
            </w:pPr>
          </w:p>
          <w:p w:rsidR="00A31102" w:rsidRPr="00E85E82" w:rsidRDefault="00A31102" w:rsidP="00A31102">
            <w:pPr>
              <w:pStyle w:val="SCCShortJudgment"/>
            </w:pPr>
            <w:r w:rsidRPr="00E85E82">
              <w:t>The application for leave to appeal from the judgment of the Court of Appeal of Quebec (Québec), Number 200-09-008341-148, 2016 QCCA 62, dated January 22, 2016, is dismissed with costs.</w:t>
            </w:r>
          </w:p>
          <w:p w:rsidR="00245D36" w:rsidRPr="00C556BB" w:rsidRDefault="00245D36" w:rsidP="000F56AC">
            <w:pPr>
              <w:pStyle w:val="SCCShortJudgment"/>
              <w:ind w:firstLine="0"/>
              <w:rPr>
                <w:rFonts w:cs="Times New Roman"/>
                <w:szCs w:val="20"/>
              </w:rPr>
            </w:pPr>
          </w:p>
        </w:tc>
      </w:tr>
      <w:tr w:rsidR="00232760" w:rsidRPr="00E85E82" w:rsidTr="000F56AC">
        <w:trPr>
          <w:cantSplit/>
        </w:trPr>
        <w:tc>
          <w:tcPr>
            <w:tcW w:w="9576" w:type="dxa"/>
            <w:gridSpan w:val="4"/>
          </w:tcPr>
          <w:p w:rsidR="00232760" w:rsidRPr="00E85E82" w:rsidRDefault="00232760" w:rsidP="000F56AC">
            <w:pPr>
              <w:pStyle w:val="SCCShortJudgment"/>
              <w:ind w:firstLine="0"/>
              <w:rPr>
                <w:rFonts w:cs="Times New Roman"/>
                <w:szCs w:val="20"/>
                <w:u w:val="single"/>
                <w:lang w:val="fr-CA"/>
              </w:rPr>
            </w:pPr>
            <w:r w:rsidRPr="00E85E82">
              <w:rPr>
                <w:rFonts w:cs="Times New Roman"/>
                <w:szCs w:val="20"/>
                <w:u w:val="single"/>
                <w:lang w:val="fr-CA"/>
              </w:rPr>
              <w:t>CASE SUMMARY</w:t>
            </w:r>
          </w:p>
          <w:p w:rsidR="00232760" w:rsidRPr="00E85E82" w:rsidRDefault="00232760" w:rsidP="000F56AC">
            <w:pPr>
              <w:pStyle w:val="SCCShortJudgment"/>
              <w:ind w:firstLine="0"/>
              <w:rPr>
                <w:rFonts w:cs="Times New Roman"/>
                <w:szCs w:val="20"/>
                <w:u w:val="single"/>
                <w:lang w:val="fr-CA"/>
              </w:rPr>
            </w:pPr>
          </w:p>
        </w:tc>
      </w:tr>
      <w:tr w:rsidR="00232760" w:rsidRPr="00E85E82" w:rsidTr="000F56AC">
        <w:trPr>
          <w:cantSplit/>
        </w:trPr>
        <w:tc>
          <w:tcPr>
            <w:tcW w:w="9576" w:type="dxa"/>
            <w:gridSpan w:val="4"/>
          </w:tcPr>
          <w:p w:rsidR="00232760" w:rsidRPr="00E85E82" w:rsidRDefault="009A2C36" w:rsidP="000F56AC">
            <w:pPr>
              <w:pStyle w:val="SCCShortJudgment"/>
              <w:ind w:firstLine="0"/>
              <w:rPr>
                <w:szCs w:val="20"/>
              </w:rPr>
            </w:pPr>
            <w:r w:rsidRPr="00E85E82">
              <w:rPr>
                <w:szCs w:val="20"/>
              </w:rPr>
              <w:t>Law of professions – Discipline – Whether, in disciplinary law, courts are appropriate forum for generating and developing medical standards and managing scientific progress through arguments in support of decision or penalty imposed on professional.</w:t>
            </w:r>
          </w:p>
          <w:p w:rsidR="009A2C36" w:rsidRPr="00E85E82" w:rsidRDefault="009A2C36" w:rsidP="000F56AC">
            <w:pPr>
              <w:pStyle w:val="SCCShortJudgment"/>
              <w:ind w:firstLine="0"/>
              <w:rPr>
                <w:rFonts w:cs="Times New Roman"/>
                <w:szCs w:val="20"/>
              </w:rPr>
            </w:pPr>
          </w:p>
        </w:tc>
      </w:tr>
      <w:tr w:rsidR="00232760" w:rsidRPr="00E85E82" w:rsidTr="000F56AC">
        <w:trPr>
          <w:cantSplit/>
        </w:trPr>
        <w:tc>
          <w:tcPr>
            <w:tcW w:w="9576" w:type="dxa"/>
            <w:gridSpan w:val="4"/>
          </w:tcPr>
          <w:p w:rsidR="009A2C36" w:rsidRPr="00E85E82" w:rsidRDefault="009A2C36" w:rsidP="009A2C36">
            <w:pPr>
              <w:jc w:val="both"/>
              <w:rPr>
                <w:sz w:val="20"/>
                <w:szCs w:val="20"/>
              </w:rPr>
            </w:pPr>
            <w:r w:rsidRPr="00E85E82">
              <w:rPr>
                <w:sz w:val="20"/>
                <w:szCs w:val="20"/>
              </w:rPr>
              <w:t xml:space="preserve">The disciplinary council of the </w:t>
            </w:r>
            <w:proofErr w:type="spellStart"/>
            <w:r w:rsidRPr="00E85E82">
              <w:rPr>
                <w:sz w:val="20"/>
                <w:szCs w:val="20"/>
              </w:rPr>
              <w:t>Collège</w:t>
            </w:r>
            <w:proofErr w:type="spellEnd"/>
            <w:r w:rsidRPr="00E85E82">
              <w:rPr>
                <w:sz w:val="20"/>
                <w:szCs w:val="20"/>
              </w:rPr>
              <w:t xml:space="preserve"> des </w:t>
            </w:r>
            <w:proofErr w:type="spellStart"/>
            <w:r w:rsidRPr="00E85E82">
              <w:rPr>
                <w:sz w:val="20"/>
                <w:szCs w:val="20"/>
              </w:rPr>
              <w:t>médecins</w:t>
            </w:r>
            <w:proofErr w:type="spellEnd"/>
            <w:r w:rsidRPr="00E85E82">
              <w:rPr>
                <w:sz w:val="20"/>
                <w:szCs w:val="20"/>
              </w:rPr>
              <w:t xml:space="preserve"> du Québec convicted the applicant of various offences in connection with four complaints laid against him by the syndic of his professional order between 1999 and 2008. The complaint in issue alleged, </w:t>
            </w:r>
            <w:r w:rsidRPr="00E85E82">
              <w:rPr>
                <w:i/>
                <w:sz w:val="20"/>
                <w:szCs w:val="20"/>
              </w:rPr>
              <w:t>inter alia</w:t>
            </w:r>
            <w:r w:rsidRPr="00E85E82">
              <w:rPr>
                <w:sz w:val="20"/>
                <w:szCs w:val="20"/>
              </w:rPr>
              <w:t>, that the applicant had made unsuitable diagnoses of psychotic disorders, childhood schizophrenia and childhood psychosis in children and had prescribed neuroleptic drugs for them in high doses or in combination (counts 1 to 10), had acted similarly with adult patients (counts 11, 12 and 14) and had claimed professional fees for services whose cost had to be paid by a third party (counts 13 and 14). The disciplinary council imposed on him a temporary striking off the roll for one year on several counts, to be served concurrently, a total of $6,000 in fines, a permanent restriction on the right to practise child and adolescent psychiatry and a permanent restriction on the right to prescribe neuroleptic drugs to adults in high doses and in combination. The</w:t>
            </w:r>
            <w:bookmarkStart w:id="2" w:name="_Ref438215156"/>
            <w:bookmarkEnd w:id="2"/>
            <w:r w:rsidRPr="00E85E82">
              <w:rPr>
                <w:sz w:val="20"/>
                <w:szCs w:val="20"/>
              </w:rPr>
              <w:t xml:space="preserve"> Professions Tribunal dismissed the appeal brought by the applicant, who applied for judicial review.</w:t>
            </w:r>
          </w:p>
          <w:p w:rsidR="00232760" w:rsidRPr="00E85E82" w:rsidRDefault="00232760" w:rsidP="000F56AC">
            <w:pPr>
              <w:pStyle w:val="SCCShortJudgment"/>
              <w:ind w:firstLine="0"/>
              <w:rPr>
                <w:rFonts w:cs="Times New Roman"/>
                <w:szCs w:val="20"/>
              </w:rPr>
            </w:pPr>
          </w:p>
        </w:tc>
      </w:tr>
      <w:tr w:rsidR="009A2C36" w:rsidRPr="00E85E82" w:rsidTr="000F56AC">
        <w:trPr>
          <w:cantSplit/>
        </w:trPr>
        <w:tc>
          <w:tcPr>
            <w:tcW w:w="4410" w:type="dxa"/>
            <w:gridSpan w:val="2"/>
          </w:tcPr>
          <w:p w:rsidR="009A2C36" w:rsidRPr="00E85E82" w:rsidRDefault="009A2C36" w:rsidP="009A2C36">
            <w:pPr>
              <w:rPr>
                <w:sz w:val="20"/>
                <w:szCs w:val="20"/>
              </w:rPr>
            </w:pPr>
            <w:r w:rsidRPr="00E85E82">
              <w:rPr>
                <w:sz w:val="20"/>
                <w:szCs w:val="20"/>
              </w:rPr>
              <w:t>April 15, 2014</w:t>
            </w:r>
          </w:p>
          <w:p w:rsidR="009A2C36" w:rsidRPr="00E85E82" w:rsidRDefault="009A2C36" w:rsidP="009A2C36">
            <w:pPr>
              <w:rPr>
                <w:sz w:val="20"/>
                <w:szCs w:val="20"/>
              </w:rPr>
            </w:pPr>
            <w:r w:rsidRPr="00E85E82">
              <w:rPr>
                <w:sz w:val="20"/>
                <w:szCs w:val="20"/>
              </w:rPr>
              <w:t>Quebec Superior Court</w:t>
            </w:r>
          </w:p>
          <w:p w:rsidR="009A2C36" w:rsidRPr="00E85E82" w:rsidRDefault="009A2C36" w:rsidP="009A2C36">
            <w:pPr>
              <w:rPr>
                <w:sz w:val="20"/>
                <w:szCs w:val="20"/>
              </w:rPr>
            </w:pPr>
            <w:r w:rsidRPr="00E85E82">
              <w:rPr>
                <w:sz w:val="20"/>
                <w:szCs w:val="20"/>
              </w:rPr>
              <w:t>(Bolduc J.)</w:t>
            </w:r>
          </w:p>
          <w:p w:rsidR="009A2C36" w:rsidRPr="00E85E82" w:rsidRDefault="009A2C36" w:rsidP="009A2C36">
            <w:pPr>
              <w:rPr>
                <w:sz w:val="20"/>
                <w:szCs w:val="20"/>
              </w:rPr>
            </w:pPr>
            <w:r w:rsidRPr="00E85E82">
              <w:rPr>
                <w:sz w:val="20"/>
                <w:szCs w:val="20"/>
              </w:rPr>
              <w:t>No. 400-17-003129-133</w:t>
            </w:r>
          </w:p>
          <w:p w:rsidR="009A2C36" w:rsidRPr="00E85E82" w:rsidRDefault="00B407D6" w:rsidP="009A2C36">
            <w:pPr>
              <w:rPr>
                <w:sz w:val="20"/>
                <w:szCs w:val="20"/>
              </w:rPr>
            </w:pPr>
            <w:hyperlink r:id="rId62" w:history="1">
              <w:r w:rsidR="009A2C36" w:rsidRPr="00E85E82">
                <w:rPr>
                  <w:rStyle w:val="Hyperlink"/>
                  <w:sz w:val="20"/>
                  <w:szCs w:val="20"/>
                </w:rPr>
                <w:t>2014 QCCS 1594</w:t>
              </w:r>
            </w:hyperlink>
          </w:p>
          <w:p w:rsidR="009A2C36" w:rsidRPr="00E85E82" w:rsidRDefault="009A2C36" w:rsidP="009A2C36">
            <w:pPr>
              <w:jc w:val="both"/>
              <w:rPr>
                <w:rFonts w:cs="Times New Roman"/>
                <w:sz w:val="20"/>
                <w:szCs w:val="20"/>
              </w:rPr>
            </w:pPr>
          </w:p>
        </w:tc>
        <w:tc>
          <w:tcPr>
            <w:tcW w:w="630" w:type="dxa"/>
          </w:tcPr>
          <w:p w:rsidR="009A2C36" w:rsidRPr="00E85E82" w:rsidRDefault="009A2C36" w:rsidP="009A2C36">
            <w:pPr>
              <w:pStyle w:val="SCCShortJudgment"/>
              <w:ind w:firstLine="0"/>
              <w:rPr>
                <w:rFonts w:cs="Times New Roman"/>
                <w:szCs w:val="20"/>
              </w:rPr>
            </w:pPr>
          </w:p>
        </w:tc>
        <w:tc>
          <w:tcPr>
            <w:tcW w:w="4536" w:type="dxa"/>
          </w:tcPr>
          <w:p w:rsidR="009A2C36" w:rsidRPr="00E85E82" w:rsidRDefault="009A2C36" w:rsidP="009A2C36">
            <w:pPr>
              <w:rPr>
                <w:sz w:val="20"/>
                <w:szCs w:val="20"/>
              </w:rPr>
            </w:pPr>
            <w:r w:rsidRPr="00E85E82">
              <w:rPr>
                <w:sz w:val="20"/>
                <w:szCs w:val="20"/>
              </w:rPr>
              <w:t>Motion for judicial review dismissed</w:t>
            </w:r>
          </w:p>
        </w:tc>
      </w:tr>
      <w:tr w:rsidR="009A2C36" w:rsidRPr="00E85E82" w:rsidTr="000F56AC">
        <w:trPr>
          <w:cantSplit/>
        </w:trPr>
        <w:tc>
          <w:tcPr>
            <w:tcW w:w="4410" w:type="dxa"/>
            <w:gridSpan w:val="2"/>
          </w:tcPr>
          <w:p w:rsidR="009A2C36" w:rsidRPr="00E85E82" w:rsidRDefault="009A2C36" w:rsidP="009A2C36">
            <w:pPr>
              <w:rPr>
                <w:sz w:val="20"/>
                <w:szCs w:val="20"/>
              </w:rPr>
            </w:pPr>
            <w:r w:rsidRPr="00E85E82">
              <w:rPr>
                <w:sz w:val="20"/>
                <w:szCs w:val="20"/>
              </w:rPr>
              <w:t>January 22, 2016</w:t>
            </w:r>
          </w:p>
          <w:p w:rsidR="009A2C36" w:rsidRPr="00E85E82" w:rsidRDefault="009A2C36" w:rsidP="009A2C36">
            <w:pPr>
              <w:rPr>
                <w:sz w:val="20"/>
                <w:szCs w:val="20"/>
              </w:rPr>
            </w:pPr>
            <w:r w:rsidRPr="00E85E82">
              <w:rPr>
                <w:sz w:val="20"/>
                <w:szCs w:val="20"/>
              </w:rPr>
              <w:t>Quebec Court of Appeal (Québec)</w:t>
            </w:r>
          </w:p>
          <w:p w:rsidR="009A2C36" w:rsidRPr="00E85E82" w:rsidRDefault="009A2C36" w:rsidP="009A2C36">
            <w:pPr>
              <w:rPr>
                <w:sz w:val="20"/>
                <w:szCs w:val="20"/>
              </w:rPr>
            </w:pPr>
            <w:r w:rsidRPr="00E85E82">
              <w:rPr>
                <w:sz w:val="20"/>
                <w:szCs w:val="20"/>
              </w:rPr>
              <w:t>(Giroux, Bélanger and Gagnon JJ.A.)</w:t>
            </w:r>
          </w:p>
          <w:p w:rsidR="009A2C36" w:rsidRPr="00E85E82" w:rsidRDefault="009A2C36" w:rsidP="009A2C36">
            <w:pPr>
              <w:rPr>
                <w:sz w:val="20"/>
                <w:szCs w:val="20"/>
              </w:rPr>
            </w:pPr>
            <w:r w:rsidRPr="00E85E82">
              <w:rPr>
                <w:sz w:val="20"/>
                <w:szCs w:val="20"/>
              </w:rPr>
              <w:t xml:space="preserve">No. </w:t>
            </w:r>
            <w:bookmarkStart w:id="3" w:name="NoDossier"/>
            <w:r w:rsidRPr="00E85E82">
              <w:rPr>
                <w:sz w:val="20"/>
                <w:szCs w:val="20"/>
              </w:rPr>
              <w:t>200-09-008341-148</w:t>
            </w:r>
            <w:bookmarkEnd w:id="3"/>
          </w:p>
          <w:p w:rsidR="009A2C36" w:rsidRPr="00E85E82" w:rsidRDefault="00B407D6" w:rsidP="009A2C36">
            <w:pPr>
              <w:rPr>
                <w:sz w:val="20"/>
                <w:szCs w:val="20"/>
              </w:rPr>
            </w:pPr>
            <w:hyperlink r:id="rId63" w:history="1">
              <w:r w:rsidR="009A2C36" w:rsidRPr="00E85E82">
                <w:rPr>
                  <w:rStyle w:val="Hyperlink"/>
                  <w:sz w:val="20"/>
                  <w:szCs w:val="20"/>
                </w:rPr>
                <w:t>2016 QCCA 62</w:t>
              </w:r>
            </w:hyperlink>
          </w:p>
          <w:p w:rsidR="009A2C36" w:rsidRPr="00E85E82" w:rsidRDefault="009A2C36" w:rsidP="009A2C36">
            <w:pPr>
              <w:jc w:val="both"/>
              <w:rPr>
                <w:rFonts w:cs="Times New Roman"/>
                <w:sz w:val="20"/>
                <w:szCs w:val="20"/>
              </w:rPr>
            </w:pPr>
          </w:p>
        </w:tc>
        <w:tc>
          <w:tcPr>
            <w:tcW w:w="630" w:type="dxa"/>
          </w:tcPr>
          <w:p w:rsidR="009A2C36" w:rsidRPr="00E85E82" w:rsidRDefault="009A2C36" w:rsidP="009A2C36">
            <w:pPr>
              <w:pStyle w:val="SCCShortJudgment"/>
              <w:ind w:firstLine="0"/>
              <w:rPr>
                <w:rFonts w:cs="Times New Roman"/>
                <w:szCs w:val="20"/>
              </w:rPr>
            </w:pPr>
          </w:p>
        </w:tc>
        <w:tc>
          <w:tcPr>
            <w:tcW w:w="4536" w:type="dxa"/>
          </w:tcPr>
          <w:p w:rsidR="009A2C36" w:rsidRPr="00E85E82" w:rsidRDefault="009A2C36" w:rsidP="009A2C36">
            <w:pPr>
              <w:rPr>
                <w:sz w:val="20"/>
                <w:szCs w:val="20"/>
              </w:rPr>
            </w:pPr>
            <w:r w:rsidRPr="00E85E82">
              <w:rPr>
                <w:sz w:val="20"/>
                <w:szCs w:val="20"/>
              </w:rPr>
              <w:t>Appeal allowed in part, but only as regards penalty</w:t>
            </w:r>
          </w:p>
          <w:p w:rsidR="009A2C36" w:rsidRPr="00E85E82" w:rsidRDefault="009A2C36" w:rsidP="009A2C36">
            <w:pPr>
              <w:jc w:val="both"/>
              <w:rPr>
                <w:rFonts w:cs="Times New Roman"/>
                <w:sz w:val="20"/>
                <w:szCs w:val="20"/>
              </w:rPr>
            </w:pPr>
          </w:p>
        </w:tc>
      </w:tr>
      <w:tr w:rsidR="009A2C36" w:rsidRPr="00E85E82" w:rsidTr="000F56AC">
        <w:trPr>
          <w:cantSplit/>
        </w:trPr>
        <w:tc>
          <w:tcPr>
            <w:tcW w:w="4410" w:type="dxa"/>
            <w:gridSpan w:val="2"/>
          </w:tcPr>
          <w:p w:rsidR="009A2C36" w:rsidRPr="00E85E82" w:rsidRDefault="009A2C36" w:rsidP="009A2C36">
            <w:pPr>
              <w:rPr>
                <w:sz w:val="20"/>
                <w:szCs w:val="20"/>
              </w:rPr>
            </w:pPr>
            <w:r w:rsidRPr="00E85E82">
              <w:rPr>
                <w:sz w:val="20"/>
                <w:szCs w:val="20"/>
              </w:rPr>
              <w:t>March 22, 2016</w:t>
            </w:r>
          </w:p>
          <w:p w:rsidR="009A2C36" w:rsidRPr="00E85E82" w:rsidRDefault="009A2C36" w:rsidP="009A2C36">
            <w:pPr>
              <w:rPr>
                <w:sz w:val="20"/>
                <w:szCs w:val="20"/>
              </w:rPr>
            </w:pPr>
            <w:r w:rsidRPr="00E85E82">
              <w:rPr>
                <w:sz w:val="20"/>
                <w:szCs w:val="20"/>
              </w:rPr>
              <w:t>Supreme Court of Canada</w:t>
            </w:r>
          </w:p>
          <w:p w:rsidR="004E22A8" w:rsidRPr="00E85E82" w:rsidRDefault="004E22A8" w:rsidP="009A2C36">
            <w:pPr>
              <w:rPr>
                <w:sz w:val="20"/>
                <w:szCs w:val="20"/>
              </w:rPr>
            </w:pPr>
          </w:p>
        </w:tc>
        <w:tc>
          <w:tcPr>
            <w:tcW w:w="630" w:type="dxa"/>
          </w:tcPr>
          <w:p w:rsidR="009A2C36" w:rsidRPr="00E85E82" w:rsidRDefault="009A2C36" w:rsidP="009A2C36">
            <w:pPr>
              <w:pStyle w:val="SCCShortJudgment"/>
              <w:ind w:firstLine="0"/>
              <w:rPr>
                <w:rFonts w:cs="Times New Roman"/>
                <w:szCs w:val="20"/>
              </w:rPr>
            </w:pPr>
          </w:p>
        </w:tc>
        <w:tc>
          <w:tcPr>
            <w:tcW w:w="4536" w:type="dxa"/>
          </w:tcPr>
          <w:p w:rsidR="009A2C36" w:rsidRPr="00E85E82" w:rsidRDefault="009A2C36" w:rsidP="009A2C36">
            <w:pPr>
              <w:rPr>
                <w:sz w:val="20"/>
                <w:szCs w:val="20"/>
              </w:rPr>
            </w:pPr>
            <w:r w:rsidRPr="00E85E82">
              <w:rPr>
                <w:sz w:val="20"/>
                <w:szCs w:val="20"/>
              </w:rPr>
              <w:t>Application for leave to appeal filed</w:t>
            </w:r>
          </w:p>
          <w:p w:rsidR="009A2C36" w:rsidRPr="00E85E82" w:rsidRDefault="009A2C36" w:rsidP="009A2C36">
            <w:pPr>
              <w:jc w:val="both"/>
              <w:rPr>
                <w:rFonts w:cs="Times New Roman"/>
                <w:sz w:val="20"/>
                <w:szCs w:val="20"/>
              </w:rPr>
            </w:pPr>
          </w:p>
        </w:tc>
      </w:tr>
      <w:tr w:rsidR="009A2C36" w:rsidRPr="00E85E82" w:rsidTr="000F56AC">
        <w:trPr>
          <w:cantSplit/>
        </w:trPr>
        <w:tc>
          <w:tcPr>
            <w:tcW w:w="9576" w:type="dxa"/>
            <w:gridSpan w:val="4"/>
          </w:tcPr>
          <w:p w:rsidR="009A2C36" w:rsidRPr="00E85E82" w:rsidRDefault="00B407D6" w:rsidP="009A2C36">
            <w:pPr>
              <w:pStyle w:val="SCCShortJudgment"/>
              <w:ind w:firstLine="0"/>
              <w:rPr>
                <w:rFonts w:cs="Times New Roman"/>
                <w:szCs w:val="20"/>
                <w:lang w:val="fr-CA"/>
              </w:rPr>
            </w:pPr>
            <w:r>
              <w:rPr>
                <w:rFonts w:cs="Times New Roman"/>
                <w:szCs w:val="20"/>
                <w:lang w:val="fr-CA"/>
              </w:rPr>
              <w:pict>
                <v:rect id="_x0000_i1075" style="width:2in;height:1pt" o:hrpct="0" o:hralign="center" o:hrstd="t" o:hrnoshade="t" o:hr="t" fillcolor="black [3213]" stroked="f"/>
              </w:pict>
            </w:r>
          </w:p>
          <w:p w:rsidR="009A2C36" w:rsidRPr="00E85E82" w:rsidRDefault="009A2C36" w:rsidP="009A2C36">
            <w:pPr>
              <w:pStyle w:val="SCCShortJudgment"/>
              <w:ind w:firstLine="0"/>
              <w:rPr>
                <w:rFonts w:cs="Times New Roman"/>
                <w:szCs w:val="20"/>
                <w:lang w:val="fr-CA"/>
              </w:rPr>
            </w:pPr>
          </w:p>
        </w:tc>
      </w:tr>
      <w:tr w:rsidR="009A2C36" w:rsidRPr="00E85E82" w:rsidTr="000F56AC">
        <w:trPr>
          <w:cantSplit/>
        </w:trPr>
        <w:tc>
          <w:tcPr>
            <w:tcW w:w="9576" w:type="dxa"/>
            <w:gridSpan w:val="4"/>
          </w:tcPr>
          <w:p w:rsidR="009A2C36" w:rsidRPr="00E85E82" w:rsidRDefault="009A2C36" w:rsidP="009A2C36">
            <w:pPr>
              <w:pStyle w:val="SCCShortJudgment"/>
              <w:ind w:firstLine="0"/>
              <w:rPr>
                <w:rFonts w:cs="Times New Roman"/>
                <w:szCs w:val="20"/>
                <w:u w:val="single"/>
                <w:lang w:val="fr-CA"/>
              </w:rPr>
            </w:pPr>
            <w:r w:rsidRPr="00E85E82">
              <w:rPr>
                <w:rFonts w:cs="Times New Roman"/>
                <w:szCs w:val="20"/>
                <w:u w:val="single"/>
                <w:lang w:val="fr-CA"/>
              </w:rPr>
              <w:t>RÉSUMÉ DE L’AFFAIRE </w:t>
            </w:r>
          </w:p>
          <w:p w:rsidR="009A2C36" w:rsidRPr="00E85E82" w:rsidRDefault="009A2C36" w:rsidP="009A2C36">
            <w:pPr>
              <w:pStyle w:val="SCCShortJudgment"/>
              <w:ind w:firstLine="0"/>
              <w:rPr>
                <w:rFonts w:cs="Times New Roman"/>
                <w:szCs w:val="20"/>
                <w:u w:val="single"/>
                <w:lang w:val="fr-CA"/>
              </w:rPr>
            </w:pPr>
          </w:p>
        </w:tc>
      </w:tr>
      <w:tr w:rsidR="009A2C36" w:rsidRPr="00B407D6" w:rsidTr="000F56AC">
        <w:trPr>
          <w:cantSplit/>
        </w:trPr>
        <w:tc>
          <w:tcPr>
            <w:tcW w:w="9576" w:type="dxa"/>
            <w:gridSpan w:val="4"/>
          </w:tcPr>
          <w:p w:rsidR="009A2C36" w:rsidRPr="00E85E82" w:rsidRDefault="009A2C36" w:rsidP="009A2C36">
            <w:pPr>
              <w:pStyle w:val="SCCShortJudgment"/>
              <w:ind w:firstLine="0"/>
              <w:rPr>
                <w:szCs w:val="20"/>
                <w:lang w:val="fr-FR"/>
              </w:rPr>
            </w:pPr>
            <w:r w:rsidRPr="00E85E82">
              <w:rPr>
                <w:szCs w:val="20"/>
                <w:lang w:val="fr-FR"/>
              </w:rPr>
              <w:t xml:space="preserve">Droit des professions – Discipline – Est-ce qu’en droit disciplinaire, les tribunaux sont le forum approprié pour générer et élaborer des normes médicales et gérer l’avancée scientifique par les arguments au soutien d’une décision ou d’une sanction imposée </w:t>
            </w:r>
            <w:r w:rsidRPr="00E85E82">
              <w:rPr>
                <w:szCs w:val="20"/>
                <w:lang w:val="fr-CA"/>
              </w:rPr>
              <w:t>à</w:t>
            </w:r>
            <w:r w:rsidRPr="00E85E82">
              <w:rPr>
                <w:szCs w:val="20"/>
                <w:lang w:val="fr-FR"/>
              </w:rPr>
              <w:t xml:space="preserve"> un professionnel?</w:t>
            </w:r>
          </w:p>
          <w:p w:rsidR="009A2C36" w:rsidRPr="00E85E82" w:rsidRDefault="009A2C36" w:rsidP="009A2C36">
            <w:pPr>
              <w:pStyle w:val="SCCShortJudgment"/>
              <w:ind w:firstLine="0"/>
              <w:rPr>
                <w:rFonts w:cs="Times New Roman"/>
                <w:szCs w:val="20"/>
                <w:u w:val="single"/>
                <w:lang w:val="fr-CA"/>
              </w:rPr>
            </w:pPr>
          </w:p>
        </w:tc>
      </w:tr>
      <w:tr w:rsidR="009A2C36" w:rsidRPr="00B407D6" w:rsidTr="000F56AC">
        <w:trPr>
          <w:cantSplit/>
        </w:trPr>
        <w:tc>
          <w:tcPr>
            <w:tcW w:w="9576" w:type="dxa"/>
            <w:gridSpan w:val="4"/>
          </w:tcPr>
          <w:p w:rsidR="009A2C36" w:rsidRPr="00E85E82" w:rsidRDefault="009A2C36" w:rsidP="009A2C36">
            <w:pPr>
              <w:jc w:val="both"/>
              <w:rPr>
                <w:sz w:val="20"/>
                <w:szCs w:val="20"/>
                <w:lang w:val="fr-CA"/>
              </w:rPr>
            </w:pPr>
            <w:r w:rsidRPr="00E85E82">
              <w:rPr>
                <w:sz w:val="20"/>
                <w:szCs w:val="20"/>
                <w:lang w:val="fr-CA"/>
              </w:rPr>
              <w:t>Le Conseil de discipline du Collège des médecins du Québec a déclaré le demandeur coupable de diverses infractions en lien avec quatre plaintes qui ont été portées contre le demandeur par le syndic de son ordre professionnel entre 1999 et 2008. Dans le cadre de la plainte en cause, on reprochait notamment au demandeur d’avoir posé des diagnostics intempestifs de troubles psychotiques, schizophrénie infantile et psychose infantile chez des enfants et de leur avoir prescrit des neuroleptiques à fortes doses ou de façon concomitante (chefs 1 à 10), d’avoir posé des gestes similaires à l’égard de patients adultes (chefs 11, 12 et 14) et d’avoir réclamé des honoraires professionnels pour des services dont le coût devait être payé par un tiers (chefs 13 et 14). Le Conseil de discipline lui a imposé une radiation temporaire pour une période d’un an sur plusieurs chefs à être purgée de façon concurrente, des amendes totalisant 6 000 $, une limitation permanente du droit d’exercer la psychiatrie auprès des enfants et des adolescents, ainsi qu’une limitation permanente du droit de prescrire à des adultes des neuroleptiques à fortes doses et en combinaison. Le Tribunal des professions a rejeté l’appel du demandeur, lequel s’est pourvu en révision judiciaire.</w:t>
            </w:r>
          </w:p>
          <w:p w:rsidR="009A2C36" w:rsidRPr="00E85E82" w:rsidRDefault="009A2C36" w:rsidP="009A2C36">
            <w:pPr>
              <w:jc w:val="both"/>
              <w:rPr>
                <w:rFonts w:cs="Times New Roman"/>
                <w:sz w:val="20"/>
                <w:szCs w:val="20"/>
                <w:u w:val="single"/>
                <w:lang w:val="fr-CA"/>
              </w:rPr>
            </w:pPr>
          </w:p>
        </w:tc>
      </w:tr>
      <w:tr w:rsidR="009A2C36" w:rsidRPr="00B407D6" w:rsidTr="000F56AC">
        <w:trPr>
          <w:cantSplit/>
        </w:trPr>
        <w:tc>
          <w:tcPr>
            <w:tcW w:w="4410" w:type="dxa"/>
            <w:gridSpan w:val="2"/>
          </w:tcPr>
          <w:p w:rsidR="009A2C36" w:rsidRPr="00E85E82" w:rsidRDefault="009A2C36" w:rsidP="009A2C36">
            <w:pPr>
              <w:rPr>
                <w:sz w:val="20"/>
                <w:szCs w:val="20"/>
                <w:lang w:val="fr-CA"/>
              </w:rPr>
            </w:pPr>
            <w:r w:rsidRPr="00E85E82">
              <w:rPr>
                <w:sz w:val="20"/>
                <w:szCs w:val="20"/>
                <w:lang w:val="fr-CA"/>
              </w:rPr>
              <w:t>Le 15 avril 2014</w:t>
            </w:r>
          </w:p>
          <w:p w:rsidR="009A2C36" w:rsidRPr="00E85E82" w:rsidRDefault="009A2C36" w:rsidP="009A2C36">
            <w:pPr>
              <w:rPr>
                <w:sz w:val="20"/>
                <w:szCs w:val="20"/>
                <w:lang w:val="fr-CA"/>
              </w:rPr>
            </w:pPr>
            <w:r w:rsidRPr="00E85E82">
              <w:rPr>
                <w:sz w:val="20"/>
                <w:szCs w:val="20"/>
                <w:lang w:val="fr-CA"/>
              </w:rPr>
              <w:t>Cour supérieure du Québec</w:t>
            </w:r>
          </w:p>
          <w:p w:rsidR="009A2C36" w:rsidRPr="00E85E82" w:rsidRDefault="009A2C36" w:rsidP="009A2C36">
            <w:pPr>
              <w:rPr>
                <w:sz w:val="20"/>
                <w:szCs w:val="20"/>
                <w:lang w:val="fr-CA"/>
              </w:rPr>
            </w:pPr>
            <w:r w:rsidRPr="00E85E82">
              <w:rPr>
                <w:sz w:val="20"/>
                <w:szCs w:val="20"/>
                <w:lang w:val="fr-CA"/>
              </w:rPr>
              <w:t>(Le juge Bolduc)</w:t>
            </w:r>
          </w:p>
          <w:p w:rsidR="009A2C36" w:rsidRPr="00E85E82" w:rsidRDefault="009A2C36" w:rsidP="009A2C36">
            <w:pPr>
              <w:rPr>
                <w:sz w:val="20"/>
                <w:szCs w:val="20"/>
                <w:lang w:val="fr-CA"/>
              </w:rPr>
            </w:pPr>
            <w:r w:rsidRPr="00E85E82">
              <w:rPr>
                <w:sz w:val="20"/>
                <w:szCs w:val="20"/>
                <w:lang w:val="fr-CA"/>
              </w:rPr>
              <w:t>No. 400-17-003129-133</w:t>
            </w:r>
          </w:p>
          <w:p w:rsidR="009A2C36" w:rsidRPr="00E85E82" w:rsidRDefault="00B407D6" w:rsidP="009A2C36">
            <w:pPr>
              <w:rPr>
                <w:sz w:val="20"/>
                <w:szCs w:val="20"/>
                <w:lang w:val="fr-CA"/>
              </w:rPr>
            </w:pPr>
            <w:r>
              <w:fldChar w:fldCharType="begin"/>
            </w:r>
            <w:r w:rsidRPr="00B407D6">
              <w:rPr>
                <w:lang w:val="fr-CA"/>
              </w:rPr>
              <w:instrText xml:space="preserve"> HYPERLINK "http://www.canlii.org/fr/qc/qccs/doc/2014/2014qccs1594/2014qccs1594.html" </w:instrText>
            </w:r>
            <w:r>
              <w:fldChar w:fldCharType="separate"/>
            </w:r>
            <w:r w:rsidR="009A2C36" w:rsidRPr="00E85E82">
              <w:rPr>
                <w:rStyle w:val="Hyperlink"/>
                <w:sz w:val="20"/>
                <w:szCs w:val="20"/>
                <w:lang w:val="fr-CA"/>
              </w:rPr>
              <w:t>2014 QCCS 1594</w:t>
            </w:r>
            <w:r>
              <w:rPr>
                <w:rStyle w:val="Hyperlink"/>
                <w:sz w:val="20"/>
                <w:szCs w:val="20"/>
                <w:lang w:val="fr-CA"/>
              </w:rPr>
              <w:fldChar w:fldCharType="end"/>
            </w:r>
          </w:p>
          <w:p w:rsidR="009A2C36" w:rsidRPr="00E85E82" w:rsidRDefault="009A2C36" w:rsidP="009A2C36">
            <w:pPr>
              <w:pStyle w:val="SCCShortJudgment"/>
              <w:ind w:firstLine="0"/>
              <w:rPr>
                <w:rFonts w:cs="Times New Roman"/>
                <w:szCs w:val="20"/>
                <w:u w:val="single"/>
                <w:lang w:val="fr-CA"/>
              </w:rPr>
            </w:pPr>
          </w:p>
        </w:tc>
        <w:tc>
          <w:tcPr>
            <w:tcW w:w="630" w:type="dxa"/>
          </w:tcPr>
          <w:p w:rsidR="009A2C36" w:rsidRPr="00E85E82" w:rsidRDefault="009A2C36" w:rsidP="009A2C36">
            <w:pPr>
              <w:pStyle w:val="SCCShortJudgment"/>
              <w:ind w:firstLine="0"/>
              <w:rPr>
                <w:rFonts w:cs="Times New Roman"/>
                <w:szCs w:val="20"/>
                <w:u w:val="single"/>
                <w:lang w:val="fr-CA"/>
              </w:rPr>
            </w:pPr>
          </w:p>
        </w:tc>
        <w:tc>
          <w:tcPr>
            <w:tcW w:w="4536" w:type="dxa"/>
          </w:tcPr>
          <w:p w:rsidR="009A2C36" w:rsidRPr="00E85E82" w:rsidRDefault="009A2C36" w:rsidP="009A2C36">
            <w:pPr>
              <w:rPr>
                <w:sz w:val="20"/>
                <w:szCs w:val="20"/>
                <w:lang w:val="fr-CA"/>
              </w:rPr>
            </w:pPr>
            <w:r w:rsidRPr="00E85E82">
              <w:rPr>
                <w:sz w:val="20"/>
                <w:szCs w:val="20"/>
                <w:lang w:val="fr-CA"/>
              </w:rPr>
              <w:t>Requête en révision judiciaire rejetée.</w:t>
            </w:r>
          </w:p>
        </w:tc>
      </w:tr>
      <w:tr w:rsidR="009A2C36" w:rsidRPr="00B407D6" w:rsidTr="000F56AC">
        <w:trPr>
          <w:cantSplit/>
        </w:trPr>
        <w:tc>
          <w:tcPr>
            <w:tcW w:w="4410" w:type="dxa"/>
            <w:gridSpan w:val="2"/>
          </w:tcPr>
          <w:p w:rsidR="009A2C36" w:rsidRPr="00E85E82" w:rsidRDefault="009A2C36" w:rsidP="009A2C36">
            <w:pPr>
              <w:rPr>
                <w:sz w:val="20"/>
                <w:szCs w:val="20"/>
                <w:lang w:val="fr-CA"/>
              </w:rPr>
            </w:pPr>
            <w:r w:rsidRPr="00E85E82">
              <w:rPr>
                <w:sz w:val="20"/>
                <w:szCs w:val="20"/>
                <w:lang w:val="fr-CA"/>
              </w:rPr>
              <w:t>Le 22 janvier 2016</w:t>
            </w:r>
          </w:p>
          <w:p w:rsidR="009A2C36" w:rsidRPr="00E85E82" w:rsidRDefault="009A2C36" w:rsidP="009A2C36">
            <w:pPr>
              <w:rPr>
                <w:sz w:val="20"/>
                <w:szCs w:val="20"/>
                <w:lang w:val="fr-CA"/>
              </w:rPr>
            </w:pPr>
            <w:r w:rsidRPr="00E85E82">
              <w:rPr>
                <w:sz w:val="20"/>
                <w:szCs w:val="20"/>
                <w:lang w:val="fr-CA"/>
              </w:rPr>
              <w:t>Cour d’appel du Québec (Québec)</w:t>
            </w:r>
          </w:p>
          <w:p w:rsidR="009A2C36" w:rsidRPr="00E85E82" w:rsidRDefault="009A2C36" w:rsidP="009A2C36">
            <w:pPr>
              <w:rPr>
                <w:sz w:val="20"/>
                <w:szCs w:val="20"/>
                <w:lang w:val="fr-CA"/>
              </w:rPr>
            </w:pPr>
            <w:r w:rsidRPr="00E85E82">
              <w:rPr>
                <w:sz w:val="20"/>
                <w:szCs w:val="20"/>
                <w:lang w:val="fr-CA"/>
              </w:rPr>
              <w:t>(Les juges Giroux, Bélanger et Gagnon)</w:t>
            </w:r>
          </w:p>
          <w:p w:rsidR="009A2C36" w:rsidRPr="00E85E82" w:rsidRDefault="009A2C36" w:rsidP="009A2C36">
            <w:pPr>
              <w:rPr>
                <w:sz w:val="20"/>
                <w:szCs w:val="20"/>
              </w:rPr>
            </w:pPr>
            <w:r w:rsidRPr="00E85E82">
              <w:rPr>
                <w:sz w:val="20"/>
                <w:szCs w:val="20"/>
              </w:rPr>
              <w:t>No. 200-09-008341-148</w:t>
            </w:r>
          </w:p>
          <w:p w:rsidR="009A2C36" w:rsidRPr="00E85E82" w:rsidRDefault="00B407D6" w:rsidP="009A2C36">
            <w:pPr>
              <w:rPr>
                <w:sz w:val="20"/>
                <w:szCs w:val="20"/>
              </w:rPr>
            </w:pPr>
            <w:hyperlink r:id="rId64" w:history="1">
              <w:r w:rsidR="009A2C36" w:rsidRPr="00E85E82">
                <w:rPr>
                  <w:rStyle w:val="Hyperlink"/>
                  <w:sz w:val="20"/>
                  <w:szCs w:val="20"/>
                </w:rPr>
                <w:t>2016 QCCA 62</w:t>
              </w:r>
            </w:hyperlink>
          </w:p>
          <w:p w:rsidR="009A2C36" w:rsidRPr="00E85E82" w:rsidRDefault="009A2C36" w:rsidP="009A2C36">
            <w:pPr>
              <w:pStyle w:val="SCCShortJudgment"/>
              <w:ind w:firstLine="0"/>
              <w:rPr>
                <w:rFonts w:cs="Times New Roman"/>
                <w:szCs w:val="20"/>
                <w:u w:val="single"/>
                <w:lang w:val="fr-CA"/>
              </w:rPr>
            </w:pPr>
          </w:p>
        </w:tc>
        <w:tc>
          <w:tcPr>
            <w:tcW w:w="630" w:type="dxa"/>
          </w:tcPr>
          <w:p w:rsidR="009A2C36" w:rsidRPr="00E85E82" w:rsidRDefault="009A2C36" w:rsidP="009A2C36">
            <w:pPr>
              <w:pStyle w:val="SCCShortJudgment"/>
              <w:ind w:firstLine="0"/>
              <w:rPr>
                <w:rFonts w:cs="Times New Roman"/>
                <w:szCs w:val="20"/>
                <w:u w:val="single"/>
                <w:lang w:val="fr-CA"/>
              </w:rPr>
            </w:pPr>
          </w:p>
        </w:tc>
        <w:tc>
          <w:tcPr>
            <w:tcW w:w="4536" w:type="dxa"/>
          </w:tcPr>
          <w:p w:rsidR="009A2C36" w:rsidRPr="00E85E82" w:rsidRDefault="009A2C36" w:rsidP="009A2C36">
            <w:pPr>
              <w:jc w:val="both"/>
              <w:rPr>
                <w:sz w:val="20"/>
                <w:szCs w:val="20"/>
                <w:lang w:val="fr-CA"/>
              </w:rPr>
            </w:pPr>
            <w:r w:rsidRPr="00E85E82">
              <w:rPr>
                <w:sz w:val="20"/>
                <w:szCs w:val="20"/>
                <w:lang w:val="fr-CA"/>
              </w:rPr>
              <w:t>Appel accueilli en partie, mais seulement quant à la sanction.</w:t>
            </w:r>
          </w:p>
          <w:p w:rsidR="009A2C36" w:rsidRPr="00E85E82" w:rsidRDefault="009A2C36" w:rsidP="009A2C36">
            <w:pPr>
              <w:pStyle w:val="SCCShortJudgment"/>
              <w:ind w:firstLine="0"/>
              <w:rPr>
                <w:rFonts w:cs="Times New Roman"/>
                <w:szCs w:val="20"/>
                <w:u w:val="single"/>
                <w:lang w:val="fr-CA"/>
              </w:rPr>
            </w:pPr>
          </w:p>
        </w:tc>
      </w:tr>
      <w:tr w:rsidR="009A2C36" w:rsidRPr="00E85E82" w:rsidTr="000F56AC">
        <w:trPr>
          <w:cantSplit/>
        </w:trPr>
        <w:tc>
          <w:tcPr>
            <w:tcW w:w="4410" w:type="dxa"/>
            <w:gridSpan w:val="2"/>
          </w:tcPr>
          <w:p w:rsidR="009A2C36" w:rsidRPr="00E85E82" w:rsidRDefault="009A2C36" w:rsidP="009A2C36">
            <w:pPr>
              <w:rPr>
                <w:sz w:val="20"/>
                <w:szCs w:val="20"/>
                <w:lang w:val="fr-CA"/>
              </w:rPr>
            </w:pPr>
            <w:r w:rsidRPr="00E85E82">
              <w:rPr>
                <w:sz w:val="20"/>
                <w:szCs w:val="20"/>
                <w:lang w:val="fr-CA"/>
              </w:rPr>
              <w:t>Le 22 mars 2016</w:t>
            </w:r>
          </w:p>
          <w:p w:rsidR="009A2C36" w:rsidRPr="00E85E82" w:rsidRDefault="009A2C36" w:rsidP="009A2C36">
            <w:pPr>
              <w:pStyle w:val="SCCShortJudgment"/>
              <w:ind w:firstLine="0"/>
              <w:rPr>
                <w:szCs w:val="20"/>
                <w:lang w:val="fr-CA"/>
              </w:rPr>
            </w:pPr>
            <w:r w:rsidRPr="00E85E82">
              <w:rPr>
                <w:szCs w:val="20"/>
                <w:lang w:val="fr-CA"/>
              </w:rPr>
              <w:t>Cour suprême du Canada</w:t>
            </w:r>
          </w:p>
          <w:p w:rsidR="004E22A8" w:rsidRPr="00E85E82" w:rsidRDefault="004E22A8" w:rsidP="009A2C36">
            <w:pPr>
              <w:pStyle w:val="SCCShortJudgment"/>
              <w:ind w:firstLine="0"/>
              <w:rPr>
                <w:rFonts w:cs="Times New Roman"/>
                <w:szCs w:val="20"/>
                <w:u w:val="single"/>
                <w:lang w:val="fr-CA"/>
              </w:rPr>
            </w:pPr>
          </w:p>
        </w:tc>
        <w:tc>
          <w:tcPr>
            <w:tcW w:w="630" w:type="dxa"/>
          </w:tcPr>
          <w:p w:rsidR="009A2C36" w:rsidRPr="00E85E82" w:rsidRDefault="009A2C36" w:rsidP="009A2C36">
            <w:pPr>
              <w:pStyle w:val="SCCShortJudgment"/>
              <w:ind w:firstLine="0"/>
              <w:rPr>
                <w:rFonts w:cs="Times New Roman"/>
                <w:szCs w:val="20"/>
                <w:u w:val="single"/>
                <w:lang w:val="fr-CA"/>
              </w:rPr>
            </w:pPr>
          </w:p>
        </w:tc>
        <w:tc>
          <w:tcPr>
            <w:tcW w:w="4536" w:type="dxa"/>
          </w:tcPr>
          <w:p w:rsidR="009A2C36" w:rsidRPr="00E85E82" w:rsidRDefault="009A2C36" w:rsidP="009A2C36">
            <w:pPr>
              <w:rPr>
                <w:sz w:val="20"/>
                <w:szCs w:val="20"/>
              </w:rPr>
            </w:pPr>
            <w:proofErr w:type="spellStart"/>
            <w:r w:rsidRPr="00E85E82">
              <w:rPr>
                <w:sz w:val="20"/>
                <w:szCs w:val="20"/>
              </w:rPr>
              <w:t>Demande</w:t>
            </w:r>
            <w:proofErr w:type="spellEnd"/>
            <w:r w:rsidRPr="00E85E82">
              <w:rPr>
                <w:sz w:val="20"/>
                <w:szCs w:val="20"/>
              </w:rPr>
              <w:t xml:space="preserve"> </w:t>
            </w:r>
            <w:proofErr w:type="spellStart"/>
            <w:r w:rsidRPr="00E85E82">
              <w:rPr>
                <w:sz w:val="20"/>
                <w:szCs w:val="20"/>
              </w:rPr>
              <w:t>d'autorisation</w:t>
            </w:r>
            <w:proofErr w:type="spellEnd"/>
            <w:r w:rsidRPr="00E85E82">
              <w:rPr>
                <w:sz w:val="20"/>
                <w:szCs w:val="20"/>
              </w:rPr>
              <w:t xml:space="preserve"> </w:t>
            </w:r>
            <w:proofErr w:type="spellStart"/>
            <w:r w:rsidRPr="00E85E82">
              <w:rPr>
                <w:sz w:val="20"/>
                <w:szCs w:val="20"/>
              </w:rPr>
              <w:t>d'appel</w:t>
            </w:r>
            <w:proofErr w:type="spellEnd"/>
            <w:r w:rsidRPr="00E85E82">
              <w:rPr>
                <w:sz w:val="20"/>
                <w:szCs w:val="20"/>
              </w:rPr>
              <w:t xml:space="preserve"> </w:t>
            </w:r>
            <w:proofErr w:type="spellStart"/>
            <w:r w:rsidRPr="00E85E82">
              <w:rPr>
                <w:sz w:val="20"/>
                <w:szCs w:val="20"/>
              </w:rPr>
              <w:t>déposée</w:t>
            </w:r>
            <w:proofErr w:type="spellEnd"/>
            <w:r w:rsidRPr="00E85E82">
              <w:rPr>
                <w:sz w:val="20"/>
                <w:szCs w:val="20"/>
              </w:rPr>
              <w:t>.</w:t>
            </w:r>
          </w:p>
          <w:p w:rsidR="009A2C36" w:rsidRPr="00E85E82" w:rsidRDefault="009A2C36" w:rsidP="009A2C36">
            <w:pPr>
              <w:pStyle w:val="SCCShortJudgment"/>
              <w:ind w:firstLine="0"/>
              <w:rPr>
                <w:rFonts w:cs="Times New Roman"/>
                <w:szCs w:val="20"/>
                <w:u w:val="single"/>
                <w:lang w:val="fr-CA"/>
              </w:rPr>
            </w:pPr>
          </w:p>
        </w:tc>
      </w:tr>
    </w:tbl>
    <w:p w:rsidR="00232760" w:rsidRPr="00E85E82" w:rsidRDefault="00B407D6" w:rsidP="00232760">
      <w:pPr>
        <w:rPr>
          <w:rFonts w:cs="Times New Roman"/>
          <w:sz w:val="20"/>
          <w:szCs w:val="20"/>
          <w:lang w:val="fr-CA"/>
        </w:rPr>
      </w:pPr>
      <w:r>
        <w:rPr>
          <w:rFonts w:cs="Times New Roman"/>
          <w:sz w:val="20"/>
          <w:szCs w:val="20"/>
          <w:lang w:val="fr-CA"/>
        </w:rPr>
        <w:pict>
          <v:rect id="_x0000_i1076" style="width:2in;height:1pt" o:hrpct="0" o:hralign="center" o:hrstd="t" o:hrnoshade="t" o:hr="t" fillcolor="black [3213]" stroked="f"/>
        </w:pict>
      </w:r>
    </w:p>
    <w:p w:rsidR="00232760" w:rsidRPr="00E85E82" w:rsidRDefault="00232760" w:rsidP="0023276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Style w:val="SCCFileNumberChar"/>
                <w:sz w:val="20"/>
                <w:szCs w:val="20"/>
              </w:rPr>
              <w:t>36953</w:t>
            </w:r>
          </w:p>
          <w:p w:rsidR="00232760" w:rsidRPr="00E85E82" w:rsidRDefault="00232760" w:rsidP="000F56AC">
            <w:pPr>
              <w:jc w:val="both"/>
              <w:rPr>
                <w:rFonts w:cs="Times New Roman"/>
                <w:b/>
                <w:sz w:val="20"/>
                <w:szCs w:val="20"/>
              </w:rPr>
            </w:pPr>
          </w:p>
        </w:tc>
        <w:tc>
          <w:tcPr>
            <w:tcW w:w="8118" w:type="dxa"/>
            <w:gridSpan w:val="3"/>
          </w:tcPr>
          <w:p w:rsidR="00232760" w:rsidRPr="00E85E82" w:rsidRDefault="004D2D17" w:rsidP="000F56AC">
            <w:pPr>
              <w:jc w:val="both"/>
              <w:rPr>
                <w:rFonts w:cs="Times New Roman"/>
                <w:sz w:val="20"/>
                <w:szCs w:val="20"/>
              </w:rPr>
            </w:pPr>
            <w:r w:rsidRPr="00C556BB">
              <w:rPr>
                <w:rStyle w:val="SCCLsocChar"/>
                <w:rFonts w:cs="Times New Roman"/>
                <w:sz w:val="20"/>
                <w:szCs w:val="20"/>
              </w:rPr>
              <w:t>Pierre Mailloux</w:t>
            </w:r>
            <w:r w:rsidR="00232760" w:rsidRPr="00C556BB">
              <w:rPr>
                <w:rStyle w:val="SCCLsocChar"/>
                <w:rFonts w:cs="Times New Roman"/>
                <w:sz w:val="20"/>
                <w:szCs w:val="20"/>
              </w:rPr>
              <w:t xml:space="preserve"> </w:t>
            </w:r>
            <w:r w:rsidRPr="00C556BB">
              <w:rPr>
                <w:rStyle w:val="SCCLsocChar"/>
                <w:rFonts w:cs="Times New Roman"/>
                <w:sz w:val="20"/>
                <w:szCs w:val="20"/>
              </w:rPr>
              <w:t>c</w:t>
            </w:r>
            <w:r w:rsidR="00232760" w:rsidRPr="00C556BB">
              <w:rPr>
                <w:rStyle w:val="SCCLsocChar"/>
                <w:rFonts w:cs="Times New Roman"/>
                <w:sz w:val="20"/>
                <w:szCs w:val="20"/>
              </w:rPr>
              <w:t xml:space="preserve">. </w:t>
            </w:r>
            <w:r w:rsidRPr="00C556BB">
              <w:rPr>
                <w:rStyle w:val="SCCLsocChar"/>
                <w:rFonts w:cs="Times New Roman"/>
                <w:sz w:val="20"/>
                <w:szCs w:val="20"/>
              </w:rPr>
              <w:t xml:space="preserve">Mario </w:t>
            </w:r>
            <w:proofErr w:type="spellStart"/>
            <w:r w:rsidRPr="00C556BB">
              <w:rPr>
                <w:rStyle w:val="SCCLsocChar"/>
                <w:rFonts w:cs="Times New Roman"/>
                <w:sz w:val="20"/>
                <w:szCs w:val="20"/>
              </w:rPr>
              <w:t>Deschênes</w:t>
            </w:r>
            <w:proofErr w:type="spellEnd"/>
            <w:r w:rsidRPr="00C556BB">
              <w:rPr>
                <w:rStyle w:val="SCCLsocChar"/>
                <w:rFonts w:cs="Times New Roman"/>
                <w:sz w:val="20"/>
                <w:szCs w:val="20"/>
              </w:rPr>
              <w:t>, ès qualités de syndic adjoint du Collège des médecins du Québec</w:t>
            </w:r>
            <w:r w:rsidR="00232760" w:rsidRPr="00C556BB">
              <w:rPr>
                <w:rStyle w:val="SCCLsocChar"/>
                <w:rFonts w:cs="Times New Roman"/>
                <w:sz w:val="20"/>
                <w:szCs w:val="20"/>
                <w:u w:val="none"/>
              </w:rPr>
              <w:t xml:space="preserve"> </w:t>
            </w:r>
            <w:r w:rsidR="00232760" w:rsidRPr="00C556BB">
              <w:rPr>
                <w:rFonts w:cs="Times New Roman"/>
                <w:sz w:val="20"/>
                <w:szCs w:val="20"/>
                <w:lang w:val="fr-CA"/>
              </w:rPr>
              <w:t>(</w:t>
            </w:r>
            <w:r w:rsidR="009A2C36" w:rsidRPr="00C556BB">
              <w:rPr>
                <w:rFonts w:cs="Times New Roman"/>
                <w:sz w:val="20"/>
                <w:szCs w:val="20"/>
                <w:lang w:val="fr-CA"/>
              </w:rPr>
              <w:t>Que</w:t>
            </w:r>
            <w:r w:rsidR="00232760" w:rsidRPr="00C556BB">
              <w:rPr>
                <w:rFonts w:cs="Times New Roman"/>
                <w:sz w:val="20"/>
                <w:szCs w:val="20"/>
                <w:lang w:val="fr-CA"/>
              </w:rPr>
              <w:t xml:space="preserve">.) </w:t>
            </w:r>
            <w:r w:rsidR="00232760" w:rsidRPr="00E85E82">
              <w:rPr>
                <w:rFonts w:cs="Times New Roman"/>
                <w:sz w:val="20"/>
                <w:szCs w:val="20"/>
              </w:rPr>
              <w:t>(</w:t>
            </w:r>
            <w:proofErr w:type="spellStart"/>
            <w:r w:rsidR="00232760" w:rsidRPr="00E85E82">
              <w:rPr>
                <w:rFonts w:cs="Times New Roman"/>
                <w:sz w:val="20"/>
                <w:szCs w:val="20"/>
              </w:rPr>
              <w:t>Civil</w:t>
            </w:r>
            <w:r w:rsidRPr="00E85E82">
              <w:rPr>
                <w:rFonts w:cs="Times New Roman"/>
                <w:sz w:val="20"/>
                <w:szCs w:val="20"/>
              </w:rPr>
              <w:t>e</w:t>
            </w:r>
            <w:proofErr w:type="spellEnd"/>
            <w:r w:rsidR="00232760" w:rsidRPr="00E85E82">
              <w:rPr>
                <w:rFonts w:cs="Times New Roman"/>
                <w:sz w:val="20"/>
                <w:szCs w:val="20"/>
              </w:rPr>
              <w:t>) (</w:t>
            </w:r>
            <w:proofErr w:type="spellStart"/>
            <w:r w:rsidRPr="00E85E82">
              <w:rPr>
                <w:rFonts w:cs="Times New Roman"/>
                <w:sz w:val="20"/>
                <w:szCs w:val="20"/>
              </w:rPr>
              <w:t>Autorisation</w:t>
            </w:r>
            <w:proofErr w:type="spellEnd"/>
            <w:r w:rsidR="00232760" w:rsidRPr="00E85E82">
              <w:rPr>
                <w:rFonts w:cs="Times New Roman"/>
                <w:sz w:val="20"/>
                <w:szCs w:val="20"/>
              </w:rPr>
              <w:t>)</w:t>
            </w:r>
          </w:p>
          <w:p w:rsidR="00232760" w:rsidRPr="00E85E82" w:rsidRDefault="00232760" w:rsidP="000F56AC">
            <w:pPr>
              <w:jc w:val="both"/>
              <w:rPr>
                <w:rFonts w:cs="Times New Roman"/>
                <w:sz w:val="20"/>
                <w:szCs w:val="20"/>
              </w:rPr>
            </w:pPr>
          </w:p>
        </w:tc>
      </w:tr>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Fonts w:cs="Times New Roman"/>
                <w:sz w:val="20"/>
                <w:szCs w:val="20"/>
              </w:rPr>
              <w:t>Coram :</w:t>
            </w:r>
          </w:p>
        </w:tc>
        <w:tc>
          <w:tcPr>
            <w:tcW w:w="8118" w:type="dxa"/>
            <w:gridSpan w:val="3"/>
          </w:tcPr>
          <w:p w:rsidR="00232760" w:rsidRPr="00E85E82" w:rsidRDefault="004D2D17" w:rsidP="000F56AC">
            <w:pPr>
              <w:jc w:val="both"/>
              <w:rPr>
                <w:rStyle w:val="SCCCoramChar"/>
                <w:sz w:val="20"/>
                <w:szCs w:val="20"/>
                <w:lang w:val="en-CA"/>
              </w:rPr>
            </w:pPr>
            <w:r w:rsidRPr="00E85E82">
              <w:rPr>
                <w:rStyle w:val="SCCCoramChar"/>
                <w:sz w:val="20"/>
                <w:szCs w:val="20"/>
                <w:lang w:val="en-CA"/>
              </w:rPr>
              <w:t>Cromwell, Wagner</w:t>
            </w:r>
            <w:r w:rsidR="00232760" w:rsidRPr="00E85E82">
              <w:rPr>
                <w:rStyle w:val="SCCCoramChar"/>
                <w:sz w:val="20"/>
                <w:szCs w:val="20"/>
                <w:lang w:val="en-CA"/>
              </w:rPr>
              <w:t xml:space="preserve"> and </w:t>
            </w:r>
            <w:r w:rsidRPr="00E85E82">
              <w:rPr>
                <w:rStyle w:val="SCCCoramChar"/>
                <w:sz w:val="20"/>
                <w:szCs w:val="20"/>
                <w:lang w:val="en-CA"/>
              </w:rPr>
              <w:t>Côté</w:t>
            </w:r>
            <w:r w:rsidR="00232760" w:rsidRPr="00E85E82">
              <w:rPr>
                <w:rStyle w:val="SCCCoramChar"/>
                <w:sz w:val="20"/>
                <w:szCs w:val="20"/>
                <w:lang w:val="en-CA"/>
              </w:rPr>
              <w:t xml:space="preserve"> JJ.</w:t>
            </w:r>
          </w:p>
          <w:p w:rsidR="00232760" w:rsidRPr="00E85E82" w:rsidRDefault="00232760" w:rsidP="000F56AC">
            <w:pPr>
              <w:jc w:val="both"/>
              <w:rPr>
                <w:rFonts w:cs="Times New Roman"/>
                <w:sz w:val="20"/>
                <w:szCs w:val="20"/>
                <w:u w:val="single"/>
              </w:rPr>
            </w:pPr>
          </w:p>
        </w:tc>
      </w:tr>
      <w:tr w:rsidR="00232760" w:rsidRPr="00E85E82" w:rsidTr="000F56AC">
        <w:trPr>
          <w:cantSplit/>
        </w:trPr>
        <w:tc>
          <w:tcPr>
            <w:tcW w:w="9576" w:type="dxa"/>
            <w:gridSpan w:val="4"/>
          </w:tcPr>
          <w:p w:rsidR="00232760" w:rsidRPr="00C556BB" w:rsidRDefault="00232760" w:rsidP="000F56AC">
            <w:pPr>
              <w:pStyle w:val="SCCShortJudgment"/>
              <w:ind w:firstLine="0"/>
              <w:rPr>
                <w:rFonts w:cs="Times New Roman"/>
                <w:szCs w:val="20"/>
                <w:lang w:val="fr-CA"/>
              </w:rPr>
            </w:pPr>
            <w:r w:rsidRPr="00E85E82">
              <w:rPr>
                <w:rFonts w:cs="Times New Roman"/>
                <w:szCs w:val="20"/>
              </w:rPr>
              <w:tab/>
            </w:r>
            <w:r w:rsidR="009A1203" w:rsidRPr="00C556BB">
              <w:rPr>
                <w:lang w:val="fr-CA"/>
              </w:rPr>
              <w:t>La requête sollicitant la jonction de la présente demande d’autorisation d’appel et de celle du demandeur également reçue le 22 mars 2016, est rejetée. La requête en prorogation du délai de signification et de dépôt de la demande d’autorisation d’appel est accueillie. La demande d’autorisation d’appel de l’arrêt de la Cour d’appel du Québec (Québec), numéro 200-09-008102-136, 2015 QCCA 1619, daté du 6 octobre 2015, est rejetée avec dépens.</w:t>
            </w:r>
          </w:p>
          <w:p w:rsidR="00232760" w:rsidRPr="00C556BB" w:rsidRDefault="00232760" w:rsidP="000F56AC">
            <w:pPr>
              <w:pStyle w:val="SCCShortJudgment"/>
              <w:ind w:firstLine="0"/>
              <w:rPr>
                <w:rFonts w:cs="Times New Roman"/>
                <w:szCs w:val="20"/>
                <w:lang w:val="fr-CA"/>
              </w:rPr>
            </w:pPr>
          </w:p>
          <w:p w:rsidR="00232760" w:rsidRPr="00C556BB" w:rsidRDefault="00232760" w:rsidP="000F56AC">
            <w:pPr>
              <w:pStyle w:val="SCCShortJudgment"/>
              <w:ind w:firstLine="0"/>
              <w:rPr>
                <w:szCs w:val="20"/>
              </w:rPr>
            </w:pPr>
            <w:r w:rsidRPr="00C556BB">
              <w:rPr>
                <w:rFonts w:cs="Times New Roman"/>
                <w:szCs w:val="20"/>
                <w:lang w:val="fr-CA"/>
              </w:rPr>
              <w:tab/>
            </w:r>
            <w:r w:rsidR="009A1203" w:rsidRPr="00E85E82">
              <w:t>The motion to join this application for leave to appeal and another application for leave to appeal received from the applicant on March 22, 2016, is dismissed. The motion for an extension of time to serve and file the application for leave to appeal is granted. The application for leave to appeal from the judgment of the Court of Appeal of Quebec (Québec), Number 200-09-008102-136, 2015 QCCA 1619, dated October 6, 2015, is dismissed with costs.</w:t>
            </w:r>
          </w:p>
          <w:p w:rsidR="00232760" w:rsidRPr="00C556BB" w:rsidRDefault="00232760" w:rsidP="000F56AC">
            <w:pPr>
              <w:pStyle w:val="SCCShortJudgment"/>
              <w:ind w:firstLine="0"/>
              <w:rPr>
                <w:rFonts w:cs="Times New Roman"/>
                <w:szCs w:val="20"/>
              </w:rPr>
            </w:pPr>
          </w:p>
        </w:tc>
      </w:tr>
      <w:tr w:rsidR="00232760" w:rsidRPr="00E85E82" w:rsidTr="000F56AC">
        <w:trPr>
          <w:cantSplit/>
        </w:trPr>
        <w:tc>
          <w:tcPr>
            <w:tcW w:w="9576" w:type="dxa"/>
            <w:gridSpan w:val="4"/>
          </w:tcPr>
          <w:p w:rsidR="00232760" w:rsidRPr="00E85E82" w:rsidRDefault="00232760" w:rsidP="000F56AC">
            <w:pPr>
              <w:pStyle w:val="SCCShortJudgment"/>
              <w:ind w:firstLine="0"/>
              <w:rPr>
                <w:rFonts w:cs="Times New Roman"/>
                <w:szCs w:val="20"/>
                <w:u w:val="single"/>
                <w:lang w:val="fr-CA"/>
              </w:rPr>
            </w:pPr>
            <w:r w:rsidRPr="00E85E82">
              <w:rPr>
                <w:rFonts w:cs="Times New Roman"/>
                <w:szCs w:val="20"/>
                <w:u w:val="single"/>
                <w:lang w:val="fr-CA"/>
              </w:rPr>
              <w:t>CASE SUMMARY</w:t>
            </w:r>
          </w:p>
          <w:p w:rsidR="00232760" w:rsidRPr="00E85E82" w:rsidRDefault="00232760" w:rsidP="000F56AC">
            <w:pPr>
              <w:pStyle w:val="SCCShortJudgment"/>
              <w:ind w:firstLine="0"/>
              <w:rPr>
                <w:rFonts w:cs="Times New Roman"/>
                <w:szCs w:val="20"/>
                <w:u w:val="single"/>
                <w:lang w:val="fr-CA"/>
              </w:rPr>
            </w:pPr>
          </w:p>
        </w:tc>
      </w:tr>
      <w:tr w:rsidR="009A2C36" w:rsidRPr="00E85E82" w:rsidTr="000F56AC">
        <w:trPr>
          <w:cantSplit/>
        </w:trPr>
        <w:tc>
          <w:tcPr>
            <w:tcW w:w="9576" w:type="dxa"/>
            <w:gridSpan w:val="4"/>
          </w:tcPr>
          <w:p w:rsidR="009A2C36" w:rsidRPr="00E85E82" w:rsidRDefault="009A2C36" w:rsidP="009A2C36">
            <w:pPr>
              <w:jc w:val="both"/>
              <w:rPr>
                <w:sz w:val="20"/>
                <w:szCs w:val="20"/>
              </w:rPr>
            </w:pPr>
            <w:r w:rsidRPr="00E85E82">
              <w:rPr>
                <w:sz w:val="20"/>
                <w:szCs w:val="20"/>
              </w:rPr>
              <w:t>Law of professions – Discipline – Whether, in disciplinary law, courts are appropriate forum for generating and developing medical standards and managing scientific progress through arguments in support of decision or penalty imposed on professional.</w:t>
            </w:r>
          </w:p>
          <w:p w:rsidR="00F8038E" w:rsidRPr="00E85E82" w:rsidRDefault="00F8038E" w:rsidP="009A2C36">
            <w:pPr>
              <w:jc w:val="both"/>
              <w:rPr>
                <w:sz w:val="20"/>
                <w:szCs w:val="20"/>
              </w:rPr>
            </w:pPr>
          </w:p>
        </w:tc>
      </w:tr>
      <w:tr w:rsidR="009A2C36" w:rsidRPr="00E85E82" w:rsidTr="000F56AC">
        <w:trPr>
          <w:cantSplit/>
        </w:trPr>
        <w:tc>
          <w:tcPr>
            <w:tcW w:w="9576" w:type="dxa"/>
            <w:gridSpan w:val="4"/>
          </w:tcPr>
          <w:p w:rsidR="009A2C36" w:rsidRPr="00E85E82" w:rsidRDefault="009A2C36" w:rsidP="009A2C36">
            <w:pPr>
              <w:jc w:val="both"/>
              <w:rPr>
                <w:sz w:val="20"/>
                <w:szCs w:val="20"/>
              </w:rPr>
            </w:pPr>
            <w:r w:rsidRPr="00E85E82">
              <w:rPr>
                <w:sz w:val="20"/>
                <w:szCs w:val="20"/>
              </w:rPr>
              <w:t xml:space="preserve">The disciplinary council of the </w:t>
            </w:r>
            <w:proofErr w:type="spellStart"/>
            <w:r w:rsidRPr="00E85E82">
              <w:rPr>
                <w:sz w:val="20"/>
                <w:szCs w:val="20"/>
              </w:rPr>
              <w:t>Collège</w:t>
            </w:r>
            <w:proofErr w:type="spellEnd"/>
            <w:r w:rsidRPr="00E85E82">
              <w:rPr>
                <w:sz w:val="20"/>
                <w:szCs w:val="20"/>
              </w:rPr>
              <w:t xml:space="preserve"> des </w:t>
            </w:r>
            <w:proofErr w:type="spellStart"/>
            <w:r w:rsidRPr="00E85E82">
              <w:rPr>
                <w:sz w:val="20"/>
                <w:szCs w:val="20"/>
              </w:rPr>
              <w:t>médecins</w:t>
            </w:r>
            <w:proofErr w:type="spellEnd"/>
            <w:r w:rsidRPr="00E85E82">
              <w:rPr>
                <w:sz w:val="20"/>
                <w:szCs w:val="20"/>
              </w:rPr>
              <w:t xml:space="preserve"> du Québec convicted the applicant of various offences in connection with four complaints laid against him by the syndic of his professional order between 1999 and 2008. The complaint in issue alleged, </w:t>
            </w:r>
            <w:r w:rsidRPr="00E85E82">
              <w:rPr>
                <w:i/>
                <w:sz w:val="20"/>
                <w:szCs w:val="20"/>
              </w:rPr>
              <w:t>inter alia</w:t>
            </w:r>
            <w:r w:rsidRPr="00E85E82">
              <w:rPr>
                <w:sz w:val="20"/>
                <w:szCs w:val="20"/>
              </w:rPr>
              <w:t>, that the applicant had prescribed excessive doses of neuroleptic drugs, improperly assessed a patient’s psychiatric condition and prescribed combinations of neuroleptic drugs (counts 1 to 5). It also alleged that he had made comments unbecoming of a physician on the radio, denigrated a member of another professional order and failed to adequately maintain a patient’s record, thereby hindering the syndic’s work (counts 6 to 12). The disciplinary council imposed on him a temporary striking off the roll for two years and a total of $33,000 in fines and made an order restricting his right to prescribe neuroleptic drugs in doses exceeding the manufacturers’ recommended doses and his right to prescribe several neuroleptic drugs at a time, in combination, [</w:t>
            </w:r>
            <w:r w:rsidRPr="00E85E82">
              <w:rPr>
                <w:smallCaps/>
                <w:sz w:val="20"/>
                <w:szCs w:val="20"/>
              </w:rPr>
              <w:t>translation</w:t>
            </w:r>
            <w:r w:rsidRPr="00E85E82">
              <w:rPr>
                <w:sz w:val="20"/>
                <w:szCs w:val="20"/>
              </w:rPr>
              <w:t xml:space="preserve">] “. . . as long as the </w:t>
            </w:r>
            <w:proofErr w:type="spellStart"/>
            <w:r w:rsidRPr="00E85E82">
              <w:rPr>
                <w:sz w:val="20"/>
                <w:szCs w:val="20"/>
              </w:rPr>
              <w:t>Collège</w:t>
            </w:r>
            <w:proofErr w:type="spellEnd"/>
            <w:r w:rsidRPr="00E85E82">
              <w:rPr>
                <w:sz w:val="20"/>
                <w:szCs w:val="20"/>
              </w:rPr>
              <w:t xml:space="preserve"> des </w:t>
            </w:r>
            <w:proofErr w:type="spellStart"/>
            <w:r w:rsidRPr="00E85E82">
              <w:rPr>
                <w:sz w:val="20"/>
                <w:szCs w:val="20"/>
              </w:rPr>
              <w:t>médecins</w:t>
            </w:r>
            <w:proofErr w:type="spellEnd"/>
            <w:r w:rsidRPr="00E85E82">
              <w:rPr>
                <w:sz w:val="20"/>
                <w:szCs w:val="20"/>
              </w:rPr>
              <w:t xml:space="preserve"> does not recommend prescribing </w:t>
            </w:r>
            <w:proofErr w:type="spellStart"/>
            <w:r w:rsidRPr="00E85E82">
              <w:rPr>
                <w:sz w:val="20"/>
                <w:szCs w:val="20"/>
              </w:rPr>
              <w:t>megadoses</w:t>
            </w:r>
            <w:proofErr w:type="spellEnd"/>
            <w:r w:rsidRPr="00E85E82">
              <w:rPr>
                <w:sz w:val="20"/>
                <w:szCs w:val="20"/>
              </w:rPr>
              <w:t xml:space="preserve"> of neuroleptic </w:t>
            </w:r>
            <w:proofErr w:type="gramStart"/>
            <w:r w:rsidRPr="00E85E82">
              <w:rPr>
                <w:sz w:val="20"/>
                <w:szCs w:val="20"/>
              </w:rPr>
              <w:t>drugs .</w:t>
            </w:r>
            <w:proofErr w:type="gramEnd"/>
            <w:r w:rsidRPr="00E85E82">
              <w:rPr>
                <w:sz w:val="20"/>
                <w:szCs w:val="20"/>
              </w:rPr>
              <w:t> . . to adults in the treatment of schizophrenia”. The Professions Tribunal dismissed the appeal brought by the applicant, who applied for judicial review.</w:t>
            </w:r>
          </w:p>
          <w:p w:rsidR="009A2C36" w:rsidRPr="00E85E82" w:rsidRDefault="009A2C36" w:rsidP="009A2C36">
            <w:pPr>
              <w:pStyle w:val="SCCShortJudgment"/>
              <w:ind w:firstLine="0"/>
              <w:rPr>
                <w:rFonts w:cs="Times New Roman"/>
                <w:szCs w:val="20"/>
              </w:rPr>
            </w:pPr>
          </w:p>
        </w:tc>
      </w:tr>
      <w:tr w:rsidR="009A2C36" w:rsidRPr="00E85E82" w:rsidTr="000F56AC">
        <w:trPr>
          <w:cantSplit/>
        </w:trPr>
        <w:tc>
          <w:tcPr>
            <w:tcW w:w="4410" w:type="dxa"/>
            <w:gridSpan w:val="2"/>
          </w:tcPr>
          <w:p w:rsidR="009A2C36" w:rsidRPr="00E85E82" w:rsidRDefault="009A2C36" w:rsidP="009A2C36">
            <w:pPr>
              <w:rPr>
                <w:sz w:val="20"/>
                <w:szCs w:val="20"/>
              </w:rPr>
            </w:pPr>
            <w:r w:rsidRPr="00E85E82">
              <w:rPr>
                <w:sz w:val="20"/>
                <w:szCs w:val="20"/>
              </w:rPr>
              <w:t>May 24, 2013</w:t>
            </w:r>
          </w:p>
          <w:p w:rsidR="009A2C36" w:rsidRPr="00E85E82" w:rsidRDefault="009A2C36" w:rsidP="009A2C36">
            <w:pPr>
              <w:rPr>
                <w:sz w:val="20"/>
                <w:szCs w:val="20"/>
              </w:rPr>
            </w:pPr>
            <w:r w:rsidRPr="00E85E82">
              <w:rPr>
                <w:sz w:val="20"/>
                <w:szCs w:val="20"/>
              </w:rPr>
              <w:t>Quebec Superior Court</w:t>
            </w:r>
          </w:p>
          <w:p w:rsidR="009A2C36" w:rsidRPr="00E85E82" w:rsidRDefault="009A2C36" w:rsidP="009A2C36">
            <w:pPr>
              <w:rPr>
                <w:sz w:val="20"/>
                <w:szCs w:val="20"/>
              </w:rPr>
            </w:pPr>
            <w:r w:rsidRPr="00E85E82">
              <w:rPr>
                <w:sz w:val="20"/>
                <w:szCs w:val="20"/>
              </w:rPr>
              <w:t>(Jacques J.)</w:t>
            </w:r>
          </w:p>
          <w:p w:rsidR="009A2C36" w:rsidRPr="00E85E82" w:rsidRDefault="009A2C36" w:rsidP="009A2C36">
            <w:pPr>
              <w:rPr>
                <w:sz w:val="20"/>
                <w:szCs w:val="20"/>
              </w:rPr>
            </w:pPr>
            <w:r w:rsidRPr="00E85E82">
              <w:rPr>
                <w:sz w:val="20"/>
                <w:szCs w:val="20"/>
              </w:rPr>
              <w:t>No. 400-17-002925-127</w:t>
            </w:r>
          </w:p>
          <w:p w:rsidR="009A2C36" w:rsidRPr="00E85E82" w:rsidRDefault="00B407D6" w:rsidP="009A2C36">
            <w:pPr>
              <w:rPr>
                <w:sz w:val="20"/>
                <w:szCs w:val="20"/>
              </w:rPr>
            </w:pPr>
            <w:hyperlink r:id="rId65" w:history="1">
              <w:r w:rsidR="009A2C36" w:rsidRPr="00E85E82">
                <w:rPr>
                  <w:rStyle w:val="Hyperlink"/>
                  <w:sz w:val="20"/>
                  <w:szCs w:val="20"/>
                </w:rPr>
                <w:t>2013 QCCS 2375</w:t>
              </w:r>
            </w:hyperlink>
          </w:p>
          <w:p w:rsidR="009A2C36" w:rsidRPr="00E85E82" w:rsidRDefault="009A2C36" w:rsidP="009A2C36">
            <w:pPr>
              <w:jc w:val="both"/>
              <w:rPr>
                <w:rFonts w:cs="Times New Roman"/>
                <w:sz w:val="20"/>
                <w:szCs w:val="20"/>
              </w:rPr>
            </w:pPr>
          </w:p>
        </w:tc>
        <w:tc>
          <w:tcPr>
            <w:tcW w:w="630" w:type="dxa"/>
          </w:tcPr>
          <w:p w:rsidR="009A2C36" w:rsidRPr="00E85E82" w:rsidRDefault="009A2C36" w:rsidP="009A2C36">
            <w:pPr>
              <w:pStyle w:val="SCCShortJudgment"/>
              <w:ind w:firstLine="0"/>
              <w:rPr>
                <w:rFonts w:cs="Times New Roman"/>
                <w:szCs w:val="20"/>
              </w:rPr>
            </w:pPr>
          </w:p>
        </w:tc>
        <w:tc>
          <w:tcPr>
            <w:tcW w:w="4536" w:type="dxa"/>
          </w:tcPr>
          <w:p w:rsidR="009A2C36" w:rsidRPr="00E85E82" w:rsidRDefault="009A2C36" w:rsidP="009A2C36">
            <w:pPr>
              <w:rPr>
                <w:sz w:val="20"/>
                <w:szCs w:val="20"/>
              </w:rPr>
            </w:pPr>
            <w:r w:rsidRPr="00E85E82">
              <w:rPr>
                <w:sz w:val="20"/>
                <w:szCs w:val="20"/>
              </w:rPr>
              <w:t>Motion for judicial review dismissed</w:t>
            </w:r>
          </w:p>
          <w:p w:rsidR="009A2C36" w:rsidRPr="00E85E82" w:rsidRDefault="009A2C36" w:rsidP="009A2C36">
            <w:pPr>
              <w:jc w:val="both"/>
              <w:rPr>
                <w:rFonts w:cs="Times New Roman"/>
                <w:sz w:val="20"/>
                <w:szCs w:val="20"/>
              </w:rPr>
            </w:pPr>
          </w:p>
        </w:tc>
      </w:tr>
      <w:tr w:rsidR="009A2C36" w:rsidRPr="00E85E82" w:rsidTr="000F56AC">
        <w:trPr>
          <w:cantSplit/>
        </w:trPr>
        <w:tc>
          <w:tcPr>
            <w:tcW w:w="4410" w:type="dxa"/>
            <w:gridSpan w:val="2"/>
          </w:tcPr>
          <w:p w:rsidR="009A2C36" w:rsidRPr="00E85E82" w:rsidRDefault="009A2C36" w:rsidP="009A2C36">
            <w:pPr>
              <w:rPr>
                <w:sz w:val="20"/>
                <w:szCs w:val="20"/>
              </w:rPr>
            </w:pPr>
            <w:r w:rsidRPr="00E85E82">
              <w:rPr>
                <w:sz w:val="20"/>
                <w:szCs w:val="20"/>
              </w:rPr>
              <w:t>October 6, 2015</w:t>
            </w:r>
          </w:p>
          <w:p w:rsidR="009A2C36" w:rsidRPr="00E85E82" w:rsidRDefault="009A2C36" w:rsidP="009A2C36">
            <w:pPr>
              <w:rPr>
                <w:sz w:val="20"/>
                <w:szCs w:val="20"/>
              </w:rPr>
            </w:pPr>
            <w:r w:rsidRPr="00E85E82">
              <w:rPr>
                <w:sz w:val="20"/>
                <w:szCs w:val="20"/>
              </w:rPr>
              <w:t>Quebec Court of Appeal (Québec)</w:t>
            </w:r>
          </w:p>
          <w:p w:rsidR="009A2C36" w:rsidRPr="00E85E82" w:rsidRDefault="009A2C36" w:rsidP="009A2C36">
            <w:pPr>
              <w:rPr>
                <w:sz w:val="20"/>
                <w:szCs w:val="20"/>
              </w:rPr>
            </w:pPr>
            <w:r w:rsidRPr="00E85E82">
              <w:rPr>
                <w:sz w:val="20"/>
                <w:szCs w:val="20"/>
              </w:rPr>
              <w:t>(Giroux, Bélanger and Gagnon JJ.A.)</w:t>
            </w:r>
          </w:p>
          <w:p w:rsidR="009A2C36" w:rsidRPr="00E85E82" w:rsidRDefault="009A2C36" w:rsidP="009A2C36">
            <w:pPr>
              <w:rPr>
                <w:sz w:val="20"/>
                <w:szCs w:val="20"/>
              </w:rPr>
            </w:pPr>
            <w:r w:rsidRPr="00E85E82">
              <w:rPr>
                <w:sz w:val="20"/>
                <w:szCs w:val="20"/>
              </w:rPr>
              <w:t>No. 200-09-008102-136</w:t>
            </w:r>
          </w:p>
          <w:p w:rsidR="009A2C36" w:rsidRPr="00E85E82" w:rsidRDefault="00B407D6" w:rsidP="009A2C36">
            <w:pPr>
              <w:rPr>
                <w:sz w:val="20"/>
                <w:szCs w:val="20"/>
              </w:rPr>
            </w:pPr>
            <w:hyperlink r:id="rId66" w:history="1">
              <w:r w:rsidR="009A2C36" w:rsidRPr="00E85E82">
                <w:rPr>
                  <w:rStyle w:val="Hyperlink"/>
                  <w:sz w:val="20"/>
                  <w:szCs w:val="20"/>
                </w:rPr>
                <w:t>2015 QCCA 1619</w:t>
              </w:r>
            </w:hyperlink>
          </w:p>
          <w:p w:rsidR="009A2C36" w:rsidRPr="00E85E82" w:rsidRDefault="009A2C36" w:rsidP="009A2C36">
            <w:pPr>
              <w:jc w:val="both"/>
              <w:rPr>
                <w:rFonts w:cs="Times New Roman"/>
                <w:sz w:val="20"/>
                <w:szCs w:val="20"/>
              </w:rPr>
            </w:pPr>
          </w:p>
        </w:tc>
        <w:tc>
          <w:tcPr>
            <w:tcW w:w="630" w:type="dxa"/>
          </w:tcPr>
          <w:p w:rsidR="009A2C36" w:rsidRPr="00E85E82" w:rsidRDefault="009A2C36" w:rsidP="009A2C36">
            <w:pPr>
              <w:pStyle w:val="SCCShortJudgment"/>
              <w:ind w:firstLine="0"/>
              <w:rPr>
                <w:rFonts w:cs="Times New Roman"/>
                <w:szCs w:val="20"/>
              </w:rPr>
            </w:pPr>
          </w:p>
        </w:tc>
        <w:tc>
          <w:tcPr>
            <w:tcW w:w="4536" w:type="dxa"/>
          </w:tcPr>
          <w:p w:rsidR="009A2C36" w:rsidRPr="00E85E82" w:rsidRDefault="009A2C36" w:rsidP="009A2C36">
            <w:pPr>
              <w:rPr>
                <w:sz w:val="20"/>
                <w:szCs w:val="20"/>
              </w:rPr>
            </w:pPr>
            <w:r w:rsidRPr="00E85E82">
              <w:rPr>
                <w:sz w:val="20"/>
                <w:szCs w:val="20"/>
              </w:rPr>
              <w:t>Appeal allowed in part, but only as regards penalty</w:t>
            </w:r>
          </w:p>
          <w:p w:rsidR="009A2C36" w:rsidRPr="00E85E82" w:rsidRDefault="009A2C36" w:rsidP="009A2C36">
            <w:pPr>
              <w:jc w:val="both"/>
              <w:rPr>
                <w:rFonts w:cs="Times New Roman"/>
                <w:sz w:val="20"/>
                <w:szCs w:val="20"/>
              </w:rPr>
            </w:pPr>
          </w:p>
        </w:tc>
      </w:tr>
      <w:tr w:rsidR="009A2C36" w:rsidRPr="00E85E82" w:rsidTr="000F56AC">
        <w:trPr>
          <w:cantSplit/>
        </w:trPr>
        <w:tc>
          <w:tcPr>
            <w:tcW w:w="4410" w:type="dxa"/>
            <w:gridSpan w:val="2"/>
          </w:tcPr>
          <w:p w:rsidR="009A2C36" w:rsidRPr="00E85E82" w:rsidRDefault="009A2C36" w:rsidP="009A2C36">
            <w:pPr>
              <w:rPr>
                <w:sz w:val="20"/>
                <w:szCs w:val="20"/>
              </w:rPr>
            </w:pPr>
            <w:r w:rsidRPr="00E85E82">
              <w:rPr>
                <w:sz w:val="20"/>
                <w:szCs w:val="20"/>
              </w:rPr>
              <w:t>March 22, 2016</w:t>
            </w:r>
          </w:p>
          <w:p w:rsidR="009A2C36" w:rsidRPr="00E85E82" w:rsidRDefault="009A2C36" w:rsidP="009A2C36">
            <w:pPr>
              <w:rPr>
                <w:sz w:val="20"/>
                <w:szCs w:val="20"/>
              </w:rPr>
            </w:pPr>
            <w:r w:rsidRPr="00E85E82">
              <w:rPr>
                <w:sz w:val="20"/>
                <w:szCs w:val="20"/>
              </w:rPr>
              <w:t>Supreme Court of Canada</w:t>
            </w:r>
          </w:p>
          <w:p w:rsidR="009A2C36" w:rsidRPr="00E85E82" w:rsidRDefault="009A2C36" w:rsidP="009A2C36">
            <w:pPr>
              <w:jc w:val="both"/>
              <w:rPr>
                <w:rFonts w:cs="Times New Roman"/>
                <w:sz w:val="20"/>
                <w:szCs w:val="20"/>
              </w:rPr>
            </w:pPr>
          </w:p>
        </w:tc>
        <w:tc>
          <w:tcPr>
            <w:tcW w:w="630" w:type="dxa"/>
          </w:tcPr>
          <w:p w:rsidR="009A2C36" w:rsidRPr="00E85E82" w:rsidRDefault="009A2C36" w:rsidP="009A2C36">
            <w:pPr>
              <w:pStyle w:val="SCCShortJudgment"/>
              <w:ind w:firstLine="0"/>
              <w:rPr>
                <w:rFonts w:cs="Times New Roman"/>
                <w:szCs w:val="20"/>
              </w:rPr>
            </w:pPr>
          </w:p>
        </w:tc>
        <w:tc>
          <w:tcPr>
            <w:tcW w:w="4536" w:type="dxa"/>
          </w:tcPr>
          <w:p w:rsidR="009A2C36" w:rsidRPr="00E85E82" w:rsidRDefault="009A2C36" w:rsidP="009A2C36">
            <w:pPr>
              <w:jc w:val="both"/>
              <w:rPr>
                <w:sz w:val="20"/>
                <w:szCs w:val="20"/>
              </w:rPr>
            </w:pPr>
            <w:r w:rsidRPr="00E85E82">
              <w:rPr>
                <w:sz w:val="20"/>
                <w:szCs w:val="20"/>
              </w:rPr>
              <w:t>Motion to extend time to serve and file leave application and application for leave to appeal filed</w:t>
            </w:r>
          </w:p>
          <w:p w:rsidR="009A2C36" w:rsidRPr="00E85E82" w:rsidRDefault="009A2C36" w:rsidP="009A2C36">
            <w:pPr>
              <w:jc w:val="both"/>
              <w:rPr>
                <w:rFonts w:cs="Times New Roman"/>
                <w:sz w:val="20"/>
                <w:szCs w:val="20"/>
              </w:rPr>
            </w:pPr>
          </w:p>
        </w:tc>
      </w:tr>
      <w:tr w:rsidR="009A2C36" w:rsidRPr="00E85E82" w:rsidTr="000F56AC">
        <w:trPr>
          <w:cantSplit/>
        </w:trPr>
        <w:tc>
          <w:tcPr>
            <w:tcW w:w="9576" w:type="dxa"/>
            <w:gridSpan w:val="4"/>
          </w:tcPr>
          <w:p w:rsidR="009A2C36" w:rsidRPr="00E85E82" w:rsidRDefault="00B407D6" w:rsidP="009A2C36">
            <w:pPr>
              <w:pStyle w:val="SCCShortJudgment"/>
              <w:ind w:firstLine="0"/>
              <w:rPr>
                <w:rFonts w:cs="Times New Roman"/>
                <w:szCs w:val="20"/>
                <w:lang w:val="fr-CA"/>
              </w:rPr>
            </w:pPr>
            <w:r>
              <w:rPr>
                <w:rFonts w:cs="Times New Roman"/>
                <w:szCs w:val="20"/>
                <w:lang w:val="fr-CA"/>
              </w:rPr>
              <w:pict>
                <v:rect id="_x0000_i1077" style="width:2in;height:1pt" o:hrpct="0" o:hralign="center" o:hrstd="t" o:hrnoshade="t" o:hr="t" fillcolor="black [3213]" stroked="f"/>
              </w:pict>
            </w:r>
          </w:p>
          <w:p w:rsidR="009A2C36" w:rsidRPr="00E85E82" w:rsidRDefault="009A2C36" w:rsidP="009A2C36">
            <w:pPr>
              <w:pStyle w:val="SCCShortJudgment"/>
              <w:ind w:firstLine="0"/>
              <w:rPr>
                <w:rFonts w:cs="Times New Roman"/>
                <w:szCs w:val="20"/>
                <w:lang w:val="fr-CA"/>
              </w:rPr>
            </w:pPr>
          </w:p>
        </w:tc>
      </w:tr>
      <w:tr w:rsidR="009A2C36" w:rsidRPr="00E85E82" w:rsidTr="000F56AC">
        <w:trPr>
          <w:cantSplit/>
        </w:trPr>
        <w:tc>
          <w:tcPr>
            <w:tcW w:w="9576" w:type="dxa"/>
            <w:gridSpan w:val="4"/>
          </w:tcPr>
          <w:p w:rsidR="009A2C36" w:rsidRPr="00E85E82" w:rsidRDefault="009A2C36" w:rsidP="009A2C36">
            <w:pPr>
              <w:pStyle w:val="SCCShortJudgment"/>
              <w:ind w:firstLine="0"/>
              <w:rPr>
                <w:rFonts w:cs="Times New Roman"/>
                <w:szCs w:val="20"/>
                <w:u w:val="single"/>
                <w:lang w:val="fr-CA"/>
              </w:rPr>
            </w:pPr>
            <w:r w:rsidRPr="00E85E82">
              <w:rPr>
                <w:rFonts w:cs="Times New Roman"/>
                <w:szCs w:val="20"/>
                <w:u w:val="single"/>
                <w:lang w:val="fr-CA"/>
              </w:rPr>
              <w:t>RÉSUMÉ DE L’AFFAIRE </w:t>
            </w:r>
          </w:p>
          <w:p w:rsidR="009A2C36" w:rsidRPr="00E85E82" w:rsidRDefault="009A2C36" w:rsidP="009A2C36">
            <w:pPr>
              <w:pStyle w:val="SCCShortJudgment"/>
              <w:ind w:firstLine="0"/>
              <w:rPr>
                <w:rFonts w:cs="Times New Roman"/>
                <w:szCs w:val="20"/>
                <w:u w:val="single"/>
                <w:lang w:val="fr-CA"/>
              </w:rPr>
            </w:pPr>
          </w:p>
        </w:tc>
      </w:tr>
      <w:tr w:rsidR="009A2C36" w:rsidRPr="00B407D6" w:rsidTr="000F56AC">
        <w:trPr>
          <w:cantSplit/>
        </w:trPr>
        <w:tc>
          <w:tcPr>
            <w:tcW w:w="9576" w:type="dxa"/>
            <w:gridSpan w:val="4"/>
          </w:tcPr>
          <w:p w:rsidR="009A2C36" w:rsidRPr="00E85E82" w:rsidRDefault="009A2C36" w:rsidP="009A2C36">
            <w:pPr>
              <w:pStyle w:val="SCCShortJudgment"/>
              <w:ind w:firstLine="0"/>
              <w:rPr>
                <w:szCs w:val="20"/>
                <w:lang w:val="fr-FR"/>
              </w:rPr>
            </w:pPr>
            <w:r w:rsidRPr="00E85E82">
              <w:rPr>
                <w:szCs w:val="20"/>
                <w:lang w:val="fr-FR"/>
              </w:rPr>
              <w:t xml:space="preserve">Droit des professions – Discipline – Est-ce qu’en droit disciplinaire, les tribunaux sont le forum approprié pour générer et élaborer des normes médicales et gérer l’avancée scientifique par les arguments au soutien d’une décision ou d’une sanction imposée </w:t>
            </w:r>
            <w:r w:rsidRPr="00E85E82">
              <w:rPr>
                <w:szCs w:val="20"/>
                <w:lang w:val="fr-CA"/>
              </w:rPr>
              <w:t>à</w:t>
            </w:r>
            <w:r w:rsidRPr="00E85E82">
              <w:rPr>
                <w:szCs w:val="20"/>
                <w:lang w:val="fr-FR"/>
              </w:rPr>
              <w:t xml:space="preserve"> un professionnel?</w:t>
            </w:r>
          </w:p>
          <w:p w:rsidR="009A2C36" w:rsidRPr="00E85E82" w:rsidRDefault="009A2C36" w:rsidP="009A2C36">
            <w:pPr>
              <w:pStyle w:val="SCCShortJudgment"/>
              <w:ind w:firstLine="0"/>
              <w:rPr>
                <w:rFonts w:cs="Times New Roman"/>
                <w:szCs w:val="20"/>
                <w:u w:val="single"/>
                <w:lang w:val="fr-CA"/>
              </w:rPr>
            </w:pPr>
          </w:p>
        </w:tc>
      </w:tr>
      <w:tr w:rsidR="009A2C36" w:rsidRPr="00B407D6" w:rsidTr="000F56AC">
        <w:trPr>
          <w:cantSplit/>
        </w:trPr>
        <w:tc>
          <w:tcPr>
            <w:tcW w:w="9576" w:type="dxa"/>
            <w:gridSpan w:val="4"/>
          </w:tcPr>
          <w:p w:rsidR="009A2C36" w:rsidRPr="00E85E82" w:rsidRDefault="009A2C36" w:rsidP="009A2C36">
            <w:pPr>
              <w:jc w:val="both"/>
              <w:rPr>
                <w:sz w:val="20"/>
                <w:szCs w:val="20"/>
                <w:lang w:val="fr-CA"/>
              </w:rPr>
            </w:pPr>
            <w:r w:rsidRPr="00E85E82">
              <w:rPr>
                <w:sz w:val="20"/>
                <w:szCs w:val="20"/>
                <w:lang w:val="fr-CA"/>
              </w:rPr>
              <w:t xml:space="preserve">Le Conseil de discipline du Collège des médecins du Québec a déclaré le demandeur coupable de diverses infractions en lien avec quatre plaintes qui ont été portées contre le demandeur par le syndic de son ordre professionnel entre 1999 et 2008. Dans le cadre de la plainte en cause, on reprochait notamment au demandeur d’avoir prescrit des doses excessives de neuroleptiques, d’avoir fait une évaluation inadéquate de la condition psychiatrique d’un patient et d’avoir prescrit des combinaisons de neuroleptiques (chefs 1 à 5). On lui reprochait également le fait d’avoir tenu des propos indignes d’un médecin sur les ondes radio, d’avoir dénigré un membre d’un autre ordre professionnel et d’avoir fait défaut de maintenir adéquatement le dossier d’un patient, entravant ainsi le travail du syndic (chefs 6 à 12). Le Conseil de discipline lui a imposé une radiation temporaire pour une période de deux ans ainsi qu’à un total de 33 000 $ en amendes, de même qu’une ordonnance limitant le droit de l’appelant de prescrire des neuroleptiques dépassant les doses maximales recommandées par les fabricants ainsi que le droit de prescrire de façon concomitante plusieurs neuroleptiques à la fois, et ce, « […] tant et aussi longtemps que le Collège des médecins ne recommandera pas le recours à la prescription de </w:t>
            </w:r>
            <w:proofErr w:type="spellStart"/>
            <w:r w:rsidRPr="00E85E82">
              <w:rPr>
                <w:sz w:val="20"/>
                <w:szCs w:val="20"/>
                <w:lang w:val="fr-CA"/>
              </w:rPr>
              <w:t>mégadoses</w:t>
            </w:r>
            <w:proofErr w:type="spellEnd"/>
            <w:r w:rsidRPr="00E85E82">
              <w:rPr>
                <w:sz w:val="20"/>
                <w:szCs w:val="20"/>
                <w:lang w:val="fr-CA"/>
              </w:rPr>
              <w:t xml:space="preserve"> de neuroleptiques […] aux adultes dans le traitement de la schizophrénie ». Le Tribunal des professions a rejeté l’appel du demandeur, lequel s’est pourvu en révision judiciaire.</w:t>
            </w:r>
          </w:p>
          <w:p w:rsidR="009A2C36" w:rsidRPr="00E85E82" w:rsidRDefault="009A2C36" w:rsidP="009A2C36">
            <w:pPr>
              <w:jc w:val="both"/>
              <w:rPr>
                <w:rFonts w:cs="Times New Roman"/>
                <w:sz w:val="20"/>
                <w:szCs w:val="20"/>
                <w:u w:val="single"/>
                <w:lang w:val="fr-CA"/>
              </w:rPr>
            </w:pPr>
          </w:p>
        </w:tc>
      </w:tr>
      <w:tr w:rsidR="009A2C36" w:rsidRPr="00B407D6" w:rsidTr="000F56AC">
        <w:trPr>
          <w:cantSplit/>
        </w:trPr>
        <w:tc>
          <w:tcPr>
            <w:tcW w:w="4410" w:type="dxa"/>
            <w:gridSpan w:val="2"/>
          </w:tcPr>
          <w:p w:rsidR="009A2C36" w:rsidRPr="00E85E82" w:rsidRDefault="009A2C36" w:rsidP="009A2C36">
            <w:pPr>
              <w:rPr>
                <w:sz w:val="20"/>
                <w:szCs w:val="20"/>
                <w:lang w:val="fr-CA"/>
              </w:rPr>
            </w:pPr>
            <w:r w:rsidRPr="00E85E82">
              <w:rPr>
                <w:sz w:val="20"/>
                <w:szCs w:val="20"/>
                <w:lang w:val="fr-CA"/>
              </w:rPr>
              <w:t>Le 24 mai 2013</w:t>
            </w:r>
          </w:p>
          <w:p w:rsidR="009A2C36" w:rsidRPr="00E85E82" w:rsidRDefault="009A2C36" w:rsidP="009A2C36">
            <w:pPr>
              <w:rPr>
                <w:sz w:val="20"/>
                <w:szCs w:val="20"/>
                <w:lang w:val="fr-CA"/>
              </w:rPr>
            </w:pPr>
            <w:r w:rsidRPr="00E85E82">
              <w:rPr>
                <w:sz w:val="20"/>
                <w:szCs w:val="20"/>
                <w:lang w:val="fr-CA"/>
              </w:rPr>
              <w:t>Cour supérieure du Québec</w:t>
            </w:r>
          </w:p>
          <w:p w:rsidR="009A2C36" w:rsidRPr="00E85E82" w:rsidRDefault="009A2C36" w:rsidP="009A2C36">
            <w:pPr>
              <w:rPr>
                <w:sz w:val="20"/>
                <w:szCs w:val="20"/>
                <w:lang w:val="fr-CA"/>
              </w:rPr>
            </w:pPr>
            <w:r w:rsidRPr="00E85E82">
              <w:rPr>
                <w:sz w:val="20"/>
                <w:szCs w:val="20"/>
                <w:lang w:val="fr-CA"/>
              </w:rPr>
              <w:t>(Le juge Jacques)</w:t>
            </w:r>
          </w:p>
          <w:p w:rsidR="009A2C36" w:rsidRPr="00E85E82" w:rsidRDefault="009A2C36" w:rsidP="009A2C36">
            <w:pPr>
              <w:rPr>
                <w:sz w:val="20"/>
                <w:szCs w:val="20"/>
                <w:lang w:val="fr-CA"/>
              </w:rPr>
            </w:pPr>
            <w:r w:rsidRPr="00E85E82">
              <w:rPr>
                <w:sz w:val="20"/>
                <w:szCs w:val="20"/>
                <w:lang w:val="fr-CA"/>
              </w:rPr>
              <w:t>No. 400-17-002925-127</w:t>
            </w:r>
          </w:p>
          <w:p w:rsidR="009A2C36" w:rsidRPr="00E85E82" w:rsidRDefault="00B407D6" w:rsidP="009A2C36">
            <w:pPr>
              <w:rPr>
                <w:sz w:val="20"/>
                <w:szCs w:val="20"/>
                <w:lang w:val="fr-CA"/>
              </w:rPr>
            </w:pPr>
            <w:r>
              <w:fldChar w:fldCharType="begin"/>
            </w:r>
            <w:r w:rsidRPr="00B407D6">
              <w:rPr>
                <w:lang w:val="fr-CA"/>
              </w:rPr>
              <w:instrText xml:space="preserve"> HYPERLINK "http://www.canlii.org/fr/qc/qccs/doc/2013/2013qccs2375/2013qccs2375.html" </w:instrText>
            </w:r>
            <w:r>
              <w:fldChar w:fldCharType="separate"/>
            </w:r>
            <w:r w:rsidR="009A2C36" w:rsidRPr="00E85E82">
              <w:rPr>
                <w:rStyle w:val="Hyperlink"/>
                <w:sz w:val="20"/>
                <w:szCs w:val="20"/>
                <w:lang w:val="fr-CA"/>
              </w:rPr>
              <w:t>2013 QCCS 2375</w:t>
            </w:r>
            <w:r>
              <w:rPr>
                <w:rStyle w:val="Hyperlink"/>
                <w:sz w:val="20"/>
                <w:szCs w:val="20"/>
                <w:lang w:val="fr-CA"/>
              </w:rPr>
              <w:fldChar w:fldCharType="end"/>
            </w:r>
          </w:p>
          <w:p w:rsidR="009A2C36" w:rsidRPr="00E85E82" w:rsidRDefault="009A2C36" w:rsidP="009A2C36">
            <w:pPr>
              <w:pStyle w:val="SCCShortJudgment"/>
              <w:ind w:firstLine="0"/>
              <w:rPr>
                <w:rFonts w:cs="Times New Roman"/>
                <w:szCs w:val="20"/>
                <w:u w:val="single"/>
                <w:lang w:val="fr-CA"/>
              </w:rPr>
            </w:pPr>
          </w:p>
        </w:tc>
        <w:tc>
          <w:tcPr>
            <w:tcW w:w="630" w:type="dxa"/>
          </w:tcPr>
          <w:p w:rsidR="009A2C36" w:rsidRPr="00E85E82" w:rsidRDefault="009A2C36" w:rsidP="009A2C36">
            <w:pPr>
              <w:pStyle w:val="SCCShortJudgment"/>
              <w:ind w:firstLine="0"/>
              <w:rPr>
                <w:rFonts w:cs="Times New Roman"/>
                <w:szCs w:val="20"/>
                <w:u w:val="single"/>
                <w:lang w:val="fr-CA"/>
              </w:rPr>
            </w:pPr>
          </w:p>
        </w:tc>
        <w:tc>
          <w:tcPr>
            <w:tcW w:w="4536" w:type="dxa"/>
          </w:tcPr>
          <w:p w:rsidR="009A2C36" w:rsidRPr="00E85E82" w:rsidRDefault="009A2C36" w:rsidP="009A2C36">
            <w:pPr>
              <w:rPr>
                <w:sz w:val="20"/>
                <w:szCs w:val="20"/>
                <w:lang w:val="fr-CA"/>
              </w:rPr>
            </w:pPr>
            <w:r w:rsidRPr="00E85E82">
              <w:rPr>
                <w:sz w:val="20"/>
                <w:szCs w:val="20"/>
                <w:lang w:val="fr-CA"/>
              </w:rPr>
              <w:t>Requête en révision judiciaire rejetée.</w:t>
            </w:r>
          </w:p>
          <w:p w:rsidR="009A2C36" w:rsidRPr="00E85E82" w:rsidRDefault="009A2C36" w:rsidP="009A2C36">
            <w:pPr>
              <w:pStyle w:val="SCCShortJudgment"/>
              <w:ind w:firstLine="0"/>
              <w:rPr>
                <w:rFonts w:cs="Times New Roman"/>
                <w:szCs w:val="20"/>
                <w:u w:val="single"/>
                <w:lang w:val="fr-CA"/>
              </w:rPr>
            </w:pPr>
          </w:p>
        </w:tc>
      </w:tr>
      <w:tr w:rsidR="009A2C36" w:rsidRPr="00B407D6" w:rsidTr="000F56AC">
        <w:trPr>
          <w:cantSplit/>
        </w:trPr>
        <w:tc>
          <w:tcPr>
            <w:tcW w:w="4410" w:type="dxa"/>
            <w:gridSpan w:val="2"/>
          </w:tcPr>
          <w:p w:rsidR="009A2C36" w:rsidRPr="00E85E82" w:rsidRDefault="009A2C36" w:rsidP="009A2C36">
            <w:pPr>
              <w:rPr>
                <w:sz w:val="20"/>
                <w:szCs w:val="20"/>
                <w:lang w:val="fr-CA"/>
              </w:rPr>
            </w:pPr>
            <w:r w:rsidRPr="00E85E82">
              <w:rPr>
                <w:sz w:val="20"/>
                <w:szCs w:val="20"/>
                <w:lang w:val="fr-CA"/>
              </w:rPr>
              <w:t>Le 6 octobre 2015</w:t>
            </w:r>
          </w:p>
          <w:p w:rsidR="009A2C36" w:rsidRPr="00E85E82" w:rsidRDefault="009A2C36" w:rsidP="009A2C36">
            <w:pPr>
              <w:rPr>
                <w:sz w:val="20"/>
                <w:szCs w:val="20"/>
                <w:lang w:val="fr-CA"/>
              </w:rPr>
            </w:pPr>
            <w:r w:rsidRPr="00E85E82">
              <w:rPr>
                <w:sz w:val="20"/>
                <w:szCs w:val="20"/>
                <w:lang w:val="fr-CA"/>
              </w:rPr>
              <w:t>Cour d’appel du Québec (Québec)</w:t>
            </w:r>
          </w:p>
          <w:p w:rsidR="009A2C36" w:rsidRPr="00E85E82" w:rsidRDefault="009A2C36" w:rsidP="009A2C36">
            <w:pPr>
              <w:rPr>
                <w:sz w:val="20"/>
                <w:szCs w:val="20"/>
                <w:lang w:val="fr-CA"/>
              </w:rPr>
            </w:pPr>
            <w:r w:rsidRPr="00E85E82">
              <w:rPr>
                <w:sz w:val="20"/>
                <w:szCs w:val="20"/>
                <w:lang w:val="fr-CA"/>
              </w:rPr>
              <w:t>(Les juges Giroux, Bélanger et Gagnon)</w:t>
            </w:r>
          </w:p>
          <w:p w:rsidR="009A2C36" w:rsidRPr="00E85E82" w:rsidRDefault="009A2C36" w:rsidP="009A2C36">
            <w:pPr>
              <w:rPr>
                <w:sz w:val="20"/>
                <w:szCs w:val="20"/>
              </w:rPr>
            </w:pPr>
            <w:r w:rsidRPr="00E85E82">
              <w:rPr>
                <w:sz w:val="20"/>
                <w:szCs w:val="20"/>
              </w:rPr>
              <w:t>No. 200-09-008102-136</w:t>
            </w:r>
          </w:p>
          <w:p w:rsidR="009A2C36" w:rsidRPr="00E85E82" w:rsidRDefault="00B407D6" w:rsidP="009A2C36">
            <w:pPr>
              <w:rPr>
                <w:sz w:val="20"/>
                <w:szCs w:val="20"/>
              </w:rPr>
            </w:pPr>
            <w:hyperlink r:id="rId67" w:history="1">
              <w:r w:rsidR="009A2C36" w:rsidRPr="00E85E82">
                <w:rPr>
                  <w:rStyle w:val="Hyperlink"/>
                  <w:sz w:val="20"/>
                  <w:szCs w:val="20"/>
                </w:rPr>
                <w:t>2015 QCCA 1619</w:t>
              </w:r>
            </w:hyperlink>
          </w:p>
          <w:p w:rsidR="009A2C36" w:rsidRPr="00E85E82" w:rsidRDefault="009A2C36" w:rsidP="009A2C36">
            <w:pPr>
              <w:pStyle w:val="SCCShortJudgment"/>
              <w:ind w:firstLine="0"/>
              <w:rPr>
                <w:rFonts w:cs="Times New Roman"/>
                <w:szCs w:val="20"/>
                <w:u w:val="single"/>
                <w:lang w:val="fr-CA"/>
              </w:rPr>
            </w:pPr>
          </w:p>
        </w:tc>
        <w:tc>
          <w:tcPr>
            <w:tcW w:w="630" w:type="dxa"/>
          </w:tcPr>
          <w:p w:rsidR="009A2C36" w:rsidRPr="00E85E82" w:rsidRDefault="009A2C36" w:rsidP="009A2C36">
            <w:pPr>
              <w:pStyle w:val="SCCShortJudgment"/>
              <w:ind w:firstLine="0"/>
              <w:rPr>
                <w:rFonts w:cs="Times New Roman"/>
                <w:szCs w:val="20"/>
                <w:u w:val="single"/>
                <w:lang w:val="fr-CA"/>
              </w:rPr>
            </w:pPr>
          </w:p>
        </w:tc>
        <w:tc>
          <w:tcPr>
            <w:tcW w:w="4536" w:type="dxa"/>
          </w:tcPr>
          <w:p w:rsidR="009A2C36" w:rsidRPr="00E85E82" w:rsidRDefault="009A2C36" w:rsidP="009A2C36">
            <w:pPr>
              <w:jc w:val="both"/>
              <w:rPr>
                <w:sz w:val="20"/>
                <w:szCs w:val="20"/>
                <w:lang w:val="fr-CA"/>
              </w:rPr>
            </w:pPr>
            <w:r w:rsidRPr="00E85E82">
              <w:rPr>
                <w:sz w:val="20"/>
                <w:szCs w:val="20"/>
                <w:lang w:val="fr-CA"/>
              </w:rPr>
              <w:t>Appel accueilli en partie, mais seulement quant à la sanction.</w:t>
            </w:r>
          </w:p>
          <w:p w:rsidR="009A2C36" w:rsidRPr="00E85E82" w:rsidRDefault="009A2C36" w:rsidP="009A2C36">
            <w:pPr>
              <w:pStyle w:val="SCCShortJudgment"/>
              <w:ind w:firstLine="0"/>
              <w:rPr>
                <w:rFonts w:cs="Times New Roman"/>
                <w:szCs w:val="20"/>
                <w:u w:val="single"/>
                <w:lang w:val="fr-CA"/>
              </w:rPr>
            </w:pPr>
          </w:p>
        </w:tc>
      </w:tr>
      <w:tr w:rsidR="009A2C36" w:rsidRPr="00B407D6" w:rsidTr="000F56AC">
        <w:trPr>
          <w:cantSplit/>
        </w:trPr>
        <w:tc>
          <w:tcPr>
            <w:tcW w:w="4410" w:type="dxa"/>
            <w:gridSpan w:val="2"/>
          </w:tcPr>
          <w:p w:rsidR="009A2C36" w:rsidRPr="00E85E82" w:rsidRDefault="009A2C36" w:rsidP="009A2C36">
            <w:pPr>
              <w:rPr>
                <w:sz w:val="20"/>
                <w:szCs w:val="20"/>
                <w:lang w:val="fr-CA"/>
              </w:rPr>
            </w:pPr>
            <w:r w:rsidRPr="00E85E82">
              <w:rPr>
                <w:sz w:val="20"/>
                <w:szCs w:val="20"/>
                <w:lang w:val="fr-CA"/>
              </w:rPr>
              <w:t>Le 22 mars 2016</w:t>
            </w:r>
          </w:p>
          <w:p w:rsidR="009A2C36" w:rsidRPr="00E85E82" w:rsidRDefault="009A2C36" w:rsidP="009A2C36">
            <w:pPr>
              <w:rPr>
                <w:sz w:val="20"/>
                <w:szCs w:val="20"/>
                <w:lang w:val="fr-CA"/>
              </w:rPr>
            </w:pPr>
            <w:r w:rsidRPr="00E85E82">
              <w:rPr>
                <w:sz w:val="20"/>
                <w:szCs w:val="20"/>
                <w:lang w:val="fr-CA"/>
              </w:rPr>
              <w:t>Cour suprême du Canada</w:t>
            </w:r>
          </w:p>
          <w:p w:rsidR="009A2C36" w:rsidRPr="00E85E82" w:rsidRDefault="009A2C36" w:rsidP="009A2C36">
            <w:pPr>
              <w:pStyle w:val="SCCShortJudgment"/>
              <w:ind w:firstLine="0"/>
              <w:rPr>
                <w:rFonts w:cs="Times New Roman"/>
                <w:szCs w:val="20"/>
                <w:u w:val="single"/>
                <w:lang w:val="fr-CA"/>
              </w:rPr>
            </w:pPr>
          </w:p>
        </w:tc>
        <w:tc>
          <w:tcPr>
            <w:tcW w:w="630" w:type="dxa"/>
          </w:tcPr>
          <w:p w:rsidR="009A2C36" w:rsidRPr="00E85E82" w:rsidRDefault="009A2C36" w:rsidP="009A2C36">
            <w:pPr>
              <w:pStyle w:val="SCCShortJudgment"/>
              <w:ind w:firstLine="0"/>
              <w:rPr>
                <w:rFonts w:cs="Times New Roman"/>
                <w:szCs w:val="20"/>
                <w:u w:val="single"/>
                <w:lang w:val="fr-CA"/>
              </w:rPr>
            </w:pPr>
          </w:p>
        </w:tc>
        <w:tc>
          <w:tcPr>
            <w:tcW w:w="4536" w:type="dxa"/>
          </w:tcPr>
          <w:p w:rsidR="009A2C36" w:rsidRPr="00E85E82" w:rsidRDefault="009A2C36" w:rsidP="009A2C36">
            <w:pPr>
              <w:jc w:val="both"/>
              <w:rPr>
                <w:sz w:val="20"/>
                <w:szCs w:val="20"/>
                <w:lang w:val="fr-CA"/>
              </w:rPr>
            </w:pPr>
            <w:r w:rsidRPr="00E85E82">
              <w:rPr>
                <w:sz w:val="20"/>
                <w:szCs w:val="20"/>
                <w:lang w:val="fr-CA"/>
              </w:rPr>
              <w:t>Requête en prorogation du délai pour signifier et déposer demande d’autorisation et demande d’autorisation d’appel déposées.</w:t>
            </w:r>
          </w:p>
          <w:p w:rsidR="009A2C36" w:rsidRPr="00E85E82" w:rsidRDefault="009A2C36" w:rsidP="009A2C36">
            <w:pPr>
              <w:pStyle w:val="SCCShortJudgment"/>
              <w:ind w:firstLine="0"/>
              <w:rPr>
                <w:rFonts w:cs="Times New Roman"/>
                <w:szCs w:val="20"/>
                <w:u w:val="single"/>
                <w:lang w:val="fr-CA"/>
              </w:rPr>
            </w:pPr>
          </w:p>
        </w:tc>
      </w:tr>
    </w:tbl>
    <w:p w:rsidR="00232760" w:rsidRPr="00E85E82" w:rsidRDefault="00B407D6" w:rsidP="00232760">
      <w:pPr>
        <w:rPr>
          <w:rFonts w:cs="Times New Roman"/>
          <w:sz w:val="20"/>
          <w:szCs w:val="20"/>
          <w:lang w:val="fr-CA"/>
        </w:rPr>
      </w:pPr>
      <w:r>
        <w:rPr>
          <w:rFonts w:cs="Times New Roman"/>
          <w:sz w:val="20"/>
          <w:szCs w:val="20"/>
          <w:lang w:val="fr-CA"/>
        </w:rPr>
        <w:pict>
          <v:rect id="_x0000_i1078" style="width:2in;height:1pt" o:hrpct="0" o:hralign="center" o:hrstd="t" o:hrnoshade="t" o:hr="t" fillcolor="black [3213]" stroked="f"/>
        </w:pict>
      </w:r>
    </w:p>
    <w:p w:rsidR="00BE530C" w:rsidRPr="00E85E82" w:rsidRDefault="00BE530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Style w:val="SCCFileNumberChar"/>
                <w:sz w:val="20"/>
                <w:szCs w:val="20"/>
              </w:rPr>
              <w:t>36991</w:t>
            </w:r>
          </w:p>
          <w:p w:rsidR="00232760" w:rsidRPr="00E85E82" w:rsidRDefault="00232760" w:rsidP="000F56AC">
            <w:pPr>
              <w:jc w:val="both"/>
              <w:rPr>
                <w:rFonts w:cs="Times New Roman"/>
                <w:b/>
                <w:sz w:val="20"/>
                <w:szCs w:val="20"/>
              </w:rPr>
            </w:pPr>
          </w:p>
        </w:tc>
        <w:tc>
          <w:tcPr>
            <w:tcW w:w="8118" w:type="dxa"/>
          </w:tcPr>
          <w:p w:rsidR="00232760" w:rsidRPr="00E85E82" w:rsidRDefault="00F8038E" w:rsidP="000F56AC">
            <w:pPr>
              <w:jc w:val="both"/>
              <w:rPr>
                <w:rFonts w:cs="Times New Roman"/>
                <w:sz w:val="20"/>
                <w:szCs w:val="20"/>
              </w:rPr>
            </w:pPr>
            <w:r w:rsidRPr="00E85E82">
              <w:rPr>
                <w:rStyle w:val="SCCLsocChar"/>
                <w:rFonts w:cs="Times New Roman"/>
                <w:sz w:val="20"/>
                <w:szCs w:val="20"/>
                <w:lang w:val="en-CA"/>
              </w:rPr>
              <w:t xml:space="preserve">Beverly Sharon </w:t>
            </w:r>
            <w:proofErr w:type="spellStart"/>
            <w:r w:rsidRPr="00E85E82">
              <w:rPr>
                <w:rStyle w:val="SCCLsocChar"/>
                <w:rFonts w:cs="Times New Roman"/>
                <w:sz w:val="20"/>
                <w:szCs w:val="20"/>
                <w:lang w:val="en-CA"/>
              </w:rPr>
              <w:t>Misener</w:t>
            </w:r>
            <w:proofErr w:type="spellEnd"/>
            <w:r w:rsidR="00232760" w:rsidRPr="00E85E82">
              <w:rPr>
                <w:rStyle w:val="SCCLsocChar"/>
                <w:rFonts w:cs="Times New Roman"/>
                <w:sz w:val="20"/>
                <w:szCs w:val="20"/>
                <w:lang w:val="en-CA"/>
              </w:rPr>
              <w:t xml:space="preserve"> v. </w:t>
            </w:r>
            <w:r w:rsidRPr="00E85E82">
              <w:rPr>
                <w:rStyle w:val="SCCLsocChar"/>
                <w:rFonts w:cs="Times New Roman"/>
                <w:sz w:val="20"/>
                <w:szCs w:val="20"/>
                <w:lang w:val="en-CA"/>
              </w:rPr>
              <w:t>Her Majesty the Queen</w:t>
            </w:r>
            <w:r w:rsidR="00232760" w:rsidRPr="00E85E82">
              <w:rPr>
                <w:rStyle w:val="SCCLsocChar"/>
                <w:rFonts w:cs="Times New Roman"/>
                <w:sz w:val="20"/>
                <w:szCs w:val="20"/>
                <w:u w:val="none"/>
                <w:lang w:val="en-CA"/>
              </w:rPr>
              <w:t xml:space="preserve"> </w:t>
            </w:r>
            <w:r w:rsidR="00232760" w:rsidRPr="00E85E82">
              <w:rPr>
                <w:rFonts w:cs="Times New Roman"/>
                <w:sz w:val="20"/>
                <w:szCs w:val="20"/>
              </w:rPr>
              <w:t>(</w:t>
            </w:r>
            <w:r w:rsidRPr="00E85E82">
              <w:rPr>
                <w:rFonts w:cs="Times New Roman"/>
                <w:sz w:val="20"/>
                <w:szCs w:val="20"/>
              </w:rPr>
              <w:t>F.C</w:t>
            </w:r>
            <w:r w:rsidR="00232760" w:rsidRPr="00E85E82">
              <w:rPr>
                <w:rFonts w:cs="Times New Roman"/>
                <w:sz w:val="20"/>
                <w:szCs w:val="20"/>
              </w:rPr>
              <w:t>.) (Civil) (By Leave)</w:t>
            </w:r>
          </w:p>
          <w:p w:rsidR="00232760" w:rsidRPr="00E85E82" w:rsidRDefault="00232760" w:rsidP="000F56AC">
            <w:pPr>
              <w:jc w:val="both"/>
              <w:rPr>
                <w:rFonts w:cs="Times New Roman"/>
                <w:sz w:val="20"/>
                <w:szCs w:val="20"/>
              </w:rPr>
            </w:pPr>
          </w:p>
        </w:tc>
      </w:tr>
      <w:tr w:rsidR="00232760" w:rsidRPr="00E85E82" w:rsidTr="000F56AC">
        <w:trPr>
          <w:cantSplit/>
        </w:trPr>
        <w:tc>
          <w:tcPr>
            <w:tcW w:w="1458" w:type="dxa"/>
          </w:tcPr>
          <w:p w:rsidR="00232760" w:rsidRPr="00E85E82" w:rsidRDefault="00232760" w:rsidP="000F56AC">
            <w:pPr>
              <w:jc w:val="both"/>
              <w:rPr>
                <w:rFonts w:cs="Times New Roman"/>
                <w:sz w:val="20"/>
                <w:szCs w:val="20"/>
              </w:rPr>
            </w:pPr>
            <w:r w:rsidRPr="00E85E82">
              <w:rPr>
                <w:rFonts w:cs="Times New Roman"/>
                <w:sz w:val="20"/>
                <w:szCs w:val="20"/>
              </w:rPr>
              <w:t>Coram :</w:t>
            </w:r>
          </w:p>
        </w:tc>
        <w:tc>
          <w:tcPr>
            <w:tcW w:w="8118" w:type="dxa"/>
          </w:tcPr>
          <w:p w:rsidR="00232760" w:rsidRPr="00E85E82" w:rsidRDefault="00232760" w:rsidP="000F56AC">
            <w:pPr>
              <w:jc w:val="both"/>
              <w:rPr>
                <w:rStyle w:val="SCCCoramChar"/>
                <w:sz w:val="20"/>
                <w:szCs w:val="20"/>
                <w:lang w:val="en-CA"/>
              </w:rPr>
            </w:pPr>
            <w:r w:rsidRPr="00E85E82">
              <w:rPr>
                <w:rStyle w:val="SCCCoramChar"/>
                <w:sz w:val="20"/>
                <w:szCs w:val="20"/>
                <w:lang w:val="en-CA"/>
              </w:rPr>
              <w:t>McLachlin C.J. and Moldaver and Gascon JJ.</w:t>
            </w:r>
          </w:p>
          <w:p w:rsidR="00232760" w:rsidRPr="00E85E82" w:rsidRDefault="00232760" w:rsidP="000F56AC">
            <w:pPr>
              <w:jc w:val="both"/>
              <w:rPr>
                <w:rFonts w:cs="Times New Roman"/>
                <w:sz w:val="20"/>
                <w:szCs w:val="20"/>
                <w:u w:val="single"/>
              </w:rPr>
            </w:pPr>
          </w:p>
        </w:tc>
      </w:tr>
      <w:tr w:rsidR="00232760" w:rsidRPr="00B407D6" w:rsidTr="00232760">
        <w:tc>
          <w:tcPr>
            <w:tcW w:w="9576" w:type="dxa"/>
            <w:gridSpan w:val="2"/>
          </w:tcPr>
          <w:p w:rsidR="00D05B70" w:rsidRPr="00E85E82" w:rsidRDefault="00D05B70" w:rsidP="00D05B70">
            <w:pPr>
              <w:pStyle w:val="SCCShortJudgment"/>
            </w:pPr>
            <w:r w:rsidRPr="00E85E82">
              <w:t>The motion for an extension of time to serve and file the application for leave to appeal is granted.  The application for leave to appeal from the judgment of the Federal Court of Appeal, Numbers A-342-14 and A-346-14, 2016 FCA 9, dated January 13, 2016, is dismissed with costs.</w:t>
            </w:r>
          </w:p>
          <w:p w:rsidR="00D05B70" w:rsidRPr="00E85E82" w:rsidRDefault="00D05B70" w:rsidP="00D05B70">
            <w:pPr>
              <w:pStyle w:val="SCCShortJudgment"/>
              <w:ind w:firstLine="0"/>
            </w:pPr>
          </w:p>
          <w:p w:rsidR="00D05B70" w:rsidRPr="00C556BB" w:rsidRDefault="00D05B70" w:rsidP="00D05B70">
            <w:pPr>
              <w:pStyle w:val="SCCShortJudgment"/>
              <w:rPr>
                <w:lang w:val="fr-CA"/>
              </w:rPr>
            </w:pPr>
            <w:r w:rsidRPr="00C556BB">
              <w:rPr>
                <w:lang w:val="fr-CA"/>
              </w:rPr>
              <w:t>La requête en prorogation du délai de signification et de dépôt de la demande d’autorisation d’appel est accueillie. La demande d’autorisation d’appel de l’arrêt de la Cour d’appel fédérale, numéros A-342-14 et A-346-14, 2016 FCA 9, daté du 13 janvier 2016, est rejetée avec dépens.</w:t>
            </w:r>
          </w:p>
          <w:p w:rsidR="00232760" w:rsidRPr="00E85E82" w:rsidRDefault="00232760" w:rsidP="000F56AC">
            <w:pPr>
              <w:pStyle w:val="SCCShortJudgment"/>
              <w:ind w:firstLine="0"/>
              <w:rPr>
                <w:rFonts w:cs="Times New Roman"/>
                <w:szCs w:val="20"/>
                <w:lang w:val="fr-CA"/>
              </w:rPr>
            </w:pPr>
          </w:p>
        </w:tc>
      </w:tr>
    </w:tbl>
    <w:p w:rsidR="00090F55" w:rsidRPr="00C556BB" w:rsidRDefault="00090F55">
      <w:pPr>
        <w:rPr>
          <w:lang w:val="fr-CA"/>
        </w:rPr>
      </w:pPr>
      <w:r w:rsidRPr="00C556BB">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232760" w:rsidRPr="00E85E82" w:rsidTr="000F56AC">
        <w:trPr>
          <w:cantSplit/>
        </w:trPr>
        <w:tc>
          <w:tcPr>
            <w:tcW w:w="9576" w:type="dxa"/>
            <w:gridSpan w:val="3"/>
          </w:tcPr>
          <w:p w:rsidR="00232760" w:rsidRPr="00E85E82" w:rsidRDefault="00232760" w:rsidP="000F56AC">
            <w:pPr>
              <w:pStyle w:val="SCCShortJudgment"/>
              <w:ind w:firstLine="0"/>
              <w:rPr>
                <w:rFonts w:cs="Times New Roman"/>
                <w:szCs w:val="20"/>
                <w:u w:val="single"/>
                <w:lang w:val="fr-CA"/>
              </w:rPr>
            </w:pPr>
            <w:r w:rsidRPr="00E85E82">
              <w:rPr>
                <w:rFonts w:cs="Times New Roman"/>
                <w:szCs w:val="20"/>
                <w:u w:val="single"/>
                <w:lang w:val="fr-CA"/>
              </w:rPr>
              <w:t>CASE SUMMARY</w:t>
            </w:r>
          </w:p>
          <w:p w:rsidR="00232760" w:rsidRPr="00E85E82" w:rsidRDefault="00232760" w:rsidP="000F56AC">
            <w:pPr>
              <w:pStyle w:val="SCCShortJudgment"/>
              <w:ind w:firstLine="0"/>
              <w:rPr>
                <w:rFonts w:cs="Times New Roman"/>
                <w:szCs w:val="20"/>
                <w:u w:val="single"/>
                <w:lang w:val="fr-CA"/>
              </w:rPr>
            </w:pPr>
          </w:p>
        </w:tc>
      </w:tr>
      <w:tr w:rsidR="00232760" w:rsidRPr="00E85E82" w:rsidTr="000F56AC">
        <w:trPr>
          <w:cantSplit/>
        </w:trPr>
        <w:tc>
          <w:tcPr>
            <w:tcW w:w="9576" w:type="dxa"/>
            <w:gridSpan w:val="3"/>
          </w:tcPr>
          <w:p w:rsidR="00232760" w:rsidRPr="00E85E82" w:rsidRDefault="00D5689E" w:rsidP="000F56AC">
            <w:pPr>
              <w:pStyle w:val="SCCShortJudgment"/>
              <w:ind w:firstLine="0"/>
              <w:rPr>
                <w:rFonts w:cs="Times New Roman"/>
                <w:szCs w:val="20"/>
              </w:rPr>
            </w:pPr>
            <w:r w:rsidRPr="00E85E82">
              <w:t xml:space="preserve">Constitutional law – Constitutional proceedings – Appeals and judicial review – Civil procedure – Self represented litigants challenging constitutionality of medical marijuana regulations and seeking interim exemption from criminal law pending trial – Whether the applicants proved sufficient medical need to warrant exemption from marijuana prohibitions pending action for repeal – </w:t>
            </w:r>
            <w:r w:rsidRPr="00E85E82">
              <w:rPr>
                <w:i/>
              </w:rPr>
              <w:t>Controlled Drugs and Substances Act</w:t>
            </w:r>
            <w:r w:rsidRPr="00E85E82">
              <w:t>, S.C. 1996, c. 19.</w:t>
            </w:r>
          </w:p>
        </w:tc>
      </w:tr>
      <w:tr w:rsidR="00232760" w:rsidRPr="00E85E82" w:rsidTr="000F56AC">
        <w:trPr>
          <w:cantSplit/>
        </w:trPr>
        <w:tc>
          <w:tcPr>
            <w:tcW w:w="9576" w:type="dxa"/>
            <w:gridSpan w:val="3"/>
          </w:tcPr>
          <w:p w:rsidR="00232760" w:rsidRPr="00E85E82" w:rsidRDefault="00232760" w:rsidP="000F56AC">
            <w:pPr>
              <w:pStyle w:val="SCCShortJudgment"/>
              <w:ind w:firstLine="0"/>
              <w:rPr>
                <w:rFonts w:cs="Times New Roman"/>
                <w:szCs w:val="20"/>
              </w:rPr>
            </w:pPr>
          </w:p>
        </w:tc>
      </w:tr>
      <w:tr w:rsidR="00232760" w:rsidRPr="00E85E82" w:rsidTr="000F56AC">
        <w:trPr>
          <w:cantSplit/>
        </w:trPr>
        <w:tc>
          <w:tcPr>
            <w:tcW w:w="9576" w:type="dxa"/>
            <w:gridSpan w:val="3"/>
          </w:tcPr>
          <w:p w:rsidR="00232760" w:rsidRPr="00E85E82" w:rsidRDefault="00D5689E" w:rsidP="00D5689E">
            <w:pPr>
              <w:pStyle w:val="SCCShortJudgment"/>
              <w:ind w:firstLine="0"/>
              <w:rPr>
                <w:szCs w:val="20"/>
              </w:rPr>
            </w:pPr>
            <w:r w:rsidRPr="00E85E82">
              <w:rPr>
                <w:szCs w:val="20"/>
              </w:rPr>
              <w:t xml:space="preserve">Since February 2014, approximately 300 self-represented plaintiffs, including the applicant, have filed identical claims seeking declarations that the </w:t>
            </w:r>
            <w:r w:rsidRPr="00E85E82">
              <w:rPr>
                <w:i/>
                <w:szCs w:val="20"/>
              </w:rPr>
              <w:t>Marijuana Medical Access Regulations (“MMAR”)</w:t>
            </w:r>
            <w:r w:rsidRPr="00E85E82">
              <w:rPr>
                <w:szCs w:val="20"/>
              </w:rPr>
              <w:t>, S.O.R./2001-227, which were repealed on March 31, 2014 and the</w:t>
            </w:r>
            <w:r w:rsidRPr="00E85E82">
              <w:rPr>
                <w:i/>
                <w:szCs w:val="20"/>
              </w:rPr>
              <w:t xml:space="preserve"> Marijuana for Medical Purposes Regulations</w:t>
            </w:r>
            <w:r w:rsidRPr="00E85E82">
              <w:rPr>
                <w:szCs w:val="20"/>
              </w:rPr>
              <w:t xml:space="preserve">, S.O.R./2013-119, which succeeded the </w:t>
            </w:r>
            <w:r w:rsidRPr="00E85E82">
              <w:rPr>
                <w:i/>
                <w:szCs w:val="20"/>
              </w:rPr>
              <w:t>MMAR</w:t>
            </w:r>
            <w:r w:rsidRPr="00E85E82">
              <w:rPr>
                <w:szCs w:val="20"/>
              </w:rPr>
              <w:t xml:space="preserve"> are unconstitutional. In the course of their actions, twenty-six plaintiffs, including the applicant, brought motions for interim constitutional exemptions from the </w:t>
            </w:r>
            <w:r w:rsidRPr="00E85E82">
              <w:rPr>
                <w:i/>
                <w:szCs w:val="20"/>
              </w:rPr>
              <w:t>Controlled Drugs and Substances Act</w:t>
            </w:r>
            <w:r w:rsidRPr="00E85E82">
              <w:rPr>
                <w:szCs w:val="20"/>
              </w:rPr>
              <w:t xml:space="preserve"> </w:t>
            </w:r>
            <w:r w:rsidRPr="00E85E82">
              <w:rPr>
                <w:i/>
                <w:szCs w:val="20"/>
              </w:rPr>
              <w:t>(“CDSA”)</w:t>
            </w:r>
            <w:r w:rsidRPr="00E85E82">
              <w:rPr>
                <w:szCs w:val="20"/>
              </w:rPr>
              <w:t xml:space="preserve"> for the personal use of marijuana pending trial of their actions.</w:t>
            </w:r>
          </w:p>
          <w:p w:rsidR="00D5689E" w:rsidRPr="00E85E82" w:rsidRDefault="00D5689E" w:rsidP="00D5689E">
            <w:pPr>
              <w:pStyle w:val="SCCShortJudgment"/>
              <w:ind w:firstLine="0"/>
              <w:rPr>
                <w:rFonts w:cs="Times New Roman"/>
                <w:szCs w:val="20"/>
              </w:rPr>
            </w:pPr>
          </w:p>
        </w:tc>
      </w:tr>
      <w:tr w:rsidR="00232760" w:rsidRPr="00E85E82" w:rsidTr="000F56AC">
        <w:trPr>
          <w:cantSplit/>
        </w:trPr>
        <w:tc>
          <w:tcPr>
            <w:tcW w:w="4410" w:type="dxa"/>
          </w:tcPr>
          <w:p w:rsidR="00D5689E" w:rsidRPr="00E85E82" w:rsidRDefault="00D5689E" w:rsidP="00D5689E">
            <w:pPr>
              <w:rPr>
                <w:sz w:val="20"/>
                <w:szCs w:val="20"/>
              </w:rPr>
            </w:pPr>
            <w:r w:rsidRPr="00E85E82">
              <w:rPr>
                <w:sz w:val="20"/>
                <w:szCs w:val="20"/>
              </w:rPr>
              <w:t>May 7, 2014</w:t>
            </w:r>
          </w:p>
          <w:p w:rsidR="00D5689E" w:rsidRPr="00E85E82" w:rsidRDefault="00D5689E" w:rsidP="00D5689E">
            <w:pPr>
              <w:rPr>
                <w:sz w:val="20"/>
                <w:szCs w:val="20"/>
              </w:rPr>
            </w:pPr>
            <w:r w:rsidRPr="00E85E82">
              <w:rPr>
                <w:sz w:val="20"/>
                <w:szCs w:val="20"/>
              </w:rPr>
              <w:t>Federal Court</w:t>
            </w:r>
          </w:p>
          <w:p w:rsidR="00D5689E" w:rsidRPr="00E85E82" w:rsidRDefault="00D5689E" w:rsidP="00D5689E">
            <w:pPr>
              <w:rPr>
                <w:sz w:val="20"/>
                <w:szCs w:val="20"/>
              </w:rPr>
            </w:pPr>
            <w:r w:rsidRPr="00E85E82">
              <w:rPr>
                <w:sz w:val="20"/>
                <w:szCs w:val="20"/>
              </w:rPr>
              <w:t>(Phelan J.)</w:t>
            </w:r>
          </w:p>
          <w:p w:rsidR="00232760" w:rsidRPr="00E85E82" w:rsidRDefault="00232760" w:rsidP="00D5689E">
            <w:pPr>
              <w:rPr>
                <w:rFonts w:cs="Times New Roman"/>
                <w:sz w:val="20"/>
                <w:szCs w:val="20"/>
              </w:rPr>
            </w:pPr>
          </w:p>
        </w:tc>
        <w:tc>
          <w:tcPr>
            <w:tcW w:w="630" w:type="dxa"/>
          </w:tcPr>
          <w:p w:rsidR="00232760" w:rsidRPr="00E85E82" w:rsidRDefault="00232760" w:rsidP="00D5689E">
            <w:pPr>
              <w:pStyle w:val="SCCShortJudgment"/>
              <w:ind w:firstLine="0"/>
              <w:jc w:val="left"/>
              <w:rPr>
                <w:rFonts w:cs="Times New Roman"/>
                <w:szCs w:val="20"/>
              </w:rPr>
            </w:pPr>
          </w:p>
        </w:tc>
        <w:tc>
          <w:tcPr>
            <w:tcW w:w="4536" w:type="dxa"/>
          </w:tcPr>
          <w:p w:rsidR="00D5689E" w:rsidRPr="00E85E82" w:rsidRDefault="00D5689E" w:rsidP="00D5689E">
            <w:pPr>
              <w:rPr>
                <w:sz w:val="20"/>
                <w:szCs w:val="20"/>
              </w:rPr>
            </w:pPr>
            <w:r w:rsidRPr="00E85E82">
              <w:rPr>
                <w:sz w:val="20"/>
                <w:szCs w:val="20"/>
              </w:rPr>
              <w:t xml:space="preserve">Motion for interim constitutional exemptions from provisions of </w:t>
            </w:r>
            <w:r w:rsidRPr="00E85E82">
              <w:rPr>
                <w:i/>
                <w:sz w:val="20"/>
                <w:szCs w:val="20"/>
              </w:rPr>
              <w:t>Controlled Drugs and Substances Act</w:t>
            </w:r>
            <w:r w:rsidRPr="00E85E82">
              <w:rPr>
                <w:sz w:val="20"/>
                <w:szCs w:val="20"/>
              </w:rPr>
              <w:t xml:space="preserve"> dismissed</w:t>
            </w:r>
          </w:p>
          <w:p w:rsidR="00232760" w:rsidRPr="00E85E82" w:rsidRDefault="00232760" w:rsidP="00D5689E">
            <w:pPr>
              <w:rPr>
                <w:rFonts w:cs="Times New Roman"/>
                <w:sz w:val="20"/>
                <w:szCs w:val="20"/>
              </w:rPr>
            </w:pPr>
          </w:p>
        </w:tc>
      </w:tr>
      <w:tr w:rsidR="00232760" w:rsidRPr="00E85E82" w:rsidTr="000F56AC">
        <w:trPr>
          <w:cantSplit/>
        </w:trPr>
        <w:tc>
          <w:tcPr>
            <w:tcW w:w="4410" w:type="dxa"/>
          </w:tcPr>
          <w:p w:rsidR="00D5689E" w:rsidRPr="00E85E82" w:rsidRDefault="00D5689E" w:rsidP="00D5689E">
            <w:pPr>
              <w:rPr>
                <w:sz w:val="20"/>
                <w:szCs w:val="20"/>
              </w:rPr>
            </w:pPr>
            <w:r w:rsidRPr="00E85E82">
              <w:rPr>
                <w:sz w:val="20"/>
                <w:szCs w:val="20"/>
              </w:rPr>
              <w:t>January 13, 2016</w:t>
            </w:r>
          </w:p>
          <w:p w:rsidR="00D5689E" w:rsidRPr="00E85E82" w:rsidRDefault="00D5689E" w:rsidP="00D5689E">
            <w:pPr>
              <w:rPr>
                <w:sz w:val="20"/>
                <w:szCs w:val="20"/>
              </w:rPr>
            </w:pPr>
            <w:r w:rsidRPr="00E85E82">
              <w:rPr>
                <w:sz w:val="20"/>
                <w:szCs w:val="20"/>
              </w:rPr>
              <w:t>Federal Court of Appeal</w:t>
            </w:r>
          </w:p>
          <w:p w:rsidR="00D5689E" w:rsidRPr="00E85E82" w:rsidRDefault="00D5689E" w:rsidP="00D5689E">
            <w:pPr>
              <w:rPr>
                <w:sz w:val="20"/>
                <w:szCs w:val="20"/>
              </w:rPr>
            </w:pPr>
            <w:r w:rsidRPr="00E85E82">
              <w:rPr>
                <w:sz w:val="20"/>
                <w:szCs w:val="20"/>
              </w:rPr>
              <w:t xml:space="preserve">(Pelletier, </w:t>
            </w:r>
            <w:proofErr w:type="spellStart"/>
            <w:r w:rsidRPr="00E85E82">
              <w:rPr>
                <w:sz w:val="20"/>
                <w:szCs w:val="20"/>
              </w:rPr>
              <w:t>Stratas</w:t>
            </w:r>
            <w:proofErr w:type="spellEnd"/>
            <w:r w:rsidRPr="00E85E82">
              <w:rPr>
                <w:sz w:val="20"/>
                <w:szCs w:val="20"/>
              </w:rPr>
              <w:t xml:space="preserve"> and Gleason JJ.A.)</w:t>
            </w:r>
          </w:p>
          <w:p w:rsidR="00D5689E" w:rsidRPr="00E85E82" w:rsidRDefault="00B407D6" w:rsidP="00D5689E">
            <w:pPr>
              <w:rPr>
                <w:rFonts w:eastAsia="Times New Roman" w:cs="Times New Roman"/>
                <w:sz w:val="20"/>
                <w:szCs w:val="20"/>
                <w:lang w:eastAsia="en-CA"/>
              </w:rPr>
            </w:pPr>
            <w:hyperlink r:id="rId68" w:history="1">
              <w:r w:rsidR="00D5689E" w:rsidRPr="00E85E82">
                <w:rPr>
                  <w:rFonts w:eastAsia="Times New Roman" w:cs="Times New Roman"/>
                  <w:color w:val="0000FF" w:themeColor="hyperlink"/>
                  <w:sz w:val="20"/>
                  <w:szCs w:val="20"/>
                  <w:u w:val="single"/>
                  <w:lang w:eastAsia="en-CA"/>
                </w:rPr>
                <w:t>2016 FCA 9</w:t>
              </w:r>
            </w:hyperlink>
          </w:p>
          <w:p w:rsidR="00232760" w:rsidRPr="00E85E82" w:rsidRDefault="00232760" w:rsidP="00D5689E">
            <w:pPr>
              <w:rPr>
                <w:rFonts w:cs="Times New Roman"/>
                <w:sz w:val="20"/>
                <w:szCs w:val="20"/>
              </w:rPr>
            </w:pPr>
          </w:p>
        </w:tc>
        <w:tc>
          <w:tcPr>
            <w:tcW w:w="630" w:type="dxa"/>
          </w:tcPr>
          <w:p w:rsidR="00232760" w:rsidRPr="00E85E82" w:rsidRDefault="00232760" w:rsidP="00D5689E">
            <w:pPr>
              <w:pStyle w:val="SCCShortJudgment"/>
              <w:ind w:firstLine="0"/>
              <w:jc w:val="left"/>
              <w:rPr>
                <w:rFonts w:cs="Times New Roman"/>
                <w:szCs w:val="20"/>
              </w:rPr>
            </w:pPr>
          </w:p>
        </w:tc>
        <w:tc>
          <w:tcPr>
            <w:tcW w:w="4536" w:type="dxa"/>
          </w:tcPr>
          <w:p w:rsidR="00D5689E" w:rsidRPr="00E85E82" w:rsidRDefault="00D5689E" w:rsidP="00D5689E">
            <w:pPr>
              <w:rPr>
                <w:sz w:val="20"/>
                <w:szCs w:val="20"/>
              </w:rPr>
            </w:pPr>
            <w:r w:rsidRPr="00E85E82">
              <w:rPr>
                <w:sz w:val="20"/>
                <w:szCs w:val="20"/>
              </w:rPr>
              <w:t>Appeal dismissed</w:t>
            </w:r>
          </w:p>
          <w:p w:rsidR="00232760" w:rsidRPr="00E85E82" w:rsidRDefault="00232760" w:rsidP="00D5689E">
            <w:pPr>
              <w:rPr>
                <w:rFonts w:cs="Times New Roman"/>
                <w:sz w:val="20"/>
                <w:szCs w:val="20"/>
              </w:rPr>
            </w:pPr>
          </w:p>
        </w:tc>
      </w:tr>
      <w:tr w:rsidR="00232760" w:rsidRPr="00E85E82" w:rsidTr="000F56AC">
        <w:trPr>
          <w:cantSplit/>
        </w:trPr>
        <w:tc>
          <w:tcPr>
            <w:tcW w:w="4410" w:type="dxa"/>
          </w:tcPr>
          <w:p w:rsidR="00D5689E" w:rsidRPr="00E85E82" w:rsidRDefault="00D5689E" w:rsidP="00D5689E">
            <w:pPr>
              <w:rPr>
                <w:sz w:val="20"/>
                <w:szCs w:val="20"/>
              </w:rPr>
            </w:pPr>
            <w:r w:rsidRPr="00E85E82">
              <w:rPr>
                <w:sz w:val="20"/>
                <w:szCs w:val="20"/>
              </w:rPr>
              <w:t>April 14, 2016</w:t>
            </w:r>
          </w:p>
          <w:p w:rsidR="00232760" w:rsidRPr="00E85E82" w:rsidRDefault="00D5689E" w:rsidP="00D5689E">
            <w:pPr>
              <w:rPr>
                <w:rFonts w:cs="Times New Roman"/>
                <w:sz w:val="20"/>
                <w:szCs w:val="20"/>
              </w:rPr>
            </w:pPr>
            <w:r w:rsidRPr="00E85E82">
              <w:rPr>
                <w:sz w:val="20"/>
                <w:szCs w:val="20"/>
              </w:rPr>
              <w:t>Supreme Court of Canada</w:t>
            </w:r>
          </w:p>
        </w:tc>
        <w:tc>
          <w:tcPr>
            <w:tcW w:w="630" w:type="dxa"/>
          </w:tcPr>
          <w:p w:rsidR="00232760" w:rsidRPr="00E85E82" w:rsidRDefault="00232760" w:rsidP="00D5689E">
            <w:pPr>
              <w:pStyle w:val="SCCShortJudgment"/>
              <w:ind w:firstLine="0"/>
              <w:jc w:val="left"/>
              <w:rPr>
                <w:rFonts w:cs="Times New Roman"/>
                <w:szCs w:val="20"/>
              </w:rPr>
            </w:pPr>
          </w:p>
        </w:tc>
        <w:tc>
          <w:tcPr>
            <w:tcW w:w="4536" w:type="dxa"/>
          </w:tcPr>
          <w:p w:rsidR="00232760" w:rsidRPr="00E85E82" w:rsidRDefault="00D5689E" w:rsidP="00D5689E">
            <w:pPr>
              <w:rPr>
                <w:sz w:val="20"/>
                <w:szCs w:val="20"/>
              </w:rPr>
            </w:pPr>
            <w:r w:rsidRPr="00E85E82">
              <w:rPr>
                <w:sz w:val="20"/>
                <w:szCs w:val="20"/>
              </w:rPr>
              <w:t>Motion to extend time to serve and file application for leave to appeal and application for leave to appeal filed</w:t>
            </w:r>
          </w:p>
          <w:p w:rsidR="00D5689E" w:rsidRPr="00E85E82" w:rsidRDefault="00D5689E" w:rsidP="00D5689E">
            <w:pPr>
              <w:rPr>
                <w:rFonts w:cs="Times New Roman"/>
                <w:sz w:val="20"/>
                <w:szCs w:val="20"/>
              </w:rPr>
            </w:pPr>
          </w:p>
        </w:tc>
      </w:tr>
      <w:tr w:rsidR="00232760" w:rsidRPr="00E85E82" w:rsidTr="000F56AC">
        <w:trPr>
          <w:cantSplit/>
        </w:trPr>
        <w:tc>
          <w:tcPr>
            <w:tcW w:w="9576" w:type="dxa"/>
            <w:gridSpan w:val="3"/>
          </w:tcPr>
          <w:p w:rsidR="00232760" w:rsidRPr="00E85E82" w:rsidRDefault="00B407D6" w:rsidP="000F56AC">
            <w:pPr>
              <w:pStyle w:val="SCCShortJudgment"/>
              <w:ind w:firstLine="0"/>
              <w:rPr>
                <w:rFonts w:cs="Times New Roman"/>
                <w:szCs w:val="20"/>
                <w:lang w:val="fr-CA"/>
              </w:rPr>
            </w:pPr>
            <w:r>
              <w:rPr>
                <w:rFonts w:cs="Times New Roman"/>
                <w:szCs w:val="20"/>
                <w:lang w:val="fr-CA"/>
              </w:rPr>
              <w:pict>
                <v:rect id="_x0000_i1079" style="width:2in;height:1pt" o:hrpct="0" o:hralign="center" o:hrstd="t" o:hrnoshade="t" o:hr="t" fillcolor="black [3213]" stroked="f"/>
              </w:pict>
            </w:r>
          </w:p>
          <w:p w:rsidR="00232760" w:rsidRPr="00E85E82" w:rsidRDefault="00232760" w:rsidP="000F56AC">
            <w:pPr>
              <w:pStyle w:val="SCCShortJudgment"/>
              <w:ind w:firstLine="0"/>
              <w:rPr>
                <w:rFonts w:cs="Times New Roman"/>
                <w:szCs w:val="20"/>
                <w:lang w:val="fr-CA"/>
              </w:rPr>
            </w:pPr>
          </w:p>
        </w:tc>
      </w:tr>
      <w:tr w:rsidR="00232760" w:rsidRPr="00E85E82" w:rsidTr="000F56AC">
        <w:trPr>
          <w:cantSplit/>
        </w:trPr>
        <w:tc>
          <w:tcPr>
            <w:tcW w:w="9576" w:type="dxa"/>
            <w:gridSpan w:val="3"/>
          </w:tcPr>
          <w:p w:rsidR="00232760" w:rsidRPr="00E85E82" w:rsidRDefault="00232760" w:rsidP="000F56AC">
            <w:pPr>
              <w:pStyle w:val="SCCShortJudgment"/>
              <w:ind w:firstLine="0"/>
              <w:rPr>
                <w:rFonts w:cs="Times New Roman"/>
                <w:szCs w:val="20"/>
                <w:u w:val="single"/>
                <w:lang w:val="fr-CA"/>
              </w:rPr>
            </w:pPr>
            <w:r w:rsidRPr="00E85E82">
              <w:rPr>
                <w:rFonts w:cs="Times New Roman"/>
                <w:szCs w:val="20"/>
                <w:u w:val="single"/>
                <w:lang w:val="fr-CA"/>
              </w:rPr>
              <w:t>RÉSUMÉ DE L’AFFAIRE </w:t>
            </w:r>
          </w:p>
          <w:p w:rsidR="00232760" w:rsidRPr="00E85E82" w:rsidRDefault="00232760" w:rsidP="000F56AC">
            <w:pPr>
              <w:pStyle w:val="SCCShortJudgment"/>
              <w:ind w:firstLine="0"/>
              <w:rPr>
                <w:rFonts w:cs="Times New Roman"/>
                <w:szCs w:val="20"/>
                <w:u w:val="single"/>
                <w:lang w:val="fr-CA"/>
              </w:rPr>
            </w:pPr>
          </w:p>
        </w:tc>
      </w:tr>
      <w:tr w:rsidR="00232760" w:rsidRPr="00B407D6" w:rsidTr="000F56AC">
        <w:trPr>
          <w:cantSplit/>
        </w:trPr>
        <w:tc>
          <w:tcPr>
            <w:tcW w:w="9576" w:type="dxa"/>
            <w:gridSpan w:val="3"/>
          </w:tcPr>
          <w:p w:rsidR="00232760" w:rsidRPr="00E85E82" w:rsidRDefault="00E5517E" w:rsidP="000F56AC">
            <w:pPr>
              <w:pStyle w:val="SCCShortJudgment"/>
              <w:ind w:firstLine="0"/>
              <w:rPr>
                <w:rFonts w:cs="Times New Roman"/>
                <w:szCs w:val="20"/>
                <w:u w:val="single"/>
                <w:lang w:val="fr-CA"/>
              </w:rPr>
            </w:pPr>
            <w:r w:rsidRPr="00E85E82">
              <w:rPr>
                <w:lang w:val="fr-CA"/>
              </w:rPr>
              <w:t xml:space="preserve">Droit constitutionnel – Instance en matière constitutionnelle – Appels et contrôle judiciaire – Procédure civile – Des plaideurs non représentés contestent la constitutionnalité de règlements sur la marihuana thérapeutique et demandent que l’application du droit criminel soit temporairement écartée en attendant le procès – Les demandeurs ont-ils prouvé un besoin suffisant à des fins médicales pour justifier l’exemption des interdictions relatives à la marihuana en attendant qu’il soit statué sur l’action visant l’abrogation? – </w:t>
            </w:r>
            <w:r w:rsidRPr="00E85E82">
              <w:rPr>
                <w:i/>
                <w:lang w:val="fr-CA"/>
              </w:rPr>
              <w:t>Loi réglementant certaines drogues et autres substances</w:t>
            </w:r>
            <w:r w:rsidRPr="00E85E82">
              <w:rPr>
                <w:lang w:val="fr-CA"/>
              </w:rPr>
              <w:t>, L.C., 1996, ch. 19.</w:t>
            </w:r>
          </w:p>
        </w:tc>
      </w:tr>
      <w:tr w:rsidR="00232760" w:rsidRPr="00B407D6" w:rsidTr="000F56AC">
        <w:trPr>
          <w:cantSplit/>
        </w:trPr>
        <w:tc>
          <w:tcPr>
            <w:tcW w:w="9576" w:type="dxa"/>
            <w:gridSpan w:val="3"/>
          </w:tcPr>
          <w:p w:rsidR="00232760" w:rsidRPr="00E85E82" w:rsidRDefault="00232760" w:rsidP="000F56AC">
            <w:pPr>
              <w:jc w:val="both"/>
              <w:rPr>
                <w:rFonts w:cs="Times New Roman"/>
                <w:sz w:val="20"/>
                <w:szCs w:val="20"/>
                <w:u w:val="single"/>
                <w:lang w:val="fr-CA"/>
              </w:rPr>
            </w:pPr>
          </w:p>
        </w:tc>
      </w:tr>
      <w:tr w:rsidR="00232760" w:rsidRPr="00B407D6" w:rsidTr="000F56AC">
        <w:trPr>
          <w:cantSplit/>
        </w:trPr>
        <w:tc>
          <w:tcPr>
            <w:tcW w:w="9576" w:type="dxa"/>
            <w:gridSpan w:val="3"/>
          </w:tcPr>
          <w:p w:rsidR="00232760" w:rsidRPr="00E85E82" w:rsidRDefault="00E5517E" w:rsidP="000F56AC">
            <w:pPr>
              <w:pStyle w:val="SCCShortJudgment"/>
              <w:ind w:firstLine="0"/>
              <w:rPr>
                <w:lang w:val="fr-CA"/>
              </w:rPr>
            </w:pPr>
            <w:r w:rsidRPr="00E85E82">
              <w:rPr>
                <w:lang w:val="fr-CA"/>
              </w:rPr>
              <w:t xml:space="preserve">Depuis février 2014, environ 300 plaideurs non représentés, y compris la demanderesse, ont déposé des demandes identiques sollicitant des jugements qui déclarent inconstitutionnels le </w:t>
            </w:r>
            <w:r w:rsidRPr="00E85E82">
              <w:rPr>
                <w:i/>
                <w:lang w:val="fr-CA"/>
              </w:rPr>
              <w:t>Règlement sur l’accès à la marihuana à des fins médicales (« RAMFM »)</w:t>
            </w:r>
            <w:r w:rsidRPr="00E85E82">
              <w:rPr>
                <w:lang w:val="fr-CA"/>
              </w:rPr>
              <w:t xml:space="preserve">, D.O.R.S./2001-227, abrogé le 31 mars 2014 et le </w:t>
            </w:r>
            <w:r w:rsidRPr="00E85E82">
              <w:rPr>
                <w:i/>
                <w:lang w:val="fr-CA"/>
              </w:rPr>
              <w:t>Règlement sur la marihuana à des fins médicales</w:t>
            </w:r>
            <w:r w:rsidRPr="00E85E82">
              <w:rPr>
                <w:lang w:val="fr-CA"/>
              </w:rPr>
              <w:t xml:space="preserve">, D.O.R.S./2013-119, qui a remplacé le </w:t>
            </w:r>
            <w:r w:rsidRPr="00E85E82">
              <w:rPr>
                <w:i/>
                <w:lang w:val="fr-CA"/>
              </w:rPr>
              <w:t>RAMFM</w:t>
            </w:r>
            <w:r w:rsidRPr="00E85E82">
              <w:rPr>
                <w:lang w:val="fr-CA"/>
              </w:rPr>
              <w:t xml:space="preserve">. Dans le cadre de leurs actions, vingt-six demandeurs en première instance, y compris la demanderesse en l’espèce, ont présenté des requêtes en exemption constitutionnelle visant à écarter temporairement l’application de la </w:t>
            </w:r>
            <w:r w:rsidRPr="00E85E82">
              <w:rPr>
                <w:i/>
                <w:lang w:val="fr-CA"/>
              </w:rPr>
              <w:t>Loi réglementant certaines drogues et autres substances («</w:t>
            </w:r>
            <w:r w:rsidRPr="00E85E82">
              <w:rPr>
                <w:lang w:val="fr-CA"/>
              </w:rPr>
              <w:t> </w:t>
            </w:r>
            <w:r w:rsidRPr="00E85E82">
              <w:rPr>
                <w:i/>
                <w:lang w:val="fr-CA"/>
              </w:rPr>
              <w:t>LRCDAS »)</w:t>
            </w:r>
            <w:r w:rsidRPr="00E85E82">
              <w:rPr>
                <w:lang w:val="fr-CA"/>
              </w:rPr>
              <w:t xml:space="preserve"> pour l’utilisation personnelle de la marihuana en attendant que leurs actions soient instruites.</w:t>
            </w:r>
          </w:p>
          <w:p w:rsidR="00E5517E" w:rsidRPr="00E85E82" w:rsidRDefault="00E5517E" w:rsidP="000F56AC">
            <w:pPr>
              <w:pStyle w:val="SCCShortJudgment"/>
              <w:ind w:firstLine="0"/>
              <w:rPr>
                <w:rFonts w:cs="Times New Roman"/>
                <w:szCs w:val="20"/>
                <w:u w:val="single"/>
                <w:lang w:val="fr-CA"/>
              </w:rPr>
            </w:pPr>
          </w:p>
        </w:tc>
      </w:tr>
      <w:tr w:rsidR="00232760" w:rsidRPr="00B407D6" w:rsidTr="000F56AC">
        <w:trPr>
          <w:cantSplit/>
        </w:trPr>
        <w:tc>
          <w:tcPr>
            <w:tcW w:w="4410" w:type="dxa"/>
          </w:tcPr>
          <w:p w:rsidR="00E5517E" w:rsidRPr="00E85E82" w:rsidRDefault="00E5517E" w:rsidP="00E5517E">
            <w:pPr>
              <w:rPr>
                <w:sz w:val="20"/>
                <w:szCs w:val="20"/>
                <w:lang w:val="fr-CA"/>
              </w:rPr>
            </w:pPr>
            <w:r w:rsidRPr="00E85E82">
              <w:rPr>
                <w:sz w:val="20"/>
                <w:szCs w:val="20"/>
                <w:lang w:val="fr-CA"/>
              </w:rPr>
              <w:t>7 mai 2014</w:t>
            </w:r>
          </w:p>
          <w:p w:rsidR="00E5517E" w:rsidRPr="00E85E82" w:rsidRDefault="00E5517E" w:rsidP="00E5517E">
            <w:pPr>
              <w:rPr>
                <w:sz w:val="20"/>
                <w:szCs w:val="20"/>
                <w:lang w:val="fr-CA"/>
              </w:rPr>
            </w:pPr>
            <w:r w:rsidRPr="00E85E82">
              <w:rPr>
                <w:sz w:val="20"/>
                <w:szCs w:val="20"/>
                <w:lang w:val="fr-CA"/>
              </w:rPr>
              <w:t xml:space="preserve">Cour fédérale </w:t>
            </w:r>
          </w:p>
          <w:p w:rsidR="00232760" w:rsidRPr="00E85E82" w:rsidRDefault="00E5517E" w:rsidP="00E5517E">
            <w:pPr>
              <w:pStyle w:val="SCCShortJudgment"/>
              <w:ind w:firstLine="0"/>
              <w:jc w:val="left"/>
              <w:rPr>
                <w:rFonts w:cs="Times New Roman"/>
                <w:szCs w:val="20"/>
                <w:u w:val="single"/>
                <w:lang w:val="fr-CA"/>
              </w:rPr>
            </w:pPr>
            <w:r w:rsidRPr="00E85E82">
              <w:rPr>
                <w:szCs w:val="20"/>
                <w:lang w:val="fr-CA"/>
              </w:rPr>
              <w:t>(Juge Phelan)</w:t>
            </w:r>
          </w:p>
        </w:tc>
        <w:tc>
          <w:tcPr>
            <w:tcW w:w="630" w:type="dxa"/>
          </w:tcPr>
          <w:p w:rsidR="00232760" w:rsidRPr="00E85E82" w:rsidRDefault="00232760" w:rsidP="00E5517E">
            <w:pPr>
              <w:pStyle w:val="SCCShortJudgment"/>
              <w:ind w:firstLine="0"/>
              <w:jc w:val="left"/>
              <w:rPr>
                <w:rFonts w:cs="Times New Roman"/>
                <w:szCs w:val="20"/>
                <w:u w:val="single"/>
                <w:lang w:val="fr-CA"/>
              </w:rPr>
            </w:pPr>
          </w:p>
        </w:tc>
        <w:tc>
          <w:tcPr>
            <w:tcW w:w="4536" w:type="dxa"/>
          </w:tcPr>
          <w:p w:rsidR="00E5517E" w:rsidRPr="00E85E82" w:rsidRDefault="00E5517E" w:rsidP="00C556BB">
            <w:pPr>
              <w:jc w:val="both"/>
              <w:rPr>
                <w:sz w:val="20"/>
                <w:szCs w:val="20"/>
                <w:lang w:val="fr-CA"/>
              </w:rPr>
            </w:pPr>
            <w:r w:rsidRPr="00E85E82">
              <w:rPr>
                <w:sz w:val="20"/>
                <w:szCs w:val="20"/>
                <w:lang w:val="fr-CA"/>
              </w:rPr>
              <w:t xml:space="preserve">Rejet de la requête en exemption constitutionnelle visant à écarter temporairement l’application de la </w:t>
            </w:r>
            <w:r w:rsidRPr="00E85E82">
              <w:rPr>
                <w:i/>
                <w:sz w:val="20"/>
                <w:szCs w:val="20"/>
                <w:lang w:val="fr-CA"/>
              </w:rPr>
              <w:t>Loi réglementant certaines drogues et autres substances</w:t>
            </w:r>
          </w:p>
          <w:p w:rsidR="00232760" w:rsidRPr="00E85E82" w:rsidRDefault="00232760" w:rsidP="00E5517E">
            <w:pPr>
              <w:pStyle w:val="SCCShortJudgment"/>
              <w:ind w:firstLine="0"/>
              <w:jc w:val="left"/>
              <w:rPr>
                <w:rFonts w:cs="Times New Roman"/>
                <w:szCs w:val="20"/>
                <w:u w:val="single"/>
                <w:lang w:val="fr-CA"/>
              </w:rPr>
            </w:pPr>
          </w:p>
        </w:tc>
      </w:tr>
      <w:tr w:rsidR="00232760" w:rsidRPr="00E85E82" w:rsidTr="000F56AC">
        <w:trPr>
          <w:cantSplit/>
        </w:trPr>
        <w:tc>
          <w:tcPr>
            <w:tcW w:w="4410" w:type="dxa"/>
          </w:tcPr>
          <w:p w:rsidR="00E5517E" w:rsidRPr="00E85E82" w:rsidRDefault="00E5517E" w:rsidP="00E5517E">
            <w:pPr>
              <w:rPr>
                <w:sz w:val="20"/>
                <w:szCs w:val="20"/>
                <w:lang w:val="fr-CA"/>
              </w:rPr>
            </w:pPr>
            <w:r w:rsidRPr="00E85E82">
              <w:rPr>
                <w:sz w:val="20"/>
                <w:szCs w:val="20"/>
                <w:lang w:val="fr-CA"/>
              </w:rPr>
              <w:t>13 janvier 2016</w:t>
            </w:r>
          </w:p>
          <w:p w:rsidR="00E5517E" w:rsidRPr="00E85E82" w:rsidRDefault="00E5517E" w:rsidP="00E5517E">
            <w:pPr>
              <w:rPr>
                <w:sz w:val="20"/>
                <w:szCs w:val="20"/>
                <w:lang w:val="fr-CA"/>
              </w:rPr>
            </w:pPr>
            <w:r w:rsidRPr="00E85E82">
              <w:rPr>
                <w:sz w:val="20"/>
                <w:szCs w:val="20"/>
                <w:lang w:val="fr-CA"/>
              </w:rPr>
              <w:t xml:space="preserve">Cour d’appel fédérale </w:t>
            </w:r>
          </w:p>
          <w:p w:rsidR="00E5517E" w:rsidRPr="00E85E82" w:rsidRDefault="00E5517E" w:rsidP="00E5517E">
            <w:pPr>
              <w:rPr>
                <w:rFonts w:eastAsia="Times New Roman" w:cs="Times New Roman"/>
                <w:sz w:val="20"/>
                <w:szCs w:val="20"/>
                <w:lang w:val="fr-CA" w:eastAsia="en-CA"/>
              </w:rPr>
            </w:pPr>
            <w:r w:rsidRPr="00E85E82">
              <w:rPr>
                <w:rFonts w:eastAsia="Times New Roman" w:cs="Times New Roman"/>
                <w:sz w:val="20"/>
                <w:szCs w:val="20"/>
                <w:lang w:val="fr-CA" w:eastAsia="en-CA"/>
              </w:rPr>
              <w:t xml:space="preserve">(Juges Pelletier, </w:t>
            </w:r>
            <w:proofErr w:type="spellStart"/>
            <w:r w:rsidRPr="00E85E82">
              <w:rPr>
                <w:rFonts w:eastAsia="Times New Roman" w:cs="Times New Roman"/>
                <w:sz w:val="20"/>
                <w:szCs w:val="20"/>
                <w:lang w:val="fr-CA" w:eastAsia="en-CA"/>
              </w:rPr>
              <w:t>Stratas</w:t>
            </w:r>
            <w:proofErr w:type="spellEnd"/>
            <w:r w:rsidRPr="00E85E82">
              <w:rPr>
                <w:rFonts w:eastAsia="Times New Roman" w:cs="Times New Roman"/>
                <w:sz w:val="20"/>
                <w:szCs w:val="20"/>
                <w:lang w:val="fr-CA" w:eastAsia="en-CA"/>
              </w:rPr>
              <w:t xml:space="preserve"> et </w:t>
            </w:r>
            <w:proofErr w:type="spellStart"/>
            <w:r w:rsidRPr="00E85E82">
              <w:rPr>
                <w:rFonts w:eastAsia="Times New Roman" w:cs="Times New Roman"/>
                <w:sz w:val="20"/>
                <w:szCs w:val="20"/>
                <w:lang w:val="fr-CA" w:eastAsia="en-CA"/>
              </w:rPr>
              <w:t>Gleason</w:t>
            </w:r>
            <w:proofErr w:type="spellEnd"/>
            <w:r w:rsidRPr="00E85E82">
              <w:rPr>
                <w:rFonts w:eastAsia="Times New Roman" w:cs="Times New Roman"/>
                <w:sz w:val="20"/>
                <w:szCs w:val="20"/>
                <w:lang w:val="fr-CA" w:eastAsia="en-CA"/>
              </w:rPr>
              <w:t>)</w:t>
            </w:r>
          </w:p>
          <w:p w:rsidR="00E5517E" w:rsidRPr="00E85E82" w:rsidRDefault="00B407D6" w:rsidP="00E5517E">
            <w:pPr>
              <w:rPr>
                <w:rFonts w:eastAsia="Times New Roman" w:cs="Times New Roman"/>
                <w:sz w:val="20"/>
                <w:szCs w:val="20"/>
                <w:lang w:val="fr-CA" w:eastAsia="en-CA"/>
              </w:rPr>
            </w:pPr>
            <w:hyperlink r:id="rId69" w:history="1">
              <w:r w:rsidR="00E5517E" w:rsidRPr="00E85E82">
                <w:rPr>
                  <w:rStyle w:val="Hyperlink"/>
                  <w:rFonts w:eastAsia="Times New Roman" w:cs="Times New Roman"/>
                  <w:sz w:val="20"/>
                  <w:szCs w:val="20"/>
                  <w:lang w:val="fr-CA" w:eastAsia="en-CA"/>
                </w:rPr>
                <w:t>2016 FCA 9</w:t>
              </w:r>
            </w:hyperlink>
          </w:p>
          <w:p w:rsidR="00232760" w:rsidRPr="00E85E82" w:rsidRDefault="00232760" w:rsidP="00E5517E">
            <w:pPr>
              <w:pStyle w:val="SCCShortJudgment"/>
              <w:ind w:firstLine="0"/>
              <w:jc w:val="left"/>
              <w:rPr>
                <w:rFonts w:cs="Times New Roman"/>
                <w:szCs w:val="20"/>
                <w:u w:val="single"/>
                <w:lang w:val="fr-CA"/>
              </w:rPr>
            </w:pPr>
          </w:p>
        </w:tc>
        <w:tc>
          <w:tcPr>
            <w:tcW w:w="630" w:type="dxa"/>
          </w:tcPr>
          <w:p w:rsidR="00232760" w:rsidRPr="00E85E82" w:rsidRDefault="00232760" w:rsidP="00E5517E">
            <w:pPr>
              <w:pStyle w:val="SCCShortJudgment"/>
              <w:ind w:firstLine="0"/>
              <w:jc w:val="left"/>
              <w:rPr>
                <w:rFonts w:cs="Times New Roman"/>
                <w:szCs w:val="20"/>
                <w:u w:val="single"/>
                <w:lang w:val="fr-CA"/>
              </w:rPr>
            </w:pPr>
          </w:p>
        </w:tc>
        <w:tc>
          <w:tcPr>
            <w:tcW w:w="4536" w:type="dxa"/>
          </w:tcPr>
          <w:p w:rsidR="00E5517E" w:rsidRPr="00E85E82" w:rsidRDefault="00E5517E" w:rsidP="00E5517E">
            <w:pPr>
              <w:rPr>
                <w:sz w:val="20"/>
                <w:szCs w:val="20"/>
                <w:lang w:val="fr-CA"/>
              </w:rPr>
            </w:pPr>
            <w:r w:rsidRPr="00E85E82">
              <w:rPr>
                <w:sz w:val="20"/>
                <w:szCs w:val="20"/>
                <w:lang w:val="fr-CA"/>
              </w:rPr>
              <w:t>Rejet de l’appel</w:t>
            </w:r>
          </w:p>
          <w:p w:rsidR="00232760" w:rsidRPr="00E85E82" w:rsidRDefault="00232760" w:rsidP="00E5517E">
            <w:pPr>
              <w:pStyle w:val="SCCShortJudgment"/>
              <w:ind w:firstLine="0"/>
              <w:jc w:val="left"/>
              <w:rPr>
                <w:rFonts w:cs="Times New Roman"/>
                <w:szCs w:val="20"/>
                <w:u w:val="single"/>
                <w:lang w:val="fr-CA"/>
              </w:rPr>
            </w:pPr>
          </w:p>
        </w:tc>
      </w:tr>
      <w:tr w:rsidR="00232760" w:rsidRPr="00B407D6" w:rsidTr="000F56AC">
        <w:trPr>
          <w:cantSplit/>
        </w:trPr>
        <w:tc>
          <w:tcPr>
            <w:tcW w:w="4410" w:type="dxa"/>
          </w:tcPr>
          <w:p w:rsidR="00E5517E" w:rsidRPr="00E85E82" w:rsidRDefault="00E5517E" w:rsidP="00E5517E">
            <w:pPr>
              <w:rPr>
                <w:sz w:val="20"/>
                <w:szCs w:val="20"/>
                <w:lang w:val="fr-CA"/>
              </w:rPr>
            </w:pPr>
            <w:r w:rsidRPr="00E85E82">
              <w:rPr>
                <w:sz w:val="20"/>
                <w:szCs w:val="20"/>
                <w:lang w:val="fr-CA"/>
              </w:rPr>
              <w:t>14 avril 2016</w:t>
            </w:r>
          </w:p>
          <w:p w:rsidR="00E5517E" w:rsidRPr="00E85E82" w:rsidRDefault="00E5517E" w:rsidP="00E5517E">
            <w:pPr>
              <w:rPr>
                <w:sz w:val="20"/>
                <w:szCs w:val="20"/>
                <w:lang w:val="fr-CA"/>
              </w:rPr>
            </w:pPr>
            <w:r w:rsidRPr="00E85E82">
              <w:rPr>
                <w:sz w:val="20"/>
                <w:szCs w:val="20"/>
                <w:lang w:val="fr-CA"/>
              </w:rPr>
              <w:t>Cour suprême du Canada</w:t>
            </w:r>
          </w:p>
          <w:p w:rsidR="00232760" w:rsidRPr="00E85E82" w:rsidRDefault="00232760" w:rsidP="00E5517E">
            <w:pPr>
              <w:pStyle w:val="SCCShortJudgment"/>
              <w:ind w:firstLine="0"/>
              <w:jc w:val="left"/>
              <w:rPr>
                <w:rFonts w:cs="Times New Roman"/>
                <w:szCs w:val="20"/>
                <w:u w:val="single"/>
                <w:lang w:val="fr-CA"/>
              </w:rPr>
            </w:pPr>
          </w:p>
        </w:tc>
        <w:tc>
          <w:tcPr>
            <w:tcW w:w="630" w:type="dxa"/>
          </w:tcPr>
          <w:p w:rsidR="00232760" w:rsidRPr="00E85E82" w:rsidRDefault="00232760" w:rsidP="00E5517E">
            <w:pPr>
              <w:pStyle w:val="SCCShortJudgment"/>
              <w:ind w:firstLine="0"/>
              <w:jc w:val="left"/>
              <w:rPr>
                <w:rFonts w:cs="Times New Roman"/>
                <w:szCs w:val="20"/>
                <w:u w:val="single"/>
                <w:lang w:val="fr-CA"/>
              </w:rPr>
            </w:pPr>
          </w:p>
        </w:tc>
        <w:tc>
          <w:tcPr>
            <w:tcW w:w="4536" w:type="dxa"/>
          </w:tcPr>
          <w:p w:rsidR="00E5517E" w:rsidRPr="00E85E82" w:rsidRDefault="00E5517E" w:rsidP="00C556BB">
            <w:pPr>
              <w:spacing w:line="276" w:lineRule="auto"/>
              <w:jc w:val="both"/>
              <w:rPr>
                <w:sz w:val="20"/>
                <w:szCs w:val="20"/>
                <w:lang w:val="fr-CA"/>
              </w:rPr>
            </w:pPr>
            <w:r w:rsidRPr="00E85E82">
              <w:rPr>
                <w:sz w:val="20"/>
                <w:szCs w:val="20"/>
                <w:lang w:val="fr-CA"/>
              </w:rPr>
              <w:t xml:space="preserve">Dépôt de la requête en prorogation du délai de signification et de dépôt de la demande d’autorisation d’appel et de la demande d’autorisation d’appel </w:t>
            </w:r>
          </w:p>
          <w:p w:rsidR="00232760" w:rsidRPr="00E85E82" w:rsidRDefault="00232760" w:rsidP="00E5517E">
            <w:pPr>
              <w:pStyle w:val="SCCShortJudgment"/>
              <w:ind w:firstLine="0"/>
              <w:jc w:val="left"/>
              <w:rPr>
                <w:rFonts w:cs="Times New Roman"/>
                <w:szCs w:val="20"/>
                <w:u w:val="single"/>
                <w:lang w:val="fr-CA"/>
              </w:rPr>
            </w:pPr>
          </w:p>
        </w:tc>
      </w:tr>
    </w:tbl>
    <w:p w:rsidR="00232760" w:rsidRPr="00E85E82" w:rsidRDefault="00B407D6" w:rsidP="00232760">
      <w:pPr>
        <w:rPr>
          <w:rFonts w:cs="Times New Roman"/>
          <w:sz w:val="20"/>
          <w:szCs w:val="20"/>
          <w:lang w:val="fr-CA"/>
        </w:rPr>
      </w:pPr>
      <w:r>
        <w:rPr>
          <w:rFonts w:cs="Times New Roman"/>
          <w:sz w:val="20"/>
          <w:szCs w:val="20"/>
          <w:lang w:val="fr-CA"/>
        </w:rPr>
        <w:pict>
          <v:rect id="_x0000_i1080" style="width:2in;height:1pt" o:hrpct="0" o:hralign="center" o:hrstd="t" o:hrnoshade="t" o:hr="t" fillcolor="black [3213]" stroked="f"/>
        </w:pict>
      </w:r>
    </w:p>
    <w:p w:rsidR="00232760" w:rsidRPr="00E85E82" w:rsidRDefault="00232760" w:rsidP="00232760">
      <w:pPr>
        <w:rPr>
          <w:sz w:val="20"/>
          <w:szCs w:val="20"/>
        </w:rPr>
      </w:pPr>
    </w:p>
    <w:p w:rsidR="00232760" w:rsidRPr="00E85E82" w:rsidRDefault="00232760" w:rsidP="008D292F">
      <w:pPr>
        <w:rPr>
          <w:sz w:val="20"/>
          <w:szCs w:val="20"/>
          <w:lang w:val="fr-CA"/>
        </w:rPr>
      </w:pPr>
    </w:p>
    <w:p w:rsidR="00232760" w:rsidRPr="00E85E82" w:rsidRDefault="00232760" w:rsidP="008D292F">
      <w:pPr>
        <w:rPr>
          <w:sz w:val="20"/>
          <w:szCs w:val="20"/>
          <w:lang w:val="fr-CA"/>
        </w:rPr>
      </w:pPr>
    </w:p>
    <w:p w:rsidR="00890FEB" w:rsidRPr="00E85E82" w:rsidRDefault="00890FEB" w:rsidP="008D292F">
      <w:pPr>
        <w:rPr>
          <w:sz w:val="20"/>
          <w:szCs w:val="20"/>
          <w:lang w:val="fr-CA"/>
        </w:rPr>
      </w:pPr>
    </w:p>
    <w:p w:rsidR="00890FEB" w:rsidRPr="00E85E82" w:rsidRDefault="00890FEB" w:rsidP="008D292F">
      <w:pPr>
        <w:rPr>
          <w:b/>
          <w:sz w:val="20"/>
          <w:szCs w:val="20"/>
          <w:lang w:val="fr-CA"/>
        </w:rPr>
        <w:sectPr w:rsidR="00890FEB" w:rsidRPr="00E85E82" w:rsidSect="008D292F">
          <w:headerReference w:type="even" r:id="rId70"/>
          <w:headerReference w:type="default" r:id="rId71"/>
          <w:footerReference w:type="even" r:id="rId72"/>
          <w:footerReference w:type="default" r:id="rId73"/>
          <w:headerReference w:type="first" r:id="rId74"/>
          <w:footerReference w:type="first" r:id="rId7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E85E82" w:rsidTr="00BA6468">
        <w:tc>
          <w:tcPr>
            <w:tcW w:w="4230" w:type="dxa"/>
            <w:shd w:val="clear" w:color="auto" w:fill="auto"/>
            <w:tcMar>
              <w:left w:w="0" w:type="dxa"/>
              <w:right w:w="0" w:type="dxa"/>
            </w:tcMar>
          </w:tcPr>
          <w:p w:rsidR="00890FEB" w:rsidRPr="00E85E82" w:rsidRDefault="00890FEB" w:rsidP="00EB2B90">
            <w:pPr>
              <w:keepNext/>
              <w:keepLines/>
              <w:tabs>
                <w:tab w:val="left" w:pos="-1440"/>
                <w:tab w:val="left" w:pos="-720"/>
              </w:tabs>
              <w:jc w:val="both"/>
              <w:rPr>
                <w:szCs w:val="24"/>
              </w:rPr>
            </w:pPr>
            <w:r w:rsidRPr="00E85E82">
              <w:rPr>
                <w:b/>
                <w:szCs w:val="24"/>
              </w:rPr>
              <w:t>MOTIONS</w:t>
            </w:r>
          </w:p>
        </w:tc>
        <w:tc>
          <w:tcPr>
            <w:tcW w:w="1170" w:type="dxa"/>
            <w:shd w:val="clear" w:color="auto" w:fill="auto"/>
            <w:tcMar>
              <w:left w:w="0" w:type="dxa"/>
              <w:right w:w="0" w:type="dxa"/>
            </w:tcMar>
          </w:tcPr>
          <w:p w:rsidR="00890FEB" w:rsidRPr="00E85E82" w:rsidRDefault="00890FEB" w:rsidP="00890FEB">
            <w:pPr>
              <w:keepNext/>
              <w:keepLines/>
              <w:tabs>
                <w:tab w:val="left" w:pos="-1440"/>
                <w:tab w:val="left" w:pos="-720"/>
              </w:tabs>
              <w:jc w:val="center"/>
              <w:rPr>
                <w:szCs w:val="24"/>
              </w:rPr>
            </w:pPr>
          </w:p>
          <w:p w:rsidR="00890FEB" w:rsidRPr="00E85E82"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E85E82" w:rsidRDefault="00890FEB" w:rsidP="00831CA9">
            <w:pPr>
              <w:keepNext/>
              <w:keepLines/>
              <w:tabs>
                <w:tab w:val="left" w:pos="-1440"/>
                <w:tab w:val="left" w:pos="-720"/>
              </w:tabs>
              <w:rPr>
                <w:szCs w:val="24"/>
                <w:lang w:val="fr-CA"/>
              </w:rPr>
            </w:pPr>
            <w:r w:rsidRPr="00E85E82">
              <w:rPr>
                <w:b/>
                <w:szCs w:val="24"/>
                <w:lang w:val="fr-CA"/>
              </w:rPr>
              <w:t>REQUÊTES</w:t>
            </w:r>
          </w:p>
        </w:tc>
      </w:tr>
    </w:tbl>
    <w:p w:rsidR="00890FEB" w:rsidRPr="00E85E82" w:rsidRDefault="00890FEB" w:rsidP="00890FEB">
      <w:pPr>
        <w:rPr>
          <w:sz w:val="20"/>
          <w:szCs w:val="20"/>
        </w:rPr>
      </w:pPr>
    </w:p>
    <w:p w:rsidR="008B055E" w:rsidRPr="00E85E82" w:rsidRDefault="008B055E" w:rsidP="008B055E">
      <w:pPr>
        <w:tabs>
          <w:tab w:val="left" w:pos="-1440"/>
          <w:tab w:val="left" w:pos="-720"/>
        </w:tabs>
        <w:jc w:val="both"/>
        <w:rPr>
          <w:sz w:val="20"/>
          <w:szCs w:val="20"/>
          <w:lang w:val="fr-CA"/>
        </w:rPr>
      </w:pPr>
      <w:r w:rsidRPr="00E85E82">
        <w:rPr>
          <w:sz w:val="20"/>
          <w:szCs w:val="20"/>
          <w:lang w:val="fr-CA"/>
        </w:rPr>
        <w:t>10.06.2016</w:t>
      </w:r>
    </w:p>
    <w:p w:rsidR="008B055E" w:rsidRPr="00E85E82" w:rsidRDefault="008B055E" w:rsidP="008B055E">
      <w:pPr>
        <w:tabs>
          <w:tab w:val="left" w:pos="-1440"/>
          <w:tab w:val="left" w:pos="-720"/>
        </w:tabs>
        <w:jc w:val="both"/>
        <w:rPr>
          <w:sz w:val="20"/>
          <w:szCs w:val="20"/>
          <w:lang w:val="fr-CA"/>
        </w:rPr>
      </w:pPr>
    </w:p>
    <w:p w:rsidR="008B055E" w:rsidRPr="00E85E82" w:rsidRDefault="008B055E" w:rsidP="008B055E">
      <w:pPr>
        <w:tabs>
          <w:tab w:val="left" w:pos="-1440"/>
          <w:tab w:val="left" w:pos="-720"/>
        </w:tabs>
        <w:jc w:val="both"/>
        <w:rPr>
          <w:sz w:val="20"/>
          <w:szCs w:val="20"/>
        </w:rPr>
      </w:pPr>
      <w:proofErr w:type="spellStart"/>
      <w:r w:rsidRPr="00E85E82">
        <w:rPr>
          <w:sz w:val="20"/>
          <w:szCs w:val="20"/>
          <w:lang w:val="fr-CA"/>
        </w:rPr>
        <w:t>Before</w:t>
      </w:r>
      <w:proofErr w:type="spellEnd"/>
      <w:r w:rsidRPr="00E85E82">
        <w:rPr>
          <w:sz w:val="20"/>
          <w:szCs w:val="20"/>
          <w:lang w:val="fr-CA"/>
        </w:rPr>
        <w:t xml:space="preserve"> / Devant:   </w:t>
      </w:r>
      <w:r w:rsidRPr="00E85E82">
        <w:rPr>
          <w:sz w:val="20"/>
          <w:szCs w:val="20"/>
        </w:rPr>
        <w:t>THE REGISTRAR / LE REGISTRAIRE</w:t>
      </w:r>
    </w:p>
    <w:p w:rsidR="008B055E" w:rsidRPr="00E85E82" w:rsidRDefault="008B055E" w:rsidP="008B055E">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8B055E" w:rsidRPr="00B407D6" w:rsidTr="00BA157F">
        <w:tc>
          <w:tcPr>
            <w:tcW w:w="4338" w:type="dxa"/>
            <w:gridSpan w:val="2"/>
          </w:tcPr>
          <w:p w:rsidR="008B055E" w:rsidRPr="00E85E82" w:rsidRDefault="008B055E" w:rsidP="00BA157F">
            <w:pPr>
              <w:rPr>
                <w:b/>
                <w:sz w:val="20"/>
                <w:szCs w:val="20"/>
              </w:rPr>
            </w:pPr>
            <w:r w:rsidRPr="00E85E82">
              <w:rPr>
                <w:b/>
                <w:sz w:val="20"/>
                <w:szCs w:val="20"/>
              </w:rPr>
              <w:t>Motion to extend time</w:t>
            </w:r>
            <w:r w:rsidRPr="00E85E82">
              <w:rPr>
                <w:sz w:val="20"/>
                <w:szCs w:val="20"/>
              </w:rPr>
              <w:t xml:space="preserve"> </w:t>
            </w:r>
            <w:r w:rsidRPr="00E85E82">
              <w:rPr>
                <w:sz w:val="20"/>
                <w:szCs w:val="20"/>
              </w:rPr>
              <w:fldChar w:fldCharType="begin"/>
            </w:r>
            <w:r w:rsidRPr="00E85E82">
              <w:rPr>
                <w:sz w:val="20"/>
                <w:szCs w:val="20"/>
              </w:rPr>
              <w:instrText xml:space="preserve"> SEQ CHAPTER \h \r 1</w:instrText>
            </w:r>
            <w:r w:rsidRPr="00E85E82">
              <w:rPr>
                <w:sz w:val="20"/>
                <w:szCs w:val="20"/>
              </w:rPr>
              <w:fldChar w:fldCharType="end"/>
            </w:r>
          </w:p>
        </w:tc>
        <w:tc>
          <w:tcPr>
            <w:tcW w:w="1170" w:type="dxa"/>
          </w:tcPr>
          <w:p w:rsidR="008B055E" w:rsidRPr="00E85E82" w:rsidRDefault="008B055E" w:rsidP="00BA157F">
            <w:pPr>
              <w:rPr>
                <w:sz w:val="20"/>
                <w:szCs w:val="20"/>
              </w:rPr>
            </w:pPr>
          </w:p>
          <w:p w:rsidR="008B055E" w:rsidRPr="00E85E82" w:rsidRDefault="008B055E" w:rsidP="00BA157F">
            <w:pPr>
              <w:rPr>
                <w:sz w:val="20"/>
                <w:szCs w:val="20"/>
              </w:rPr>
            </w:pPr>
          </w:p>
        </w:tc>
        <w:tc>
          <w:tcPr>
            <w:tcW w:w="4327" w:type="dxa"/>
          </w:tcPr>
          <w:p w:rsidR="008B055E" w:rsidRPr="00C556BB" w:rsidRDefault="008B055E" w:rsidP="00BA157F">
            <w:pPr>
              <w:rPr>
                <w:b/>
                <w:sz w:val="20"/>
                <w:szCs w:val="20"/>
                <w:lang w:val="fr-CA"/>
              </w:rPr>
            </w:pPr>
            <w:r w:rsidRPr="00E85E82">
              <w:rPr>
                <w:b/>
                <w:bCs/>
                <w:sz w:val="20"/>
                <w:szCs w:val="20"/>
                <w:lang w:val="fr-CA"/>
              </w:rPr>
              <w:t>Requête en prorogation de délai</w:t>
            </w:r>
            <w:r w:rsidRPr="00E85E82">
              <w:rPr>
                <w:sz w:val="20"/>
                <w:szCs w:val="20"/>
              </w:rPr>
              <w:fldChar w:fldCharType="begin"/>
            </w:r>
            <w:r w:rsidRPr="00C556BB">
              <w:rPr>
                <w:sz w:val="20"/>
                <w:szCs w:val="20"/>
                <w:lang w:val="fr-CA"/>
              </w:rPr>
              <w:instrText xml:space="preserve"> SEQ CHAPTER \h \r 1</w:instrText>
            </w:r>
            <w:r w:rsidRPr="00E85E82">
              <w:rPr>
                <w:sz w:val="20"/>
                <w:szCs w:val="20"/>
              </w:rPr>
              <w:fldChar w:fldCharType="end"/>
            </w:r>
          </w:p>
        </w:tc>
      </w:tr>
      <w:tr w:rsidR="008B055E" w:rsidRPr="00E85E82" w:rsidTr="00BA157F">
        <w:trPr>
          <w:trHeight w:hRule="exact" w:val="360"/>
        </w:trPr>
        <w:tc>
          <w:tcPr>
            <w:tcW w:w="1368" w:type="dxa"/>
          </w:tcPr>
          <w:p w:rsidR="008B055E" w:rsidRPr="00E85E82" w:rsidRDefault="008B055E" w:rsidP="00BA157F">
            <w:pPr>
              <w:rPr>
                <w:sz w:val="20"/>
                <w:szCs w:val="20"/>
              </w:rPr>
            </w:pPr>
            <w:r w:rsidRPr="00E85E82">
              <w:rPr>
                <w:sz w:val="20"/>
                <w:szCs w:val="20"/>
              </w:rPr>
              <w:t>BY / PAR</w:t>
            </w:r>
          </w:p>
        </w:tc>
        <w:tc>
          <w:tcPr>
            <w:tcW w:w="2970" w:type="dxa"/>
          </w:tcPr>
          <w:p w:rsidR="008B055E" w:rsidRPr="00E85E82" w:rsidRDefault="008B055E" w:rsidP="00BA157F">
            <w:pPr>
              <w:rPr>
                <w:sz w:val="20"/>
                <w:szCs w:val="20"/>
              </w:rPr>
            </w:pPr>
            <w:r w:rsidRPr="00E85E82">
              <w:rPr>
                <w:sz w:val="20"/>
                <w:szCs w:val="20"/>
              </w:rPr>
              <w:t>Attorney General of Manitoba</w:t>
            </w:r>
          </w:p>
        </w:tc>
        <w:tc>
          <w:tcPr>
            <w:tcW w:w="1170" w:type="dxa"/>
          </w:tcPr>
          <w:p w:rsidR="008B055E" w:rsidRPr="00E85E82" w:rsidRDefault="008B055E" w:rsidP="00BA157F">
            <w:pPr>
              <w:rPr>
                <w:sz w:val="20"/>
                <w:szCs w:val="20"/>
              </w:rPr>
            </w:pPr>
          </w:p>
        </w:tc>
        <w:tc>
          <w:tcPr>
            <w:tcW w:w="4327" w:type="dxa"/>
          </w:tcPr>
          <w:p w:rsidR="008B055E" w:rsidRPr="00E85E82" w:rsidRDefault="008B055E" w:rsidP="00BA157F">
            <w:pPr>
              <w:rPr>
                <w:sz w:val="20"/>
                <w:szCs w:val="20"/>
              </w:rPr>
            </w:pPr>
          </w:p>
        </w:tc>
      </w:tr>
      <w:tr w:rsidR="008B055E" w:rsidRPr="00E85E82" w:rsidTr="00BA157F">
        <w:tc>
          <w:tcPr>
            <w:tcW w:w="1368" w:type="dxa"/>
          </w:tcPr>
          <w:p w:rsidR="008B055E" w:rsidRPr="00E85E82" w:rsidRDefault="008B055E" w:rsidP="00BA157F">
            <w:pPr>
              <w:rPr>
                <w:sz w:val="20"/>
                <w:szCs w:val="20"/>
              </w:rPr>
            </w:pPr>
          </w:p>
        </w:tc>
        <w:tc>
          <w:tcPr>
            <w:tcW w:w="2970" w:type="dxa"/>
          </w:tcPr>
          <w:p w:rsidR="008B055E" w:rsidRPr="00E85E82" w:rsidRDefault="008B055E" w:rsidP="00BA157F">
            <w:pPr>
              <w:rPr>
                <w:sz w:val="20"/>
                <w:szCs w:val="20"/>
              </w:rPr>
            </w:pPr>
          </w:p>
        </w:tc>
        <w:tc>
          <w:tcPr>
            <w:tcW w:w="1170" w:type="dxa"/>
          </w:tcPr>
          <w:p w:rsidR="008B055E" w:rsidRPr="00E85E82" w:rsidRDefault="008B055E" w:rsidP="00BA157F">
            <w:pPr>
              <w:rPr>
                <w:sz w:val="20"/>
                <w:szCs w:val="20"/>
              </w:rPr>
            </w:pPr>
          </w:p>
        </w:tc>
        <w:tc>
          <w:tcPr>
            <w:tcW w:w="4327" w:type="dxa"/>
          </w:tcPr>
          <w:p w:rsidR="008B055E" w:rsidRPr="00E85E82" w:rsidRDefault="008B055E" w:rsidP="00BA157F">
            <w:pPr>
              <w:rPr>
                <w:sz w:val="20"/>
                <w:szCs w:val="20"/>
              </w:rPr>
            </w:pPr>
          </w:p>
        </w:tc>
      </w:tr>
      <w:tr w:rsidR="008B055E" w:rsidRPr="00E85E82" w:rsidTr="00BA157F">
        <w:tc>
          <w:tcPr>
            <w:tcW w:w="1368" w:type="dxa"/>
          </w:tcPr>
          <w:p w:rsidR="008B055E" w:rsidRPr="00E85E82" w:rsidRDefault="008B055E" w:rsidP="00BA157F">
            <w:pPr>
              <w:rPr>
                <w:sz w:val="20"/>
                <w:szCs w:val="20"/>
              </w:rPr>
            </w:pPr>
            <w:r w:rsidRPr="00E85E82">
              <w:rPr>
                <w:sz w:val="20"/>
                <w:szCs w:val="20"/>
              </w:rPr>
              <w:t>IN / DANS :</w:t>
            </w:r>
          </w:p>
        </w:tc>
        <w:tc>
          <w:tcPr>
            <w:tcW w:w="2970" w:type="dxa"/>
          </w:tcPr>
          <w:p w:rsidR="008B055E" w:rsidRPr="00E85E82" w:rsidRDefault="008B055E" w:rsidP="00BA157F">
            <w:pPr>
              <w:rPr>
                <w:sz w:val="20"/>
                <w:szCs w:val="20"/>
              </w:rPr>
            </w:pPr>
            <w:r w:rsidRPr="00E85E82">
              <w:rPr>
                <w:sz w:val="20"/>
                <w:szCs w:val="20"/>
              </w:rPr>
              <w:t>British Columbia Teachers’ Federation, on behalf of all members of the British Columbia Teachers’ Federation</w:t>
            </w:r>
          </w:p>
          <w:p w:rsidR="008B055E" w:rsidRPr="00E85E82" w:rsidRDefault="008B055E" w:rsidP="00BA157F">
            <w:pPr>
              <w:rPr>
                <w:sz w:val="20"/>
                <w:szCs w:val="20"/>
              </w:rPr>
            </w:pPr>
          </w:p>
          <w:p w:rsidR="008B055E" w:rsidRPr="00E85E82" w:rsidRDefault="008B055E" w:rsidP="00BA157F">
            <w:pPr>
              <w:rPr>
                <w:sz w:val="20"/>
                <w:szCs w:val="20"/>
              </w:rPr>
            </w:pPr>
            <w:r w:rsidRPr="00E85E82">
              <w:rPr>
                <w:sz w:val="20"/>
                <w:szCs w:val="20"/>
              </w:rPr>
              <w:tab/>
              <w:t>v. (36500)</w:t>
            </w:r>
          </w:p>
          <w:p w:rsidR="008B055E" w:rsidRPr="00E85E82" w:rsidRDefault="008B055E" w:rsidP="00BA157F">
            <w:pPr>
              <w:rPr>
                <w:sz w:val="20"/>
                <w:szCs w:val="20"/>
              </w:rPr>
            </w:pPr>
          </w:p>
          <w:p w:rsidR="008B055E" w:rsidRPr="00E85E82" w:rsidRDefault="008B055E" w:rsidP="00BA157F">
            <w:pPr>
              <w:rPr>
                <w:sz w:val="20"/>
                <w:szCs w:val="20"/>
              </w:rPr>
            </w:pPr>
            <w:r w:rsidRPr="00E85E82">
              <w:rPr>
                <w:sz w:val="20"/>
                <w:szCs w:val="20"/>
              </w:rPr>
              <w:t>Her Majesty the Queen in Right of the Province of British Columbia (B.C.)</w:t>
            </w:r>
          </w:p>
        </w:tc>
        <w:tc>
          <w:tcPr>
            <w:tcW w:w="1170" w:type="dxa"/>
          </w:tcPr>
          <w:p w:rsidR="008B055E" w:rsidRPr="00E85E82" w:rsidRDefault="008B055E" w:rsidP="00BA157F">
            <w:pPr>
              <w:rPr>
                <w:sz w:val="20"/>
                <w:szCs w:val="20"/>
              </w:rPr>
            </w:pPr>
          </w:p>
        </w:tc>
        <w:tc>
          <w:tcPr>
            <w:tcW w:w="4327" w:type="dxa"/>
          </w:tcPr>
          <w:p w:rsidR="008B055E" w:rsidRPr="00E85E82" w:rsidRDefault="008B055E" w:rsidP="00BA157F">
            <w:pPr>
              <w:rPr>
                <w:sz w:val="20"/>
                <w:szCs w:val="20"/>
              </w:rPr>
            </w:pPr>
          </w:p>
        </w:tc>
      </w:tr>
    </w:tbl>
    <w:p w:rsidR="008B055E" w:rsidRPr="00C556BB" w:rsidRDefault="008B055E" w:rsidP="008B055E">
      <w:pPr>
        <w:jc w:val="both"/>
        <w:rPr>
          <w:sz w:val="20"/>
          <w:szCs w:val="20"/>
        </w:rPr>
      </w:pPr>
    </w:p>
    <w:p w:rsidR="008B055E" w:rsidRPr="00C556BB" w:rsidRDefault="008B055E" w:rsidP="008B055E">
      <w:pPr>
        <w:tabs>
          <w:tab w:val="left" w:pos="-1440"/>
          <w:tab w:val="left" w:pos="-720"/>
        </w:tabs>
        <w:jc w:val="both"/>
        <w:rPr>
          <w:sz w:val="20"/>
          <w:szCs w:val="20"/>
        </w:rPr>
      </w:pPr>
      <w:r w:rsidRPr="00C556BB">
        <w:rPr>
          <w:b/>
          <w:sz w:val="20"/>
          <w:szCs w:val="20"/>
        </w:rPr>
        <w:t>GRANTED / ACCORDÉE</w:t>
      </w:r>
    </w:p>
    <w:p w:rsidR="008B055E" w:rsidRPr="00C556BB" w:rsidRDefault="008B055E" w:rsidP="008B055E">
      <w:pPr>
        <w:tabs>
          <w:tab w:val="left" w:pos="-1440"/>
          <w:tab w:val="left" w:pos="-720"/>
        </w:tabs>
        <w:jc w:val="both"/>
        <w:rPr>
          <w:sz w:val="20"/>
          <w:szCs w:val="20"/>
        </w:rPr>
      </w:pPr>
    </w:p>
    <w:p w:rsidR="008B055E" w:rsidRPr="00E85E82" w:rsidRDefault="008B055E" w:rsidP="00BA157F">
      <w:pPr>
        <w:jc w:val="both"/>
        <w:rPr>
          <w:sz w:val="20"/>
          <w:szCs w:val="20"/>
        </w:rPr>
      </w:pPr>
      <w:r w:rsidRPr="00E85E82">
        <w:rPr>
          <w:b/>
          <w:sz w:val="20"/>
          <w:szCs w:val="20"/>
        </w:rPr>
        <w:t xml:space="preserve">UPON APPLICATION </w:t>
      </w:r>
      <w:r w:rsidRPr="00E85E82">
        <w:rPr>
          <w:sz w:val="20"/>
          <w:szCs w:val="20"/>
        </w:rPr>
        <w:t>on behalf of the Attorney General of Manitoba for an order extending the time within which to serve and file its notice of intervention respecting constitutional questions to May 30, 2016;</w:t>
      </w:r>
    </w:p>
    <w:p w:rsidR="008B055E" w:rsidRPr="00E85E82" w:rsidRDefault="008B055E" w:rsidP="008B055E">
      <w:pPr>
        <w:spacing w:line="233" w:lineRule="auto"/>
        <w:jc w:val="both"/>
        <w:rPr>
          <w:b/>
          <w:sz w:val="20"/>
          <w:szCs w:val="20"/>
        </w:rPr>
      </w:pPr>
    </w:p>
    <w:p w:rsidR="008B055E" w:rsidRPr="00E85E82" w:rsidRDefault="008B055E" w:rsidP="008B055E">
      <w:pPr>
        <w:spacing w:line="233" w:lineRule="auto"/>
        <w:jc w:val="both"/>
        <w:rPr>
          <w:sz w:val="20"/>
          <w:szCs w:val="20"/>
        </w:rPr>
      </w:pPr>
      <w:r w:rsidRPr="00E85E82">
        <w:rPr>
          <w:b/>
          <w:bCs/>
          <w:sz w:val="20"/>
          <w:szCs w:val="20"/>
        </w:rPr>
        <w:t>AND THE MATERIAL FILED</w:t>
      </w:r>
      <w:r w:rsidRPr="00E85E82">
        <w:rPr>
          <w:sz w:val="20"/>
          <w:szCs w:val="20"/>
        </w:rPr>
        <w:t xml:space="preserve"> having been read;</w:t>
      </w:r>
    </w:p>
    <w:p w:rsidR="008B055E" w:rsidRPr="00E85E82" w:rsidRDefault="008B055E" w:rsidP="008B055E">
      <w:pPr>
        <w:spacing w:line="233" w:lineRule="auto"/>
        <w:jc w:val="both"/>
        <w:rPr>
          <w:sz w:val="20"/>
          <w:szCs w:val="20"/>
        </w:rPr>
      </w:pPr>
    </w:p>
    <w:p w:rsidR="008B055E" w:rsidRPr="00E85E82" w:rsidRDefault="008B055E" w:rsidP="008B055E">
      <w:pPr>
        <w:spacing w:line="233" w:lineRule="auto"/>
        <w:jc w:val="both"/>
        <w:rPr>
          <w:b/>
          <w:bCs/>
          <w:sz w:val="20"/>
          <w:szCs w:val="20"/>
        </w:rPr>
      </w:pPr>
      <w:r w:rsidRPr="00E85E82">
        <w:rPr>
          <w:b/>
          <w:bCs/>
          <w:sz w:val="20"/>
          <w:szCs w:val="20"/>
        </w:rPr>
        <w:t>IT IS HEREBY ORDERED THAT:</w:t>
      </w:r>
    </w:p>
    <w:p w:rsidR="008B055E" w:rsidRPr="00E85E82" w:rsidRDefault="008B055E" w:rsidP="008B055E">
      <w:pPr>
        <w:spacing w:line="233" w:lineRule="auto"/>
        <w:jc w:val="both"/>
        <w:rPr>
          <w:b/>
          <w:bCs/>
          <w:sz w:val="20"/>
          <w:szCs w:val="20"/>
        </w:rPr>
      </w:pPr>
    </w:p>
    <w:p w:rsidR="008B055E" w:rsidRPr="00C556BB" w:rsidRDefault="008B055E" w:rsidP="008B055E">
      <w:pPr>
        <w:ind w:firstLine="720"/>
        <w:jc w:val="both"/>
        <w:rPr>
          <w:sz w:val="20"/>
          <w:szCs w:val="20"/>
          <w:lang w:val="fr-CA"/>
        </w:rPr>
      </w:pPr>
      <w:r w:rsidRPr="00C556BB">
        <w:rPr>
          <w:sz w:val="20"/>
          <w:szCs w:val="20"/>
          <w:lang w:val="fr-CA"/>
        </w:rPr>
        <w:t xml:space="preserve">The motion </w:t>
      </w:r>
      <w:proofErr w:type="spellStart"/>
      <w:r w:rsidRPr="00C556BB">
        <w:rPr>
          <w:sz w:val="20"/>
          <w:szCs w:val="20"/>
          <w:lang w:val="fr-CA"/>
        </w:rPr>
        <w:t>is</w:t>
      </w:r>
      <w:proofErr w:type="spellEnd"/>
      <w:r w:rsidRPr="00C556BB">
        <w:rPr>
          <w:sz w:val="20"/>
          <w:szCs w:val="20"/>
          <w:lang w:val="fr-CA"/>
        </w:rPr>
        <w:t xml:space="preserve"> </w:t>
      </w:r>
      <w:proofErr w:type="spellStart"/>
      <w:r w:rsidRPr="00C556BB">
        <w:rPr>
          <w:sz w:val="20"/>
          <w:szCs w:val="20"/>
          <w:lang w:val="fr-CA"/>
        </w:rPr>
        <w:t>granted</w:t>
      </w:r>
      <w:proofErr w:type="spellEnd"/>
      <w:r w:rsidRPr="00C556BB">
        <w:rPr>
          <w:sz w:val="20"/>
          <w:szCs w:val="20"/>
          <w:lang w:val="fr-CA"/>
        </w:rPr>
        <w:t>. </w:t>
      </w:r>
    </w:p>
    <w:p w:rsidR="008B055E" w:rsidRPr="00C556BB" w:rsidRDefault="008B055E" w:rsidP="008B055E">
      <w:pPr>
        <w:spacing w:line="233" w:lineRule="auto"/>
        <w:jc w:val="both"/>
        <w:rPr>
          <w:sz w:val="20"/>
          <w:szCs w:val="20"/>
          <w:lang w:val="fr-CA"/>
        </w:rPr>
      </w:pPr>
    </w:p>
    <w:p w:rsidR="008B055E" w:rsidRPr="00C556BB" w:rsidRDefault="008B055E" w:rsidP="008B055E">
      <w:pPr>
        <w:tabs>
          <w:tab w:val="left" w:pos="-1440"/>
          <w:tab w:val="left" w:pos="-720"/>
        </w:tabs>
        <w:jc w:val="both"/>
        <w:rPr>
          <w:sz w:val="20"/>
          <w:szCs w:val="20"/>
          <w:lang w:val="fr-CA"/>
        </w:rPr>
      </w:pPr>
    </w:p>
    <w:p w:rsidR="008B055E" w:rsidRPr="00C556BB" w:rsidRDefault="008B055E" w:rsidP="008B055E">
      <w:pPr>
        <w:tabs>
          <w:tab w:val="left" w:pos="-1440"/>
          <w:tab w:val="left" w:pos="-720"/>
        </w:tabs>
        <w:jc w:val="both"/>
        <w:rPr>
          <w:sz w:val="20"/>
          <w:szCs w:val="20"/>
          <w:lang w:val="fr-CA"/>
        </w:rPr>
      </w:pPr>
    </w:p>
    <w:p w:rsidR="008B055E" w:rsidRPr="00E85E82" w:rsidRDefault="008B055E" w:rsidP="00BA157F">
      <w:pPr>
        <w:jc w:val="both"/>
        <w:rPr>
          <w:rFonts w:cs="Times New Roman"/>
          <w:sz w:val="20"/>
          <w:szCs w:val="20"/>
          <w:lang w:val="fr-CA"/>
        </w:rPr>
      </w:pPr>
      <w:r w:rsidRPr="00E85E82">
        <w:rPr>
          <w:rFonts w:cs="Times New Roman"/>
          <w:b/>
          <w:sz w:val="20"/>
          <w:szCs w:val="20"/>
          <w:lang w:val="fr-CA"/>
        </w:rPr>
        <w:t>À LA SUITE DE LA DEMANDE</w:t>
      </w:r>
      <w:r w:rsidRPr="00E85E82">
        <w:rPr>
          <w:rFonts w:cs="Times New Roman"/>
          <w:sz w:val="20"/>
          <w:szCs w:val="20"/>
          <w:lang w:val="fr-CA"/>
        </w:rPr>
        <w:t xml:space="preserve"> présentée au nom du procureur général du Manitoba en vue d’obtenir une ordonnance prorogeant au 30 mai 2016 le délai de signification et de dépôt de son avis d’intervention à l’égard des questions constitutionnelles;</w:t>
      </w:r>
    </w:p>
    <w:p w:rsidR="008B055E" w:rsidRPr="00E85E82" w:rsidRDefault="008B055E" w:rsidP="008B055E">
      <w:pPr>
        <w:spacing w:line="233" w:lineRule="auto"/>
        <w:jc w:val="both"/>
        <w:rPr>
          <w:rFonts w:cs="Times New Roman"/>
          <w:b/>
          <w:sz w:val="20"/>
          <w:szCs w:val="20"/>
          <w:lang w:val="fr-CA"/>
        </w:rPr>
      </w:pPr>
    </w:p>
    <w:p w:rsidR="008B055E" w:rsidRPr="00E85E82" w:rsidRDefault="008B055E" w:rsidP="008B055E">
      <w:pPr>
        <w:spacing w:line="233" w:lineRule="auto"/>
        <w:jc w:val="both"/>
        <w:rPr>
          <w:rFonts w:cs="Times New Roman"/>
          <w:sz w:val="20"/>
          <w:szCs w:val="20"/>
          <w:lang w:val="fr-CA"/>
        </w:rPr>
      </w:pPr>
      <w:r w:rsidRPr="00E85E82">
        <w:rPr>
          <w:rFonts w:cs="Times New Roman"/>
          <w:b/>
          <w:bCs/>
          <w:sz w:val="20"/>
          <w:szCs w:val="20"/>
          <w:lang w:val="fr-CA"/>
        </w:rPr>
        <w:t>ET APRÈS AVOIR LU</w:t>
      </w:r>
      <w:r w:rsidRPr="00E85E82">
        <w:rPr>
          <w:rFonts w:cs="Times New Roman"/>
          <w:sz w:val="20"/>
          <w:szCs w:val="20"/>
          <w:lang w:val="fr-CA"/>
        </w:rPr>
        <w:t xml:space="preserve"> la documentation déposée,</w:t>
      </w:r>
    </w:p>
    <w:p w:rsidR="008B055E" w:rsidRPr="00E85E82" w:rsidRDefault="008B055E" w:rsidP="008B055E">
      <w:pPr>
        <w:spacing w:line="233" w:lineRule="auto"/>
        <w:jc w:val="both"/>
        <w:rPr>
          <w:rFonts w:cs="Times New Roman"/>
          <w:sz w:val="20"/>
          <w:szCs w:val="20"/>
          <w:lang w:val="fr-CA"/>
        </w:rPr>
      </w:pPr>
    </w:p>
    <w:p w:rsidR="008B055E" w:rsidRPr="00E85E82" w:rsidRDefault="008B055E" w:rsidP="008B055E">
      <w:pPr>
        <w:spacing w:line="233" w:lineRule="auto"/>
        <w:jc w:val="both"/>
        <w:rPr>
          <w:rFonts w:cs="Times New Roman"/>
          <w:b/>
          <w:bCs/>
          <w:sz w:val="20"/>
          <w:szCs w:val="20"/>
          <w:lang w:val="fr-CA"/>
        </w:rPr>
      </w:pPr>
      <w:r w:rsidRPr="00E85E82">
        <w:rPr>
          <w:rFonts w:cs="Times New Roman"/>
          <w:b/>
          <w:bCs/>
          <w:sz w:val="20"/>
          <w:szCs w:val="20"/>
          <w:lang w:val="fr-CA"/>
        </w:rPr>
        <w:t>IL EST PAR LES PRÉSENTES ORDONNÉ CE QUI SUIT :</w:t>
      </w:r>
    </w:p>
    <w:p w:rsidR="008B055E" w:rsidRPr="00E85E82" w:rsidRDefault="008B055E" w:rsidP="008B055E">
      <w:pPr>
        <w:spacing w:line="233" w:lineRule="auto"/>
        <w:jc w:val="both"/>
        <w:rPr>
          <w:rFonts w:cs="Times New Roman"/>
          <w:b/>
          <w:bCs/>
          <w:sz w:val="20"/>
          <w:szCs w:val="20"/>
          <w:lang w:val="fr-CA"/>
        </w:rPr>
      </w:pPr>
    </w:p>
    <w:p w:rsidR="008B055E" w:rsidRPr="00E85E82" w:rsidRDefault="008B055E" w:rsidP="008B055E">
      <w:pPr>
        <w:tabs>
          <w:tab w:val="left" w:pos="-1440"/>
          <w:tab w:val="left" w:pos="-720"/>
        </w:tabs>
        <w:jc w:val="both"/>
        <w:rPr>
          <w:sz w:val="20"/>
          <w:szCs w:val="20"/>
        </w:rPr>
      </w:pPr>
      <w:r w:rsidRPr="00E85E82">
        <w:rPr>
          <w:rFonts w:cs="Times New Roman"/>
          <w:sz w:val="20"/>
          <w:szCs w:val="20"/>
          <w:lang w:val="fr-CA"/>
        </w:rPr>
        <w:t>La requête est accordée.</w:t>
      </w:r>
    </w:p>
    <w:p w:rsidR="008B055E" w:rsidRPr="00E85E82" w:rsidRDefault="008B055E" w:rsidP="008B055E">
      <w:pPr>
        <w:tabs>
          <w:tab w:val="left" w:pos="-1440"/>
          <w:tab w:val="left" w:pos="-720"/>
        </w:tabs>
        <w:jc w:val="both"/>
        <w:rPr>
          <w:sz w:val="20"/>
          <w:szCs w:val="20"/>
        </w:rPr>
      </w:pPr>
    </w:p>
    <w:p w:rsidR="008B055E" w:rsidRPr="00E85E82" w:rsidRDefault="00B407D6" w:rsidP="008B055E">
      <w:pPr>
        <w:tabs>
          <w:tab w:val="left" w:pos="-1440"/>
          <w:tab w:val="left" w:pos="-720"/>
        </w:tabs>
        <w:jc w:val="both"/>
        <w:rPr>
          <w:sz w:val="20"/>
          <w:szCs w:val="20"/>
        </w:rPr>
      </w:pPr>
      <w:r>
        <w:rPr>
          <w:sz w:val="20"/>
          <w:szCs w:val="20"/>
          <w:lang w:val="fr-CA"/>
        </w:rPr>
        <w:pict>
          <v:rect id="_x0000_i1083" style="width:2in;height:1pt" o:hrpct="0" o:hralign="center" o:hrstd="t" o:hrnoshade="t" o:hr="t" fillcolor="black [3213]" stroked="f"/>
        </w:pict>
      </w:r>
    </w:p>
    <w:p w:rsidR="008B055E" w:rsidRPr="00E85E82" w:rsidRDefault="008B055E" w:rsidP="008B055E">
      <w:pPr>
        <w:tabs>
          <w:tab w:val="left" w:pos="-1440"/>
          <w:tab w:val="left" w:pos="-720"/>
        </w:tabs>
        <w:jc w:val="both"/>
        <w:rPr>
          <w:sz w:val="20"/>
          <w:szCs w:val="20"/>
        </w:rPr>
      </w:pPr>
    </w:p>
    <w:p w:rsidR="008B055E" w:rsidRPr="00E85E82" w:rsidRDefault="008B055E">
      <w:pPr>
        <w:rPr>
          <w:sz w:val="20"/>
          <w:szCs w:val="20"/>
          <w:lang w:val="fr-CA"/>
        </w:rPr>
      </w:pPr>
      <w:r w:rsidRPr="00E85E82">
        <w:rPr>
          <w:sz w:val="20"/>
          <w:szCs w:val="20"/>
          <w:lang w:val="fr-CA"/>
        </w:rPr>
        <w:br w:type="page"/>
      </w:r>
    </w:p>
    <w:p w:rsidR="008B055E" w:rsidRPr="00E85E82" w:rsidRDefault="008B055E" w:rsidP="008B055E">
      <w:pPr>
        <w:tabs>
          <w:tab w:val="left" w:pos="-1440"/>
          <w:tab w:val="left" w:pos="-720"/>
        </w:tabs>
        <w:jc w:val="both"/>
        <w:rPr>
          <w:sz w:val="20"/>
          <w:szCs w:val="20"/>
          <w:lang w:val="fr-CA"/>
        </w:rPr>
      </w:pPr>
      <w:r w:rsidRPr="00E85E82">
        <w:rPr>
          <w:sz w:val="20"/>
          <w:szCs w:val="20"/>
          <w:lang w:val="fr-CA"/>
        </w:rPr>
        <w:t>13.06.2016</w:t>
      </w:r>
    </w:p>
    <w:p w:rsidR="008B055E" w:rsidRPr="00E85E82" w:rsidRDefault="008B055E" w:rsidP="008B055E">
      <w:pPr>
        <w:tabs>
          <w:tab w:val="left" w:pos="-1440"/>
          <w:tab w:val="left" w:pos="-720"/>
        </w:tabs>
        <w:jc w:val="both"/>
        <w:rPr>
          <w:sz w:val="20"/>
          <w:szCs w:val="20"/>
          <w:lang w:val="fr-CA"/>
        </w:rPr>
      </w:pPr>
    </w:p>
    <w:p w:rsidR="008B055E" w:rsidRPr="00E85E82" w:rsidRDefault="008B055E" w:rsidP="008B055E">
      <w:pPr>
        <w:tabs>
          <w:tab w:val="left" w:pos="-1440"/>
          <w:tab w:val="left" w:pos="-720"/>
        </w:tabs>
        <w:jc w:val="both"/>
        <w:rPr>
          <w:sz w:val="20"/>
          <w:szCs w:val="20"/>
          <w:lang w:val="fr-CA"/>
        </w:rPr>
      </w:pPr>
      <w:proofErr w:type="spellStart"/>
      <w:r w:rsidRPr="00E85E82">
        <w:rPr>
          <w:sz w:val="20"/>
          <w:szCs w:val="20"/>
          <w:lang w:val="fr-CA"/>
        </w:rPr>
        <w:t>Before</w:t>
      </w:r>
      <w:proofErr w:type="spellEnd"/>
      <w:r w:rsidRPr="00E85E82">
        <w:rPr>
          <w:sz w:val="20"/>
          <w:szCs w:val="20"/>
          <w:lang w:val="fr-CA"/>
        </w:rPr>
        <w:t xml:space="preserve"> / Devant :   BROWN J. / LE JUGE BROWN</w:t>
      </w:r>
    </w:p>
    <w:p w:rsidR="008B055E" w:rsidRPr="00E85E82" w:rsidRDefault="008B055E" w:rsidP="008B055E">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3"/>
        <w:gridCol w:w="4231"/>
      </w:tblGrid>
      <w:tr w:rsidR="008B055E" w:rsidRPr="00B407D6" w:rsidTr="00BA157F">
        <w:trPr>
          <w:trHeight w:val="151"/>
        </w:trPr>
        <w:tc>
          <w:tcPr>
            <w:tcW w:w="4338" w:type="dxa"/>
          </w:tcPr>
          <w:p w:rsidR="008B055E" w:rsidRPr="00E85E82" w:rsidRDefault="008B055E" w:rsidP="00BA157F">
            <w:pPr>
              <w:tabs>
                <w:tab w:val="left" w:pos="-1440"/>
                <w:tab w:val="left" w:pos="-720"/>
              </w:tabs>
              <w:jc w:val="both"/>
              <w:rPr>
                <w:b/>
                <w:sz w:val="20"/>
                <w:szCs w:val="20"/>
              </w:rPr>
            </w:pPr>
            <w:r w:rsidRPr="00E85E82">
              <w:rPr>
                <w:sz w:val="20"/>
                <w:szCs w:val="20"/>
              </w:rPr>
              <w:fldChar w:fldCharType="begin"/>
            </w:r>
            <w:r w:rsidRPr="00E85E82">
              <w:rPr>
                <w:sz w:val="20"/>
                <w:szCs w:val="20"/>
              </w:rPr>
              <w:instrText xml:space="preserve"> SEQ CHAPTER \h \r 1</w:instrText>
            </w:r>
            <w:r w:rsidRPr="00E85E82">
              <w:rPr>
                <w:sz w:val="20"/>
                <w:szCs w:val="20"/>
              </w:rPr>
              <w:fldChar w:fldCharType="end"/>
            </w:r>
            <w:r w:rsidRPr="00E85E82">
              <w:rPr>
                <w:b/>
                <w:bCs/>
                <w:sz w:val="20"/>
                <w:szCs w:val="20"/>
              </w:rPr>
              <w:t>Motion to adduce new evidence</w:t>
            </w:r>
            <w:r w:rsidRPr="00E85E82">
              <w:rPr>
                <w:sz w:val="20"/>
                <w:szCs w:val="20"/>
              </w:rPr>
              <w:fldChar w:fldCharType="begin"/>
            </w:r>
            <w:r w:rsidRPr="00E85E82">
              <w:rPr>
                <w:sz w:val="20"/>
                <w:szCs w:val="20"/>
              </w:rPr>
              <w:instrText xml:space="preserve"> SEQ CHAPTER \h \r 1</w:instrText>
            </w:r>
            <w:r w:rsidRPr="00E85E82">
              <w:rPr>
                <w:sz w:val="20"/>
                <w:szCs w:val="20"/>
              </w:rPr>
              <w:fldChar w:fldCharType="end"/>
            </w:r>
          </w:p>
        </w:tc>
        <w:tc>
          <w:tcPr>
            <w:tcW w:w="1170" w:type="dxa"/>
          </w:tcPr>
          <w:p w:rsidR="008B055E" w:rsidRPr="00E85E82" w:rsidRDefault="008B055E" w:rsidP="00BA157F">
            <w:pPr>
              <w:jc w:val="both"/>
              <w:rPr>
                <w:sz w:val="20"/>
                <w:szCs w:val="20"/>
              </w:rPr>
            </w:pPr>
          </w:p>
          <w:p w:rsidR="008B055E" w:rsidRPr="00E85E82" w:rsidRDefault="008B055E" w:rsidP="00BA157F">
            <w:pPr>
              <w:jc w:val="both"/>
              <w:rPr>
                <w:sz w:val="20"/>
                <w:szCs w:val="20"/>
              </w:rPr>
            </w:pPr>
          </w:p>
        </w:tc>
        <w:tc>
          <w:tcPr>
            <w:tcW w:w="4327" w:type="dxa"/>
          </w:tcPr>
          <w:p w:rsidR="008B055E" w:rsidRPr="00E85E82" w:rsidRDefault="008B055E" w:rsidP="00BA157F">
            <w:pPr>
              <w:tabs>
                <w:tab w:val="left" w:pos="-1440"/>
                <w:tab w:val="left" w:pos="-720"/>
              </w:tabs>
              <w:jc w:val="both"/>
              <w:rPr>
                <w:b/>
                <w:sz w:val="20"/>
                <w:szCs w:val="20"/>
                <w:lang w:val="fr-CA"/>
              </w:rPr>
            </w:pPr>
            <w:r w:rsidRPr="00E85E82">
              <w:rPr>
                <w:b/>
                <w:sz w:val="20"/>
                <w:szCs w:val="20"/>
              </w:rPr>
              <w:fldChar w:fldCharType="begin"/>
            </w:r>
            <w:r w:rsidRPr="00E85E82">
              <w:rPr>
                <w:b/>
                <w:sz w:val="20"/>
                <w:szCs w:val="20"/>
                <w:lang w:val="fr-CA"/>
              </w:rPr>
              <w:instrText xml:space="preserve"> SEQ CHAPTER \h \r 1</w:instrText>
            </w:r>
            <w:r w:rsidRPr="00E85E82">
              <w:rPr>
                <w:b/>
                <w:sz w:val="20"/>
                <w:szCs w:val="20"/>
              </w:rPr>
              <w:fldChar w:fldCharType="end"/>
            </w:r>
            <w:r w:rsidRPr="00E85E82">
              <w:rPr>
                <w:sz w:val="20"/>
                <w:szCs w:val="20"/>
              </w:rPr>
              <w:fldChar w:fldCharType="begin"/>
            </w:r>
            <w:r w:rsidRPr="00E85E82">
              <w:rPr>
                <w:sz w:val="20"/>
                <w:szCs w:val="20"/>
                <w:lang w:val="fr-CA"/>
              </w:rPr>
              <w:instrText xml:space="preserve"> SEQ CHAPTER \h \r 1</w:instrText>
            </w:r>
            <w:r w:rsidRPr="00E85E82">
              <w:rPr>
                <w:sz w:val="20"/>
                <w:szCs w:val="20"/>
              </w:rPr>
              <w:fldChar w:fldCharType="end"/>
            </w:r>
            <w:r w:rsidRPr="00E85E82">
              <w:rPr>
                <w:b/>
                <w:bCs/>
                <w:sz w:val="20"/>
                <w:szCs w:val="20"/>
                <w:lang w:val="fr-CA"/>
              </w:rPr>
              <w:t>Requête en vue de produire une nouvelle preuve</w:t>
            </w:r>
            <w:r w:rsidRPr="00E85E82">
              <w:rPr>
                <w:b/>
                <w:sz w:val="20"/>
                <w:szCs w:val="20"/>
              </w:rPr>
              <w:fldChar w:fldCharType="begin"/>
            </w:r>
            <w:r w:rsidRPr="00E85E82">
              <w:rPr>
                <w:b/>
                <w:sz w:val="20"/>
                <w:szCs w:val="20"/>
                <w:lang w:val="fr-CA"/>
              </w:rPr>
              <w:instrText xml:space="preserve"> SEQ CHAPTER \h \r 1</w:instrText>
            </w:r>
            <w:r w:rsidRPr="00E85E82">
              <w:rPr>
                <w:b/>
                <w:sz w:val="20"/>
                <w:szCs w:val="20"/>
              </w:rPr>
              <w:fldChar w:fldCharType="end"/>
            </w:r>
          </w:p>
        </w:tc>
      </w:tr>
      <w:tr w:rsidR="008B055E" w:rsidRPr="00E85E82" w:rsidTr="00BA157F">
        <w:trPr>
          <w:trHeight w:val="150"/>
        </w:trPr>
        <w:tc>
          <w:tcPr>
            <w:tcW w:w="4338" w:type="dxa"/>
          </w:tcPr>
          <w:p w:rsidR="008B055E" w:rsidRPr="00E85E82" w:rsidRDefault="008B055E" w:rsidP="00BA157F">
            <w:pPr>
              <w:tabs>
                <w:tab w:val="left" w:pos="-1440"/>
                <w:tab w:val="left" w:pos="-720"/>
              </w:tabs>
              <w:jc w:val="both"/>
              <w:rPr>
                <w:sz w:val="20"/>
                <w:szCs w:val="20"/>
              </w:rPr>
            </w:pPr>
            <w:r w:rsidRPr="00E85E82">
              <w:rPr>
                <w:sz w:val="20"/>
                <w:szCs w:val="20"/>
              </w:rPr>
              <w:t>Hamlet of Clyde River et al.</w:t>
            </w:r>
          </w:p>
          <w:p w:rsidR="008B055E" w:rsidRPr="00E85E82" w:rsidRDefault="008B055E" w:rsidP="00BA157F">
            <w:pPr>
              <w:tabs>
                <w:tab w:val="left" w:pos="-1440"/>
                <w:tab w:val="left" w:pos="-720"/>
              </w:tabs>
              <w:jc w:val="both"/>
              <w:rPr>
                <w:sz w:val="20"/>
                <w:szCs w:val="20"/>
              </w:rPr>
            </w:pPr>
          </w:p>
          <w:p w:rsidR="008B055E" w:rsidRPr="00E85E82" w:rsidRDefault="008B055E" w:rsidP="00BA157F">
            <w:pPr>
              <w:tabs>
                <w:tab w:val="left" w:pos="-1440"/>
                <w:tab w:val="left" w:pos="-720"/>
              </w:tabs>
              <w:jc w:val="both"/>
              <w:rPr>
                <w:sz w:val="20"/>
                <w:szCs w:val="20"/>
              </w:rPr>
            </w:pPr>
            <w:r w:rsidRPr="00E85E82">
              <w:rPr>
                <w:sz w:val="20"/>
                <w:szCs w:val="20"/>
              </w:rPr>
              <w:tab/>
              <w:t>v. (36692)</w:t>
            </w:r>
          </w:p>
          <w:p w:rsidR="008B055E" w:rsidRPr="00E85E82" w:rsidRDefault="008B055E" w:rsidP="00BA157F">
            <w:pPr>
              <w:tabs>
                <w:tab w:val="left" w:pos="-1440"/>
                <w:tab w:val="left" w:pos="-720"/>
              </w:tabs>
              <w:jc w:val="both"/>
              <w:rPr>
                <w:sz w:val="20"/>
                <w:szCs w:val="20"/>
              </w:rPr>
            </w:pPr>
          </w:p>
          <w:p w:rsidR="008B055E" w:rsidRPr="00E85E82" w:rsidRDefault="008B055E" w:rsidP="00BA157F">
            <w:pPr>
              <w:tabs>
                <w:tab w:val="left" w:pos="-1440"/>
                <w:tab w:val="left" w:pos="-720"/>
              </w:tabs>
              <w:jc w:val="both"/>
              <w:rPr>
                <w:sz w:val="20"/>
                <w:szCs w:val="20"/>
              </w:rPr>
            </w:pPr>
            <w:r w:rsidRPr="00E85E82">
              <w:rPr>
                <w:sz w:val="20"/>
                <w:szCs w:val="20"/>
              </w:rPr>
              <w:t>Petroleum Geo-Services Inc. (PGS) et al. (F.C.)</w:t>
            </w:r>
          </w:p>
        </w:tc>
        <w:tc>
          <w:tcPr>
            <w:tcW w:w="1170" w:type="dxa"/>
          </w:tcPr>
          <w:p w:rsidR="008B055E" w:rsidRPr="00E85E82" w:rsidRDefault="008B055E" w:rsidP="00BA157F">
            <w:pPr>
              <w:jc w:val="both"/>
              <w:rPr>
                <w:sz w:val="20"/>
                <w:szCs w:val="20"/>
              </w:rPr>
            </w:pPr>
          </w:p>
        </w:tc>
        <w:tc>
          <w:tcPr>
            <w:tcW w:w="4327" w:type="dxa"/>
          </w:tcPr>
          <w:p w:rsidR="008B055E" w:rsidRPr="00E85E82" w:rsidRDefault="008B055E" w:rsidP="00BA157F">
            <w:pPr>
              <w:jc w:val="both"/>
              <w:rPr>
                <w:sz w:val="20"/>
                <w:szCs w:val="20"/>
              </w:rPr>
            </w:pPr>
          </w:p>
        </w:tc>
      </w:tr>
    </w:tbl>
    <w:p w:rsidR="008B055E" w:rsidRPr="00E85E82" w:rsidRDefault="008B055E" w:rsidP="008B055E">
      <w:pPr>
        <w:tabs>
          <w:tab w:val="left" w:pos="-1440"/>
          <w:tab w:val="left" w:pos="-720"/>
        </w:tabs>
        <w:jc w:val="both"/>
        <w:rPr>
          <w:sz w:val="20"/>
          <w:szCs w:val="20"/>
          <w:lang w:val="fr-CA"/>
        </w:rPr>
      </w:pPr>
    </w:p>
    <w:p w:rsidR="008B055E" w:rsidRPr="00E85E82" w:rsidRDefault="008B055E" w:rsidP="00BA157F">
      <w:pPr>
        <w:tabs>
          <w:tab w:val="left" w:pos="-1440"/>
          <w:tab w:val="left" w:pos="-720"/>
        </w:tabs>
        <w:jc w:val="both"/>
        <w:rPr>
          <w:sz w:val="20"/>
          <w:szCs w:val="20"/>
          <w:lang w:val="fr-CA"/>
        </w:rPr>
      </w:pPr>
      <w:r w:rsidRPr="00E85E82">
        <w:rPr>
          <w:b/>
          <w:sz w:val="20"/>
          <w:szCs w:val="20"/>
          <w:lang w:val="fr-CA"/>
        </w:rPr>
        <w:t>DISMISSED WITH COSTS / REJETÉE AVEC DÉPENS</w:t>
      </w:r>
    </w:p>
    <w:p w:rsidR="008B055E" w:rsidRPr="00E85E82" w:rsidRDefault="008B055E" w:rsidP="00BA157F">
      <w:pPr>
        <w:tabs>
          <w:tab w:val="left" w:pos="-1440"/>
          <w:tab w:val="left" w:pos="-720"/>
        </w:tabs>
        <w:jc w:val="both"/>
        <w:rPr>
          <w:sz w:val="20"/>
          <w:szCs w:val="20"/>
        </w:rPr>
      </w:pPr>
    </w:p>
    <w:p w:rsidR="008B055E" w:rsidRPr="00E85E82" w:rsidRDefault="008B055E" w:rsidP="00BA157F">
      <w:pPr>
        <w:jc w:val="both"/>
        <w:rPr>
          <w:b/>
          <w:bCs/>
          <w:sz w:val="20"/>
          <w:szCs w:val="20"/>
        </w:rPr>
      </w:pPr>
      <w:r w:rsidRPr="00E85E82">
        <w:rPr>
          <w:b/>
          <w:bCs/>
          <w:sz w:val="20"/>
          <w:szCs w:val="20"/>
        </w:rPr>
        <w:t xml:space="preserve">UPON APPLICATION </w:t>
      </w:r>
      <w:r w:rsidRPr="00E85E82">
        <w:rPr>
          <w:sz w:val="20"/>
          <w:szCs w:val="20"/>
        </w:rPr>
        <w:t xml:space="preserve">by the appellants for an order to adduce new evidence, namely the affidavits of Dr. Linda </w:t>
      </w:r>
      <w:proofErr w:type="spellStart"/>
      <w:r w:rsidRPr="00E85E82">
        <w:rPr>
          <w:sz w:val="20"/>
          <w:szCs w:val="20"/>
        </w:rPr>
        <w:t>Weilgart</w:t>
      </w:r>
      <w:proofErr w:type="spellEnd"/>
      <w:r w:rsidRPr="00E85E82">
        <w:rPr>
          <w:sz w:val="20"/>
          <w:szCs w:val="20"/>
        </w:rPr>
        <w:t xml:space="preserve"> and Professor George Wenzel;</w:t>
      </w:r>
    </w:p>
    <w:p w:rsidR="008B055E" w:rsidRPr="00E85E82" w:rsidRDefault="008B055E" w:rsidP="00BA157F">
      <w:pPr>
        <w:spacing w:line="233" w:lineRule="auto"/>
        <w:jc w:val="both"/>
        <w:rPr>
          <w:sz w:val="20"/>
          <w:szCs w:val="20"/>
        </w:rPr>
      </w:pPr>
    </w:p>
    <w:p w:rsidR="008B055E" w:rsidRPr="00E85E82" w:rsidRDefault="008B055E" w:rsidP="00BA157F">
      <w:pPr>
        <w:spacing w:line="233" w:lineRule="auto"/>
        <w:jc w:val="both"/>
        <w:rPr>
          <w:sz w:val="20"/>
          <w:szCs w:val="20"/>
        </w:rPr>
      </w:pPr>
      <w:r w:rsidRPr="00E85E82">
        <w:rPr>
          <w:b/>
          <w:bCs/>
          <w:sz w:val="20"/>
          <w:szCs w:val="20"/>
        </w:rPr>
        <w:t>AND THE MATERIAL FILED</w:t>
      </w:r>
      <w:r w:rsidRPr="00E85E82">
        <w:rPr>
          <w:sz w:val="20"/>
          <w:szCs w:val="20"/>
        </w:rPr>
        <w:t xml:space="preserve"> having been read;</w:t>
      </w:r>
    </w:p>
    <w:p w:rsidR="008B055E" w:rsidRPr="00E85E82" w:rsidRDefault="008B055E" w:rsidP="00BA157F">
      <w:pPr>
        <w:spacing w:line="233" w:lineRule="auto"/>
        <w:jc w:val="both"/>
        <w:rPr>
          <w:sz w:val="20"/>
          <w:szCs w:val="20"/>
        </w:rPr>
      </w:pPr>
    </w:p>
    <w:p w:rsidR="008B055E" w:rsidRPr="00E85E82" w:rsidRDefault="008B055E" w:rsidP="00BA157F">
      <w:pPr>
        <w:spacing w:line="233" w:lineRule="auto"/>
        <w:jc w:val="both"/>
        <w:rPr>
          <w:sz w:val="20"/>
          <w:szCs w:val="20"/>
        </w:rPr>
      </w:pPr>
      <w:r w:rsidRPr="00E85E82">
        <w:rPr>
          <w:b/>
          <w:bCs/>
          <w:sz w:val="20"/>
          <w:szCs w:val="20"/>
        </w:rPr>
        <w:t>IT IS HEREBY ORDERED THAT:</w:t>
      </w:r>
    </w:p>
    <w:p w:rsidR="008B055E" w:rsidRPr="00E85E82" w:rsidRDefault="008B055E" w:rsidP="00BA157F">
      <w:pPr>
        <w:spacing w:line="233" w:lineRule="auto"/>
        <w:jc w:val="both"/>
        <w:rPr>
          <w:sz w:val="20"/>
          <w:szCs w:val="20"/>
        </w:rPr>
      </w:pPr>
    </w:p>
    <w:p w:rsidR="008B055E" w:rsidRPr="00E85E82" w:rsidRDefault="008B055E" w:rsidP="00BA157F">
      <w:pPr>
        <w:spacing w:line="233" w:lineRule="auto"/>
        <w:jc w:val="both"/>
        <w:rPr>
          <w:sz w:val="20"/>
          <w:szCs w:val="20"/>
        </w:rPr>
      </w:pPr>
      <w:r w:rsidRPr="00E85E82">
        <w:rPr>
          <w:sz w:val="20"/>
          <w:szCs w:val="20"/>
        </w:rPr>
        <w:t>The motion is dismissed with costs to the respondent, TGS-NOPEC Geophysical Company ASA (TGS).</w:t>
      </w:r>
    </w:p>
    <w:p w:rsidR="008B055E" w:rsidRPr="00E85E82" w:rsidRDefault="008B055E" w:rsidP="00BA157F">
      <w:pPr>
        <w:tabs>
          <w:tab w:val="left" w:pos="-1440"/>
          <w:tab w:val="left" w:pos="-720"/>
        </w:tabs>
        <w:jc w:val="both"/>
        <w:rPr>
          <w:sz w:val="20"/>
          <w:szCs w:val="20"/>
        </w:rPr>
      </w:pPr>
    </w:p>
    <w:p w:rsidR="008B055E" w:rsidRPr="00E85E82" w:rsidRDefault="008B055E" w:rsidP="00BA157F">
      <w:pPr>
        <w:tabs>
          <w:tab w:val="left" w:pos="-1440"/>
          <w:tab w:val="left" w:pos="-720"/>
        </w:tabs>
        <w:jc w:val="both"/>
        <w:rPr>
          <w:sz w:val="20"/>
          <w:szCs w:val="20"/>
        </w:rPr>
      </w:pPr>
    </w:p>
    <w:p w:rsidR="008B055E" w:rsidRPr="00E85E82" w:rsidRDefault="008B055E" w:rsidP="00BA157F">
      <w:pPr>
        <w:tabs>
          <w:tab w:val="left" w:pos="-1440"/>
          <w:tab w:val="left" w:pos="-720"/>
        </w:tabs>
        <w:jc w:val="both"/>
        <w:rPr>
          <w:sz w:val="20"/>
          <w:szCs w:val="20"/>
        </w:rPr>
      </w:pPr>
    </w:p>
    <w:p w:rsidR="008B055E" w:rsidRPr="00E85E82" w:rsidRDefault="008B055E" w:rsidP="00BA157F">
      <w:pPr>
        <w:jc w:val="both"/>
        <w:rPr>
          <w:rFonts w:cs="Times New Roman"/>
          <w:b/>
          <w:bCs/>
          <w:sz w:val="20"/>
          <w:szCs w:val="20"/>
          <w:lang w:val="fr-CA"/>
        </w:rPr>
      </w:pPr>
      <w:r w:rsidRPr="00E85E82">
        <w:rPr>
          <w:rFonts w:cs="Times New Roman"/>
          <w:b/>
          <w:bCs/>
          <w:sz w:val="20"/>
          <w:szCs w:val="20"/>
          <w:lang w:val="fr-CA"/>
        </w:rPr>
        <w:t>À LA SUITE DE LA DEMANDE</w:t>
      </w:r>
      <w:r w:rsidRPr="00E85E82">
        <w:rPr>
          <w:rFonts w:cs="Times New Roman"/>
          <w:bCs/>
          <w:sz w:val="20"/>
          <w:szCs w:val="20"/>
          <w:lang w:val="fr-CA"/>
        </w:rPr>
        <w:t xml:space="preserve"> </w:t>
      </w:r>
      <w:r w:rsidRPr="00E85E82">
        <w:rPr>
          <w:rFonts w:cs="Times New Roman"/>
          <w:sz w:val="20"/>
          <w:szCs w:val="20"/>
          <w:lang w:val="fr-CA"/>
        </w:rPr>
        <w:t>des appelants sollicitant une ordonnance les autorisant à présenter de nouveaux éléments de preuve, c’est-à-dire les affidavits de la D</w:t>
      </w:r>
      <w:r w:rsidRPr="00E85E82">
        <w:rPr>
          <w:rFonts w:cs="Times New Roman"/>
          <w:sz w:val="20"/>
          <w:szCs w:val="20"/>
          <w:vertAlign w:val="superscript"/>
          <w:lang w:val="fr-CA"/>
        </w:rPr>
        <w:t>re</w:t>
      </w:r>
      <w:r w:rsidRPr="00E85E82">
        <w:rPr>
          <w:rFonts w:cs="Times New Roman"/>
          <w:sz w:val="20"/>
          <w:szCs w:val="20"/>
          <w:lang w:val="fr-CA"/>
        </w:rPr>
        <w:t xml:space="preserve"> Linda </w:t>
      </w:r>
      <w:proofErr w:type="spellStart"/>
      <w:r w:rsidRPr="00E85E82">
        <w:rPr>
          <w:rFonts w:cs="Times New Roman"/>
          <w:sz w:val="20"/>
          <w:szCs w:val="20"/>
          <w:lang w:val="fr-CA"/>
        </w:rPr>
        <w:t>Weilgart</w:t>
      </w:r>
      <w:proofErr w:type="spellEnd"/>
      <w:r w:rsidRPr="00E85E82">
        <w:rPr>
          <w:rFonts w:cs="Times New Roman"/>
          <w:sz w:val="20"/>
          <w:szCs w:val="20"/>
          <w:lang w:val="fr-CA"/>
        </w:rPr>
        <w:t xml:space="preserve"> et du professeur George Wenzel;</w:t>
      </w:r>
    </w:p>
    <w:p w:rsidR="008B055E" w:rsidRPr="00E85E82" w:rsidRDefault="008B055E" w:rsidP="00BA157F">
      <w:pPr>
        <w:spacing w:line="233" w:lineRule="auto"/>
        <w:jc w:val="both"/>
        <w:rPr>
          <w:rFonts w:cs="Times New Roman"/>
          <w:sz w:val="20"/>
          <w:szCs w:val="20"/>
          <w:lang w:val="fr-CA"/>
        </w:rPr>
      </w:pPr>
    </w:p>
    <w:p w:rsidR="008B055E" w:rsidRPr="00E85E82" w:rsidRDefault="008B055E" w:rsidP="00BA157F">
      <w:pPr>
        <w:spacing w:line="233" w:lineRule="auto"/>
        <w:jc w:val="both"/>
        <w:rPr>
          <w:rFonts w:cs="Times New Roman"/>
          <w:sz w:val="20"/>
          <w:szCs w:val="20"/>
          <w:lang w:val="fr-CA"/>
        </w:rPr>
      </w:pPr>
      <w:r w:rsidRPr="00E85E82">
        <w:rPr>
          <w:rFonts w:cs="Times New Roman"/>
          <w:b/>
          <w:bCs/>
          <w:sz w:val="20"/>
          <w:szCs w:val="20"/>
          <w:lang w:val="fr-CA"/>
        </w:rPr>
        <w:t>ET APRÈS AVOIR LU</w:t>
      </w:r>
      <w:r w:rsidRPr="00E85E82">
        <w:rPr>
          <w:rFonts w:cs="Times New Roman"/>
          <w:sz w:val="20"/>
          <w:szCs w:val="20"/>
          <w:lang w:val="fr-CA"/>
        </w:rPr>
        <w:t xml:space="preserve"> la documentation déposée,</w:t>
      </w:r>
    </w:p>
    <w:p w:rsidR="008B055E" w:rsidRPr="00E85E82" w:rsidRDefault="008B055E" w:rsidP="00BA157F">
      <w:pPr>
        <w:spacing w:line="233" w:lineRule="auto"/>
        <w:jc w:val="both"/>
        <w:rPr>
          <w:rFonts w:cs="Times New Roman"/>
          <w:sz w:val="20"/>
          <w:szCs w:val="20"/>
          <w:lang w:val="fr-CA"/>
        </w:rPr>
      </w:pPr>
    </w:p>
    <w:p w:rsidR="008B055E" w:rsidRPr="00E85E82" w:rsidRDefault="008B055E" w:rsidP="00BA157F">
      <w:pPr>
        <w:spacing w:line="233" w:lineRule="auto"/>
        <w:jc w:val="both"/>
        <w:rPr>
          <w:rFonts w:cs="Times New Roman"/>
          <w:b/>
          <w:bCs/>
          <w:sz w:val="20"/>
          <w:szCs w:val="20"/>
          <w:lang w:val="fr-CA"/>
        </w:rPr>
      </w:pPr>
      <w:r w:rsidRPr="00E85E82">
        <w:rPr>
          <w:rFonts w:cs="Times New Roman"/>
          <w:b/>
          <w:bCs/>
          <w:sz w:val="20"/>
          <w:szCs w:val="20"/>
          <w:lang w:val="fr-CA"/>
        </w:rPr>
        <w:t>IL EST PAR LES PRÉSENTES ORDONNÉ CE QUI SUIT :</w:t>
      </w:r>
    </w:p>
    <w:p w:rsidR="008B055E" w:rsidRPr="00E85E82" w:rsidRDefault="008B055E" w:rsidP="00BA157F">
      <w:pPr>
        <w:spacing w:line="233" w:lineRule="auto"/>
        <w:jc w:val="both"/>
        <w:rPr>
          <w:rFonts w:cs="Times New Roman"/>
          <w:b/>
          <w:bCs/>
          <w:sz w:val="20"/>
          <w:szCs w:val="20"/>
          <w:lang w:val="fr-CA"/>
        </w:rPr>
      </w:pPr>
    </w:p>
    <w:p w:rsidR="008B055E" w:rsidRPr="00C556BB" w:rsidRDefault="008B055E" w:rsidP="00BA157F">
      <w:pPr>
        <w:tabs>
          <w:tab w:val="left" w:pos="-1440"/>
          <w:tab w:val="left" w:pos="-720"/>
        </w:tabs>
        <w:jc w:val="both"/>
        <w:rPr>
          <w:sz w:val="20"/>
          <w:szCs w:val="20"/>
          <w:lang w:val="fr-CA"/>
        </w:rPr>
      </w:pPr>
      <w:r w:rsidRPr="00E85E82">
        <w:rPr>
          <w:rFonts w:cs="Times New Roman"/>
          <w:sz w:val="20"/>
          <w:szCs w:val="20"/>
          <w:lang w:val="fr-CA"/>
        </w:rPr>
        <w:t xml:space="preserve">La requête est rejetée avec dépens en faveur de l’intimée, TGS-NOPEC </w:t>
      </w:r>
      <w:proofErr w:type="spellStart"/>
      <w:r w:rsidRPr="00E85E82">
        <w:rPr>
          <w:rFonts w:cs="Times New Roman"/>
          <w:sz w:val="20"/>
          <w:szCs w:val="20"/>
          <w:lang w:val="fr-CA"/>
        </w:rPr>
        <w:t>Geophysical</w:t>
      </w:r>
      <w:proofErr w:type="spellEnd"/>
      <w:r w:rsidRPr="00E85E82">
        <w:rPr>
          <w:rFonts w:cs="Times New Roman"/>
          <w:sz w:val="20"/>
          <w:szCs w:val="20"/>
          <w:lang w:val="fr-CA"/>
        </w:rPr>
        <w:t xml:space="preserve"> </w:t>
      </w:r>
      <w:proofErr w:type="spellStart"/>
      <w:r w:rsidRPr="00E85E82">
        <w:rPr>
          <w:rFonts w:cs="Times New Roman"/>
          <w:sz w:val="20"/>
          <w:szCs w:val="20"/>
          <w:lang w:val="fr-CA"/>
        </w:rPr>
        <w:t>Company</w:t>
      </w:r>
      <w:proofErr w:type="spellEnd"/>
      <w:r w:rsidRPr="00E85E82">
        <w:rPr>
          <w:rFonts w:cs="Times New Roman"/>
          <w:sz w:val="20"/>
          <w:szCs w:val="20"/>
          <w:lang w:val="fr-CA"/>
        </w:rPr>
        <w:t xml:space="preserve"> ASA (TGS).</w:t>
      </w:r>
    </w:p>
    <w:p w:rsidR="008B055E" w:rsidRPr="00E85E82" w:rsidRDefault="008B055E" w:rsidP="008B055E">
      <w:pPr>
        <w:tabs>
          <w:tab w:val="left" w:pos="-1440"/>
          <w:tab w:val="left" w:pos="-720"/>
        </w:tabs>
        <w:jc w:val="both"/>
        <w:rPr>
          <w:sz w:val="20"/>
          <w:szCs w:val="20"/>
          <w:lang w:val="fr-FR"/>
        </w:rPr>
      </w:pPr>
    </w:p>
    <w:p w:rsidR="008B055E" w:rsidRPr="00E85E82" w:rsidRDefault="00B407D6" w:rsidP="008B055E">
      <w:pPr>
        <w:tabs>
          <w:tab w:val="left" w:pos="-1440"/>
          <w:tab w:val="left" w:pos="-720"/>
        </w:tabs>
        <w:jc w:val="both"/>
        <w:rPr>
          <w:sz w:val="20"/>
          <w:szCs w:val="20"/>
          <w:lang w:val="fr-CA"/>
        </w:rPr>
      </w:pPr>
      <w:r>
        <w:rPr>
          <w:sz w:val="20"/>
          <w:szCs w:val="20"/>
          <w:lang w:val="fr-CA"/>
        </w:rPr>
        <w:pict>
          <v:rect id="_x0000_i1084" style="width:2in;height:1pt" o:hrpct="0" o:hralign="center" o:hrstd="t" o:hrnoshade="t" o:hr="t" fillcolor="black [3213]" stroked="f"/>
        </w:pict>
      </w:r>
    </w:p>
    <w:p w:rsidR="008B055E" w:rsidRPr="00E85E82" w:rsidRDefault="008B055E" w:rsidP="008B055E">
      <w:pPr>
        <w:tabs>
          <w:tab w:val="left" w:pos="-1440"/>
          <w:tab w:val="left" w:pos="-720"/>
        </w:tabs>
        <w:jc w:val="both"/>
        <w:rPr>
          <w:sz w:val="20"/>
          <w:szCs w:val="20"/>
          <w:lang w:val="fr-CA"/>
        </w:rPr>
      </w:pPr>
    </w:p>
    <w:p w:rsidR="008B055E" w:rsidRPr="00E85E82" w:rsidRDefault="008B055E" w:rsidP="008B055E">
      <w:pPr>
        <w:tabs>
          <w:tab w:val="left" w:pos="-1440"/>
          <w:tab w:val="left" w:pos="-720"/>
        </w:tabs>
        <w:jc w:val="both"/>
        <w:rPr>
          <w:sz w:val="20"/>
          <w:szCs w:val="20"/>
          <w:lang w:val="fr-CA"/>
        </w:rPr>
      </w:pPr>
      <w:r w:rsidRPr="00E85E82">
        <w:rPr>
          <w:sz w:val="20"/>
          <w:szCs w:val="20"/>
          <w:lang w:val="fr-CA"/>
        </w:rPr>
        <w:t>16.06.2016</w:t>
      </w:r>
    </w:p>
    <w:p w:rsidR="008B055E" w:rsidRPr="00E85E82" w:rsidRDefault="008B055E" w:rsidP="008B055E">
      <w:pPr>
        <w:tabs>
          <w:tab w:val="left" w:pos="-1440"/>
          <w:tab w:val="left" w:pos="-720"/>
        </w:tabs>
        <w:jc w:val="both"/>
        <w:rPr>
          <w:sz w:val="20"/>
          <w:szCs w:val="20"/>
          <w:lang w:val="fr-CA"/>
        </w:rPr>
      </w:pPr>
    </w:p>
    <w:p w:rsidR="008B055E" w:rsidRPr="00E85E82" w:rsidRDefault="008B055E" w:rsidP="008B055E">
      <w:pPr>
        <w:tabs>
          <w:tab w:val="left" w:pos="-1440"/>
          <w:tab w:val="left" w:pos="-720"/>
        </w:tabs>
        <w:jc w:val="both"/>
        <w:rPr>
          <w:sz w:val="20"/>
          <w:szCs w:val="20"/>
          <w:lang w:val="fr-CA"/>
        </w:rPr>
      </w:pPr>
      <w:proofErr w:type="spellStart"/>
      <w:r w:rsidRPr="00E85E82">
        <w:rPr>
          <w:sz w:val="20"/>
          <w:szCs w:val="20"/>
          <w:lang w:val="fr-CA"/>
        </w:rPr>
        <w:t>Before</w:t>
      </w:r>
      <w:proofErr w:type="spellEnd"/>
      <w:r w:rsidRPr="00E85E82">
        <w:rPr>
          <w:sz w:val="20"/>
          <w:szCs w:val="20"/>
          <w:lang w:val="fr-CA"/>
        </w:rPr>
        <w:t xml:space="preserve"> / Devant :   THE CHIEF JUSTICE / LA JUGE EN CHEF</w:t>
      </w:r>
    </w:p>
    <w:p w:rsidR="008B055E" w:rsidRPr="00E85E82" w:rsidRDefault="008B055E" w:rsidP="008B055E">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1139"/>
        <w:gridCol w:w="4240"/>
      </w:tblGrid>
      <w:tr w:rsidR="008B055E" w:rsidRPr="00B407D6" w:rsidTr="00BA157F">
        <w:trPr>
          <w:trHeight w:val="151"/>
        </w:trPr>
        <w:tc>
          <w:tcPr>
            <w:tcW w:w="4338" w:type="dxa"/>
          </w:tcPr>
          <w:p w:rsidR="008B055E" w:rsidRPr="00E85E82" w:rsidRDefault="008B055E" w:rsidP="00BA157F">
            <w:pPr>
              <w:tabs>
                <w:tab w:val="left" w:pos="-1440"/>
                <w:tab w:val="left" w:pos="-720"/>
              </w:tabs>
              <w:jc w:val="both"/>
              <w:rPr>
                <w:b/>
                <w:sz w:val="20"/>
                <w:szCs w:val="20"/>
              </w:rPr>
            </w:pPr>
            <w:r w:rsidRPr="00E85E82">
              <w:rPr>
                <w:sz w:val="20"/>
                <w:szCs w:val="20"/>
              </w:rPr>
              <w:fldChar w:fldCharType="begin"/>
            </w:r>
            <w:r w:rsidRPr="00E85E82">
              <w:rPr>
                <w:sz w:val="20"/>
                <w:szCs w:val="20"/>
              </w:rPr>
              <w:instrText xml:space="preserve"> SEQ CHAPTER \h \r 1</w:instrText>
            </w:r>
            <w:r w:rsidRPr="00E85E82">
              <w:rPr>
                <w:sz w:val="20"/>
                <w:szCs w:val="20"/>
              </w:rPr>
              <w:fldChar w:fldCharType="end"/>
            </w:r>
            <w:r w:rsidRPr="00E85E82">
              <w:rPr>
                <w:b/>
                <w:bCs/>
                <w:sz w:val="20"/>
                <w:szCs w:val="20"/>
              </w:rPr>
              <w:t>Motion to state constitutional questions</w:t>
            </w:r>
          </w:p>
        </w:tc>
        <w:tc>
          <w:tcPr>
            <w:tcW w:w="1170" w:type="dxa"/>
          </w:tcPr>
          <w:p w:rsidR="008B055E" w:rsidRPr="00E85E82" w:rsidRDefault="008B055E" w:rsidP="00BA157F">
            <w:pPr>
              <w:jc w:val="both"/>
              <w:rPr>
                <w:sz w:val="20"/>
                <w:szCs w:val="20"/>
              </w:rPr>
            </w:pPr>
          </w:p>
          <w:p w:rsidR="008B055E" w:rsidRPr="00E85E82" w:rsidRDefault="008B055E" w:rsidP="00BA157F">
            <w:pPr>
              <w:jc w:val="both"/>
              <w:rPr>
                <w:sz w:val="20"/>
                <w:szCs w:val="20"/>
              </w:rPr>
            </w:pPr>
          </w:p>
        </w:tc>
        <w:tc>
          <w:tcPr>
            <w:tcW w:w="4327" w:type="dxa"/>
          </w:tcPr>
          <w:p w:rsidR="008B055E" w:rsidRPr="00E85E82" w:rsidRDefault="008B055E" w:rsidP="00BA157F">
            <w:pPr>
              <w:tabs>
                <w:tab w:val="left" w:pos="-1440"/>
                <w:tab w:val="left" w:pos="-720"/>
              </w:tabs>
              <w:jc w:val="both"/>
              <w:rPr>
                <w:sz w:val="20"/>
                <w:szCs w:val="20"/>
                <w:lang w:val="fr-CA"/>
              </w:rPr>
            </w:pPr>
            <w:r w:rsidRPr="00E85E82">
              <w:rPr>
                <w:sz w:val="20"/>
                <w:szCs w:val="20"/>
              </w:rPr>
              <w:fldChar w:fldCharType="begin"/>
            </w:r>
            <w:r w:rsidRPr="00E85E82">
              <w:rPr>
                <w:sz w:val="20"/>
                <w:szCs w:val="20"/>
                <w:lang w:val="fr-CA"/>
              </w:rPr>
              <w:instrText xml:space="preserve"> SEQ CHAPTER \h \r 1</w:instrText>
            </w:r>
            <w:r w:rsidRPr="00E85E82">
              <w:rPr>
                <w:sz w:val="20"/>
                <w:szCs w:val="20"/>
              </w:rPr>
              <w:fldChar w:fldCharType="end"/>
            </w:r>
            <w:r w:rsidRPr="00E85E82">
              <w:rPr>
                <w:b/>
                <w:bCs/>
                <w:sz w:val="20"/>
                <w:szCs w:val="20"/>
                <w:lang w:val="fr-CA"/>
              </w:rPr>
              <w:t>Requête en formulation de questions constitutionnelles</w:t>
            </w:r>
            <w:r w:rsidRPr="00E85E82">
              <w:rPr>
                <w:sz w:val="20"/>
                <w:szCs w:val="20"/>
              </w:rPr>
              <w:fldChar w:fldCharType="begin"/>
            </w:r>
            <w:r w:rsidRPr="00E85E82">
              <w:rPr>
                <w:sz w:val="20"/>
                <w:szCs w:val="20"/>
                <w:lang w:val="fr-CA"/>
              </w:rPr>
              <w:instrText xml:space="preserve"> SEQ CHAPTER \h \r 1</w:instrText>
            </w:r>
            <w:r w:rsidRPr="00E85E82">
              <w:rPr>
                <w:sz w:val="20"/>
                <w:szCs w:val="20"/>
              </w:rPr>
              <w:fldChar w:fldCharType="end"/>
            </w:r>
            <w:r w:rsidRPr="00E85E82">
              <w:rPr>
                <w:sz w:val="20"/>
                <w:szCs w:val="20"/>
              </w:rPr>
              <w:fldChar w:fldCharType="begin"/>
            </w:r>
            <w:r w:rsidRPr="00E85E82">
              <w:rPr>
                <w:sz w:val="20"/>
                <w:szCs w:val="20"/>
                <w:lang w:val="fr-CA"/>
              </w:rPr>
              <w:instrText xml:space="preserve"> SEQ CHAPTER \h \r 1</w:instrText>
            </w:r>
            <w:r w:rsidRPr="00E85E82">
              <w:rPr>
                <w:sz w:val="20"/>
                <w:szCs w:val="20"/>
              </w:rPr>
              <w:fldChar w:fldCharType="end"/>
            </w:r>
            <w:r w:rsidRPr="00E85E82">
              <w:rPr>
                <w:sz w:val="20"/>
                <w:szCs w:val="20"/>
              </w:rPr>
              <w:fldChar w:fldCharType="begin"/>
            </w:r>
            <w:r w:rsidRPr="00E85E82">
              <w:rPr>
                <w:sz w:val="20"/>
                <w:szCs w:val="20"/>
                <w:lang w:val="fr-CA"/>
              </w:rPr>
              <w:instrText xml:space="preserve"> SEQ CHAPTER \h \r 1</w:instrText>
            </w:r>
            <w:r w:rsidRPr="00E85E82">
              <w:rPr>
                <w:sz w:val="20"/>
                <w:szCs w:val="20"/>
              </w:rPr>
              <w:fldChar w:fldCharType="end"/>
            </w:r>
          </w:p>
        </w:tc>
      </w:tr>
      <w:tr w:rsidR="008B055E" w:rsidRPr="00B407D6" w:rsidTr="00BA157F">
        <w:trPr>
          <w:trHeight w:val="150"/>
        </w:trPr>
        <w:tc>
          <w:tcPr>
            <w:tcW w:w="4338" w:type="dxa"/>
          </w:tcPr>
          <w:p w:rsidR="008B055E" w:rsidRPr="00C556BB" w:rsidRDefault="008B055E" w:rsidP="00BA157F">
            <w:pPr>
              <w:tabs>
                <w:tab w:val="left" w:pos="-1440"/>
                <w:tab w:val="left" w:pos="-720"/>
              </w:tabs>
              <w:jc w:val="both"/>
              <w:rPr>
                <w:sz w:val="20"/>
                <w:szCs w:val="20"/>
                <w:lang w:val="fr-CA"/>
              </w:rPr>
            </w:pPr>
            <w:r w:rsidRPr="00C556BB">
              <w:rPr>
                <w:sz w:val="20"/>
                <w:szCs w:val="20"/>
                <w:lang w:val="fr-CA"/>
              </w:rPr>
              <w:t xml:space="preserve">Procureur </w:t>
            </w:r>
            <w:proofErr w:type="spellStart"/>
            <w:r w:rsidRPr="00C556BB">
              <w:rPr>
                <w:sz w:val="20"/>
                <w:szCs w:val="20"/>
                <w:lang w:val="fr-CA"/>
              </w:rPr>
              <w:t>general</w:t>
            </w:r>
            <w:proofErr w:type="spellEnd"/>
            <w:r w:rsidRPr="00C556BB">
              <w:rPr>
                <w:sz w:val="20"/>
                <w:szCs w:val="20"/>
                <w:lang w:val="fr-CA"/>
              </w:rPr>
              <w:t xml:space="preserve"> du Canada et autre</w:t>
            </w:r>
          </w:p>
          <w:p w:rsidR="008B055E" w:rsidRPr="00C556BB" w:rsidRDefault="008B055E" w:rsidP="00BA157F">
            <w:pPr>
              <w:tabs>
                <w:tab w:val="left" w:pos="-1440"/>
                <w:tab w:val="left" w:pos="-720"/>
              </w:tabs>
              <w:jc w:val="both"/>
              <w:rPr>
                <w:sz w:val="20"/>
                <w:szCs w:val="20"/>
                <w:lang w:val="fr-CA"/>
              </w:rPr>
            </w:pPr>
          </w:p>
          <w:p w:rsidR="008B055E" w:rsidRPr="00C556BB" w:rsidRDefault="008B055E" w:rsidP="00BA157F">
            <w:pPr>
              <w:tabs>
                <w:tab w:val="left" w:pos="-1440"/>
                <w:tab w:val="left" w:pos="-720"/>
              </w:tabs>
              <w:jc w:val="both"/>
              <w:rPr>
                <w:sz w:val="20"/>
                <w:szCs w:val="20"/>
                <w:lang w:val="fr-CA"/>
              </w:rPr>
            </w:pPr>
            <w:r w:rsidRPr="00C556BB">
              <w:rPr>
                <w:sz w:val="20"/>
                <w:szCs w:val="20"/>
                <w:lang w:val="fr-CA"/>
              </w:rPr>
              <w:tab/>
              <w:t>c. (36746)</w:t>
            </w:r>
          </w:p>
          <w:p w:rsidR="008B055E" w:rsidRPr="00C556BB" w:rsidRDefault="008B055E" w:rsidP="00BA157F">
            <w:pPr>
              <w:tabs>
                <w:tab w:val="left" w:pos="-1440"/>
                <w:tab w:val="left" w:pos="-720"/>
              </w:tabs>
              <w:jc w:val="both"/>
              <w:rPr>
                <w:sz w:val="20"/>
                <w:szCs w:val="20"/>
                <w:lang w:val="fr-CA"/>
              </w:rPr>
            </w:pPr>
          </w:p>
          <w:p w:rsidR="008B055E" w:rsidRPr="00C556BB" w:rsidRDefault="008B055E" w:rsidP="00BA157F">
            <w:pPr>
              <w:tabs>
                <w:tab w:val="left" w:pos="-1440"/>
                <w:tab w:val="left" w:pos="-720"/>
              </w:tabs>
              <w:jc w:val="both"/>
              <w:rPr>
                <w:sz w:val="20"/>
                <w:szCs w:val="20"/>
                <w:lang w:val="fr-CA"/>
              </w:rPr>
            </w:pPr>
            <w:r w:rsidRPr="00C556BB">
              <w:rPr>
                <w:sz w:val="20"/>
                <w:szCs w:val="20"/>
                <w:lang w:val="fr-CA"/>
              </w:rPr>
              <w:t xml:space="preserve">Benoît </w:t>
            </w:r>
            <w:proofErr w:type="spellStart"/>
            <w:r w:rsidRPr="00C556BB">
              <w:rPr>
                <w:sz w:val="20"/>
                <w:szCs w:val="20"/>
                <w:lang w:val="fr-CA"/>
              </w:rPr>
              <w:t>Way</w:t>
            </w:r>
            <w:proofErr w:type="spellEnd"/>
            <w:r w:rsidRPr="00C556BB">
              <w:rPr>
                <w:sz w:val="20"/>
                <w:szCs w:val="20"/>
                <w:lang w:val="fr-CA"/>
              </w:rPr>
              <w:t xml:space="preserve"> et autre (</w:t>
            </w:r>
            <w:proofErr w:type="spellStart"/>
            <w:r w:rsidRPr="00C556BB">
              <w:rPr>
                <w:sz w:val="20"/>
                <w:szCs w:val="20"/>
                <w:lang w:val="fr-CA"/>
              </w:rPr>
              <w:t>Qc</w:t>
            </w:r>
            <w:proofErr w:type="spellEnd"/>
            <w:r w:rsidRPr="00C556BB">
              <w:rPr>
                <w:sz w:val="20"/>
                <w:szCs w:val="20"/>
                <w:lang w:val="fr-CA"/>
              </w:rPr>
              <w:t>)</w:t>
            </w:r>
          </w:p>
        </w:tc>
        <w:tc>
          <w:tcPr>
            <w:tcW w:w="1170" w:type="dxa"/>
          </w:tcPr>
          <w:p w:rsidR="008B055E" w:rsidRPr="00C556BB" w:rsidRDefault="008B055E" w:rsidP="00BA157F">
            <w:pPr>
              <w:jc w:val="both"/>
              <w:rPr>
                <w:sz w:val="20"/>
                <w:szCs w:val="20"/>
                <w:lang w:val="fr-CA"/>
              </w:rPr>
            </w:pPr>
          </w:p>
        </w:tc>
        <w:tc>
          <w:tcPr>
            <w:tcW w:w="4327" w:type="dxa"/>
          </w:tcPr>
          <w:p w:rsidR="008B055E" w:rsidRPr="00C556BB" w:rsidRDefault="008B055E" w:rsidP="00BA157F">
            <w:pPr>
              <w:jc w:val="both"/>
              <w:rPr>
                <w:sz w:val="20"/>
                <w:szCs w:val="20"/>
                <w:lang w:val="fr-CA"/>
              </w:rPr>
            </w:pPr>
          </w:p>
        </w:tc>
      </w:tr>
    </w:tbl>
    <w:p w:rsidR="008B055E" w:rsidRPr="00E85E82" w:rsidRDefault="008B055E" w:rsidP="008B055E">
      <w:pPr>
        <w:jc w:val="both"/>
        <w:rPr>
          <w:sz w:val="20"/>
          <w:szCs w:val="20"/>
          <w:lang w:val="fr-CA"/>
        </w:rPr>
      </w:pPr>
    </w:p>
    <w:p w:rsidR="008B055E" w:rsidRPr="00C556BB" w:rsidRDefault="008B055E" w:rsidP="008B055E">
      <w:pPr>
        <w:tabs>
          <w:tab w:val="left" w:pos="-1440"/>
          <w:tab w:val="left" w:pos="-720"/>
        </w:tabs>
        <w:jc w:val="both"/>
        <w:rPr>
          <w:sz w:val="20"/>
          <w:szCs w:val="20"/>
          <w:lang w:val="fr-CA"/>
        </w:rPr>
      </w:pPr>
      <w:r w:rsidRPr="00C556BB">
        <w:rPr>
          <w:b/>
          <w:sz w:val="20"/>
          <w:szCs w:val="20"/>
          <w:lang w:val="fr-CA"/>
        </w:rPr>
        <w:t>ALLOWED / ACCUEILLI</w:t>
      </w:r>
    </w:p>
    <w:p w:rsidR="008B055E" w:rsidRPr="00C556BB" w:rsidRDefault="008B055E" w:rsidP="008B055E">
      <w:pPr>
        <w:tabs>
          <w:tab w:val="left" w:pos="-1440"/>
          <w:tab w:val="left" w:pos="-720"/>
        </w:tabs>
        <w:jc w:val="both"/>
        <w:rPr>
          <w:sz w:val="20"/>
          <w:szCs w:val="20"/>
          <w:lang w:val="fr-CA"/>
        </w:rPr>
      </w:pPr>
    </w:p>
    <w:p w:rsidR="008B055E" w:rsidRPr="00E85E82" w:rsidRDefault="008B055E" w:rsidP="00BA157F">
      <w:pPr>
        <w:jc w:val="both"/>
        <w:rPr>
          <w:sz w:val="20"/>
          <w:szCs w:val="20"/>
          <w:lang w:val="fr-CA"/>
        </w:rPr>
      </w:pPr>
      <w:r w:rsidRPr="00E85E82">
        <w:rPr>
          <w:b/>
          <w:bCs/>
          <w:sz w:val="20"/>
          <w:szCs w:val="20"/>
          <w:lang w:val="fr-CA"/>
        </w:rPr>
        <w:t>À LA SUITE DE LA DEMANDE</w:t>
      </w:r>
      <w:r w:rsidRPr="00E85E82">
        <w:rPr>
          <w:sz w:val="20"/>
          <w:szCs w:val="20"/>
          <w:lang w:val="fr-CA"/>
        </w:rPr>
        <w:t xml:space="preserve"> des appelants visant à obtenir la formulation de questions constitutionnelles dans l’appel susmentionné;</w:t>
      </w:r>
    </w:p>
    <w:p w:rsidR="008B055E" w:rsidRPr="00E85E82" w:rsidRDefault="008B055E" w:rsidP="008B055E">
      <w:pPr>
        <w:rPr>
          <w:sz w:val="20"/>
          <w:szCs w:val="20"/>
          <w:lang w:val="fr-CA"/>
        </w:rPr>
      </w:pPr>
    </w:p>
    <w:p w:rsidR="008B055E" w:rsidRPr="00E85E82" w:rsidRDefault="008B055E" w:rsidP="008B055E">
      <w:pPr>
        <w:rPr>
          <w:sz w:val="20"/>
          <w:szCs w:val="20"/>
          <w:lang w:val="fr-CA"/>
        </w:rPr>
      </w:pPr>
      <w:r w:rsidRPr="00E85E82">
        <w:rPr>
          <w:b/>
          <w:bCs/>
          <w:sz w:val="20"/>
          <w:szCs w:val="20"/>
          <w:lang w:val="fr-CA"/>
        </w:rPr>
        <w:t>ET APRÈS AVOIR LU</w:t>
      </w:r>
      <w:r w:rsidRPr="00E85E82">
        <w:rPr>
          <w:sz w:val="20"/>
          <w:szCs w:val="20"/>
          <w:lang w:val="fr-CA"/>
        </w:rPr>
        <w:t xml:space="preserve"> la documentation déposée,</w:t>
      </w:r>
    </w:p>
    <w:p w:rsidR="008B055E" w:rsidRPr="00E85E82" w:rsidRDefault="008B055E">
      <w:pPr>
        <w:rPr>
          <w:sz w:val="20"/>
          <w:szCs w:val="20"/>
          <w:lang w:val="fr-CA"/>
        </w:rPr>
      </w:pPr>
      <w:r w:rsidRPr="00E85E82">
        <w:rPr>
          <w:sz w:val="20"/>
          <w:szCs w:val="20"/>
          <w:lang w:val="fr-CA"/>
        </w:rPr>
        <w:br w:type="page"/>
      </w:r>
    </w:p>
    <w:p w:rsidR="008B055E" w:rsidRPr="00E85E82" w:rsidRDefault="008B055E" w:rsidP="00BA157F">
      <w:pPr>
        <w:jc w:val="both"/>
        <w:rPr>
          <w:b/>
          <w:bCs/>
          <w:sz w:val="20"/>
          <w:szCs w:val="20"/>
          <w:lang w:val="fr-CA"/>
        </w:rPr>
      </w:pPr>
      <w:r w:rsidRPr="00E85E82">
        <w:rPr>
          <w:b/>
          <w:bCs/>
          <w:sz w:val="20"/>
          <w:szCs w:val="20"/>
          <w:lang w:val="fr-CA"/>
        </w:rPr>
        <w:t>LES QUESTIONS CONSTITUTIONNELLES SUIVANTES SONT FORMULÉES :</w:t>
      </w:r>
    </w:p>
    <w:p w:rsidR="008B055E" w:rsidRPr="00E85E82" w:rsidRDefault="008B055E" w:rsidP="00BA157F">
      <w:pPr>
        <w:jc w:val="both"/>
        <w:rPr>
          <w:b/>
          <w:bCs/>
          <w:sz w:val="20"/>
          <w:szCs w:val="20"/>
          <w:lang w:val="fr-CA"/>
        </w:rPr>
      </w:pPr>
    </w:p>
    <w:p w:rsidR="008B055E" w:rsidRPr="00E85E82" w:rsidRDefault="008B055E" w:rsidP="00BA157F">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E85E82">
        <w:rPr>
          <w:rFonts w:cs="Times New Roman"/>
          <w:sz w:val="20"/>
          <w:szCs w:val="20"/>
          <w:lang w:val="fr-CA"/>
        </w:rPr>
        <w:t xml:space="preserve">L’alinéa 140(1)(d) de la </w:t>
      </w:r>
      <w:r w:rsidRPr="00E85E82">
        <w:rPr>
          <w:rFonts w:cs="Times New Roman"/>
          <w:i/>
          <w:sz w:val="20"/>
          <w:szCs w:val="20"/>
          <w:lang w:val="fr-CA"/>
        </w:rPr>
        <w:t>Loi sur le système correctionnel et la mise en liberté sous condition</w:t>
      </w:r>
      <w:r w:rsidRPr="00E85E82">
        <w:rPr>
          <w:rFonts w:cs="Times New Roman"/>
          <w:sz w:val="20"/>
          <w:szCs w:val="20"/>
          <w:lang w:val="fr-CA"/>
        </w:rPr>
        <w:t xml:space="preserve">, L.C. 1992, c. 20, tel qu’il a été modifié par l’article 527 de la </w:t>
      </w:r>
      <w:r w:rsidRPr="00E85E82">
        <w:rPr>
          <w:rFonts w:cs="Times New Roman"/>
          <w:i/>
          <w:sz w:val="20"/>
          <w:szCs w:val="20"/>
          <w:lang w:val="fr-CA"/>
        </w:rPr>
        <w:t>Loi sur l’emploi, la croissance et la prospérité durable</w:t>
      </w:r>
      <w:r w:rsidRPr="00E85E82">
        <w:rPr>
          <w:rFonts w:cs="Times New Roman"/>
          <w:sz w:val="20"/>
          <w:szCs w:val="20"/>
          <w:lang w:val="fr-CA"/>
        </w:rPr>
        <w:t xml:space="preserve">, L.C. 2012, c. 19, contrevient-il à l’article 7 de la </w:t>
      </w:r>
      <w:r w:rsidRPr="00E85E82">
        <w:rPr>
          <w:rFonts w:cs="Times New Roman"/>
          <w:i/>
          <w:sz w:val="20"/>
          <w:szCs w:val="20"/>
          <w:lang w:val="fr-CA"/>
        </w:rPr>
        <w:t>Charte canadienne des droits et libertés</w:t>
      </w:r>
      <w:r w:rsidRPr="00E85E82">
        <w:rPr>
          <w:rFonts w:cs="Times New Roman"/>
          <w:sz w:val="20"/>
          <w:szCs w:val="20"/>
          <w:lang w:val="fr-CA"/>
        </w:rPr>
        <w:t>?</w:t>
      </w:r>
    </w:p>
    <w:p w:rsidR="008B055E" w:rsidRPr="00E85E82" w:rsidRDefault="008B055E" w:rsidP="00BA157F">
      <w:pPr>
        <w:pStyle w:val="ListParagraph"/>
        <w:jc w:val="both"/>
        <w:rPr>
          <w:rFonts w:cs="Times New Roman"/>
          <w:sz w:val="20"/>
          <w:szCs w:val="20"/>
          <w:lang w:val="fr-CA"/>
        </w:rPr>
      </w:pPr>
    </w:p>
    <w:p w:rsidR="008B055E" w:rsidRPr="00E85E82" w:rsidRDefault="008B055E" w:rsidP="00BA157F">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E85E82">
        <w:rPr>
          <w:rFonts w:cs="Times New Roman"/>
          <w:sz w:val="20"/>
          <w:szCs w:val="20"/>
          <w:lang w:val="fr-CA"/>
        </w:rPr>
        <w:t xml:space="preserve">Dans l’affirmative, s’agit-il d’une limite raisonnable prescrite par une règle de droit dont la justification peut se démontrer dans le cadre d’une société libre et démocratique au sens de l’article premier de la </w:t>
      </w:r>
      <w:r w:rsidRPr="00E85E82">
        <w:rPr>
          <w:rFonts w:cs="Times New Roman"/>
          <w:i/>
          <w:sz w:val="20"/>
          <w:szCs w:val="20"/>
          <w:lang w:val="fr-CA"/>
        </w:rPr>
        <w:t>Charte canadienne des droits et libertés</w:t>
      </w:r>
      <w:r w:rsidRPr="00E85E82">
        <w:rPr>
          <w:rFonts w:cs="Times New Roman"/>
          <w:sz w:val="20"/>
          <w:szCs w:val="20"/>
          <w:lang w:val="fr-CA"/>
        </w:rPr>
        <w:t>?</w:t>
      </w:r>
    </w:p>
    <w:p w:rsidR="008B055E" w:rsidRPr="00E85E82" w:rsidRDefault="008B055E" w:rsidP="00BA157F">
      <w:pPr>
        <w:jc w:val="both"/>
        <w:rPr>
          <w:sz w:val="20"/>
          <w:szCs w:val="20"/>
          <w:lang w:val="fr-CA"/>
        </w:rPr>
      </w:pPr>
    </w:p>
    <w:p w:rsidR="008B055E" w:rsidRPr="00E85E82" w:rsidRDefault="008B055E" w:rsidP="00BA157F">
      <w:pPr>
        <w:jc w:val="both"/>
        <w:rPr>
          <w:sz w:val="20"/>
          <w:szCs w:val="20"/>
          <w:lang w:val="fr-FR"/>
        </w:rPr>
      </w:pPr>
      <w:r w:rsidRPr="00E85E82">
        <w:rPr>
          <w:sz w:val="20"/>
          <w:szCs w:val="20"/>
          <w:lang w:val="fr-CA"/>
        </w:rPr>
        <w:t>T</w:t>
      </w:r>
      <w:r w:rsidRPr="00E85E82">
        <w:rPr>
          <w:sz w:val="20"/>
          <w:szCs w:val="20"/>
          <w:lang w:val="fr-FR"/>
        </w:rPr>
        <w:t xml:space="preserve">out procureur général qui interviendra en vertu du par. 61(4) des </w:t>
      </w:r>
      <w:r w:rsidRPr="00E85E82">
        <w:rPr>
          <w:i/>
          <w:iCs/>
          <w:sz w:val="20"/>
          <w:szCs w:val="20"/>
          <w:lang w:val="fr-FR"/>
        </w:rPr>
        <w:t>Règles de la Cour suprême du Canada</w:t>
      </w:r>
      <w:r w:rsidRPr="00E85E82">
        <w:rPr>
          <w:sz w:val="20"/>
          <w:szCs w:val="20"/>
          <w:lang w:val="fr-FR"/>
        </w:rPr>
        <w:t xml:space="preserve"> sera tenu de payer aux appelants et aux intimés les dépens supplémentaires résultant de son intervention.</w:t>
      </w:r>
    </w:p>
    <w:p w:rsidR="008B055E" w:rsidRPr="00E85E82" w:rsidRDefault="008B055E" w:rsidP="008B055E">
      <w:pPr>
        <w:rPr>
          <w:b/>
          <w:bCs/>
          <w:sz w:val="20"/>
          <w:szCs w:val="20"/>
          <w:lang w:val="fr-FR"/>
        </w:rPr>
      </w:pPr>
    </w:p>
    <w:p w:rsidR="008B055E" w:rsidRPr="00E85E82" w:rsidRDefault="008B055E" w:rsidP="008B055E">
      <w:pPr>
        <w:rPr>
          <w:b/>
          <w:bCs/>
          <w:sz w:val="20"/>
          <w:szCs w:val="20"/>
          <w:lang w:val="fr-FR"/>
        </w:rPr>
      </w:pPr>
    </w:p>
    <w:p w:rsidR="008B055E" w:rsidRPr="00E85E82" w:rsidRDefault="008B055E" w:rsidP="008B055E">
      <w:pPr>
        <w:rPr>
          <w:b/>
          <w:bCs/>
          <w:sz w:val="20"/>
          <w:szCs w:val="20"/>
          <w:lang w:val="fr-CA"/>
        </w:rPr>
      </w:pPr>
    </w:p>
    <w:p w:rsidR="008B055E" w:rsidRPr="00E85E82" w:rsidRDefault="008B055E" w:rsidP="00BA157F">
      <w:pPr>
        <w:jc w:val="both"/>
        <w:rPr>
          <w:sz w:val="20"/>
          <w:szCs w:val="20"/>
        </w:rPr>
      </w:pPr>
      <w:r w:rsidRPr="00E85E82">
        <w:rPr>
          <w:b/>
          <w:bCs/>
          <w:sz w:val="20"/>
          <w:szCs w:val="20"/>
        </w:rPr>
        <w:t>UPON APPLICATION</w:t>
      </w:r>
      <w:r w:rsidRPr="00E85E82">
        <w:rPr>
          <w:sz w:val="20"/>
          <w:szCs w:val="20"/>
        </w:rPr>
        <w:t xml:space="preserve"> by the appellants </w:t>
      </w:r>
      <w:r w:rsidRPr="00E85E82">
        <w:rPr>
          <w:sz w:val="20"/>
          <w:szCs w:val="20"/>
        </w:rPr>
        <w:fldChar w:fldCharType="begin"/>
      </w:r>
      <w:r w:rsidRPr="00E85E82">
        <w:rPr>
          <w:sz w:val="20"/>
          <w:szCs w:val="20"/>
        </w:rPr>
        <w:instrText xml:space="preserve"> SEQ CHAPTER \h \r 1</w:instrText>
      </w:r>
      <w:r w:rsidRPr="00E85E82">
        <w:rPr>
          <w:sz w:val="20"/>
          <w:szCs w:val="20"/>
        </w:rPr>
        <w:fldChar w:fldCharType="end"/>
      </w:r>
      <w:r w:rsidRPr="00E85E82">
        <w:rPr>
          <w:sz w:val="20"/>
          <w:szCs w:val="20"/>
        </w:rPr>
        <w:t>for an order stating constitutional questions in the above appeal;</w:t>
      </w:r>
    </w:p>
    <w:p w:rsidR="008B055E" w:rsidRPr="00E85E82" w:rsidRDefault="008B055E" w:rsidP="00BA157F">
      <w:pPr>
        <w:jc w:val="both"/>
        <w:rPr>
          <w:sz w:val="20"/>
          <w:szCs w:val="20"/>
        </w:rPr>
      </w:pPr>
    </w:p>
    <w:p w:rsidR="008B055E" w:rsidRPr="00E85E82" w:rsidRDefault="008B055E" w:rsidP="00BA157F">
      <w:pPr>
        <w:jc w:val="both"/>
        <w:rPr>
          <w:sz w:val="20"/>
          <w:szCs w:val="20"/>
        </w:rPr>
      </w:pPr>
      <w:r w:rsidRPr="00E85E82">
        <w:rPr>
          <w:b/>
          <w:bCs/>
          <w:sz w:val="20"/>
          <w:szCs w:val="20"/>
        </w:rPr>
        <w:t>AND THE MATERIAL FILED</w:t>
      </w:r>
      <w:r w:rsidRPr="00E85E82">
        <w:rPr>
          <w:sz w:val="20"/>
          <w:szCs w:val="20"/>
        </w:rPr>
        <w:t xml:space="preserve"> having been read;</w:t>
      </w:r>
    </w:p>
    <w:p w:rsidR="008B055E" w:rsidRPr="00E85E82" w:rsidRDefault="008B055E" w:rsidP="00BA157F">
      <w:pPr>
        <w:jc w:val="both"/>
        <w:rPr>
          <w:sz w:val="20"/>
          <w:szCs w:val="20"/>
        </w:rPr>
      </w:pPr>
    </w:p>
    <w:p w:rsidR="008B055E" w:rsidRPr="00E85E82" w:rsidRDefault="008B055E" w:rsidP="00BA157F">
      <w:pPr>
        <w:jc w:val="both"/>
        <w:rPr>
          <w:bCs/>
          <w:sz w:val="20"/>
          <w:szCs w:val="20"/>
        </w:rPr>
      </w:pPr>
      <w:r w:rsidRPr="00E85E82">
        <w:rPr>
          <w:b/>
          <w:bCs/>
          <w:sz w:val="20"/>
          <w:szCs w:val="20"/>
        </w:rPr>
        <w:t>IT IS HEREBY ORDERED THAT THE CONSTITUTIONAL QUESTIONS BE STATED AS FOLLOWS:</w:t>
      </w:r>
    </w:p>
    <w:p w:rsidR="008B055E" w:rsidRPr="00E85E82" w:rsidRDefault="008B055E" w:rsidP="00BA157F">
      <w:pPr>
        <w:jc w:val="both"/>
        <w:rPr>
          <w:bCs/>
          <w:sz w:val="20"/>
          <w:szCs w:val="20"/>
        </w:rPr>
      </w:pPr>
    </w:p>
    <w:p w:rsidR="008B055E" w:rsidRPr="00E85E82" w:rsidRDefault="008B055E" w:rsidP="00BA157F">
      <w:pPr>
        <w:pStyle w:val="ListParagraph"/>
        <w:numPr>
          <w:ilvl w:val="0"/>
          <w:numId w:val="7"/>
        </w:numPr>
        <w:jc w:val="both"/>
        <w:rPr>
          <w:rFonts w:cs="Times New Roman"/>
          <w:color w:val="1A1A1A"/>
          <w:sz w:val="20"/>
          <w:szCs w:val="20"/>
        </w:rPr>
      </w:pPr>
      <w:r w:rsidRPr="00E85E82">
        <w:rPr>
          <w:rFonts w:cs="Times New Roman"/>
          <w:color w:val="1A1A1A"/>
          <w:sz w:val="20"/>
          <w:szCs w:val="20"/>
        </w:rPr>
        <w:t xml:space="preserve">Does paragraph 140(1)(d) of the </w:t>
      </w:r>
      <w:r w:rsidRPr="00E85E82">
        <w:rPr>
          <w:rFonts w:cs="Times New Roman"/>
          <w:i/>
          <w:color w:val="1A1A1A"/>
          <w:sz w:val="20"/>
          <w:szCs w:val="20"/>
        </w:rPr>
        <w:t>Corrections and Conditional Release Act</w:t>
      </w:r>
      <w:r w:rsidRPr="00E85E82">
        <w:rPr>
          <w:rFonts w:cs="Times New Roman"/>
          <w:color w:val="1A1A1A"/>
          <w:sz w:val="20"/>
          <w:szCs w:val="20"/>
        </w:rPr>
        <w:t xml:space="preserve">, S.C. 1992, c. 20, as amended by section 527 of the </w:t>
      </w:r>
      <w:r w:rsidRPr="00E85E82">
        <w:rPr>
          <w:rFonts w:cs="Times New Roman"/>
          <w:i/>
          <w:color w:val="1A1A1A"/>
          <w:sz w:val="20"/>
          <w:szCs w:val="20"/>
        </w:rPr>
        <w:t>Jobs, Growth and long-term Prosperity Act</w:t>
      </w:r>
      <w:r w:rsidRPr="00E85E82">
        <w:rPr>
          <w:rFonts w:cs="Times New Roman"/>
          <w:color w:val="1A1A1A"/>
          <w:sz w:val="20"/>
          <w:szCs w:val="20"/>
        </w:rPr>
        <w:t xml:space="preserve">, S.C. 2012, c. 19, infringe section 7 of the </w:t>
      </w:r>
      <w:r w:rsidRPr="00E85E82">
        <w:rPr>
          <w:rFonts w:cs="Times New Roman"/>
          <w:i/>
          <w:color w:val="1A1A1A"/>
          <w:sz w:val="20"/>
          <w:szCs w:val="20"/>
        </w:rPr>
        <w:t>Canadian Charter of Rights and Freedoms</w:t>
      </w:r>
      <w:r w:rsidRPr="00E85E82">
        <w:rPr>
          <w:rFonts w:cs="Times New Roman"/>
          <w:color w:val="1A1A1A"/>
          <w:sz w:val="20"/>
          <w:szCs w:val="20"/>
        </w:rPr>
        <w:t>?</w:t>
      </w:r>
    </w:p>
    <w:p w:rsidR="008B055E" w:rsidRPr="00E85E82" w:rsidRDefault="008B055E" w:rsidP="00BA157F">
      <w:pPr>
        <w:pStyle w:val="ListParagraph"/>
        <w:jc w:val="both"/>
        <w:rPr>
          <w:rFonts w:cs="Times New Roman"/>
          <w:color w:val="1A1A1A"/>
          <w:sz w:val="20"/>
          <w:szCs w:val="20"/>
        </w:rPr>
      </w:pPr>
    </w:p>
    <w:p w:rsidR="008B055E" w:rsidRPr="00E85E82" w:rsidRDefault="008B055E" w:rsidP="00BA157F">
      <w:pPr>
        <w:pStyle w:val="ListParagraph"/>
        <w:numPr>
          <w:ilvl w:val="0"/>
          <w:numId w:val="7"/>
        </w:numPr>
        <w:contextualSpacing w:val="0"/>
        <w:jc w:val="both"/>
        <w:rPr>
          <w:rFonts w:cs="Times New Roman"/>
          <w:color w:val="1A1A1A"/>
          <w:sz w:val="20"/>
          <w:szCs w:val="20"/>
        </w:rPr>
      </w:pPr>
      <w:r w:rsidRPr="00E85E82">
        <w:rPr>
          <w:rFonts w:cs="Times New Roman"/>
          <w:color w:val="1A1A1A"/>
          <w:sz w:val="20"/>
          <w:szCs w:val="20"/>
        </w:rPr>
        <w:t xml:space="preserve">If so, is the infringement a reasonable limit prescribed by law that can be demonstrably justified in a free and democratic society under section 1 of the </w:t>
      </w:r>
      <w:r w:rsidRPr="00E85E82">
        <w:rPr>
          <w:rFonts w:cs="Times New Roman"/>
          <w:i/>
          <w:color w:val="1A1A1A"/>
          <w:sz w:val="20"/>
          <w:szCs w:val="20"/>
        </w:rPr>
        <w:t>Canadian Charter of Rights and Freedoms</w:t>
      </w:r>
      <w:r w:rsidRPr="00E85E82">
        <w:rPr>
          <w:rFonts w:cs="Times New Roman"/>
          <w:color w:val="1A1A1A"/>
          <w:sz w:val="20"/>
          <w:szCs w:val="20"/>
        </w:rPr>
        <w:t>?</w:t>
      </w:r>
    </w:p>
    <w:p w:rsidR="008B055E" w:rsidRPr="00E85E82" w:rsidRDefault="008B055E" w:rsidP="00BA157F">
      <w:pPr>
        <w:pStyle w:val="ListParagraph"/>
        <w:contextualSpacing w:val="0"/>
        <w:jc w:val="both"/>
        <w:rPr>
          <w:rFonts w:cs="Times New Roman"/>
          <w:color w:val="1A1A1A"/>
          <w:sz w:val="20"/>
          <w:szCs w:val="20"/>
        </w:rPr>
      </w:pPr>
    </w:p>
    <w:p w:rsidR="008B055E" w:rsidRPr="00E85E82" w:rsidRDefault="008B055E" w:rsidP="00BA157F">
      <w:pPr>
        <w:jc w:val="both"/>
        <w:rPr>
          <w:sz w:val="20"/>
          <w:szCs w:val="20"/>
        </w:rPr>
      </w:pPr>
      <w:r w:rsidRPr="00E85E82">
        <w:rPr>
          <w:sz w:val="20"/>
          <w:szCs w:val="20"/>
        </w:rPr>
        <w:t xml:space="preserve">Any attorney general who intervenes pursuant to par. 61(4) of the </w:t>
      </w:r>
      <w:r w:rsidRPr="00E85E82">
        <w:rPr>
          <w:i/>
          <w:sz w:val="20"/>
          <w:szCs w:val="20"/>
        </w:rPr>
        <w:t>Rules of the Supreme Court of Canada</w:t>
      </w:r>
      <w:r w:rsidRPr="00E85E82">
        <w:rPr>
          <w:sz w:val="20"/>
          <w:szCs w:val="20"/>
        </w:rPr>
        <w:t xml:space="preserve"> shall pay the appellants and respondents the costs of any additional disbursements they incur as a result of the intervention.</w:t>
      </w:r>
    </w:p>
    <w:p w:rsidR="008B055E" w:rsidRPr="00C556BB" w:rsidRDefault="008B055E" w:rsidP="008B055E">
      <w:pPr>
        <w:spacing w:line="233" w:lineRule="auto"/>
        <w:jc w:val="both"/>
        <w:rPr>
          <w:sz w:val="20"/>
          <w:szCs w:val="20"/>
        </w:rPr>
      </w:pPr>
    </w:p>
    <w:p w:rsidR="008B055E" w:rsidRPr="00E85E82" w:rsidRDefault="00B407D6" w:rsidP="008B055E">
      <w:pPr>
        <w:spacing w:line="233" w:lineRule="auto"/>
        <w:jc w:val="both"/>
        <w:rPr>
          <w:sz w:val="20"/>
          <w:szCs w:val="20"/>
          <w:lang w:val="fr-CA"/>
        </w:rPr>
      </w:pPr>
      <w:r>
        <w:rPr>
          <w:sz w:val="20"/>
          <w:szCs w:val="20"/>
          <w:lang w:val="fr-CA"/>
        </w:rPr>
        <w:pict>
          <v:rect id="_x0000_i1085" style="width:2in;height:1pt" o:hrpct="0" o:hralign="center" o:hrstd="t" o:hrnoshade="t" o:hr="t" fillcolor="black [3213]" stroked="f"/>
        </w:pict>
      </w:r>
    </w:p>
    <w:p w:rsidR="008B055E" w:rsidRPr="00E85E82" w:rsidRDefault="008B055E" w:rsidP="008B055E">
      <w:pPr>
        <w:spacing w:line="233" w:lineRule="auto"/>
        <w:jc w:val="both"/>
        <w:rPr>
          <w:sz w:val="20"/>
          <w:szCs w:val="20"/>
        </w:rPr>
      </w:pPr>
    </w:p>
    <w:p w:rsidR="007F60AF" w:rsidRPr="00E85E82" w:rsidRDefault="007F60AF" w:rsidP="00890FEB">
      <w:pPr>
        <w:rPr>
          <w:sz w:val="20"/>
          <w:szCs w:val="20"/>
        </w:rPr>
      </w:pPr>
    </w:p>
    <w:p w:rsidR="007F60AF" w:rsidRPr="00E85E82" w:rsidRDefault="007F60AF" w:rsidP="00890FEB">
      <w:pPr>
        <w:rPr>
          <w:sz w:val="20"/>
          <w:szCs w:val="20"/>
        </w:rPr>
      </w:pPr>
    </w:p>
    <w:p w:rsidR="00890FEB" w:rsidRPr="00E85E82" w:rsidRDefault="00890FEB" w:rsidP="00831CA9">
      <w:pPr>
        <w:jc w:val="both"/>
        <w:rPr>
          <w:sz w:val="20"/>
          <w:szCs w:val="20"/>
          <w:lang w:val="fr-CA"/>
        </w:rPr>
      </w:pPr>
    </w:p>
    <w:p w:rsidR="00831CA9" w:rsidRPr="00E85E82" w:rsidRDefault="00831CA9" w:rsidP="00831CA9">
      <w:pPr>
        <w:jc w:val="both"/>
        <w:rPr>
          <w:sz w:val="20"/>
          <w:szCs w:val="20"/>
          <w:lang w:val="fr-CA"/>
        </w:rPr>
        <w:sectPr w:rsidR="00831CA9" w:rsidRPr="00E85E82" w:rsidSect="00831CA9">
          <w:headerReference w:type="even" r:id="rId76"/>
          <w:headerReference w:type="default" r:id="rId77"/>
          <w:footerReference w:type="even" r:id="rId78"/>
          <w:footerReference w:type="default" r:id="rId79"/>
          <w:headerReference w:type="first" r:id="rId80"/>
          <w:footerReference w:type="first" r:id="rId8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B407D6" w:rsidTr="00EB2B90">
        <w:tc>
          <w:tcPr>
            <w:tcW w:w="4200" w:type="dxa"/>
            <w:shd w:val="clear" w:color="auto" w:fill="auto"/>
            <w:tcMar>
              <w:left w:w="0" w:type="dxa"/>
              <w:right w:w="0" w:type="dxa"/>
            </w:tcMar>
          </w:tcPr>
          <w:p w:rsidR="00F40249" w:rsidRPr="00E85E82" w:rsidRDefault="00F40249" w:rsidP="00EB2B90">
            <w:pPr>
              <w:rPr>
                <w:b/>
                <w:szCs w:val="24"/>
              </w:rPr>
            </w:pPr>
            <w:r w:rsidRPr="00E85E82">
              <w:rPr>
                <w:b/>
                <w:szCs w:val="24"/>
              </w:rPr>
              <w:t>NOTICES OF APPEAL FILED SINCE LAST ISSUE</w:t>
            </w:r>
          </w:p>
        </w:tc>
        <w:tc>
          <w:tcPr>
            <w:tcW w:w="1200" w:type="dxa"/>
            <w:shd w:val="clear" w:color="auto" w:fill="auto"/>
            <w:tcMar>
              <w:left w:w="0" w:type="dxa"/>
              <w:right w:w="0" w:type="dxa"/>
            </w:tcMar>
          </w:tcPr>
          <w:p w:rsidR="00F40249" w:rsidRPr="00E85E82" w:rsidRDefault="00F40249" w:rsidP="00F40249">
            <w:pPr>
              <w:jc w:val="center"/>
              <w:rPr>
                <w:szCs w:val="24"/>
              </w:rPr>
            </w:pPr>
          </w:p>
          <w:p w:rsidR="00F33CCE" w:rsidRPr="00E85E82" w:rsidRDefault="00F33CCE" w:rsidP="00F40249">
            <w:pPr>
              <w:jc w:val="center"/>
              <w:rPr>
                <w:szCs w:val="24"/>
              </w:rPr>
            </w:pPr>
          </w:p>
          <w:p w:rsidR="00F33CCE" w:rsidRPr="00E85E82" w:rsidRDefault="00F33CCE" w:rsidP="00F40249">
            <w:pPr>
              <w:jc w:val="center"/>
              <w:rPr>
                <w:szCs w:val="24"/>
              </w:rPr>
            </w:pPr>
          </w:p>
        </w:tc>
        <w:tc>
          <w:tcPr>
            <w:tcW w:w="4230" w:type="dxa"/>
            <w:shd w:val="clear" w:color="auto" w:fill="auto"/>
            <w:tcMar>
              <w:left w:w="0" w:type="dxa"/>
              <w:right w:w="0" w:type="dxa"/>
            </w:tcMar>
          </w:tcPr>
          <w:p w:rsidR="00F40249" w:rsidRPr="00E85E82" w:rsidRDefault="00F40249" w:rsidP="00EB2B90">
            <w:pPr>
              <w:rPr>
                <w:b/>
                <w:szCs w:val="24"/>
                <w:lang w:val="fr-CA"/>
              </w:rPr>
            </w:pPr>
            <w:r w:rsidRPr="00E85E82">
              <w:rPr>
                <w:b/>
                <w:szCs w:val="24"/>
                <w:lang w:val="fr-CA"/>
              </w:rPr>
              <w:t>AVIS D’APPEL DÉPOSÉS DEPUIS LA DERNIÈRE PARUTION</w:t>
            </w:r>
          </w:p>
        </w:tc>
      </w:tr>
    </w:tbl>
    <w:p w:rsidR="00F40249" w:rsidRPr="00E85E82"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E85E82" w:rsidTr="005F1ED8">
        <w:trPr>
          <w:cantSplit/>
        </w:trPr>
        <w:tc>
          <w:tcPr>
            <w:tcW w:w="2206" w:type="pct"/>
            <w:tcMar>
              <w:left w:w="0" w:type="dxa"/>
              <w:right w:w="0" w:type="dxa"/>
            </w:tcMar>
          </w:tcPr>
          <w:p w:rsidR="0086340B" w:rsidRPr="00C556BB" w:rsidRDefault="0086340B" w:rsidP="005F1ED8">
            <w:pPr>
              <w:rPr>
                <w:sz w:val="20"/>
                <w:szCs w:val="20"/>
                <w:lang w:val="fr-CA"/>
              </w:rPr>
            </w:pPr>
            <w:r w:rsidRPr="00C556BB">
              <w:rPr>
                <w:sz w:val="20"/>
                <w:szCs w:val="20"/>
                <w:lang w:val="fr-CA"/>
              </w:rPr>
              <w:t>1</w:t>
            </w:r>
            <w:r w:rsidR="00B06136" w:rsidRPr="00C556BB">
              <w:rPr>
                <w:sz w:val="20"/>
                <w:szCs w:val="20"/>
                <w:lang w:val="fr-CA"/>
              </w:rPr>
              <w:t>3</w:t>
            </w:r>
            <w:r w:rsidRPr="00C556BB">
              <w:rPr>
                <w:sz w:val="20"/>
                <w:szCs w:val="20"/>
                <w:lang w:val="fr-CA"/>
              </w:rPr>
              <w:t>.</w:t>
            </w:r>
            <w:r w:rsidR="00B06136" w:rsidRPr="00C556BB">
              <w:rPr>
                <w:sz w:val="20"/>
                <w:szCs w:val="20"/>
                <w:lang w:val="fr-CA"/>
              </w:rPr>
              <w:t>06</w:t>
            </w:r>
            <w:r w:rsidRPr="00C556BB">
              <w:rPr>
                <w:sz w:val="20"/>
                <w:szCs w:val="20"/>
                <w:lang w:val="fr-CA"/>
              </w:rPr>
              <w:t>.201</w:t>
            </w:r>
            <w:r w:rsidR="00B06136" w:rsidRPr="00C556BB">
              <w:rPr>
                <w:sz w:val="20"/>
                <w:szCs w:val="20"/>
                <w:lang w:val="fr-CA"/>
              </w:rPr>
              <w:t>6</w:t>
            </w:r>
          </w:p>
          <w:p w:rsidR="0086340B" w:rsidRPr="00C556BB" w:rsidRDefault="0086340B" w:rsidP="005F1ED8">
            <w:pPr>
              <w:rPr>
                <w:sz w:val="20"/>
                <w:szCs w:val="20"/>
                <w:lang w:val="fr-CA"/>
              </w:rPr>
            </w:pPr>
          </w:p>
          <w:p w:rsidR="0086340B" w:rsidRPr="00C556BB" w:rsidRDefault="00B06136" w:rsidP="005F1ED8">
            <w:pPr>
              <w:rPr>
                <w:b/>
                <w:sz w:val="20"/>
                <w:szCs w:val="20"/>
                <w:lang w:val="fr-CA"/>
              </w:rPr>
            </w:pPr>
            <w:r w:rsidRPr="00C556BB">
              <w:rPr>
                <w:b/>
                <w:sz w:val="20"/>
                <w:szCs w:val="20"/>
                <w:lang w:val="fr-CA"/>
              </w:rPr>
              <w:t>Laurier Bédard et autre</w:t>
            </w:r>
          </w:p>
          <w:p w:rsidR="0086340B" w:rsidRPr="00C556BB" w:rsidRDefault="0086340B" w:rsidP="005F1ED8">
            <w:pPr>
              <w:rPr>
                <w:b/>
                <w:sz w:val="20"/>
                <w:szCs w:val="20"/>
                <w:lang w:val="fr-CA"/>
              </w:rPr>
            </w:pPr>
          </w:p>
          <w:p w:rsidR="0086340B" w:rsidRPr="00C556BB" w:rsidRDefault="0086340B" w:rsidP="005F1ED8">
            <w:pPr>
              <w:rPr>
                <w:b/>
                <w:sz w:val="20"/>
                <w:szCs w:val="20"/>
                <w:lang w:val="fr-CA"/>
              </w:rPr>
            </w:pPr>
            <w:r w:rsidRPr="00C556BB">
              <w:rPr>
                <w:b/>
                <w:sz w:val="20"/>
                <w:szCs w:val="20"/>
                <w:lang w:val="fr-CA"/>
              </w:rPr>
              <w:tab/>
            </w:r>
            <w:r w:rsidR="00B06136" w:rsidRPr="00C556BB">
              <w:rPr>
                <w:b/>
                <w:sz w:val="20"/>
                <w:szCs w:val="20"/>
                <w:lang w:val="fr-CA"/>
              </w:rPr>
              <w:t>c</w:t>
            </w:r>
            <w:r w:rsidRPr="00C556BB">
              <w:rPr>
                <w:b/>
                <w:sz w:val="20"/>
                <w:szCs w:val="20"/>
                <w:lang w:val="fr-CA"/>
              </w:rPr>
              <w:t>. (3</w:t>
            </w:r>
            <w:r w:rsidR="00B06136" w:rsidRPr="00C556BB">
              <w:rPr>
                <w:b/>
                <w:sz w:val="20"/>
                <w:szCs w:val="20"/>
                <w:lang w:val="fr-CA"/>
              </w:rPr>
              <w:t>7071</w:t>
            </w:r>
            <w:r w:rsidRPr="00C556BB">
              <w:rPr>
                <w:b/>
                <w:sz w:val="20"/>
                <w:szCs w:val="20"/>
                <w:lang w:val="fr-CA"/>
              </w:rPr>
              <w:t>)</w:t>
            </w:r>
          </w:p>
          <w:p w:rsidR="0086340B" w:rsidRPr="00C556BB" w:rsidRDefault="0086340B" w:rsidP="005F1ED8">
            <w:pPr>
              <w:rPr>
                <w:b/>
                <w:sz w:val="20"/>
                <w:szCs w:val="20"/>
                <w:lang w:val="fr-CA"/>
              </w:rPr>
            </w:pPr>
          </w:p>
          <w:p w:rsidR="0086340B" w:rsidRPr="00C556BB" w:rsidRDefault="00B06136" w:rsidP="005F1ED8">
            <w:pPr>
              <w:rPr>
                <w:b/>
                <w:sz w:val="20"/>
                <w:szCs w:val="20"/>
                <w:lang w:val="fr-CA"/>
              </w:rPr>
            </w:pPr>
            <w:r w:rsidRPr="00C556BB">
              <w:rPr>
                <w:b/>
                <w:sz w:val="20"/>
                <w:szCs w:val="20"/>
                <w:lang w:val="fr-CA"/>
              </w:rPr>
              <w:t>Sa Majesté la Reine</w:t>
            </w:r>
            <w:r w:rsidR="0086340B" w:rsidRPr="00C556BB">
              <w:rPr>
                <w:b/>
                <w:sz w:val="20"/>
                <w:szCs w:val="20"/>
                <w:lang w:val="fr-CA"/>
              </w:rPr>
              <w:t xml:space="preserve"> (</w:t>
            </w:r>
            <w:proofErr w:type="spellStart"/>
            <w:r w:rsidRPr="00C556BB">
              <w:rPr>
                <w:b/>
                <w:sz w:val="20"/>
                <w:szCs w:val="20"/>
                <w:lang w:val="fr-CA"/>
              </w:rPr>
              <w:t>Qc</w:t>
            </w:r>
            <w:proofErr w:type="spellEnd"/>
            <w:r w:rsidR="0086340B" w:rsidRPr="00C556BB">
              <w:rPr>
                <w:b/>
                <w:sz w:val="20"/>
                <w:szCs w:val="20"/>
                <w:lang w:val="fr-CA"/>
              </w:rPr>
              <w:t>)</w:t>
            </w:r>
          </w:p>
          <w:p w:rsidR="0086340B" w:rsidRPr="00C556BB" w:rsidRDefault="0086340B" w:rsidP="005F1ED8">
            <w:pPr>
              <w:rPr>
                <w:sz w:val="20"/>
                <w:szCs w:val="20"/>
                <w:lang w:val="fr-CA"/>
              </w:rPr>
            </w:pPr>
          </w:p>
          <w:p w:rsidR="0086340B" w:rsidRPr="00E85E82" w:rsidRDefault="0086340B" w:rsidP="005F1ED8">
            <w:pPr>
              <w:rPr>
                <w:sz w:val="20"/>
                <w:szCs w:val="20"/>
              </w:rPr>
            </w:pPr>
            <w:r w:rsidRPr="00E85E82">
              <w:rPr>
                <w:sz w:val="20"/>
                <w:szCs w:val="20"/>
              </w:rPr>
              <w:t>(</w:t>
            </w:r>
            <w:r w:rsidR="00B06136" w:rsidRPr="00E85E82">
              <w:rPr>
                <w:sz w:val="20"/>
                <w:szCs w:val="20"/>
              </w:rPr>
              <w:t xml:space="preserve">De </w:t>
            </w:r>
            <w:proofErr w:type="spellStart"/>
            <w:r w:rsidR="00B06136" w:rsidRPr="00E85E82">
              <w:rPr>
                <w:sz w:val="20"/>
                <w:szCs w:val="20"/>
              </w:rPr>
              <w:t>plein</w:t>
            </w:r>
            <w:proofErr w:type="spellEnd"/>
            <w:r w:rsidR="00B06136" w:rsidRPr="00E85E82">
              <w:rPr>
                <w:sz w:val="20"/>
                <w:szCs w:val="20"/>
              </w:rPr>
              <w:t xml:space="preserve"> droit</w:t>
            </w:r>
            <w:r w:rsidRPr="00E85E82">
              <w:rPr>
                <w:sz w:val="20"/>
                <w:szCs w:val="20"/>
              </w:rPr>
              <w:t>)</w:t>
            </w:r>
          </w:p>
          <w:p w:rsidR="0086340B" w:rsidRPr="00E85E82" w:rsidRDefault="0086340B" w:rsidP="005F1ED8">
            <w:pPr>
              <w:rPr>
                <w:sz w:val="20"/>
                <w:szCs w:val="20"/>
              </w:rPr>
            </w:pPr>
          </w:p>
          <w:p w:rsidR="0086340B" w:rsidRPr="00E85E82" w:rsidRDefault="00B407D6" w:rsidP="005F1ED8">
            <w:pPr>
              <w:rPr>
                <w:sz w:val="20"/>
                <w:szCs w:val="20"/>
                <w:lang w:val="fr-CA"/>
              </w:rPr>
            </w:pPr>
            <w:r>
              <w:rPr>
                <w:sz w:val="20"/>
                <w:szCs w:val="20"/>
                <w:lang w:val="fr-CA"/>
              </w:rPr>
              <w:pict>
                <v:rect id="_x0000_i1088" style="width:106.1pt;height:1pt" o:hrpct="500" o:hralign="center" o:hrstd="t" o:hrnoshade="t" o:hr="t" fillcolor="black [3213]" stroked="f"/>
              </w:pict>
            </w:r>
          </w:p>
        </w:tc>
        <w:tc>
          <w:tcPr>
            <w:tcW w:w="588" w:type="pct"/>
          </w:tcPr>
          <w:p w:rsidR="0086340B" w:rsidRPr="00E85E82" w:rsidRDefault="0086340B" w:rsidP="005F1ED8">
            <w:pPr>
              <w:jc w:val="center"/>
              <w:rPr>
                <w:sz w:val="20"/>
                <w:szCs w:val="20"/>
              </w:rPr>
            </w:pPr>
          </w:p>
          <w:p w:rsidR="0086340B" w:rsidRPr="00E85E82" w:rsidRDefault="0086340B" w:rsidP="005F1ED8">
            <w:pPr>
              <w:jc w:val="center"/>
              <w:rPr>
                <w:sz w:val="20"/>
                <w:szCs w:val="20"/>
              </w:rPr>
            </w:pPr>
          </w:p>
          <w:p w:rsidR="0086340B" w:rsidRPr="00E85E82" w:rsidRDefault="0086340B" w:rsidP="005F1ED8">
            <w:pPr>
              <w:jc w:val="center"/>
              <w:rPr>
                <w:sz w:val="20"/>
                <w:szCs w:val="20"/>
              </w:rPr>
            </w:pPr>
          </w:p>
          <w:p w:rsidR="0086340B" w:rsidRPr="00E85E82" w:rsidRDefault="0086340B" w:rsidP="005F1ED8">
            <w:pPr>
              <w:jc w:val="center"/>
              <w:rPr>
                <w:sz w:val="20"/>
                <w:szCs w:val="20"/>
              </w:rPr>
            </w:pPr>
          </w:p>
          <w:p w:rsidR="0086340B" w:rsidRPr="00E85E82" w:rsidRDefault="0086340B" w:rsidP="005F1ED8">
            <w:pPr>
              <w:jc w:val="center"/>
              <w:rPr>
                <w:sz w:val="20"/>
                <w:szCs w:val="20"/>
              </w:rPr>
            </w:pPr>
          </w:p>
          <w:p w:rsidR="0086340B" w:rsidRPr="00E85E82" w:rsidRDefault="0086340B" w:rsidP="005F1ED8">
            <w:pPr>
              <w:jc w:val="center"/>
              <w:rPr>
                <w:sz w:val="20"/>
                <w:szCs w:val="20"/>
              </w:rPr>
            </w:pPr>
          </w:p>
          <w:p w:rsidR="0086340B" w:rsidRPr="00E85E82" w:rsidRDefault="0086340B" w:rsidP="005F1ED8">
            <w:pPr>
              <w:jc w:val="center"/>
              <w:rPr>
                <w:sz w:val="20"/>
                <w:szCs w:val="20"/>
              </w:rPr>
            </w:pPr>
          </w:p>
          <w:p w:rsidR="0086340B" w:rsidRPr="00E85E82" w:rsidRDefault="0086340B" w:rsidP="005F1ED8">
            <w:pPr>
              <w:jc w:val="center"/>
              <w:rPr>
                <w:sz w:val="20"/>
                <w:szCs w:val="20"/>
              </w:rPr>
            </w:pPr>
          </w:p>
          <w:p w:rsidR="0086340B" w:rsidRPr="00E85E82" w:rsidRDefault="0086340B" w:rsidP="005F1ED8">
            <w:pPr>
              <w:jc w:val="center"/>
              <w:rPr>
                <w:sz w:val="20"/>
                <w:szCs w:val="20"/>
              </w:rPr>
            </w:pPr>
          </w:p>
          <w:p w:rsidR="0086340B" w:rsidRPr="00E85E82" w:rsidRDefault="0086340B" w:rsidP="005F1ED8">
            <w:pPr>
              <w:jc w:val="center"/>
              <w:rPr>
                <w:sz w:val="20"/>
                <w:szCs w:val="20"/>
              </w:rPr>
            </w:pPr>
          </w:p>
          <w:p w:rsidR="0086340B" w:rsidRPr="00E85E82" w:rsidRDefault="0086340B" w:rsidP="005F1ED8">
            <w:pPr>
              <w:jc w:val="center"/>
              <w:rPr>
                <w:sz w:val="20"/>
                <w:szCs w:val="20"/>
              </w:rPr>
            </w:pPr>
          </w:p>
          <w:p w:rsidR="0086340B" w:rsidRPr="00E85E82" w:rsidRDefault="0086340B" w:rsidP="005F1ED8">
            <w:pPr>
              <w:jc w:val="center"/>
              <w:rPr>
                <w:sz w:val="20"/>
                <w:szCs w:val="20"/>
              </w:rPr>
            </w:pPr>
          </w:p>
        </w:tc>
        <w:tc>
          <w:tcPr>
            <w:tcW w:w="2206" w:type="pct"/>
          </w:tcPr>
          <w:p w:rsidR="0086340B" w:rsidRPr="00E85E82" w:rsidRDefault="0086340B" w:rsidP="005F1ED8">
            <w:pPr>
              <w:rPr>
                <w:sz w:val="20"/>
                <w:szCs w:val="20"/>
              </w:rPr>
            </w:pPr>
          </w:p>
        </w:tc>
      </w:tr>
    </w:tbl>
    <w:p w:rsidR="00F40249" w:rsidRPr="00E85E82" w:rsidRDefault="00F40249" w:rsidP="00F40249">
      <w:pPr>
        <w:rPr>
          <w:sz w:val="20"/>
          <w:szCs w:val="20"/>
        </w:rPr>
      </w:pPr>
    </w:p>
    <w:p w:rsidR="00B06136" w:rsidRPr="00E85E82" w:rsidRDefault="00B06136" w:rsidP="00F40249">
      <w:pPr>
        <w:rPr>
          <w:sz w:val="20"/>
          <w:szCs w:val="20"/>
        </w:rPr>
      </w:pPr>
    </w:p>
    <w:p w:rsidR="0010587F" w:rsidRPr="00E85E82" w:rsidRDefault="0010587F" w:rsidP="00F40249">
      <w:pPr>
        <w:rPr>
          <w:sz w:val="20"/>
          <w:szCs w:val="20"/>
        </w:rPr>
      </w:pPr>
    </w:p>
    <w:p w:rsidR="00EB2B90" w:rsidRPr="00E85E82" w:rsidRDefault="00EB2B90" w:rsidP="00F40249">
      <w:pPr>
        <w:rPr>
          <w:sz w:val="20"/>
          <w:szCs w:val="20"/>
        </w:rPr>
        <w:sectPr w:rsidR="00EB2B90" w:rsidRPr="00E85E82" w:rsidSect="00F40249">
          <w:headerReference w:type="even" r:id="rId82"/>
          <w:headerReference w:type="default" r:id="rId83"/>
          <w:footerReference w:type="even" r:id="rId84"/>
          <w:footerReference w:type="default" r:id="rId85"/>
          <w:headerReference w:type="first" r:id="rId86"/>
          <w:footerReference w:type="first" r:id="rId8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B407D6" w:rsidTr="0085476B">
        <w:tc>
          <w:tcPr>
            <w:tcW w:w="4200" w:type="dxa"/>
            <w:tcMar>
              <w:left w:w="0" w:type="dxa"/>
              <w:right w:w="0" w:type="dxa"/>
            </w:tcMar>
          </w:tcPr>
          <w:p w:rsidR="00FF6EEC" w:rsidRPr="00E85E82" w:rsidRDefault="00FF6EEC" w:rsidP="0085476B">
            <w:pPr>
              <w:keepNext/>
              <w:keepLines/>
              <w:tabs>
                <w:tab w:val="left" w:pos="-1440"/>
                <w:tab w:val="left" w:pos="-720"/>
              </w:tabs>
              <w:rPr>
                <w:b/>
                <w:szCs w:val="24"/>
              </w:rPr>
            </w:pPr>
            <w:r w:rsidRPr="00E85E82">
              <w:rPr>
                <w:b/>
                <w:szCs w:val="24"/>
              </w:rPr>
              <w:t>PRONOUNCEMENTS OF APPEALS</w:t>
            </w:r>
            <w:r w:rsidR="0085476B" w:rsidRPr="00E85E82">
              <w:rPr>
                <w:b/>
                <w:szCs w:val="24"/>
              </w:rPr>
              <w:t xml:space="preserve"> </w:t>
            </w:r>
            <w:r w:rsidRPr="00E85E82">
              <w:rPr>
                <w:b/>
                <w:szCs w:val="24"/>
              </w:rPr>
              <w:t>RESERVED</w:t>
            </w:r>
          </w:p>
          <w:p w:rsidR="00FF6EEC" w:rsidRPr="00E85E82"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E85E82"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E85E82">
              <w:rPr>
                <w:b/>
                <w:szCs w:val="24"/>
              </w:rPr>
              <w:t>Reasons for judgment are available</w:t>
            </w:r>
          </w:p>
        </w:tc>
        <w:tc>
          <w:tcPr>
            <w:tcW w:w="1200" w:type="dxa"/>
            <w:tcMar>
              <w:left w:w="0" w:type="dxa"/>
              <w:right w:w="0" w:type="dxa"/>
            </w:tcMar>
          </w:tcPr>
          <w:p w:rsidR="00FF6EEC" w:rsidRPr="00E85E82" w:rsidRDefault="00FF6EEC" w:rsidP="00FF6EEC">
            <w:pPr>
              <w:keepNext/>
              <w:keepLines/>
              <w:tabs>
                <w:tab w:val="left" w:pos="-1440"/>
                <w:tab w:val="left" w:pos="-720"/>
              </w:tabs>
              <w:jc w:val="center"/>
              <w:rPr>
                <w:b/>
                <w:szCs w:val="24"/>
              </w:rPr>
            </w:pPr>
          </w:p>
          <w:p w:rsidR="00FF6EEC" w:rsidRPr="00E85E82" w:rsidRDefault="00FF6EEC" w:rsidP="00FF6EEC">
            <w:pPr>
              <w:keepNext/>
              <w:keepLines/>
              <w:tabs>
                <w:tab w:val="left" w:pos="-1440"/>
                <w:tab w:val="left" w:pos="-720"/>
              </w:tabs>
              <w:jc w:val="center"/>
              <w:rPr>
                <w:b/>
                <w:szCs w:val="24"/>
              </w:rPr>
            </w:pPr>
          </w:p>
          <w:p w:rsidR="00FF6EEC" w:rsidRPr="00E85E82" w:rsidRDefault="00FF6EEC" w:rsidP="00FF6EEC">
            <w:pPr>
              <w:keepNext/>
              <w:keepLines/>
              <w:tabs>
                <w:tab w:val="left" w:pos="-1440"/>
                <w:tab w:val="left" w:pos="-720"/>
              </w:tabs>
              <w:jc w:val="center"/>
              <w:rPr>
                <w:b/>
                <w:szCs w:val="24"/>
              </w:rPr>
            </w:pPr>
          </w:p>
          <w:p w:rsidR="00FF6EEC" w:rsidRPr="00E85E82" w:rsidRDefault="00FF6EEC" w:rsidP="00FF6EEC">
            <w:pPr>
              <w:keepNext/>
              <w:keepLines/>
              <w:tabs>
                <w:tab w:val="left" w:pos="-1440"/>
                <w:tab w:val="left" w:pos="-720"/>
              </w:tabs>
              <w:jc w:val="center"/>
              <w:rPr>
                <w:b/>
                <w:szCs w:val="24"/>
              </w:rPr>
            </w:pPr>
          </w:p>
          <w:p w:rsidR="00FF6EEC" w:rsidRPr="00E85E82"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E85E82" w:rsidRDefault="00FF6EEC" w:rsidP="00FF6EEC">
            <w:pPr>
              <w:keepNext/>
              <w:keepLines/>
              <w:tabs>
                <w:tab w:val="left" w:pos="-1440"/>
                <w:tab w:val="left" w:pos="-720"/>
              </w:tabs>
              <w:rPr>
                <w:b/>
                <w:szCs w:val="24"/>
                <w:lang w:val="fr-CA"/>
              </w:rPr>
            </w:pPr>
            <w:r w:rsidRPr="00E85E82">
              <w:rPr>
                <w:b/>
                <w:szCs w:val="24"/>
                <w:lang w:val="fr-CA"/>
              </w:rPr>
              <w:t>JUGEMENTS RENDUS SUR LES APPELS EN DÉLIBÉRÉ</w:t>
            </w:r>
          </w:p>
          <w:p w:rsidR="00FF6EEC" w:rsidRPr="00E85E82"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E85E82"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E85E82">
              <w:rPr>
                <w:b/>
                <w:szCs w:val="24"/>
                <w:lang w:val="fr-CA"/>
              </w:rPr>
              <w:t>Les motifs de jugement sont disponibles</w:t>
            </w:r>
          </w:p>
        </w:tc>
      </w:tr>
    </w:tbl>
    <w:p w:rsidR="00FF6EEC" w:rsidRPr="00E85E82" w:rsidRDefault="00FF6EEC" w:rsidP="00FF6EEC">
      <w:pPr>
        <w:rPr>
          <w:b/>
          <w:sz w:val="20"/>
          <w:szCs w:val="20"/>
          <w:lang w:val="fr-CA"/>
        </w:rPr>
      </w:pPr>
    </w:p>
    <w:p w:rsidR="0052229C" w:rsidRPr="00C556BB" w:rsidRDefault="0052229C" w:rsidP="0052229C">
      <w:pPr>
        <w:rPr>
          <w:b/>
          <w:sz w:val="20"/>
          <w:szCs w:val="20"/>
        </w:rPr>
      </w:pPr>
      <w:r w:rsidRPr="00C556BB">
        <w:rPr>
          <w:b/>
          <w:sz w:val="20"/>
          <w:szCs w:val="20"/>
        </w:rPr>
        <w:t>J</w:t>
      </w:r>
      <w:r w:rsidR="003E7D25" w:rsidRPr="00C556BB">
        <w:rPr>
          <w:b/>
          <w:sz w:val="20"/>
          <w:szCs w:val="20"/>
        </w:rPr>
        <w:t>UNE</w:t>
      </w:r>
      <w:r w:rsidRPr="00C556BB">
        <w:rPr>
          <w:b/>
          <w:sz w:val="20"/>
          <w:szCs w:val="20"/>
        </w:rPr>
        <w:t xml:space="preserve"> </w:t>
      </w:r>
      <w:r w:rsidR="003E7D25" w:rsidRPr="00C556BB">
        <w:rPr>
          <w:b/>
          <w:sz w:val="20"/>
          <w:szCs w:val="20"/>
        </w:rPr>
        <w:t>23</w:t>
      </w:r>
      <w:r w:rsidRPr="00C556BB">
        <w:rPr>
          <w:b/>
          <w:sz w:val="20"/>
          <w:szCs w:val="20"/>
        </w:rPr>
        <w:t>, 201</w:t>
      </w:r>
      <w:r w:rsidR="003E7D25" w:rsidRPr="00C556BB">
        <w:rPr>
          <w:b/>
          <w:sz w:val="20"/>
          <w:szCs w:val="20"/>
        </w:rPr>
        <w:t>6</w:t>
      </w:r>
      <w:r w:rsidRPr="00C556BB">
        <w:rPr>
          <w:b/>
          <w:sz w:val="20"/>
          <w:szCs w:val="20"/>
        </w:rPr>
        <w:t xml:space="preserve"> / LE </w:t>
      </w:r>
      <w:r w:rsidR="003E7D25" w:rsidRPr="00C556BB">
        <w:rPr>
          <w:b/>
          <w:sz w:val="20"/>
          <w:szCs w:val="20"/>
        </w:rPr>
        <w:t>23</w:t>
      </w:r>
      <w:r w:rsidRPr="00C556BB">
        <w:rPr>
          <w:b/>
          <w:sz w:val="20"/>
          <w:szCs w:val="20"/>
        </w:rPr>
        <w:t xml:space="preserve"> J</w:t>
      </w:r>
      <w:r w:rsidR="003E7D25" w:rsidRPr="00C556BB">
        <w:rPr>
          <w:b/>
          <w:sz w:val="20"/>
          <w:szCs w:val="20"/>
        </w:rPr>
        <w:t>UIN</w:t>
      </w:r>
      <w:r w:rsidRPr="00C556BB">
        <w:rPr>
          <w:b/>
          <w:sz w:val="20"/>
          <w:szCs w:val="20"/>
        </w:rPr>
        <w:t xml:space="preserve"> 201</w:t>
      </w:r>
      <w:r w:rsidR="003E7D25" w:rsidRPr="00C556BB">
        <w:rPr>
          <w:b/>
          <w:sz w:val="20"/>
          <w:szCs w:val="20"/>
        </w:rPr>
        <w:t>6</w:t>
      </w:r>
    </w:p>
    <w:p w:rsidR="0052229C" w:rsidRPr="00C556BB" w:rsidRDefault="0052229C" w:rsidP="0052229C">
      <w:pPr>
        <w:rPr>
          <w:sz w:val="20"/>
          <w:szCs w:val="20"/>
        </w:rPr>
      </w:pPr>
    </w:p>
    <w:p w:rsidR="0052229C" w:rsidRPr="00C556BB" w:rsidRDefault="000E27A5" w:rsidP="0052229C">
      <w:pPr>
        <w:ind w:left="1440" w:hanging="1440"/>
        <w:jc w:val="both"/>
        <w:rPr>
          <w:sz w:val="20"/>
        </w:rPr>
      </w:pPr>
      <w:r w:rsidRPr="00E85E82">
        <w:rPr>
          <w:b/>
          <w:sz w:val="20"/>
        </w:rPr>
        <w:fldChar w:fldCharType="begin"/>
      </w:r>
      <w:r w:rsidR="0052229C" w:rsidRPr="00C556BB">
        <w:rPr>
          <w:b/>
          <w:sz w:val="20"/>
        </w:rPr>
        <w:instrText xml:space="preserve"> SEQ CHAPTER \h \r 1</w:instrText>
      </w:r>
      <w:r w:rsidRPr="00E85E82">
        <w:rPr>
          <w:b/>
          <w:sz w:val="20"/>
        </w:rPr>
        <w:fldChar w:fldCharType="end"/>
      </w:r>
      <w:r w:rsidR="0052229C" w:rsidRPr="00C556BB">
        <w:rPr>
          <w:b/>
          <w:sz w:val="20"/>
        </w:rPr>
        <w:t>3</w:t>
      </w:r>
      <w:r w:rsidR="005C75CD" w:rsidRPr="00C556BB">
        <w:rPr>
          <w:b/>
          <w:sz w:val="20"/>
        </w:rPr>
        <w:t>6328</w:t>
      </w:r>
      <w:r w:rsidR="0052229C" w:rsidRPr="00C556BB">
        <w:rPr>
          <w:sz w:val="20"/>
        </w:rPr>
        <w:tab/>
      </w:r>
      <w:r w:rsidR="005C75CD" w:rsidRPr="00C556BB">
        <w:rPr>
          <w:b/>
          <w:sz w:val="20"/>
          <w:u w:val="single"/>
        </w:rPr>
        <w:t>Ali Hassan Saeed v. Her Majesty the Queen – and – Attorney General of Ontario, Canadian Association of Chiefs of Police and Criminal Lawyers’ Association (Ontario)</w:t>
      </w:r>
      <w:r w:rsidR="005C75CD" w:rsidRPr="00C556BB">
        <w:rPr>
          <w:sz w:val="20"/>
        </w:rPr>
        <w:t xml:space="preserve"> (Alta.)</w:t>
      </w:r>
    </w:p>
    <w:p w:rsidR="0052229C" w:rsidRPr="00C556BB"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C556BB">
        <w:rPr>
          <w:b/>
          <w:sz w:val="20"/>
        </w:rPr>
        <w:t>201</w:t>
      </w:r>
      <w:r w:rsidR="005C75CD" w:rsidRPr="00C556BB">
        <w:rPr>
          <w:b/>
          <w:sz w:val="20"/>
        </w:rPr>
        <w:t>6</w:t>
      </w:r>
      <w:r w:rsidRPr="00C556BB">
        <w:rPr>
          <w:b/>
          <w:sz w:val="20"/>
        </w:rPr>
        <w:t xml:space="preserve"> SCC </w:t>
      </w:r>
      <w:r w:rsidR="005C75CD" w:rsidRPr="00C556BB">
        <w:rPr>
          <w:b/>
          <w:sz w:val="20"/>
        </w:rPr>
        <w:t>24</w:t>
      </w:r>
      <w:r w:rsidRPr="00C556BB">
        <w:rPr>
          <w:b/>
          <w:sz w:val="20"/>
        </w:rPr>
        <w:t xml:space="preserve"> / 201</w:t>
      </w:r>
      <w:r w:rsidR="005C75CD" w:rsidRPr="00C556BB">
        <w:rPr>
          <w:b/>
          <w:sz w:val="20"/>
        </w:rPr>
        <w:t>6</w:t>
      </w:r>
      <w:r w:rsidRPr="00C556BB">
        <w:rPr>
          <w:b/>
          <w:sz w:val="20"/>
        </w:rPr>
        <w:t xml:space="preserve"> CSC </w:t>
      </w:r>
      <w:r w:rsidR="005C75CD" w:rsidRPr="00C556BB">
        <w:rPr>
          <w:b/>
          <w:sz w:val="20"/>
        </w:rPr>
        <w:t>24</w:t>
      </w:r>
    </w:p>
    <w:p w:rsidR="0052229C" w:rsidRPr="00C556BB"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2229C" w:rsidRPr="00C556BB" w:rsidRDefault="0052229C" w:rsidP="00BA157F">
      <w:pPr>
        <w:ind w:left="1440" w:hanging="1440"/>
        <w:jc w:val="both"/>
        <w:rPr>
          <w:sz w:val="20"/>
          <w:u w:val="single"/>
        </w:rPr>
      </w:pPr>
      <w:r w:rsidRPr="00C556BB">
        <w:rPr>
          <w:sz w:val="20"/>
        </w:rPr>
        <w:t>Coram:</w:t>
      </w:r>
      <w:r w:rsidRPr="00C556BB">
        <w:rPr>
          <w:sz w:val="20"/>
        </w:rPr>
        <w:tab/>
      </w:r>
      <w:r w:rsidR="005C75CD" w:rsidRPr="00C556BB">
        <w:rPr>
          <w:sz w:val="20"/>
          <w:u w:val="single"/>
        </w:rPr>
        <w:t xml:space="preserve">McLachlin C.J. and Abella, Cromwell, Moldaver, Karakatsanis, Wagner, Gascon, </w:t>
      </w:r>
      <w:proofErr w:type="spellStart"/>
      <w:r w:rsidR="005C75CD" w:rsidRPr="00C556BB">
        <w:rPr>
          <w:sz w:val="20"/>
          <w:u w:val="single"/>
        </w:rPr>
        <w:t>Côté</w:t>
      </w:r>
      <w:proofErr w:type="spellEnd"/>
      <w:r w:rsidR="005C75CD" w:rsidRPr="00C556BB">
        <w:rPr>
          <w:sz w:val="20"/>
          <w:u w:val="single"/>
        </w:rPr>
        <w:t xml:space="preserve"> and Brown JJ.</w:t>
      </w:r>
    </w:p>
    <w:p w:rsidR="005C75CD" w:rsidRPr="00C556BB" w:rsidRDefault="005C75CD" w:rsidP="0052229C">
      <w:pPr>
        <w:ind w:left="1440" w:hanging="1440"/>
        <w:rPr>
          <w:sz w:val="16"/>
          <w:u w:val="single"/>
        </w:rPr>
      </w:pPr>
    </w:p>
    <w:p w:rsidR="0052229C" w:rsidRPr="00E85E82" w:rsidRDefault="001B5EF4" w:rsidP="00BA157F">
      <w:pPr>
        <w:jc w:val="both"/>
        <w:rPr>
          <w:rFonts w:eastAsia="Calibri"/>
          <w:sz w:val="20"/>
          <w:szCs w:val="20"/>
          <w:lang w:val="fr-CA"/>
        </w:rPr>
      </w:pPr>
      <w:r w:rsidRPr="00E85E82">
        <w:rPr>
          <w:sz w:val="20"/>
          <w:szCs w:val="20"/>
        </w:rPr>
        <w:t xml:space="preserve">The appeal from the judgment </w:t>
      </w:r>
      <w:bookmarkStart w:id="4" w:name="BM_1_"/>
      <w:bookmarkEnd w:id="4"/>
      <w:r w:rsidRPr="00E85E82">
        <w:rPr>
          <w:sz w:val="20"/>
          <w:szCs w:val="20"/>
        </w:rPr>
        <w:t>of the Court of Appeal of Alberta (Edmonton), Number 1303-0047-A, 2014 ABCA 238, dated July 22, 2014, heard on December 1, 2015, is dismissed</w:t>
      </w:r>
      <w:r w:rsidRPr="00E85E82">
        <w:rPr>
          <w:color w:val="000000" w:themeColor="text1"/>
          <w:sz w:val="20"/>
          <w:szCs w:val="20"/>
        </w:rPr>
        <w:t xml:space="preserve">. </w:t>
      </w:r>
      <w:r w:rsidRPr="00E85E82">
        <w:rPr>
          <w:rFonts w:cs="Times New Roman"/>
          <w:color w:val="000000" w:themeColor="text1"/>
          <w:sz w:val="20"/>
          <w:szCs w:val="20"/>
        </w:rPr>
        <w:t xml:space="preserve">Section 8 of the </w:t>
      </w:r>
      <w:r w:rsidRPr="00E85E82">
        <w:rPr>
          <w:rFonts w:cs="Times New Roman"/>
          <w:i/>
          <w:color w:val="000000" w:themeColor="text1"/>
          <w:sz w:val="20"/>
          <w:szCs w:val="20"/>
        </w:rPr>
        <w:t xml:space="preserve">Canadian Charter of Rights and Freedoms </w:t>
      </w:r>
      <w:r w:rsidRPr="00E85E82">
        <w:rPr>
          <w:rFonts w:cs="Times New Roman"/>
          <w:color w:val="000000" w:themeColor="text1"/>
          <w:sz w:val="20"/>
          <w:szCs w:val="20"/>
        </w:rPr>
        <w:t xml:space="preserve">was not breached and the evidence was properly admitted at trial. </w:t>
      </w:r>
      <w:r w:rsidRPr="00C556BB">
        <w:rPr>
          <w:rFonts w:cs="Times New Roman"/>
          <w:sz w:val="20"/>
          <w:szCs w:val="20"/>
          <w:lang w:val="fr-CA"/>
        </w:rPr>
        <w:t xml:space="preserve">Abella J. </w:t>
      </w:r>
      <w:proofErr w:type="spellStart"/>
      <w:r w:rsidRPr="00C556BB">
        <w:rPr>
          <w:rFonts w:cs="Times New Roman"/>
          <w:sz w:val="20"/>
          <w:szCs w:val="20"/>
          <w:lang w:val="fr-CA"/>
        </w:rPr>
        <w:t>is</w:t>
      </w:r>
      <w:proofErr w:type="spellEnd"/>
      <w:r w:rsidRPr="00C556BB">
        <w:rPr>
          <w:rFonts w:cs="Times New Roman"/>
          <w:sz w:val="20"/>
          <w:szCs w:val="20"/>
          <w:lang w:val="fr-CA"/>
        </w:rPr>
        <w:t xml:space="preserve"> </w:t>
      </w:r>
      <w:proofErr w:type="spellStart"/>
      <w:r w:rsidRPr="00C556BB">
        <w:rPr>
          <w:rFonts w:cs="Times New Roman"/>
          <w:sz w:val="20"/>
          <w:szCs w:val="20"/>
          <w:lang w:val="fr-CA"/>
        </w:rPr>
        <w:t>dissenting</w:t>
      </w:r>
      <w:proofErr w:type="spellEnd"/>
      <w:r w:rsidRPr="00C556BB">
        <w:rPr>
          <w:rFonts w:cs="Times New Roman"/>
          <w:sz w:val="20"/>
          <w:szCs w:val="20"/>
          <w:lang w:val="fr-CA"/>
        </w:rPr>
        <w:t>.</w:t>
      </w:r>
    </w:p>
    <w:p w:rsidR="0052229C" w:rsidRPr="00E85E82" w:rsidRDefault="0052229C" w:rsidP="00BA157F">
      <w:pPr>
        <w:jc w:val="both"/>
        <w:rPr>
          <w:rFonts w:eastAsia="Calibri"/>
          <w:sz w:val="20"/>
          <w:szCs w:val="20"/>
          <w:lang w:val="fr-CA"/>
        </w:rPr>
      </w:pPr>
    </w:p>
    <w:p w:rsidR="0052229C" w:rsidRPr="00E85E82" w:rsidRDefault="001B5EF4" w:rsidP="00BA157F">
      <w:pPr>
        <w:jc w:val="both"/>
        <w:rPr>
          <w:sz w:val="20"/>
          <w:szCs w:val="20"/>
          <w:lang w:val="fr-CA"/>
        </w:rPr>
      </w:pPr>
      <w:r w:rsidRPr="00E85E82">
        <w:rPr>
          <w:sz w:val="20"/>
          <w:szCs w:val="20"/>
          <w:lang w:val="fr-CA"/>
        </w:rPr>
        <w:t xml:space="preserve">L’appel interjeté contre l’arrêt de la Cour d’appel de l’Alberta (Edmonton), numéro 1303-0047-A, 2014 ABCA 238, daté du 22 juillet 2014, entendu le 1 décembre 2015, est rejeté. L’article 8 de la </w:t>
      </w:r>
      <w:r w:rsidRPr="00E85E82">
        <w:rPr>
          <w:i/>
          <w:sz w:val="20"/>
          <w:szCs w:val="20"/>
          <w:lang w:val="fr-CA"/>
        </w:rPr>
        <w:t>Charte canadienne des droits et libertés</w:t>
      </w:r>
      <w:r w:rsidRPr="00E85E82">
        <w:rPr>
          <w:sz w:val="20"/>
          <w:szCs w:val="20"/>
          <w:lang w:val="fr-CA"/>
        </w:rPr>
        <w:t xml:space="preserve"> n’a pas été violé et la preuve a été admise à bon droit au procès. La juge Abella est dissidente.</w:t>
      </w:r>
    </w:p>
    <w:p w:rsidR="001B5EF4" w:rsidRPr="00E85E82" w:rsidRDefault="001B5EF4" w:rsidP="0052229C">
      <w:pPr>
        <w:rPr>
          <w:sz w:val="20"/>
          <w:szCs w:val="20"/>
        </w:rPr>
      </w:pPr>
    </w:p>
    <w:p w:rsidR="0052229C" w:rsidRPr="00E85E82" w:rsidRDefault="00B407D6" w:rsidP="0052229C">
      <w:pPr>
        <w:spacing w:line="0" w:lineRule="atLeast"/>
        <w:rPr>
          <w:sz w:val="20"/>
          <w:szCs w:val="20"/>
        </w:rPr>
      </w:pPr>
      <w:r>
        <w:rPr>
          <w:b/>
          <w:sz w:val="20"/>
          <w:szCs w:val="20"/>
        </w:rPr>
        <w:pict>
          <v:rect id="_x0000_i1091" style="width:144.3pt;height:1pt" o:hrpct="300" o:hralign="center" o:hrstd="t" o:hrnoshade="t" o:hr="t" fillcolor="black [3213]" stroked="f"/>
        </w:pict>
      </w:r>
    </w:p>
    <w:p w:rsidR="0052229C" w:rsidRPr="00E85E82" w:rsidRDefault="0052229C" w:rsidP="0052229C">
      <w:pPr>
        <w:spacing w:line="0" w:lineRule="atLeast"/>
        <w:rPr>
          <w:sz w:val="20"/>
          <w:szCs w:val="20"/>
        </w:rPr>
      </w:pPr>
    </w:p>
    <w:p w:rsidR="0052229C" w:rsidRPr="00E85E82" w:rsidRDefault="0052229C" w:rsidP="0052229C">
      <w:pPr>
        <w:rPr>
          <w:b/>
          <w:sz w:val="20"/>
          <w:szCs w:val="20"/>
        </w:rPr>
      </w:pPr>
      <w:r w:rsidRPr="00E85E82">
        <w:rPr>
          <w:b/>
          <w:sz w:val="20"/>
          <w:szCs w:val="20"/>
        </w:rPr>
        <w:t>JU</w:t>
      </w:r>
      <w:r w:rsidR="003E7D25" w:rsidRPr="00E85E82">
        <w:rPr>
          <w:b/>
          <w:sz w:val="20"/>
          <w:szCs w:val="20"/>
        </w:rPr>
        <w:t>NE 24</w:t>
      </w:r>
      <w:r w:rsidRPr="00E85E82">
        <w:rPr>
          <w:b/>
          <w:sz w:val="20"/>
          <w:szCs w:val="20"/>
        </w:rPr>
        <w:t>, 201</w:t>
      </w:r>
      <w:r w:rsidR="003E7D25" w:rsidRPr="00E85E82">
        <w:rPr>
          <w:b/>
          <w:sz w:val="20"/>
          <w:szCs w:val="20"/>
        </w:rPr>
        <w:t>6</w:t>
      </w:r>
      <w:r w:rsidRPr="00E85E82">
        <w:rPr>
          <w:b/>
          <w:sz w:val="20"/>
          <w:szCs w:val="20"/>
        </w:rPr>
        <w:t xml:space="preserve"> / LE </w:t>
      </w:r>
      <w:r w:rsidR="003E7D25" w:rsidRPr="00E85E82">
        <w:rPr>
          <w:b/>
          <w:sz w:val="20"/>
          <w:szCs w:val="20"/>
        </w:rPr>
        <w:t>24</w:t>
      </w:r>
      <w:r w:rsidRPr="00E85E82">
        <w:rPr>
          <w:b/>
          <w:sz w:val="20"/>
          <w:szCs w:val="20"/>
        </w:rPr>
        <w:t xml:space="preserve"> J</w:t>
      </w:r>
      <w:r w:rsidR="003E7D25" w:rsidRPr="00E85E82">
        <w:rPr>
          <w:b/>
          <w:sz w:val="20"/>
          <w:szCs w:val="20"/>
        </w:rPr>
        <w:t>UIN</w:t>
      </w:r>
      <w:r w:rsidRPr="00E85E82">
        <w:rPr>
          <w:b/>
          <w:sz w:val="20"/>
          <w:szCs w:val="20"/>
        </w:rPr>
        <w:t xml:space="preserve"> 201</w:t>
      </w:r>
      <w:r w:rsidR="003E7D25" w:rsidRPr="00E85E82">
        <w:rPr>
          <w:b/>
          <w:sz w:val="20"/>
          <w:szCs w:val="20"/>
        </w:rPr>
        <w:t>6</w:t>
      </w:r>
    </w:p>
    <w:p w:rsidR="0052229C" w:rsidRPr="00E85E82" w:rsidRDefault="0052229C" w:rsidP="0052229C">
      <w:pPr>
        <w:spacing w:line="0" w:lineRule="atLeast"/>
        <w:rPr>
          <w:rFonts w:cs="Times New Roman"/>
          <w:sz w:val="20"/>
          <w:szCs w:val="20"/>
        </w:rPr>
      </w:pPr>
    </w:p>
    <w:p w:rsidR="0052229C" w:rsidRPr="00E85E82" w:rsidRDefault="000E27A5" w:rsidP="0052229C">
      <w:pPr>
        <w:ind w:left="1440" w:hanging="1440"/>
        <w:jc w:val="both"/>
        <w:rPr>
          <w:sz w:val="20"/>
          <w:szCs w:val="20"/>
        </w:rPr>
      </w:pPr>
      <w:r w:rsidRPr="00E85E82">
        <w:rPr>
          <w:b/>
          <w:sz w:val="20"/>
          <w:szCs w:val="20"/>
        </w:rPr>
        <w:fldChar w:fldCharType="begin"/>
      </w:r>
      <w:r w:rsidR="0052229C" w:rsidRPr="00E85E82">
        <w:rPr>
          <w:b/>
          <w:sz w:val="20"/>
          <w:szCs w:val="20"/>
        </w:rPr>
        <w:instrText xml:space="preserve"> SEQ CHAPTER \h \r 1</w:instrText>
      </w:r>
      <w:r w:rsidRPr="00E85E82">
        <w:rPr>
          <w:b/>
          <w:sz w:val="20"/>
          <w:szCs w:val="20"/>
        </w:rPr>
        <w:fldChar w:fldCharType="end"/>
      </w:r>
      <w:r w:rsidR="0052229C" w:rsidRPr="00E85E82">
        <w:rPr>
          <w:b/>
          <w:sz w:val="20"/>
          <w:szCs w:val="20"/>
        </w:rPr>
        <w:t>3</w:t>
      </w:r>
      <w:r w:rsidR="00DC3728" w:rsidRPr="00E85E82">
        <w:rPr>
          <w:b/>
          <w:sz w:val="20"/>
          <w:szCs w:val="20"/>
        </w:rPr>
        <w:t>6300</w:t>
      </w:r>
      <w:r w:rsidR="0052229C" w:rsidRPr="00E85E82">
        <w:rPr>
          <w:sz w:val="20"/>
          <w:szCs w:val="20"/>
        </w:rPr>
        <w:tab/>
      </w:r>
      <w:r w:rsidR="00BB5BD0" w:rsidRPr="00E85E82">
        <w:rPr>
          <w:b/>
          <w:sz w:val="20"/>
          <w:szCs w:val="20"/>
          <w:u w:val="single"/>
        </w:rPr>
        <w:t>Workers’ Compensation Appeal Tribunal v. Fraser Health Authority, Katrina Hammer, Patricia Schmidt and Anne MacFarlane – AND BETWEEN - Katrina Hammer, Patricia Schmidt and Anne MacFarlane v. Workers’ Compensation Appeal Tribunal and Fraser Health Authority – and – Attorney General of Canada, Attorney General of Ontario, Ontario Network of Injured Workers’ Groups, Industrial Accident Victims’ Group of Ontario, Community Legal Assistance Society and British Columbia Federation of Labour</w:t>
      </w:r>
      <w:r w:rsidR="00BB5BD0" w:rsidRPr="00E85E82">
        <w:rPr>
          <w:sz w:val="20"/>
          <w:szCs w:val="20"/>
        </w:rPr>
        <w:t xml:space="preserve"> (B.C.)</w:t>
      </w:r>
    </w:p>
    <w:p w:rsidR="0052229C" w:rsidRPr="00E85E82"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E85E82">
        <w:rPr>
          <w:b/>
          <w:sz w:val="20"/>
          <w:szCs w:val="20"/>
        </w:rPr>
        <w:t>201</w:t>
      </w:r>
      <w:r w:rsidR="00DC3728" w:rsidRPr="00E85E82">
        <w:rPr>
          <w:b/>
          <w:sz w:val="20"/>
          <w:szCs w:val="20"/>
        </w:rPr>
        <w:t>6</w:t>
      </w:r>
      <w:r w:rsidRPr="00E85E82">
        <w:rPr>
          <w:b/>
          <w:sz w:val="20"/>
          <w:szCs w:val="20"/>
        </w:rPr>
        <w:t xml:space="preserve"> SCC </w:t>
      </w:r>
      <w:r w:rsidR="00DC3728" w:rsidRPr="00E85E82">
        <w:rPr>
          <w:b/>
          <w:sz w:val="20"/>
          <w:szCs w:val="20"/>
        </w:rPr>
        <w:t>25</w:t>
      </w:r>
      <w:r w:rsidRPr="00E85E82">
        <w:rPr>
          <w:b/>
          <w:sz w:val="20"/>
          <w:szCs w:val="20"/>
        </w:rPr>
        <w:t xml:space="preserve"> / 201</w:t>
      </w:r>
      <w:r w:rsidR="00DC3728" w:rsidRPr="00E85E82">
        <w:rPr>
          <w:b/>
          <w:sz w:val="20"/>
          <w:szCs w:val="20"/>
        </w:rPr>
        <w:t>6</w:t>
      </w:r>
      <w:r w:rsidRPr="00E85E82">
        <w:rPr>
          <w:b/>
          <w:sz w:val="20"/>
          <w:szCs w:val="20"/>
        </w:rPr>
        <w:t xml:space="preserve"> CSC </w:t>
      </w:r>
      <w:r w:rsidR="00DC3728" w:rsidRPr="00E85E82">
        <w:rPr>
          <w:b/>
          <w:sz w:val="20"/>
          <w:szCs w:val="20"/>
        </w:rPr>
        <w:t>25</w:t>
      </w:r>
    </w:p>
    <w:p w:rsidR="0052229C" w:rsidRPr="00E85E82"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52229C" w:rsidRPr="00E85E82" w:rsidRDefault="0052229C" w:rsidP="0052229C">
      <w:pPr>
        <w:ind w:left="1440" w:hanging="1440"/>
        <w:rPr>
          <w:sz w:val="20"/>
          <w:szCs w:val="20"/>
          <w:u w:val="single"/>
        </w:rPr>
      </w:pPr>
      <w:r w:rsidRPr="00E85E82">
        <w:rPr>
          <w:sz w:val="20"/>
          <w:szCs w:val="20"/>
        </w:rPr>
        <w:t>Coram:</w:t>
      </w:r>
      <w:r w:rsidRPr="00E85E82">
        <w:rPr>
          <w:sz w:val="20"/>
          <w:szCs w:val="20"/>
        </w:rPr>
        <w:tab/>
      </w:r>
      <w:r w:rsidR="00DC3728" w:rsidRPr="00E85E82">
        <w:rPr>
          <w:sz w:val="20"/>
          <w:szCs w:val="20"/>
          <w:u w:val="single"/>
        </w:rPr>
        <w:t>McLachlin C.J. and Abella, Moldaver, Karakatsanis, Wagner, Côté and Brown JJ.</w:t>
      </w:r>
    </w:p>
    <w:p w:rsidR="0052229C" w:rsidRPr="00E85E82" w:rsidRDefault="0052229C" w:rsidP="0052229C">
      <w:pPr>
        <w:ind w:left="1440" w:hanging="1440"/>
        <w:jc w:val="both"/>
        <w:rPr>
          <w:sz w:val="20"/>
          <w:szCs w:val="20"/>
          <w:u w:val="single"/>
        </w:rPr>
      </w:pPr>
    </w:p>
    <w:p w:rsidR="009D35EE" w:rsidRPr="00E85E82" w:rsidRDefault="009D35EE" w:rsidP="009D35EE">
      <w:pPr>
        <w:jc w:val="both"/>
        <w:rPr>
          <w:rFonts w:eastAsia="Calibri"/>
          <w:sz w:val="20"/>
          <w:szCs w:val="20"/>
        </w:rPr>
      </w:pPr>
      <w:r w:rsidRPr="00E85E82">
        <w:rPr>
          <w:rFonts w:eastAsia="Calibri"/>
          <w:sz w:val="20"/>
          <w:szCs w:val="20"/>
        </w:rPr>
        <w:t>The appeal by the Workers’ Compensation Appeal Tribunal from the judgment of the Court of Appeal for British Columbia (Vancouver), Number CA040835, 2014 BCCA 499, dated December 18, 2014, heard on January 14, 2016, is dismissed without costs.</w:t>
      </w:r>
    </w:p>
    <w:p w:rsidR="009D35EE" w:rsidRPr="00E85E82" w:rsidRDefault="009D35EE" w:rsidP="009D35EE">
      <w:pPr>
        <w:jc w:val="both"/>
        <w:rPr>
          <w:rFonts w:eastAsia="Calibri"/>
          <w:sz w:val="20"/>
          <w:szCs w:val="20"/>
        </w:rPr>
      </w:pPr>
    </w:p>
    <w:p w:rsidR="0052229C" w:rsidRPr="00E85E82" w:rsidRDefault="009D35EE" w:rsidP="009D35EE">
      <w:pPr>
        <w:jc w:val="both"/>
        <w:rPr>
          <w:rFonts w:eastAsia="Calibri"/>
          <w:sz w:val="20"/>
          <w:szCs w:val="20"/>
        </w:rPr>
      </w:pPr>
      <w:r w:rsidRPr="00E85E82">
        <w:rPr>
          <w:rFonts w:eastAsia="Calibri"/>
          <w:sz w:val="20"/>
          <w:szCs w:val="20"/>
        </w:rPr>
        <w:t>The appeal by Katrina Hammer, Patricia Schmidt and Anne MacFarlane from the judgment of the Court of Appeal for British Columbia (Vancouver), Number CA040835, 2014 BCCA 499, dated December 18, 2014, heard on January 14, 2016, is allowed with costs in this Court and in the courts below as against Fraser Health Authority. The Workers’ Compensation Appeal Tribunal’s original decisions are restored. Côté J. is dissenting.</w:t>
      </w:r>
    </w:p>
    <w:p w:rsidR="0052229C" w:rsidRPr="00E85E82" w:rsidRDefault="0052229C" w:rsidP="0052229C">
      <w:pPr>
        <w:jc w:val="both"/>
        <w:rPr>
          <w:rFonts w:eastAsia="Calibri"/>
          <w:sz w:val="20"/>
          <w:szCs w:val="20"/>
        </w:rPr>
      </w:pPr>
    </w:p>
    <w:p w:rsidR="009D35EE" w:rsidRPr="00E85E82" w:rsidRDefault="009D35EE" w:rsidP="009D35EE">
      <w:pPr>
        <w:jc w:val="both"/>
        <w:rPr>
          <w:rFonts w:eastAsia="Calibri"/>
          <w:sz w:val="20"/>
          <w:szCs w:val="20"/>
          <w:lang w:val="fr-CA"/>
        </w:rPr>
      </w:pPr>
      <w:r w:rsidRPr="00E85E82">
        <w:rPr>
          <w:rFonts w:eastAsia="Calibri"/>
          <w:sz w:val="20"/>
          <w:szCs w:val="20"/>
          <w:lang w:val="fr-CA"/>
        </w:rPr>
        <w:t xml:space="preserve">L’appel interjeté par le </w:t>
      </w:r>
      <w:proofErr w:type="spellStart"/>
      <w:r w:rsidRPr="00E85E82">
        <w:rPr>
          <w:rFonts w:eastAsia="Calibri"/>
          <w:sz w:val="20"/>
          <w:szCs w:val="20"/>
          <w:lang w:val="fr-CA"/>
        </w:rPr>
        <w:t>Workers</w:t>
      </w:r>
      <w:proofErr w:type="spellEnd"/>
      <w:r w:rsidRPr="00E85E82">
        <w:rPr>
          <w:rFonts w:eastAsia="Calibri"/>
          <w:sz w:val="20"/>
          <w:szCs w:val="20"/>
          <w:lang w:val="fr-CA"/>
        </w:rPr>
        <w:t xml:space="preserve">’ Compensation </w:t>
      </w:r>
      <w:proofErr w:type="spellStart"/>
      <w:r w:rsidRPr="00E85E82">
        <w:rPr>
          <w:rFonts w:eastAsia="Calibri"/>
          <w:sz w:val="20"/>
          <w:szCs w:val="20"/>
          <w:lang w:val="fr-CA"/>
        </w:rPr>
        <w:t>Appeal</w:t>
      </w:r>
      <w:proofErr w:type="spellEnd"/>
      <w:r w:rsidRPr="00E85E82">
        <w:rPr>
          <w:rFonts w:eastAsia="Calibri"/>
          <w:sz w:val="20"/>
          <w:szCs w:val="20"/>
          <w:lang w:val="fr-CA"/>
        </w:rPr>
        <w:t xml:space="preserve"> Tribunal contre l’arrêt de la Cour d’appel de la Colombie-Britannique (Vancouver), numéro CA040835, 2014 BCCA 499, daté du 18 décembre 2014, entendu le 14 janvier 2016, est rejeté sans dépens.</w:t>
      </w:r>
    </w:p>
    <w:p w:rsidR="009D35EE" w:rsidRPr="00E85E82" w:rsidRDefault="009D35EE" w:rsidP="009D35EE">
      <w:pPr>
        <w:jc w:val="both"/>
        <w:rPr>
          <w:rFonts w:eastAsia="Calibri"/>
          <w:sz w:val="20"/>
          <w:szCs w:val="20"/>
          <w:lang w:val="fr-CA"/>
        </w:rPr>
      </w:pPr>
    </w:p>
    <w:p w:rsidR="0052229C" w:rsidRPr="00E85E82" w:rsidRDefault="009D35EE" w:rsidP="009D35EE">
      <w:pPr>
        <w:jc w:val="both"/>
        <w:rPr>
          <w:rFonts w:eastAsia="Calibri"/>
          <w:sz w:val="20"/>
          <w:szCs w:val="20"/>
          <w:lang w:val="fr-CA"/>
        </w:rPr>
      </w:pPr>
      <w:r w:rsidRPr="00E85E82">
        <w:rPr>
          <w:rFonts w:eastAsia="Calibri"/>
          <w:sz w:val="20"/>
          <w:szCs w:val="20"/>
          <w:lang w:val="fr-CA"/>
        </w:rPr>
        <w:t xml:space="preserve">L’appel interjeté par Katrina Hammer, Patricia Schmidt et Anne </w:t>
      </w:r>
      <w:proofErr w:type="spellStart"/>
      <w:r w:rsidRPr="00E85E82">
        <w:rPr>
          <w:rFonts w:eastAsia="Calibri"/>
          <w:sz w:val="20"/>
          <w:szCs w:val="20"/>
          <w:lang w:val="fr-CA"/>
        </w:rPr>
        <w:t>MacFarlane</w:t>
      </w:r>
      <w:proofErr w:type="spellEnd"/>
      <w:r w:rsidRPr="00E85E82">
        <w:rPr>
          <w:rFonts w:eastAsia="Calibri"/>
          <w:sz w:val="20"/>
          <w:szCs w:val="20"/>
          <w:lang w:val="fr-CA"/>
        </w:rPr>
        <w:t xml:space="preserve"> contre l’arrêt de la Cour d’appel de la Colombie-Britannique (Vancouver), numéro CA040835, 2014 BCCA 499, daté du 18 décembre 2014, entendu le 14 janvier 2016, est accueilli avec dépens devant cette Cour et devant les cours d’instance inférieure payables par Fraser </w:t>
      </w:r>
      <w:proofErr w:type="spellStart"/>
      <w:r w:rsidRPr="00E85E82">
        <w:rPr>
          <w:rFonts w:eastAsia="Calibri"/>
          <w:sz w:val="20"/>
          <w:szCs w:val="20"/>
          <w:lang w:val="fr-CA"/>
        </w:rPr>
        <w:t>Health</w:t>
      </w:r>
      <w:proofErr w:type="spellEnd"/>
      <w:r w:rsidRPr="00E85E82">
        <w:rPr>
          <w:rFonts w:eastAsia="Calibri"/>
          <w:sz w:val="20"/>
          <w:szCs w:val="20"/>
          <w:lang w:val="fr-CA"/>
        </w:rPr>
        <w:t xml:space="preserve"> </w:t>
      </w:r>
      <w:proofErr w:type="spellStart"/>
      <w:r w:rsidRPr="00E85E82">
        <w:rPr>
          <w:rFonts w:eastAsia="Calibri"/>
          <w:sz w:val="20"/>
          <w:szCs w:val="20"/>
          <w:lang w:val="fr-CA"/>
        </w:rPr>
        <w:t>Authority</w:t>
      </w:r>
      <w:proofErr w:type="spellEnd"/>
      <w:r w:rsidRPr="00E85E82">
        <w:rPr>
          <w:rFonts w:eastAsia="Calibri"/>
          <w:sz w:val="20"/>
          <w:szCs w:val="20"/>
          <w:lang w:val="fr-CA"/>
        </w:rPr>
        <w:t xml:space="preserve">. Les décisions initiales du </w:t>
      </w:r>
      <w:proofErr w:type="spellStart"/>
      <w:r w:rsidRPr="00E85E82">
        <w:rPr>
          <w:rFonts w:eastAsia="Calibri"/>
          <w:sz w:val="20"/>
          <w:szCs w:val="20"/>
          <w:lang w:val="fr-CA"/>
        </w:rPr>
        <w:t>Workers</w:t>
      </w:r>
      <w:proofErr w:type="spellEnd"/>
      <w:r w:rsidRPr="00E85E82">
        <w:rPr>
          <w:rFonts w:eastAsia="Calibri"/>
          <w:sz w:val="20"/>
          <w:szCs w:val="20"/>
          <w:lang w:val="fr-CA"/>
        </w:rPr>
        <w:t xml:space="preserve">’ Compensation </w:t>
      </w:r>
      <w:proofErr w:type="spellStart"/>
      <w:r w:rsidRPr="00E85E82">
        <w:rPr>
          <w:rFonts w:eastAsia="Calibri"/>
          <w:sz w:val="20"/>
          <w:szCs w:val="20"/>
          <w:lang w:val="fr-CA"/>
        </w:rPr>
        <w:t>Appeal</w:t>
      </w:r>
      <w:proofErr w:type="spellEnd"/>
      <w:r w:rsidRPr="00E85E82">
        <w:rPr>
          <w:rFonts w:eastAsia="Calibri"/>
          <w:sz w:val="20"/>
          <w:szCs w:val="20"/>
          <w:lang w:val="fr-CA"/>
        </w:rPr>
        <w:t xml:space="preserve"> Tribunal sont rétablies. La juge Côté est dissidente.</w:t>
      </w:r>
    </w:p>
    <w:p w:rsidR="00D004FC" w:rsidRPr="00E85E82" w:rsidRDefault="00D004FC" w:rsidP="00D004FC">
      <w:pPr>
        <w:spacing w:line="0" w:lineRule="atLeast"/>
        <w:rPr>
          <w:rFonts w:cs="Times New Roman"/>
          <w:sz w:val="20"/>
          <w:szCs w:val="20"/>
          <w:lang w:val="fr-CA"/>
        </w:rPr>
      </w:pPr>
    </w:p>
    <w:p w:rsidR="00D004FC" w:rsidRPr="00E85E82" w:rsidRDefault="00B407D6" w:rsidP="00D004FC">
      <w:pPr>
        <w:jc w:val="both"/>
        <w:rPr>
          <w:rFonts w:cs="Times New Roman"/>
          <w:b/>
          <w:sz w:val="20"/>
          <w:szCs w:val="20"/>
        </w:rPr>
      </w:pPr>
      <w:r>
        <w:rPr>
          <w:rFonts w:cs="Times New Roman"/>
          <w:b/>
          <w:sz w:val="20"/>
          <w:szCs w:val="20"/>
        </w:rPr>
        <w:pict>
          <v:rect id="_x0000_i1092" style="width:144.3pt;height:1pt" o:hrpct="300" o:hralign="center" o:hrstd="t" o:hrnoshade="t" o:hr="t" fillcolor="black [3213]" stroked="f"/>
        </w:pict>
      </w:r>
    </w:p>
    <w:p w:rsidR="00732DB7" w:rsidRPr="00E85E82" w:rsidRDefault="00732DB7" w:rsidP="00732DB7">
      <w:pPr>
        <w:widowControl w:val="0"/>
        <w:rPr>
          <w:sz w:val="20"/>
          <w:szCs w:val="20"/>
        </w:rPr>
      </w:pPr>
    </w:p>
    <w:p w:rsidR="00697C62" w:rsidRPr="00E85E82" w:rsidRDefault="00697C62" w:rsidP="00732DB7">
      <w:pPr>
        <w:widowControl w:val="0"/>
        <w:rPr>
          <w:sz w:val="20"/>
          <w:szCs w:val="20"/>
        </w:rPr>
        <w:sectPr w:rsidR="00697C62" w:rsidRPr="00E85E82" w:rsidSect="00782AE4">
          <w:headerReference w:type="even" r:id="rId88"/>
          <w:headerReference w:type="default" r:id="rId89"/>
          <w:footerReference w:type="even" r:id="rId90"/>
          <w:footerReference w:type="default" r:id="rId91"/>
          <w:headerReference w:type="first" r:id="rId92"/>
          <w:footerReference w:type="first" r:id="rId9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E85E82" w:rsidTr="0085476B">
        <w:tc>
          <w:tcPr>
            <w:tcW w:w="4200" w:type="dxa"/>
            <w:tcMar>
              <w:left w:w="0" w:type="dxa"/>
              <w:right w:w="0" w:type="dxa"/>
            </w:tcMar>
          </w:tcPr>
          <w:p w:rsidR="00782AE4" w:rsidRPr="00E85E82" w:rsidRDefault="00782AE4" w:rsidP="00782AE4">
            <w:pPr>
              <w:keepNext/>
              <w:keepLines/>
              <w:jc w:val="both"/>
              <w:rPr>
                <w:b/>
                <w:szCs w:val="24"/>
              </w:rPr>
            </w:pPr>
            <w:r w:rsidRPr="00E85E82">
              <w:rPr>
                <w:b/>
                <w:szCs w:val="24"/>
              </w:rPr>
              <w:t>HEADNOTES OF RECENT</w:t>
            </w:r>
          </w:p>
          <w:p w:rsidR="00782AE4" w:rsidRPr="00E85E82" w:rsidRDefault="00782AE4" w:rsidP="00782AE4">
            <w:pPr>
              <w:keepNext/>
              <w:keepLines/>
              <w:jc w:val="both"/>
              <w:rPr>
                <w:b/>
                <w:szCs w:val="24"/>
              </w:rPr>
            </w:pPr>
            <w:r w:rsidRPr="00E85E82">
              <w:rPr>
                <w:b/>
                <w:szCs w:val="24"/>
              </w:rPr>
              <w:t>JUDGMENTS</w:t>
            </w:r>
          </w:p>
        </w:tc>
        <w:tc>
          <w:tcPr>
            <w:tcW w:w="1200" w:type="dxa"/>
            <w:tcMar>
              <w:left w:w="0" w:type="dxa"/>
              <w:right w:w="0" w:type="dxa"/>
            </w:tcMar>
          </w:tcPr>
          <w:p w:rsidR="00782AE4" w:rsidRPr="00E85E82" w:rsidRDefault="00782AE4" w:rsidP="00102926">
            <w:pPr>
              <w:keepNext/>
              <w:keepLines/>
              <w:jc w:val="center"/>
              <w:rPr>
                <w:b/>
                <w:szCs w:val="24"/>
              </w:rPr>
            </w:pPr>
          </w:p>
          <w:p w:rsidR="00782AE4" w:rsidRPr="00E85E82" w:rsidRDefault="00782AE4" w:rsidP="00102926">
            <w:pPr>
              <w:keepNext/>
              <w:keepLines/>
              <w:jc w:val="center"/>
              <w:rPr>
                <w:b/>
                <w:szCs w:val="24"/>
              </w:rPr>
            </w:pPr>
          </w:p>
          <w:p w:rsidR="00782AE4" w:rsidRPr="00E85E82" w:rsidRDefault="00782AE4" w:rsidP="00102926">
            <w:pPr>
              <w:keepNext/>
              <w:keepLines/>
              <w:jc w:val="center"/>
              <w:rPr>
                <w:b/>
                <w:szCs w:val="24"/>
              </w:rPr>
            </w:pPr>
          </w:p>
        </w:tc>
        <w:tc>
          <w:tcPr>
            <w:tcW w:w="4080" w:type="dxa"/>
            <w:tcMar>
              <w:left w:w="0" w:type="dxa"/>
              <w:right w:w="0" w:type="dxa"/>
            </w:tcMar>
          </w:tcPr>
          <w:p w:rsidR="00782AE4" w:rsidRPr="00E85E82" w:rsidRDefault="00782AE4" w:rsidP="00782AE4">
            <w:pPr>
              <w:keepNext/>
              <w:keepLines/>
              <w:rPr>
                <w:b/>
                <w:szCs w:val="24"/>
              </w:rPr>
            </w:pPr>
            <w:r w:rsidRPr="00E85E82">
              <w:rPr>
                <w:b/>
                <w:szCs w:val="24"/>
              </w:rPr>
              <w:t>SOMMAIRES DE JUGEMENTS RÉCENTS</w:t>
            </w:r>
          </w:p>
        </w:tc>
      </w:tr>
    </w:tbl>
    <w:p w:rsidR="003B3977" w:rsidRPr="00E85E82" w:rsidRDefault="003B3977" w:rsidP="005C6840">
      <w:pPr>
        <w:rPr>
          <w:rFonts w:cs="Times New Roman"/>
          <w:i/>
          <w:sz w:val="20"/>
          <w:szCs w:val="20"/>
        </w:rPr>
      </w:pPr>
    </w:p>
    <w:p w:rsidR="0052229C" w:rsidRPr="00E85E82" w:rsidRDefault="00475E4B" w:rsidP="0052229C">
      <w:pPr>
        <w:ind w:left="1440" w:hanging="1440"/>
        <w:jc w:val="both"/>
        <w:rPr>
          <w:sz w:val="20"/>
          <w:szCs w:val="20"/>
          <w:lang w:val="fr-CA"/>
        </w:rPr>
      </w:pPr>
      <w:r w:rsidRPr="00C556BB">
        <w:rPr>
          <w:rFonts w:eastAsia="Calibri"/>
          <w:i/>
          <w:sz w:val="20"/>
          <w:szCs w:val="20"/>
        </w:rPr>
        <w:t>Ali Hassan Saeed</w:t>
      </w:r>
      <w:r w:rsidR="0052229C" w:rsidRPr="00C556BB">
        <w:rPr>
          <w:rFonts w:eastAsia="Calibri"/>
          <w:i/>
          <w:sz w:val="20"/>
          <w:szCs w:val="20"/>
        </w:rPr>
        <w:t xml:space="preserve"> </w:t>
      </w:r>
      <w:r w:rsidRPr="00C556BB">
        <w:rPr>
          <w:rFonts w:eastAsia="Calibri"/>
          <w:i/>
          <w:sz w:val="20"/>
          <w:szCs w:val="20"/>
        </w:rPr>
        <w:t>v</w:t>
      </w:r>
      <w:r w:rsidR="0052229C" w:rsidRPr="00C556BB">
        <w:rPr>
          <w:rFonts w:eastAsia="Calibri"/>
          <w:i/>
          <w:sz w:val="20"/>
          <w:szCs w:val="20"/>
        </w:rPr>
        <w:t xml:space="preserve">. </w:t>
      </w:r>
      <w:r w:rsidRPr="00C556BB">
        <w:rPr>
          <w:rFonts w:eastAsia="Calibri"/>
          <w:i/>
          <w:sz w:val="20"/>
          <w:szCs w:val="20"/>
        </w:rPr>
        <w:t xml:space="preserve">Her Majesty the Queen </w:t>
      </w:r>
      <w:r w:rsidRPr="00C556BB">
        <w:rPr>
          <w:rFonts w:eastAsia="Calibri"/>
          <w:sz w:val="20"/>
          <w:szCs w:val="20"/>
        </w:rPr>
        <w:t>(Alta.</w:t>
      </w:r>
      <w:r w:rsidR="0052229C" w:rsidRPr="00C556BB">
        <w:rPr>
          <w:sz w:val="20"/>
          <w:szCs w:val="20"/>
        </w:rPr>
        <w:t xml:space="preserve">) </w:t>
      </w:r>
      <w:r w:rsidR="0052229C" w:rsidRPr="00E85E82">
        <w:rPr>
          <w:sz w:val="20"/>
          <w:szCs w:val="20"/>
          <w:lang w:val="fr-CA"/>
        </w:rPr>
        <w:t>(</w:t>
      </w:r>
      <w:hyperlink r:id="rId94" w:history="1">
        <w:r w:rsidR="0052229C" w:rsidRPr="00E85E82">
          <w:rPr>
            <w:rStyle w:val="Hyperlink"/>
            <w:sz w:val="20"/>
            <w:szCs w:val="20"/>
            <w:lang w:val="fr-CA"/>
          </w:rPr>
          <w:t>3</w:t>
        </w:r>
        <w:r w:rsidRPr="00E85E82">
          <w:rPr>
            <w:rStyle w:val="Hyperlink"/>
            <w:sz w:val="20"/>
            <w:szCs w:val="20"/>
            <w:lang w:val="fr-CA"/>
          </w:rPr>
          <w:t>6328</w:t>
        </w:r>
      </w:hyperlink>
      <w:r w:rsidR="0052229C" w:rsidRPr="00E85E82">
        <w:rPr>
          <w:sz w:val="20"/>
          <w:szCs w:val="20"/>
          <w:lang w:val="fr-CA"/>
        </w:rPr>
        <w:t>)</w:t>
      </w:r>
    </w:p>
    <w:p w:rsidR="0052229C" w:rsidRPr="00E85E82" w:rsidRDefault="0052229C" w:rsidP="0052229C">
      <w:pPr>
        <w:jc w:val="both"/>
        <w:rPr>
          <w:b/>
          <w:sz w:val="20"/>
          <w:szCs w:val="20"/>
        </w:rPr>
      </w:pPr>
      <w:r w:rsidRPr="00E85E82">
        <w:rPr>
          <w:b/>
          <w:sz w:val="20"/>
          <w:szCs w:val="20"/>
        </w:rPr>
        <w:t xml:space="preserve">Indexed as:  </w:t>
      </w:r>
      <w:r w:rsidR="006C7757" w:rsidRPr="00E85E82">
        <w:rPr>
          <w:b/>
          <w:sz w:val="20"/>
          <w:szCs w:val="20"/>
        </w:rPr>
        <w:t>R.</w:t>
      </w:r>
      <w:r w:rsidRPr="00E85E82">
        <w:rPr>
          <w:b/>
          <w:sz w:val="20"/>
          <w:szCs w:val="20"/>
        </w:rPr>
        <w:t xml:space="preserve"> </w:t>
      </w:r>
      <w:r w:rsidR="006C7757" w:rsidRPr="00E85E82">
        <w:rPr>
          <w:b/>
          <w:i/>
          <w:sz w:val="20"/>
          <w:szCs w:val="20"/>
        </w:rPr>
        <w:t>v</w:t>
      </w:r>
      <w:r w:rsidRPr="00E85E82">
        <w:rPr>
          <w:b/>
          <w:i/>
          <w:sz w:val="20"/>
          <w:szCs w:val="20"/>
        </w:rPr>
        <w:t>.</w:t>
      </w:r>
      <w:r w:rsidRPr="00E85E82">
        <w:rPr>
          <w:b/>
          <w:sz w:val="20"/>
          <w:szCs w:val="20"/>
        </w:rPr>
        <w:t xml:space="preserve"> </w:t>
      </w:r>
      <w:r w:rsidR="006C7757" w:rsidRPr="00E85E82">
        <w:rPr>
          <w:b/>
          <w:sz w:val="20"/>
          <w:szCs w:val="20"/>
        </w:rPr>
        <w:t>Saeed</w:t>
      </w:r>
      <w:r w:rsidRPr="00E85E82">
        <w:rPr>
          <w:rStyle w:val="SCCRespondentForIndexChar"/>
          <w:rFonts w:eastAsiaTheme="minorHAnsi"/>
          <w:sz w:val="20"/>
        </w:rPr>
        <w:t xml:space="preserve"> / </w:t>
      </w:r>
      <w:proofErr w:type="spellStart"/>
      <w:proofErr w:type="gramStart"/>
      <w:r w:rsidRPr="00E85E82">
        <w:rPr>
          <w:b/>
          <w:sz w:val="20"/>
          <w:szCs w:val="20"/>
        </w:rPr>
        <w:t>Répertorié</w:t>
      </w:r>
      <w:proofErr w:type="spellEnd"/>
      <w:r w:rsidRPr="00E85E82">
        <w:rPr>
          <w:b/>
          <w:sz w:val="20"/>
          <w:szCs w:val="20"/>
        </w:rPr>
        <w:t> :</w:t>
      </w:r>
      <w:proofErr w:type="gramEnd"/>
      <w:r w:rsidRPr="00E85E82">
        <w:rPr>
          <w:b/>
          <w:sz w:val="20"/>
          <w:szCs w:val="20"/>
        </w:rPr>
        <w:t> </w:t>
      </w:r>
      <w:r w:rsidR="006C7757" w:rsidRPr="00E85E82">
        <w:rPr>
          <w:b/>
          <w:sz w:val="20"/>
          <w:szCs w:val="20"/>
        </w:rPr>
        <w:t>R.</w:t>
      </w:r>
      <w:r w:rsidRPr="00E85E82">
        <w:rPr>
          <w:b/>
          <w:sz w:val="20"/>
          <w:szCs w:val="20"/>
        </w:rPr>
        <w:t xml:space="preserve"> </w:t>
      </w:r>
      <w:r w:rsidRPr="00E85E82">
        <w:rPr>
          <w:b/>
          <w:i/>
          <w:sz w:val="20"/>
          <w:szCs w:val="20"/>
        </w:rPr>
        <w:t>c.</w:t>
      </w:r>
      <w:r w:rsidRPr="00E85E82">
        <w:rPr>
          <w:b/>
          <w:sz w:val="20"/>
          <w:szCs w:val="20"/>
        </w:rPr>
        <w:t xml:space="preserve"> </w:t>
      </w:r>
      <w:r w:rsidR="006C7757" w:rsidRPr="00E85E82">
        <w:rPr>
          <w:b/>
          <w:sz w:val="20"/>
          <w:szCs w:val="20"/>
        </w:rPr>
        <w:t>Saeed</w:t>
      </w:r>
    </w:p>
    <w:p w:rsidR="0052229C" w:rsidRPr="00C556BB" w:rsidRDefault="0052229C" w:rsidP="0052229C">
      <w:pPr>
        <w:pStyle w:val="SCCSystemYear"/>
        <w:jc w:val="both"/>
        <w:rPr>
          <w:sz w:val="20"/>
        </w:rPr>
      </w:pPr>
      <w:proofErr w:type="spellStart"/>
      <w:r w:rsidRPr="00C556BB">
        <w:rPr>
          <w:sz w:val="20"/>
        </w:rPr>
        <w:t>Neutral</w:t>
      </w:r>
      <w:proofErr w:type="spellEnd"/>
      <w:r w:rsidRPr="00C556BB">
        <w:rPr>
          <w:sz w:val="20"/>
        </w:rPr>
        <w:t xml:space="preserve"> citation</w:t>
      </w:r>
      <w:proofErr w:type="gramStart"/>
      <w:r w:rsidRPr="00C556BB">
        <w:rPr>
          <w:sz w:val="20"/>
        </w:rPr>
        <w:t xml:space="preserve">:  </w:t>
      </w:r>
      <w:r w:rsidR="0030050B" w:rsidRPr="00C556BB">
        <w:rPr>
          <w:sz w:val="20"/>
        </w:rPr>
        <w:t>2016</w:t>
      </w:r>
      <w:proofErr w:type="gramEnd"/>
      <w:r w:rsidRPr="00C556BB">
        <w:rPr>
          <w:sz w:val="20"/>
        </w:rPr>
        <w:t xml:space="preserve"> SCC </w:t>
      </w:r>
      <w:r w:rsidR="008C62C1" w:rsidRPr="00C556BB">
        <w:rPr>
          <w:sz w:val="20"/>
        </w:rPr>
        <w:t>24</w:t>
      </w:r>
      <w:r w:rsidRPr="00C556BB">
        <w:rPr>
          <w:sz w:val="20"/>
        </w:rPr>
        <w:t xml:space="preserve"> / Référence neutre : </w:t>
      </w:r>
      <w:r w:rsidR="0030050B" w:rsidRPr="00C556BB">
        <w:rPr>
          <w:sz w:val="20"/>
        </w:rPr>
        <w:t>2016</w:t>
      </w:r>
      <w:r w:rsidRPr="00C556BB">
        <w:rPr>
          <w:sz w:val="20"/>
        </w:rPr>
        <w:t xml:space="preserve"> CSC </w:t>
      </w:r>
      <w:r w:rsidR="008C62C1" w:rsidRPr="00C556BB">
        <w:rPr>
          <w:sz w:val="20"/>
        </w:rPr>
        <w:t>24</w:t>
      </w:r>
    </w:p>
    <w:p w:rsidR="0052229C" w:rsidRPr="00C556BB" w:rsidRDefault="0052229C" w:rsidP="0052229C">
      <w:pPr>
        <w:rPr>
          <w:rFonts w:cs="Times New Roman"/>
          <w:sz w:val="20"/>
          <w:szCs w:val="20"/>
          <w:lang w:val="fr-CA"/>
        </w:rPr>
      </w:pPr>
      <w:proofErr w:type="spellStart"/>
      <w:r w:rsidRPr="00C556BB">
        <w:rPr>
          <w:rFonts w:cs="Times New Roman"/>
          <w:sz w:val="20"/>
          <w:szCs w:val="20"/>
          <w:lang w:val="fr-CA"/>
        </w:rPr>
        <w:t>Hearing</w:t>
      </w:r>
      <w:proofErr w:type="spellEnd"/>
      <w:proofErr w:type="gramStart"/>
      <w:r w:rsidRPr="00C556BB">
        <w:rPr>
          <w:rFonts w:cs="Times New Roman"/>
          <w:sz w:val="20"/>
          <w:szCs w:val="20"/>
          <w:lang w:val="fr-CA"/>
        </w:rPr>
        <w:t xml:space="preserve">:  </w:t>
      </w:r>
      <w:proofErr w:type="spellStart"/>
      <w:r w:rsidR="00A57425" w:rsidRPr="00C556BB">
        <w:rPr>
          <w:rFonts w:cs="Times New Roman"/>
          <w:sz w:val="20"/>
          <w:szCs w:val="20"/>
          <w:lang w:val="fr-CA"/>
        </w:rPr>
        <w:t>December</w:t>
      </w:r>
      <w:proofErr w:type="spellEnd"/>
      <w:proofErr w:type="gramEnd"/>
      <w:r w:rsidRPr="00C556BB">
        <w:rPr>
          <w:rFonts w:cs="Times New Roman"/>
          <w:sz w:val="20"/>
          <w:szCs w:val="20"/>
          <w:lang w:val="fr-CA"/>
        </w:rPr>
        <w:t xml:space="preserve"> </w:t>
      </w:r>
      <w:r w:rsidR="00A57425" w:rsidRPr="00C556BB">
        <w:rPr>
          <w:rFonts w:cs="Times New Roman"/>
          <w:sz w:val="20"/>
          <w:szCs w:val="20"/>
          <w:lang w:val="fr-CA"/>
        </w:rPr>
        <w:t>1</w:t>
      </w:r>
      <w:r w:rsidRPr="00C556BB">
        <w:rPr>
          <w:rFonts w:cs="Times New Roman"/>
          <w:sz w:val="20"/>
          <w:szCs w:val="20"/>
          <w:lang w:val="fr-CA"/>
        </w:rPr>
        <w:t>, 201</w:t>
      </w:r>
      <w:r w:rsidR="00A57425" w:rsidRPr="00C556BB">
        <w:rPr>
          <w:rFonts w:cs="Times New Roman"/>
          <w:sz w:val="20"/>
          <w:szCs w:val="20"/>
          <w:lang w:val="fr-CA"/>
        </w:rPr>
        <w:t>5</w:t>
      </w:r>
      <w:r w:rsidRPr="00C556BB">
        <w:rPr>
          <w:rFonts w:cs="Times New Roman"/>
          <w:sz w:val="20"/>
          <w:szCs w:val="20"/>
          <w:lang w:val="fr-CA"/>
        </w:rPr>
        <w:t xml:space="preserve"> / </w:t>
      </w:r>
      <w:proofErr w:type="spellStart"/>
      <w:r w:rsidRPr="00C556BB">
        <w:rPr>
          <w:rFonts w:cs="Times New Roman"/>
          <w:sz w:val="20"/>
          <w:szCs w:val="20"/>
          <w:lang w:val="fr-CA"/>
        </w:rPr>
        <w:t>Judgment</w:t>
      </w:r>
      <w:proofErr w:type="spellEnd"/>
      <w:r w:rsidRPr="00C556BB">
        <w:rPr>
          <w:rFonts w:cs="Times New Roman"/>
          <w:sz w:val="20"/>
          <w:szCs w:val="20"/>
          <w:lang w:val="fr-CA"/>
        </w:rPr>
        <w:t xml:space="preserve">:  </w:t>
      </w:r>
      <w:proofErr w:type="spellStart"/>
      <w:r w:rsidRPr="00C556BB">
        <w:rPr>
          <w:rFonts w:cs="Times New Roman"/>
          <w:sz w:val="20"/>
          <w:szCs w:val="20"/>
          <w:lang w:val="fr-CA"/>
        </w:rPr>
        <w:t>Ju</w:t>
      </w:r>
      <w:r w:rsidR="006C7757" w:rsidRPr="00C556BB">
        <w:rPr>
          <w:rFonts w:cs="Times New Roman"/>
          <w:sz w:val="20"/>
          <w:szCs w:val="20"/>
          <w:lang w:val="fr-CA"/>
        </w:rPr>
        <w:t>ne</w:t>
      </w:r>
      <w:proofErr w:type="spellEnd"/>
      <w:r w:rsidRPr="00C556BB">
        <w:rPr>
          <w:rFonts w:cs="Times New Roman"/>
          <w:sz w:val="20"/>
          <w:szCs w:val="20"/>
          <w:lang w:val="fr-CA"/>
        </w:rPr>
        <w:t xml:space="preserve"> </w:t>
      </w:r>
      <w:r w:rsidR="006C7757" w:rsidRPr="00C556BB">
        <w:rPr>
          <w:rFonts w:cs="Times New Roman"/>
          <w:sz w:val="20"/>
          <w:szCs w:val="20"/>
          <w:lang w:val="fr-CA"/>
        </w:rPr>
        <w:t>23</w:t>
      </w:r>
      <w:r w:rsidRPr="00C556BB">
        <w:rPr>
          <w:rFonts w:cs="Times New Roman"/>
          <w:sz w:val="20"/>
          <w:szCs w:val="20"/>
          <w:lang w:val="fr-CA"/>
        </w:rPr>
        <w:t xml:space="preserve">, </w:t>
      </w:r>
      <w:r w:rsidR="0030050B" w:rsidRPr="00C556BB">
        <w:rPr>
          <w:rFonts w:cs="Times New Roman"/>
          <w:sz w:val="20"/>
          <w:szCs w:val="20"/>
          <w:lang w:val="fr-CA"/>
        </w:rPr>
        <w:t>2016</w:t>
      </w:r>
    </w:p>
    <w:p w:rsidR="0052229C" w:rsidRPr="00E85E82" w:rsidRDefault="0052229C" w:rsidP="0052229C">
      <w:pPr>
        <w:rPr>
          <w:rFonts w:cs="Times New Roman"/>
          <w:sz w:val="20"/>
          <w:szCs w:val="20"/>
          <w:lang w:val="fr-CA"/>
        </w:rPr>
      </w:pPr>
      <w:r w:rsidRPr="00E85E82">
        <w:rPr>
          <w:rFonts w:cs="Times New Roman"/>
          <w:sz w:val="20"/>
          <w:szCs w:val="20"/>
          <w:lang w:val="fr-CA"/>
        </w:rPr>
        <w:t xml:space="preserve">Audition : Le </w:t>
      </w:r>
      <w:r w:rsidR="00A57425" w:rsidRPr="00E85E82">
        <w:rPr>
          <w:rFonts w:cs="Times New Roman"/>
          <w:sz w:val="20"/>
          <w:szCs w:val="20"/>
          <w:lang w:val="fr-CA"/>
        </w:rPr>
        <w:t>1</w:t>
      </w:r>
      <w:r w:rsidRPr="00E85E82">
        <w:rPr>
          <w:rFonts w:cs="Times New Roman"/>
          <w:sz w:val="20"/>
          <w:szCs w:val="20"/>
          <w:lang w:val="fr-CA"/>
        </w:rPr>
        <w:t xml:space="preserve"> </w:t>
      </w:r>
      <w:r w:rsidR="00A57425" w:rsidRPr="00E85E82">
        <w:rPr>
          <w:rFonts w:cs="Times New Roman"/>
          <w:sz w:val="20"/>
          <w:szCs w:val="20"/>
          <w:lang w:val="fr-CA"/>
        </w:rPr>
        <w:t>décembre</w:t>
      </w:r>
      <w:r w:rsidRPr="00E85E82">
        <w:rPr>
          <w:rFonts w:cs="Times New Roman"/>
          <w:sz w:val="20"/>
          <w:szCs w:val="20"/>
          <w:lang w:val="fr-CA"/>
        </w:rPr>
        <w:t xml:space="preserve"> 201</w:t>
      </w:r>
      <w:r w:rsidR="00A57425" w:rsidRPr="00E85E82">
        <w:rPr>
          <w:rFonts w:cs="Times New Roman"/>
          <w:sz w:val="20"/>
          <w:szCs w:val="20"/>
          <w:lang w:val="fr-CA"/>
        </w:rPr>
        <w:t>5</w:t>
      </w:r>
      <w:r w:rsidRPr="00E85E82">
        <w:rPr>
          <w:rFonts w:cs="Times New Roman"/>
          <w:sz w:val="20"/>
          <w:szCs w:val="20"/>
          <w:lang w:val="fr-CA"/>
        </w:rPr>
        <w:t xml:space="preserve"> / Jugement : Le </w:t>
      </w:r>
      <w:r w:rsidR="006C7757" w:rsidRPr="00E85E82">
        <w:rPr>
          <w:rFonts w:cs="Times New Roman"/>
          <w:sz w:val="20"/>
          <w:szCs w:val="20"/>
          <w:lang w:val="fr-CA"/>
        </w:rPr>
        <w:t>23</w:t>
      </w:r>
      <w:r w:rsidRPr="00E85E82">
        <w:rPr>
          <w:rFonts w:cs="Times New Roman"/>
          <w:sz w:val="20"/>
          <w:szCs w:val="20"/>
          <w:lang w:val="fr-CA"/>
        </w:rPr>
        <w:t xml:space="preserve"> j</w:t>
      </w:r>
      <w:r w:rsidR="006C7757" w:rsidRPr="00E85E82">
        <w:rPr>
          <w:rFonts w:cs="Times New Roman"/>
          <w:sz w:val="20"/>
          <w:szCs w:val="20"/>
          <w:lang w:val="fr-CA"/>
        </w:rPr>
        <w:t>uin</w:t>
      </w:r>
      <w:r w:rsidRPr="00E85E82">
        <w:rPr>
          <w:rFonts w:cs="Times New Roman"/>
          <w:sz w:val="20"/>
          <w:szCs w:val="20"/>
          <w:lang w:val="fr-CA"/>
        </w:rPr>
        <w:t xml:space="preserve"> </w:t>
      </w:r>
      <w:r w:rsidR="0030050B" w:rsidRPr="00E85E82">
        <w:rPr>
          <w:rFonts w:cs="Times New Roman"/>
          <w:sz w:val="20"/>
          <w:szCs w:val="20"/>
          <w:lang w:val="fr-CA"/>
        </w:rPr>
        <w:t>2016</w:t>
      </w:r>
    </w:p>
    <w:p w:rsidR="005C6840" w:rsidRPr="00E85E82" w:rsidRDefault="00B407D6" w:rsidP="005C6840">
      <w:pPr>
        <w:rPr>
          <w:rFonts w:cs="Times New Roman"/>
          <w:sz w:val="20"/>
          <w:szCs w:val="20"/>
          <w:lang w:val="fr-CA"/>
        </w:rPr>
      </w:pPr>
      <w:r>
        <w:rPr>
          <w:rFonts w:cs="Times New Roman"/>
          <w:i/>
          <w:sz w:val="20"/>
          <w:szCs w:val="20"/>
        </w:rPr>
        <w:pict>
          <v:rect id="_x0000_i1095" style="width:480.95pt;height:1pt" o:hralign="center" o:hrstd="t" o:hrnoshade="t" o:hr="t" fillcolor="black [3213]" stroked="f"/>
        </w:pict>
      </w:r>
    </w:p>
    <w:p w:rsidR="005C6840" w:rsidRPr="00E85E82" w:rsidRDefault="005C6840" w:rsidP="005C6840">
      <w:pPr>
        <w:rPr>
          <w:rFonts w:cs="Times New Roman"/>
          <w:sz w:val="20"/>
          <w:szCs w:val="20"/>
          <w:lang w:val="fr-CA"/>
        </w:rPr>
      </w:pPr>
    </w:p>
    <w:p w:rsidR="006C7757" w:rsidRPr="00E85E82" w:rsidRDefault="006C7757" w:rsidP="006C7757">
      <w:pPr>
        <w:jc w:val="both"/>
        <w:rPr>
          <w:sz w:val="20"/>
          <w:szCs w:val="20"/>
        </w:rPr>
      </w:pPr>
      <w:r w:rsidRPr="00E85E82">
        <w:rPr>
          <w:sz w:val="20"/>
          <w:szCs w:val="20"/>
        </w:rPr>
        <w:t>Present:  McLachlin C.J. and Abella, Cromwell, Moldaver, Karakatsanis, Wagner, Gascon, Côté and Brown JJ.</w:t>
      </w:r>
    </w:p>
    <w:p w:rsidR="006C7757" w:rsidRPr="00E85E82" w:rsidRDefault="006C7757" w:rsidP="006C7757">
      <w:pPr>
        <w:pStyle w:val="SCCLowerCourtNameLowercase"/>
        <w:spacing w:line="240" w:lineRule="auto"/>
        <w:rPr>
          <w:sz w:val="20"/>
        </w:rPr>
      </w:pPr>
    </w:p>
    <w:p w:rsidR="006325CE" w:rsidRPr="006325CE" w:rsidRDefault="006325CE" w:rsidP="006325CE">
      <w:pPr>
        <w:tabs>
          <w:tab w:val="left" w:pos="1168"/>
        </w:tabs>
        <w:jc w:val="both"/>
        <w:rPr>
          <w:rFonts w:eastAsia="Times New Roman" w:cs="Times New Roman"/>
          <w:sz w:val="20"/>
          <w:szCs w:val="20"/>
          <w:lang w:eastAsia="en-CA"/>
        </w:rPr>
      </w:pPr>
      <w:r w:rsidRPr="006325CE">
        <w:rPr>
          <w:rFonts w:eastAsia="Times New Roman" w:cs="Times New Roman"/>
          <w:sz w:val="20"/>
          <w:szCs w:val="20"/>
          <w:lang w:eastAsia="en-CA"/>
        </w:rPr>
        <w:tab/>
      </w:r>
      <w:r w:rsidRPr="006325CE">
        <w:rPr>
          <w:rFonts w:eastAsia="Times New Roman" w:cs="Times New Roman"/>
          <w:i/>
          <w:sz w:val="20"/>
          <w:szCs w:val="20"/>
          <w:lang w:eastAsia="en-CA"/>
        </w:rPr>
        <w:t xml:space="preserve">Constitutional law — Charter of Rights — Search and seizure — Search incident to arrest — Accused arrested in connection with sexual assault — Police have reasonable grounds to believe complainant’s DNA is present on accused’s penis — Police seek penile swab from accused — Accused complies in privacy of police cell — Police do not attempt to obtain warrant — Complainant’s DNA detected on swab and introduced as evidence at trial — Whether common law power of search incident to arrest authorizes penile swabs — Whether swab was unreasonable and contrary to accused’s right to be secure against unreasonable search or seizure — If so, whether evidence discovered in search should be excluded — Canadian Charter of Rights and Freedoms, ss. 8, 24(2). </w:t>
      </w:r>
    </w:p>
    <w:p w:rsidR="006C7757" w:rsidRPr="00E85E82" w:rsidRDefault="006C7757" w:rsidP="006325CE">
      <w:pPr>
        <w:pStyle w:val="SCCNormalDoubleSpacing"/>
        <w:spacing w:line="240" w:lineRule="auto"/>
        <w:rPr>
          <w:sz w:val="20"/>
        </w:rPr>
      </w:pPr>
    </w:p>
    <w:p w:rsidR="006325CE" w:rsidRPr="00E85E82" w:rsidRDefault="006325CE" w:rsidP="006325CE">
      <w:pPr>
        <w:tabs>
          <w:tab w:val="left" w:pos="1168"/>
        </w:tabs>
        <w:jc w:val="both"/>
        <w:rPr>
          <w:rFonts w:eastAsia="Times New Roman" w:cs="Times New Roman"/>
          <w:sz w:val="20"/>
          <w:szCs w:val="20"/>
          <w:lang w:eastAsia="en-CA"/>
        </w:rPr>
      </w:pPr>
      <w:r w:rsidRPr="006325CE">
        <w:rPr>
          <w:rFonts w:eastAsia="Times New Roman" w:cs="Times New Roman"/>
          <w:sz w:val="20"/>
          <w:szCs w:val="20"/>
          <w:lang w:eastAsia="en-CA"/>
        </w:rPr>
        <w:tab/>
        <w:t>Around 4:00 a.m. on May 22, 2011, the complainant was viciously attacked and sexually assaulted. At 6:05 a.m., the accused was arrested and was advised of his right to counsel. He was mistakenly released and re</w:t>
      </w:r>
      <w:r w:rsidRPr="006325CE">
        <w:rPr>
          <w:rFonts w:eastAsia="Times New Roman" w:cs="Times New Roman"/>
          <w:sz w:val="20"/>
          <w:szCs w:val="20"/>
          <w:lang w:eastAsia="en-CA"/>
        </w:rPr>
        <w:noBreakHyphen/>
        <w:t xml:space="preserve">arrested at 8:35 a.m. Based on the complainant’s allegations, the supervising police officer felt that there were reasonable grounds to believe the complainant’s DNA would still be found on the accused’s penis and a penile swab should be taken. The penile swab could not be taken immediately. Around 9:30 a.m., the accused was handcuffed to a wall in a cell with no toilet or running water to preserve the evidence. He spent about 30 to 40 minutes handcuffed in the dry cell. The supervising officer did not seek a warrant for the swab, because in his view, the swab was a valid search </w:t>
      </w:r>
      <w:r w:rsidRPr="006325CE">
        <w:rPr>
          <w:rFonts w:cs="Times New Roman"/>
          <w:sz w:val="20"/>
          <w:szCs w:val="20"/>
          <w:lang w:eastAsia="en-CA"/>
        </w:rPr>
        <w:t>incident</w:t>
      </w:r>
      <w:r w:rsidRPr="006325CE">
        <w:rPr>
          <w:rFonts w:eastAsia="Times New Roman" w:cs="Times New Roman"/>
          <w:sz w:val="20"/>
          <w:szCs w:val="20"/>
          <w:lang w:eastAsia="en-CA"/>
        </w:rPr>
        <w:t xml:space="preserve"> to arrest. The swab took place at around 10:45 </w:t>
      </w:r>
      <w:proofErr w:type="spellStart"/>
      <w:r w:rsidRPr="006325CE">
        <w:rPr>
          <w:rFonts w:eastAsia="Times New Roman" w:cs="Times New Roman"/>
          <w:sz w:val="20"/>
          <w:szCs w:val="20"/>
          <w:lang w:eastAsia="en-CA"/>
        </w:rPr>
        <w:t>a.m</w:t>
      </w:r>
      <w:proofErr w:type="spellEnd"/>
      <w:r w:rsidRPr="006325CE">
        <w:rPr>
          <w:rFonts w:eastAsia="Times New Roman" w:cs="Times New Roman"/>
          <w:sz w:val="20"/>
          <w:szCs w:val="20"/>
          <w:lang w:eastAsia="en-CA"/>
        </w:rPr>
        <w:t xml:space="preserve"> before two male officers who blocked the cell’s window with their bodies. The police permitted the accused to conduct the swab. The accused pulled his pants down and wiped a cotton</w:t>
      </w:r>
      <w:r w:rsidRPr="006325CE">
        <w:rPr>
          <w:rFonts w:eastAsia="Times New Roman" w:cs="Times New Roman"/>
          <w:sz w:val="20"/>
          <w:szCs w:val="20"/>
          <w:lang w:eastAsia="en-CA"/>
        </w:rPr>
        <w:noBreakHyphen/>
        <w:t xml:space="preserve">tipped swab along the length of his penis and around the head. The swab was tested and revealed the complainant’s DNA. </w:t>
      </w:r>
    </w:p>
    <w:p w:rsidR="006325CE" w:rsidRPr="006325CE" w:rsidRDefault="006325CE" w:rsidP="006325CE">
      <w:pPr>
        <w:tabs>
          <w:tab w:val="left" w:pos="1168"/>
        </w:tabs>
        <w:jc w:val="both"/>
        <w:rPr>
          <w:rFonts w:eastAsia="Times New Roman" w:cs="Times New Roman"/>
          <w:sz w:val="20"/>
          <w:szCs w:val="20"/>
          <w:lang w:eastAsia="en-CA"/>
        </w:rPr>
      </w:pPr>
    </w:p>
    <w:p w:rsidR="006325CE" w:rsidRPr="00E85E82" w:rsidRDefault="006325CE" w:rsidP="006325CE">
      <w:pPr>
        <w:tabs>
          <w:tab w:val="left" w:pos="1168"/>
        </w:tabs>
        <w:jc w:val="both"/>
        <w:rPr>
          <w:rFonts w:eastAsia="Times New Roman" w:cs="Times New Roman"/>
          <w:sz w:val="20"/>
          <w:szCs w:val="20"/>
          <w:lang w:eastAsia="en-CA"/>
        </w:rPr>
      </w:pPr>
      <w:r w:rsidRPr="006325CE">
        <w:rPr>
          <w:rFonts w:eastAsia="Times New Roman" w:cs="Times New Roman"/>
          <w:sz w:val="20"/>
          <w:szCs w:val="20"/>
          <w:lang w:eastAsia="en-CA"/>
        </w:rPr>
        <w:tab/>
        <w:t xml:space="preserve">At trial, the central issue was the identity of the complainant’s assailant. The accused challenged the admissibility of the evidence of the complainant’s DNA obtained from the penile swab. The trial judge ruled that the penile swab violated the accused’s s. 8 </w:t>
      </w:r>
      <w:r w:rsidRPr="006325CE">
        <w:rPr>
          <w:rFonts w:eastAsia="Times New Roman" w:cs="Times New Roman"/>
          <w:i/>
          <w:sz w:val="20"/>
          <w:szCs w:val="20"/>
          <w:lang w:eastAsia="en-CA"/>
        </w:rPr>
        <w:t xml:space="preserve">Charter </w:t>
      </w:r>
      <w:r w:rsidRPr="006325CE">
        <w:rPr>
          <w:rFonts w:eastAsia="Times New Roman" w:cs="Times New Roman"/>
          <w:sz w:val="20"/>
          <w:szCs w:val="20"/>
          <w:lang w:eastAsia="en-CA"/>
        </w:rPr>
        <w:t xml:space="preserve">right to be free from unreasonable search and seizure. </w:t>
      </w:r>
      <w:r w:rsidRPr="006325CE">
        <w:rPr>
          <w:rFonts w:cs="Times New Roman"/>
          <w:sz w:val="20"/>
          <w:szCs w:val="20"/>
          <w:lang w:eastAsia="en-CA"/>
        </w:rPr>
        <w:t>However</w:t>
      </w:r>
      <w:r w:rsidRPr="006325CE">
        <w:rPr>
          <w:rFonts w:eastAsia="Times New Roman" w:cs="Times New Roman"/>
          <w:sz w:val="20"/>
          <w:szCs w:val="20"/>
          <w:lang w:eastAsia="en-CA"/>
        </w:rPr>
        <w:t xml:space="preserve">, she admitted the DNA evidence under s. 24(2) of the </w:t>
      </w:r>
      <w:r w:rsidRPr="006325CE">
        <w:rPr>
          <w:rFonts w:eastAsia="Times New Roman" w:cs="Times New Roman"/>
          <w:i/>
          <w:sz w:val="20"/>
          <w:szCs w:val="20"/>
          <w:lang w:eastAsia="en-CA"/>
        </w:rPr>
        <w:t>Charter</w:t>
      </w:r>
      <w:r w:rsidRPr="006325CE">
        <w:rPr>
          <w:rFonts w:eastAsia="Times New Roman" w:cs="Times New Roman"/>
          <w:sz w:val="20"/>
          <w:szCs w:val="20"/>
          <w:lang w:eastAsia="en-CA"/>
        </w:rPr>
        <w:t xml:space="preserve"> and relied on it to convict the accused of sexual assault causing bodily harm and unlawful touching for a sexual purpose. The Court of Appeal dismissed the accused’s appeal. The majority held that taking the swab violated s. 8 of the </w:t>
      </w:r>
      <w:r w:rsidRPr="006325CE">
        <w:rPr>
          <w:rFonts w:eastAsia="Times New Roman" w:cs="Times New Roman"/>
          <w:i/>
          <w:sz w:val="20"/>
          <w:szCs w:val="20"/>
          <w:lang w:eastAsia="en-CA"/>
        </w:rPr>
        <w:t xml:space="preserve">Charter </w:t>
      </w:r>
      <w:r w:rsidRPr="006325CE">
        <w:rPr>
          <w:rFonts w:eastAsia="Times New Roman" w:cs="Times New Roman"/>
          <w:sz w:val="20"/>
          <w:szCs w:val="20"/>
          <w:lang w:eastAsia="en-CA"/>
        </w:rPr>
        <w:t xml:space="preserve">but the evidence was admissible under s. 24(2). McDonald J.A., concurring in the result, held that s. 8 was not violated. </w:t>
      </w:r>
    </w:p>
    <w:p w:rsidR="006325CE" w:rsidRPr="006325CE" w:rsidRDefault="006325CE" w:rsidP="006325CE">
      <w:pPr>
        <w:tabs>
          <w:tab w:val="left" w:pos="1168"/>
        </w:tabs>
        <w:jc w:val="both"/>
        <w:rPr>
          <w:rFonts w:eastAsia="Times New Roman" w:cs="Times New Roman"/>
          <w:sz w:val="20"/>
          <w:szCs w:val="20"/>
          <w:lang w:eastAsia="en-CA"/>
        </w:rPr>
      </w:pPr>
    </w:p>
    <w:p w:rsidR="006325CE" w:rsidRPr="00E85E82" w:rsidRDefault="006325CE" w:rsidP="006325CE">
      <w:pPr>
        <w:tabs>
          <w:tab w:val="left" w:pos="1168"/>
        </w:tabs>
        <w:jc w:val="both"/>
        <w:rPr>
          <w:rFonts w:eastAsia="Times New Roman" w:cs="Times New Roman"/>
          <w:sz w:val="20"/>
          <w:szCs w:val="20"/>
          <w:lang w:eastAsia="en-CA"/>
        </w:rPr>
      </w:pPr>
      <w:r w:rsidRPr="006325CE">
        <w:rPr>
          <w:rFonts w:eastAsia="Times New Roman" w:cs="Times New Roman"/>
          <w:sz w:val="20"/>
          <w:szCs w:val="20"/>
          <w:lang w:eastAsia="en-CA"/>
        </w:rPr>
        <w:tab/>
      </w:r>
      <w:r w:rsidRPr="006325CE">
        <w:rPr>
          <w:rFonts w:eastAsia="Times New Roman" w:cs="Times New Roman"/>
          <w:i/>
          <w:sz w:val="20"/>
          <w:szCs w:val="20"/>
          <w:lang w:eastAsia="en-CA"/>
        </w:rPr>
        <w:t>Held</w:t>
      </w:r>
      <w:r w:rsidRPr="006325CE">
        <w:rPr>
          <w:rFonts w:eastAsia="Times New Roman" w:cs="Times New Roman"/>
          <w:sz w:val="20"/>
          <w:szCs w:val="20"/>
          <w:lang w:eastAsia="en-CA"/>
        </w:rPr>
        <w:t xml:space="preserve"> (Abella J. dissenting): The appeal should be dismissed.</w:t>
      </w:r>
    </w:p>
    <w:p w:rsidR="006325CE" w:rsidRPr="006325CE" w:rsidRDefault="006325CE" w:rsidP="006325CE">
      <w:pPr>
        <w:tabs>
          <w:tab w:val="left" w:pos="1168"/>
        </w:tabs>
        <w:jc w:val="both"/>
        <w:rPr>
          <w:rFonts w:eastAsia="Times New Roman" w:cs="Times New Roman"/>
          <w:sz w:val="20"/>
          <w:szCs w:val="20"/>
          <w:lang w:eastAsia="en-CA"/>
        </w:rPr>
      </w:pPr>
    </w:p>
    <w:p w:rsidR="006325CE" w:rsidRPr="00E85E82" w:rsidRDefault="006325CE" w:rsidP="006325CE">
      <w:pPr>
        <w:tabs>
          <w:tab w:val="left" w:pos="1168"/>
        </w:tabs>
        <w:jc w:val="both"/>
        <w:rPr>
          <w:rFonts w:eastAsia="Times New Roman" w:cs="Times New Roman"/>
          <w:sz w:val="20"/>
          <w:szCs w:val="20"/>
          <w:lang w:eastAsia="en-CA"/>
        </w:rPr>
      </w:pPr>
      <w:r w:rsidRPr="006325CE">
        <w:rPr>
          <w:rFonts w:eastAsia="Times New Roman" w:cs="Times New Roman"/>
          <w:i/>
          <w:sz w:val="20"/>
          <w:szCs w:val="20"/>
          <w:lang w:eastAsia="en-CA"/>
        </w:rPr>
        <w:tab/>
        <w:t>Per</w:t>
      </w:r>
      <w:r w:rsidRPr="006325CE">
        <w:rPr>
          <w:rFonts w:eastAsia="Times New Roman" w:cs="Times New Roman"/>
          <w:sz w:val="20"/>
          <w:szCs w:val="20"/>
          <w:lang w:eastAsia="en-CA"/>
        </w:rPr>
        <w:t xml:space="preserve"> </w:t>
      </w:r>
      <w:r w:rsidRPr="00E85E82">
        <w:rPr>
          <w:rFonts w:cs="Times New Roman"/>
          <w:sz w:val="20"/>
          <w:szCs w:val="20"/>
        </w:rPr>
        <w:t xml:space="preserve">McLachlin C.J. and Cromwell, </w:t>
      </w:r>
      <w:r w:rsidRPr="00E85E82">
        <w:rPr>
          <w:rFonts w:cs="Times New Roman"/>
          <w:b/>
          <w:sz w:val="20"/>
          <w:szCs w:val="20"/>
        </w:rPr>
        <w:t>Moldaver</w:t>
      </w:r>
      <w:r w:rsidRPr="00E85E82">
        <w:rPr>
          <w:rFonts w:cs="Times New Roman"/>
          <w:sz w:val="20"/>
          <w:szCs w:val="20"/>
        </w:rPr>
        <w:t xml:space="preserve">, Wagner, Gascon, Côté and Brown JJ.: </w:t>
      </w:r>
      <w:r w:rsidRPr="006325CE">
        <w:rPr>
          <w:rFonts w:eastAsia="Times New Roman" w:cs="Times New Roman"/>
          <w:sz w:val="20"/>
          <w:szCs w:val="20"/>
          <w:lang w:eastAsia="en-CA"/>
        </w:rPr>
        <w:t xml:space="preserve">The accused’s s. 8 </w:t>
      </w:r>
      <w:r w:rsidRPr="006325CE">
        <w:rPr>
          <w:rFonts w:eastAsia="Times New Roman" w:cs="Times New Roman"/>
          <w:i/>
          <w:sz w:val="20"/>
          <w:szCs w:val="20"/>
          <w:lang w:eastAsia="en-CA"/>
        </w:rPr>
        <w:t xml:space="preserve">Charter </w:t>
      </w:r>
      <w:r w:rsidRPr="006325CE">
        <w:rPr>
          <w:rFonts w:eastAsia="Times New Roman" w:cs="Times New Roman"/>
          <w:sz w:val="20"/>
          <w:szCs w:val="20"/>
          <w:lang w:eastAsia="en-CA"/>
        </w:rPr>
        <w:t>rights were not breached and the evidence of the complainant’s DNA obtained from the swabbing was properly admitted.</w:t>
      </w:r>
    </w:p>
    <w:p w:rsidR="006325CE" w:rsidRPr="006325CE" w:rsidRDefault="006325CE" w:rsidP="006325CE">
      <w:pPr>
        <w:tabs>
          <w:tab w:val="left" w:pos="1168"/>
        </w:tabs>
        <w:jc w:val="both"/>
        <w:rPr>
          <w:rFonts w:eastAsia="Times New Roman" w:cs="Times New Roman"/>
          <w:sz w:val="20"/>
          <w:szCs w:val="20"/>
          <w:lang w:eastAsia="en-CA"/>
        </w:rPr>
      </w:pPr>
    </w:p>
    <w:p w:rsidR="006325CE" w:rsidRPr="00E85E82" w:rsidRDefault="006325CE" w:rsidP="006325CE">
      <w:pPr>
        <w:tabs>
          <w:tab w:val="left" w:pos="1168"/>
        </w:tabs>
        <w:jc w:val="both"/>
        <w:rPr>
          <w:rFonts w:eastAsia="Times New Roman" w:cs="Times New Roman"/>
          <w:sz w:val="20"/>
          <w:szCs w:val="20"/>
          <w:lang w:eastAsia="en-CA"/>
        </w:rPr>
      </w:pPr>
      <w:r w:rsidRPr="006325CE">
        <w:rPr>
          <w:rFonts w:eastAsia="Times New Roman" w:cs="Times New Roman"/>
          <w:sz w:val="20"/>
          <w:szCs w:val="20"/>
          <w:lang w:eastAsia="en-CA"/>
        </w:rPr>
        <w:tab/>
        <w:t xml:space="preserve">To be reasonable and therefore consistent with s. 8 of the </w:t>
      </w:r>
      <w:r w:rsidRPr="006325CE">
        <w:rPr>
          <w:rFonts w:eastAsia="Times New Roman" w:cs="Times New Roman"/>
          <w:i/>
          <w:sz w:val="20"/>
          <w:szCs w:val="20"/>
          <w:lang w:eastAsia="en-CA"/>
        </w:rPr>
        <w:t>Charter</w:t>
      </w:r>
      <w:r w:rsidRPr="006325CE">
        <w:rPr>
          <w:rFonts w:eastAsia="Times New Roman" w:cs="Times New Roman"/>
          <w:sz w:val="20"/>
          <w:szCs w:val="20"/>
          <w:lang w:eastAsia="en-CA"/>
        </w:rPr>
        <w:t xml:space="preserve">: (1) a search must be authorized by law; (2) the authorizing law must be reasonable; and (3) the search must be conducted reasonably. Determining whether the common law power of search incident to arrest may reasonably authorize a penile swab involves striking a proper balance between an accused’s privacy interests and valid law enforcement objectives. In some cases, an accused’s privacy interests will be so high as to be almost inviolable. In those cases, the common law power of search incident to arrest must yield, and a search will be allowed only where the accused consents, or a warrant is obtained, or perhaps in exigent circumstances. In others, while the accused’s privacy interests may be significant, they will not be so significant as to preclude the power of the police to search incident to arrest. In these cases, the existing general framework of the common law power of search incident to arrest must instead be tailored to ensure the search will be </w:t>
      </w:r>
      <w:r w:rsidRPr="006325CE">
        <w:rPr>
          <w:rFonts w:eastAsia="Times New Roman" w:cs="Times New Roman"/>
          <w:i/>
          <w:sz w:val="20"/>
          <w:szCs w:val="20"/>
          <w:lang w:eastAsia="en-CA"/>
        </w:rPr>
        <w:t>Charter</w:t>
      </w:r>
      <w:r w:rsidRPr="006325CE">
        <w:rPr>
          <w:rFonts w:eastAsia="Times New Roman" w:cs="Times New Roman"/>
          <w:sz w:val="20"/>
          <w:szCs w:val="20"/>
          <w:lang w:eastAsia="en-CA"/>
        </w:rPr>
        <w:noBreakHyphen/>
        <w:t>compliant. This case falls into the second category.</w:t>
      </w:r>
    </w:p>
    <w:p w:rsidR="006325CE" w:rsidRPr="006325CE" w:rsidRDefault="006325CE" w:rsidP="006325CE">
      <w:pPr>
        <w:tabs>
          <w:tab w:val="left" w:pos="1168"/>
        </w:tabs>
        <w:jc w:val="both"/>
        <w:rPr>
          <w:rFonts w:eastAsia="Times New Roman" w:cs="Times New Roman"/>
          <w:sz w:val="20"/>
          <w:szCs w:val="20"/>
          <w:lang w:eastAsia="en-CA"/>
        </w:rPr>
      </w:pPr>
    </w:p>
    <w:p w:rsidR="006325CE" w:rsidRPr="00E85E82" w:rsidRDefault="006325CE" w:rsidP="006325CE">
      <w:pPr>
        <w:tabs>
          <w:tab w:val="left" w:pos="1168"/>
        </w:tabs>
        <w:jc w:val="both"/>
        <w:rPr>
          <w:rFonts w:eastAsia="Times New Roman" w:cs="Times New Roman"/>
          <w:sz w:val="20"/>
          <w:szCs w:val="20"/>
          <w:lang w:eastAsia="en-CA"/>
        </w:rPr>
      </w:pPr>
      <w:r w:rsidRPr="006325CE">
        <w:rPr>
          <w:rFonts w:eastAsia="Times New Roman" w:cs="Times New Roman"/>
          <w:sz w:val="20"/>
          <w:szCs w:val="20"/>
          <w:lang w:eastAsia="en-CA"/>
        </w:rPr>
        <w:tab/>
        <w:t xml:space="preserve">A penile swab does not fall within the scope of </w:t>
      </w:r>
      <w:r w:rsidRPr="006325CE">
        <w:rPr>
          <w:rFonts w:eastAsia="Times New Roman" w:cs="Times New Roman"/>
          <w:i/>
          <w:sz w:val="20"/>
          <w:szCs w:val="20"/>
          <w:lang w:eastAsia="en-CA"/>
        </w:rPr>
        <w:t xml:space="preserve">R. v. </w:t>
      </w:r>
      <w:proofErr w:type="spellStart"/>
      <w:r w:rsidRPr="006325CE">
        <w:rPr>
          <w:rFonts w:eastAsia="Times New Roman" w:cs="Times New Roman"/>
          <w:i/>
          <w:sz w:val="20"/>
          <w:szCs w:val="20"/>
          <w:lang w:eastAsia="en-CA"/>
        </w:rPr>
        <w:t>Stillman</w:t>
      </w:r>
      <w:proofErr w:type="spellEnd"/>
      <w:r w:rsidRPr="006325CE">
        <w:rPr>
          <w:rFonts w:eastAsia="Times New Roman" w:cs="Times New Roman"/>
          <w:sz w:val="20"/>
          <w:szCs w:val="20"/>
          <w:lang w:eastAsia="en-CA"/>
        </w:rPr>
        <w:t>, [1997] 1 S.C.R. 607. First, a penile swab is not designed to seize the accused’s own bodily materials but rather, the complainant’s. Accused persons do not have a significant privacy interest in a complainant’s DNA. Second, a penile swab is in some ways less invasive than taking dental impressions and the forcible taking of parts of a person. Third, unlike with the accused’s bodily materials or impressions, evidence of the complainant’s DNA degrades over time. In sum, a penile swab implicates different privacy interests and law enforcement objectives than seizures of an accused’s bodily samples and impressions.</w:t>
      </w:r>
    </w:p>
    <w:p w:rsidR="006325CE" w:rsidRPr="006325CE" w:rsidRDefault="006325CE" w:rsidP="006325CE">
      <w:pPr>
        <w:tabs>
          <w:tab w:val="left" w:pos="1168"/>
        </w:tabs>
        <w:jc w:val="both"/>
        <w:rPr>
          <w:rFonts w:eastAsia="Times New Roman" w:cs="Times New Roman"/>
          <w:sz w:val="20"/>
          <w:szCs w:val="20"/>
          <w:lang w:eastAsia="en-CA"/>
        </w:rPr>
      </w:pPr>
    </w:p>
    <w:p w:rsidR="006325CE" w:rsidRPr="00E85E82" w:rsidRDefault="006325CE" w:rsidP="006325CE">
      <w:pPr>
        <w:tabs>
          <w:tab w:val="left" w:pos="1168"/>
        </w:tabs>
        <w:jc w:val="both"/>
        <w:rPr>
          <w:rFonts w:eastAsia="Times New Roman" w:cs="Times New Roman"/>
          <w:sz w:val="20"/>
          <w:szCs w:val="20"/>
          <w:lang w:eastAsia="en-CA"/>
        </w:rPr>
      </w:pPr>
      <w:r w:rsidRPr="006325CE">
        <w:rPr>
          <w:rFonts w:eastAsia="Times New Roman" w:cs="Times New Roman"/>
          <w:sz w:val="20"/>
          <w:szCs w:val="20"/>
          <w:lang w:eastAsia="en-CA"/>
        </w:rPr>
        <w:tab/>
        <w:t xml:space="preserve">The common law power of search incident to arrest must be delineated in a way that is consistent with s. 8 of the </w:t>
      </w:r>
      <w:r w:rsidRPr="006325CE">
        <w:rPr>
          <w:rFonts w:eastAsia="Times New Roman" w:cs="Times New Roman"/>
          <w:i/>
          <w:sz w:val="20"/>
          <w:szCs w:val="20"/>
          <w:lang w:eastAsia="en-CA"/>
        </w:rPr>
        <w:t>Charter</w:t>
      </w:r>
      <w:r w:rsidRPr="006325CE">
        <w:rPr>
          <w:rFonts w:eastAsia="Times New Roman" w:cs="Times New Roman"/>
          <w:sz w:val="20"/>
          <w:szCs w:val="20"/>
          <w:lang w:eastAsia="en-CA"/>
        </w:rPr>
        <w:t xml:space="preserve">. There can be no doubt that requiring a penile swab is an intrusion on an accused’s privacy. A penile swab has the potential to be a humiliating, degrading and traumatic experience. On the other side of the ledger, it can serve important law enforcement objectives. It can enable the police to preserve important evidence that runs the risk of degrading or being destroyed. Sexual assaults are notoriously difficult to prove and this type of evidence is highly reliable. A penile swab can be crucial in the case of complainants who are unable to testify. The privacy interests at issue are similar to those implicated in strip searches and they can be protected by a similar approach. As with strip searches, the common law must provide a means of preventing unjustified searches before they occur and a means of ensuring that when these searches do occur, they are conducted in a reasonable manner. The reasonable grounds standard and guidelines regarding the manner of taking the swab provide these two protections. These two modifications to the common law power of search incident to arrest ensure that it is </w:t>
      </w:r>
      <w:r w:rsidRPr="006325CE">
        <w:rPr>
          <w:rFonts w:eastAsia="Times New Roman" w:cs="Times New Roman"/>
          <w:i/>
          <w:sz w:val="20"/>
          <w:szCs w:val="20"/>
          <w:lang w:eastAsia="en-CA"/>
        </w:rPr>
        <w:t>Charter</w:t>
      </w:r>
      <w:r w:rsidRPr="006325CE">
        <w:rPr>
          <w:rFonts w:eastAsia="Times New Roman" w:cs="Times New Roman"/>
          <w:sz w:val="20"/>
          <w:szCs w:val="20"/>
          <w:lang w:eastAsia="en-CA"/>
        </w:rPr>
        <w:noBreakHyphen/>
        <w:t>compliant.</w:t>
      </w:r>
    </w:p>
    <w:p w:rsidR="006325CE" w:rsidRPr="006325CE" w:rsidRDefault="006325CE" w:rsidP="006325CE">
      <w:pPr>
        <w:tabs>
          <w:tab w:val="left" w:pos="1168"/>
        </w:tabs>
        <w:jc w:val="both"/>
        <w:rPr>
          <w:rFonts w:eastAsia="Times New Roman" w:cs="Times New Roman"/>
          <w:sz w:val="20"/>
          <w:szCs w:val="20"/>
          <w:lang w:eastAsia="en-CA"/>
        </w:rPr>
      </w:pPr>
    </w:p>
    <w:p w:rsidR="006325CE" w:rsidRPr="00E85E82" w:rsidRDefault="006325CE" w:rsidP="006325CE">
      <w:pPr>
        <w:tabs>
          <w:tab w:val="left" w:pos="1168"/>
        </w:tabs>
        <w:jc w:val="both"/>
        <w:rPr>
          <w:rFonts w:eastAsia="Times New Roman" w:cs="Times New Roman"/>
          <w:sz w:val="20"/>
          <w:szCs w:val="20"/>
          <w:lang w:eastAsia="en-CA"/>
        </w:rPr>
      </w:pPr>
      <w:r w:rsidRPr="006325CE">
        <w:rPr>
          <w:rFonts w:eastAsia="Times New Roman" w:cs="Times New Roman"/>
          <w:sz w:val="20"/>
          <w:szCs w:val="20"/>
          <w:lang w:eastAsia="en-CA"/>
        </w:rPr>
        <w:tab/>
        <w:t>The police may take a penile swab incident to arrest if they have reasonable grounds to believe that the search will reveal and preserve evidence of the offence for which the accused was arrested. The reasonable grounds standard will prevent unjustified searches before they occur and will hold the police to a higher level of justification before they can take a penile swab. Whether reasonable grounds have been established will vary with the facts of each case. Relevant factors include the timing of the arrest in relation to the alleged offence, the nature of the allegations, and whether there is evidence that the substance being sought has already been destroyed. The potential for destruction or degradation of the complainant’s DNA will always be a concern in this context.</w:t>
      </w:r>
    </w:p>
    <w:p w:rsidR="006325CE" w:rsidRPr="006325CE" w:rsidRDefault="006325CE" w:rsidP="006325CE">
      <w:pPr>
        <w:tabs>
          <w:tab w:val="left" w:pos="1168"/>
        </w:tabs>
        <w:jc w:val="both"/>
        <w:rPr>
          <w:rFonts w:eastAsia="Times New Roman" w:cs="Times New Roman"/>
          <w:sz w:val="20"/>
          <w:szCs w:val="20"/>
          <w:u w:val="single"/>
          <w:lang w:eastAsia="en-CA"/>
        </w:rPr>
      </w:pPr>
    </w:p>
    <w:p w:rsidR="006325CE" w:rsidRPr="00E85E82" w:rsidRDefault="006325CE" w:rsidP="006325CE">
      <w:pPr>
        <w:tabs>
          <w:tab w:val="left" w:pos="1168"/>
        </w:tabs>
        <w:jc w:val="both"/>
        <w:rPr>
          <w:rFonts w:eastAsia="Times New Roman" w:cs="Times New Roman"/>
          <w:sz w:val="20"/>
          <w:szCs w:val="20"/>
          <w:lang w:val="en" w:eastAsia="en-CA"/>
        </w:rPr>
      </w:pPr>
      <w:r w:rsidRPr="006325CE">
        <w:rPr>
          <w:rFonts w:eastAsia="Times New Roman" w:cs="Times New Roman"/>
          <w:sz w:val="20"/>
          <w:szCs w:val="20"/>
          <w:lang w:eastAsia="en-CA"/>
        </w:rPr>
        <w:tab/>
        <w:t xml:space="preserve">The swab must also be conducted in a reasonable manner. The following factors will guide police in conducting penile swabs incident to arrest reasonably. A </w:t>
      </w:r>
      <w:r w:rsidRPr="006325CE">
        <w:rPr>
          <w:rFonts w:eastAsia="Times New Roman" w:cs="Times New Roman"/>
          <w:sz w:val="20"/>
          <w:szCs w:val="20"/>
          <w:lang w:val="en" w:eastAsia="en-CA"/>
        </w:rPr>
        <w:t>swab should, as a general rule, be conducted at the police station. It should be conducted in a manner that ensures the health and safety of all involved. It should be authorized by a police officer acting in a supervisory capacity. The accused should be informed shortly before the swab of the nature of the procedure, its purpose and the authority of the police to require the swab. The accused should be given the option of removing his clothing and taking the swab himself or the swab should be taken or directed by a trained officer or medical professional, with the minimum of force necessary. The officers carrying out the swab should be of the same gender as the accused unless the circumstances compel otherwise. There should be no more police officers involved in the swab than are reasonably necessary in the circumstances. The swab should be carried out in a private area. It should be conducted as quickly as possible and in a way that ensures that the person is not completely undressed at any one time. A proper record should be kept of the reasons for and the manner in which the swabbing was conducted.</w:t>
      </w:r>
    </w:p>
    <w:p w:rsidR="006325CE" w:rsidRPr="006325CE" w:rsidRDefault="006325CE" w:rsidP="006325CE">
      <w:pPr>
        <w:tabs>
          <w:tab w:val="left" w:pos="1168"/>
        </w:tabs>
        <w:jc w:val="both"/>
        <w:rPr>
          <w:rFonts w:eastAsia="Times New Roman" w:cs="Times New Roman"/>
          <w:sz w:val="20"/>
          <w:szCs w:val="20"/>
          <w:lang w:val="en" w:eastAsia="en-CA"/>
        </w:rPr>
      </w:pPr>
    </w:p>
    <w:p w:rsidR="006325CE" w:rsidRPr="00E85E82" w:rsidRDefault="006325CE" w:rsidP="006325CE">
      <w:pPr>
        <w:tabs>
          <w:tab w:val="left" w:pos="1168"/>
        </w:tabs>
        <w:jc w:val="both"/>
        <w:rPr>
          <w:rFonts w:eastAsia="Times New Roman" w:cs="Times New Roman"/>
          <w:sz w:val="20"/>
          <w:szCs w:val="20"/>
          <w:lang w:eastAsia="en-CA"/>
        </w:rPr>
      </w:pPr>
      <w:r w:rsidRPr="006325CE">
        <w:rPr>
          <w:rFonts w:eastAsia="Times New Roman" w:cs="Times New Roman"/>
          <w:sz w:val="20"/>
          <w:szCs w:val="20"/>
          <w:lang w:eastAsia="en-CA"/>
        </w:rPr>
        <w:tab/>
        <w:t xml:space="preserve">In light of these requirements, the penile swab in this case did not violate the accused’s rights under s. 8 of the </w:t>
      </w:r>
      <w:r w:rsidRPr="006325CE">
        <w:rPr>
          <w:rFonts w:eastAsia="Times New Roman" w:cs="Times New Roman"/>
          <w:i/>
          <w:sz w:val="20"/>
          <w:szCs w:val="20"/>
          <w:lang w:eastAsia="en-CA"/>
        </w:rPr>
        <w:t>Charter</w:t>
      </w:r>
      <w:r w:rsidRPr="006325CE">
        <w:rPr>
          <w:rFonts w:eastAsia="Times New Roman" w:cs="Times New Roman"/>
          <w:sz w:val="20"/>
          <w:szCs w:val="20"/>
          <w:lang w:eastAsia="en-CA"/>
        </w:rPr>
        <w:t xml:space="preserve">. The accused was validly arrested. The swab was performed to preserve evidence of the sexual assault. The police had reasonable grounds to believe that the complainant’s DNA had transferred to the accused’s penis during the assault and that it would still be found on his penis. The swab was performed in a reasonable manner. The police officers were sensitive to the need to </w:t>
      </w:r>
      <w:r w:rsidRPr="006325CE">
        <w:rPr>
          <w:rFonts w:cs="Times New Roman"/>
          <w:sz w:val="20"/>
          <w:szCs w:val="20"/>
          <w:lang w:eastAsia="en-CA"/>
        </w:rPr>
        <w:t>preserve</w:t>
      </w:r>
      <w:r w:rsidRPr="006325CE">
        <w:rPr>
          <w:rFonts w:eastAsia="Times New Roman" w:cs="Times New Roman"/>
          <w:sz w:val="20"/>
          <w:szCs w:val="20"/>
          <w:lang w:eastAsia="en-CA"/>
        </w:rPr>
        <w:t xml:space="preserve"> the accused’s privacy and dignity. The accused was informed in advance of the procedure for taking the swab and its purpose. The swab itself was conducted quickly, smoothly, and privately. The swab took at most two minutes. The accused took the swab himself. There was no physical contact between the officers and the accused. The officers took detailed notes regarding the reasons for and the process of taking the swab. The swab did not fundamentally violate the accused’s human dignity.</w:t>
      </w:r>
    </w:p>
    <w:p w:rsidR="006325CE" w:rsidRPr="006325CE" w:rsidRDefault="006325CE" w:rsidP="006325CE">
      <w:pPr>
        <w:tabs>
          <w:tab w:val="left" w:pos="1168"/>
        </w:tabs>
        <w:jc w:val="both"/>
        <w:rPr>
          <w:rFonts w:eastAsia="Times New Roman" w:cs="Times New Roman"/>
          <w:sz w:val="20"/>
          <w:szCs w:val="20"/>
          <w:lang w:eastAsia="en-CA"/>
        </w:rPr>
      </w:pPr>
    </w:p>
    <w:p w:rsidR="006325CE" w:rsidRPr="00E85E82" w:rsidRDefault="006325CE" w:rsidP="006325CE">
      <w:pPr>
        <w:tabs>
          <w:tab w:val="left" w:pos="1168"/>
        </w:tabs>
        <w:jc w:val="both"/>
        <w:rPr>
          <w:rFonts w:eastAsia="Times New Roman" w:cs="Times New Roman"/>
          <w:sz w:val="20"/>
          <w:szCs w:val="20"/>
          <w:lang w:eastAsia="en-CA"/>
        </w:rPr>
      </w:pPr>
      <w:r w:rsidRPr="006325CE">
        <w:rPr>
          <w:rFonts w:eastAsia="Times New Roman" w:cs="Times New Roman"/>
          <w:i/>
          <w:sz w:val="20"/>
          <w:szCs w:val="20"/>
          <w:lang w:eastAsia="en-CA"/>
        </w:rPr>
        <w:tab/>
        <w:t>Per</w:t>
      </w:r>
      <w:r w:rsidRPr="006325CE">
        <w:rPr>
          <w:rFonts w:eastAsia="Times New Roman" w:cs="Times New Roman"/>
          <w:sz w:val="20"/>
          <w:szCs w:val="20"/>
          <w:lang w:eastAsia="en-CA"/>
        </w:rPr>
        <w:t xml:space="preserve"> </w:t>
      </w:r>
      <w:r w:rsidRPr="006325CE">
        <w:rPr>
          <w:rFonts w:eastAsia="Times New Roman" w:cs="Times New Roman"/>
          <w:b/>
          <w:sz w:val="20"/>
          <w:szCs w:val="20"/>
          <w:lang w:eastAsia="en-CA"/>
        </w:rPr>
        <w:t>Karakatsanis </w:t>
      </w:r>
      <w:r w:rsidRPr="006325CE">
        <w:rPr>
          <w:rFonts w:eastAsia="Times New Roman" w:cs="Times New Roman"/>
          <w:sz w:val="20"/>
          <w:szCs w:val="20"/>
          <w:lang w:eastAsia="en-CA"/>
        </w:rPr>
        <w:t xml:space="preserve">J.: How we treat those suspected of serious criminal offences says a great deal about the values of our free and democratic society. Given the profound impact that a genital swab can have on an individual’s privacy and human dignity, the common law power of search incident to arrest does not authorize the police to take genital swabs. Since the penile swab taken from the accused was not authorized by law, it was unreasonable and in violation of s. 8 of the </w:t>
      </w:r>
      <w:r w:rsidRPr="006325CE">
        <w:rPr>
          <w:rFonts w:eastAsia="Times New Roman" w:cs="Times New Roman"/>
          <w:i/>
          <w:sz w:val="20"/>
          <w:szCs w:val="20"/>
          <w:lang w:eastAsia="en-CA"/>
        </w:rPr>
        <w:t>Charter</w:t>
      </w:r>
      <w:r w:rsidRPr="006325CE">
        <w:rPr>
          <w:rFonts w:eastAsia="Times New Roman" w:cs="Times New Roman"/>
          <w:sz w:val="20"/>
          <w:szCs w:val="20"/>
          <w:lang w:eastAsia="en-CA"/>
        </w:rPr>
        <w:t xml:space="preserve">. However, in the exceptional circumstances of this case, the evidence obtained in breach of the </w:t>
      </w:r>
      <w:r w:rsidRPr="006325CE">
        <w:rPr>
          <w:rFonts w:eastAsia="Times New Roman" w:cs="Times New Roman"/>
          <w:i/>
          <w:sz w:val="20"/>
          <w:szCs w:val="20"/>
          <w:lang w:eastAsia="en-CA"/>
        </w:rPr>
        <w:t>Charter</w:t>
      </w:r>
      <w:r w:rsidRPr="006325CE">
        <w:rPr>
          <w:rFonts w:eastAsia="Times New Roman" w:cs="Times New Roman"/>
          <w:sz w:val="20"/>
          <w:szCs w:val="20"/>
          <w:lang w:eastAsia="en-CA"/>
        </w:rPr>
        <w:t xml:space="preserve"> was nonetheless admissible under s. 24(2) of the </w:t>
      </w:r>
      <w:r w:rsidRPr="006325CE">
        <w:rPr>
          <w:rFonts w:eastAsia="Times New Roman" w:cs="Times New Roman"/>
          <w:i/>
          <w:sz w:val="20"/>
          <w:szCs w:val="20"/>
          <w:lang w:eastAsia="en-CA"/>
        </w:rPr>
        <w:t>Charter</w:t>
      </w:r>
      <w:r w:rsidRPr="006325CE">
        <w:rPr>
          <w:rFonts w:eastAsia="Times New Roman" w:cs="Times New Roman"/>
          <w:sz w:val="20"/>
          <w:szCs w:val="20"/>
          <w:lang w:eastAsia="en-CA"/>
        </w:rPr>
        <w:t>.</w:t>
      </w:r>
    </w:p>
    <w:p w:rsidR="006325CE" w:rsidRPr="006325CE" w:rsidRDefault="006325CE" w:rsidP="006325CE">
      <w:pPr>
        <w:tabs>
          <w:tab w:val="left" w:pos="1168"/>
        </w:tabs>
        <w:jc w:val="both"/>
        <w:rPr>
          <w:rFonts w:eastAsia="Times New Roman" w:cs="Times New Roman"/>
          <w:sz w:val="20"/>
          <w:szCs w:val="20"/>
          <w:lang w:eastAsia="en-CA"/>
        </w:rPr>
      </w:pPr>
    </w:p>
    <w:p w:rsidR="006325CE" w:rsidRPr="00E85E82" w:rsidRDefault="006325CE" w:rsidP="006325CE">
      <w:pPr>
        <w:tabs>
          <w:tab w:val="left" w:pos="1168"/>
        </w:tabs>
        <w:jc w:val="both"/>
        <w:rPr>
          <w:rFonts w:eastAsia="Times New Roman" w:cs="Times New Roman"/>
          <w:sz w:val="20"/>
          <w:szCs w:val="20"/>
          <w:lang w:eastAsia="en-CA"/>
        </w:rPr>
      </w:pPr>
      <w:r w:rsidRPr="006325CE">
        <w:rPr>
          <w:rFonts w:eastAsia="Times New Roman" w:cs="Times New Roman"/>
          <w:sz w:val="20"/>
          <w:szCs w:val="20"/>
          <w:lang w:eastAsia="en-CA"/>
        </w:rPr>
        <w:tab/>
      </w:r>
      <w:r w:rsidRPr="006325CE">
        <w:rPr>
          <w:rFonts w:cs="Times New Roman"/>
          <w:sz w:val="20"/>
          <w:szCs w:val="20"/>
          <w:lang w:eastAsia="en-CA"/>
        </w:rPr>
        <w:t>Section</w:t>
      </w:r>
      <w:r w:rsidRPr="006325CE">
        <w:rPr>
          <w:rFonts w:eastAsia="Times New Roman" w:cs="Times New Roman"/>
          <w:sz w:val="20"/>
          <w:szCs w:val="20"/>
          <w:lang w:eastAsia="en-CA"/>
        </w:rPr>
        <w:t xml:space="preserve"> 8 of the </w:t>
      </w:r>
      <w:r w:rsidRPr="006325CE">
        <w:rPr>
          <w:rFonts w:eastAsia="Times New Roman" w:cs="Times New Roman"/>
          <w:i/>
          <w:sz w:val="20"/>
          <w:szCs w:val="20"/>
          <w:lang w:eastAsia="en-CA"/>
        </w:rPr>
        <w:t xml:space="preserve">Charter </w:t>
      </w:r>
      <w:r w:rsidRPr="006325CE">
        <w:rPr>
          <w:rFonts w:eastAsia="Times New Roman" w:cs="Times New Roman"/>
          <w:sz w:val="20"/>
          <w:szCs w:val="20"/>
          <w:lang w:eastAsia="en-CA"/>
        </w:rPr>
        <w:t xml:space="preserve">balances an individual’s interest in privacy with the state’s interest in investigating and prosecuting crime. The common law power to search an individual incident to arrest must evolve in a way that is consistent with </w:t>
      </w:r>
      <w:r w:rsidRPr="006325CE">
        <w:rPr>
          <w:rFonts w:eastAsia="Times New Roman" w:cs="Times New Roman"/>
          <w:i/>
          <w:sz w:val="20"/>
          <w:szCs w:val="20"/>
          <w:lang w:eastAsia="en-CA"/>
        </w:rPr>
        <w:t>Charter</w:t>
      </w:r>
      <w:r w:rsidRPr="006325CE">
        <w:rPr>
          <w:rFonts w:eastAsia="Times New Roman" w:cs="Times New Roman"/>
          <w:sz w:val="20"/>
          <w:szCs w:val="20"/>
          <w:lang w:eastAsia="en-CA"/>
        </w:rPr>
        <w:t xml:space="preserve"> principles. Some kinds of searches fall outside the scope of the common law power because they do not reflect a reasonable balance between the individual’s interest in preserving dignity and privacy and the state’s interest in investigating crime.</w:t>
      </w:r>
    </w:p>
    <w:p w:rsidR="006325CE" w:rsidRPr="006325CE" w:rsidRDefault="006325CE" w:rsidP="006325CE">
      <w:pPr>
        <w:tabs>
          <w:tab w:val="left" w:pos="1168"/>
        </w:tabs>
        <w:jc w:val="both"/>
        <w:rPr>
          <w:rFonts w:eastAsia="Times New Roman" w:cs="Times New Roman"/>
          <w:sz w:val="20"/>
          <w:szCs w:val="20"/>
          <w:lang w:eastAsia="en-CA"/>
        </w:rPr>
      </w:pPr>
    </w:p>
    <w:p w:rsidR="006325CE" w:rsidRPr="00E85E82" w:rsidRDefault="006325CE" w:rsidP="006325CE">
      <w:pPr>
        <w:tabs>
          <w:tab w:val="left" w:pos="1168"/>
        </w:tabs>
        <w:jc w:val="both"/>
        <w:rPr>
          <w:rFonts w:eastAsia="Times New Roman" w:cs="Times New Roman"/>
          <w:sz w:val="20"/>
          <w:szCs w:val="20"/>
          <w:lang w:eastAsia="en-CA"/>
        </w:rPr>
      </w:pPr>
      <w:r w:rsidRPr="006325CE">
        <w:rPr>
          <w:rFonts w:eastAsia="Times New Roman" w:cs="Times New Roman"/>
          <w:sz w:val="20"/>
          <w:szCs w:val="20"/>
          <w:lang w:eastAsia="en-CA"/>
        </w:rPr>
        <w:tab/>
      </w:r>
      <w:r w:rsidRPr="006325CE">
        <w:rPr>
          <w:rFonts w:cs="Times New Roman"/>
          <w:sz w:val="20"/>
          <w:szCs w:val="20"/>
          <w:lang w:eastAsia="en-CA"/>
        </w:rPr>
        <w:t>The</w:t>
      </w:r>
      <w:r w:rsidRPr="006325CE">
        <w:rPr>
          <w:rFonts w:eastAsia="Times New Roman" w:cs="Times New Roman"/>
          <w:sz w:val="20"/>
          <w:szCs w:val="20"/>
          <w:lang w:eastAsia="en-CA"/>
        </w:rPr>
        <w:t xml:space="preserve"> principles animating </w:t>
      </w:r>
      <w:r w:rsidRPr="006325CE">
        <w:rPr>
          <w:rFonts w:eastAsia="Times New Roman" w:cs="Times New Roman"/>
          <w:i/>
          <w:sz w:val="20"/>
          <w:szCs w:val="20"/>
          <w:lang w:eastAsia="en-CA"/>
        </w:rPr>
        <w:t xml:space="preserve">R. v. </w:t>
      </w:r>
      <w:proofErr w:type="spellStart"/>
      <w:r w:rsidRPr="006325CE">
        <w:rPr>
          <w:rFonts w:eastAsia="Times New Roman" w:cs="Times New Roman"/>
          <w:i/>
          <w:sz w:val="20"/>
          <w:szCs w:val="20"/>
          <w:lang w:eastAsia="en-CA"/>
        </w:rPr>
        <w:t>Stillman</w:t>
      </w:r>
      <w:proofErr w:type="spellEnd"/>
      <w:r w:rsidRPr="006325CE">
        <w:rPr>
          <w:rFonts w:eastAsia="Times New Roman" w:cs="Times New Roman"/>
          <w:sz w:val="20"/>
          <w:szCs w:val="20"/>
          <w:lang w:eastAsia="en-CA"/>
        </w:rPr>
        <w:t>, [1997] 1 S.C.R. 607, suggest that it would not be a reasonable balancing of the competing individual and state interests for the common law to authorize genital swabs. A swab of the genital area is far more damaging to personal dignity and privacy than a swab of the inside of the mouth or a pluck of hair from the head. Genital swabs are substantially more invasive and dehumanizing. One cannot be taken without exposing, touching and manipulating the genitals, the most private area of the body, in the presence of others. It is difficult to conceive of a more personal or private interest in our bodies. Moreover, although the purpose of a genital swab may be to search for residue deposited on the individual’s genitals, an effect of the seizure is to put the individual’s DNA in the hands of the state, available for undetermined potential future use.</w:t>
      </w:r>
    </w:p>
    <w:p w:rsidR="006325CE" w:rsidRPr="006325CE" w:rsidRDefault="006325CE" w:rsidP="006325CE">
      <w:pPr>
        <w:tabs>
          <w:tab w:val="left" w:pos="1168"/>
        </w:tabs>
        <w:jc w:val="both"/>
        <w:rPr>
          <w:rFonts w:eastAsia="Times New Roman" w:cs="Times New Roman"/>
          <w:sz w:val="20"/>
          <w:szCs w:val="20"/>
          <w:lang w:eastAsia="en-CA"/>
        </w:rPr>
      </w:pPr>
    </w:p>
    <w:p w:rsidR="006325CE" w:rsidRPr="00E85E82" w:rsidRDefault="006325CE" w:rsidP="006325CE">
      <w:pPr>
        <w:tabs>
          <w:tab w:val="left" w:pos="1168"/>
        </w:tabs>
        <w:jc w:val="both"/>
        <w:rPr>
          <w:rFonts w:eastAsia="Times New Roman" w:cs="Times New Roman"/>
          <w:sz w:val="20"/>
          <w:szCs w:val="20"/>
          <w:lang w:eastAsia="en-CA"/>
        </w:rPr>
      </w:pPr>
      <w:r w:rsidRPr="006325CE">
        <w:rPr>
          <w:rFonts w:eastAsia="Times New Roman" w:cs="Times New Roman"/>
          <w:sz w:val="20"/>
          <w:szCs w:val="20"/>
          <w:lang w:eastAsia="en-CA"/>
        </w:rPr>
        <w:tab/>
        <w:t xml:space="preserve">Turning to society’s interests in effective law enforcement, genital swabs can advance compelling state interests. Sexual assault is a very serious offence. It is notoriously difficult to prove. A search for the victim’s DNA on the genitals of the arrested person can yield highly probative physical evidence. However, the state interests are no more compelling here than they were in </w:t>
      </w:r>
      <w:proofErr w:type="spellStart"/>
      <w:r w:rsidRPr="006325CE">
        <w:rPr>
          <w:rFonts w:eastAsia="Times New Roman" w:cs="Times New Roman"/>
          <w:i/>
          <w:sz w:val="20"/>
          <w:szCs w:val="20"/>
          <w:lang w:eastAsia="en-CA"/>
        </w:rPr>
        <w:t>Stillman</w:t>
      </w:r>
      <w:proofErr w:type="spellEnd"/>
      <w:r w:rsidRPr="006325CE">
        <w:rPr>
          <w:rFonts w:eastAsia="Times New Roman" w:cs="Times New Roman"/>
          <w:sz w:val="20"/>
          <w:szCs w:val="20"/>
          <w:lang w:eastAsia="en-CA"/>
        </w:rPr>
        <w:t xml:space="preserve">. Further, as in </w:t>
      </w:r>
      <w:proofErr w:type="spellStart"/>
      <w:r w:rsidRPr="006325CE">
        <w:rPr>
          <w:rFonts w:eastAsia="Times New Roman" w:cs="Times New Roman"/>
          <w:i/>
          <w:sz w:val="20"/>
          <w:szCs w:val="20"/>
          <w:lang w:eastAsia="en-CA"/>
        </w:rPr>
        <w:t>Stillman</w:t>
      </w:r>
      <w:proofErr w:type="spellEnd"/>
      <w:r w:rsidRPr="006325CE">
        <w:rPr>
          <w:rFonts w:eastAsia="Times New Roman" w:cs="Times New Roman"/>
          <w:sz w:val="20"/>
          <w:szCs w:val="20"/>
          <w:lang w:eastAsia="en-CA"/>
        </w:rPr>
        <w:t xml:space="preserve"> it is not clear in this case whether there is any other lawful means to conduct genital swabs. Without finally deciding the issue, there is no warrant obviously available for genital swabs. If no warrant is available, then it simply does not follow that the common law can advance state interests by allowing the police to take a genital swab before the sample degrades in the time it would take to obtain a warrant. Finally, the troubling compromise of an individual’s dignity during detention in a dry cell cannot be used to justify the</w:t>
      </w:r>
      <w:r w:rsidRPr="006325CE" w:rsidDel="00D45417">
        <w:rPr>
          <w:rFonts w:eastAsia="Times New Roman" w:cs="Times New Roman"/>
          <w:sz w:val="20"/>
          <w:szCs w:val="20"/>
          <w:lang w:eastAsia="en-CA"/>
        </w:rPr>
        <w:t xml:space="preserve"> </w:t>
      </w:r>
      <w:r w:rsidRPr="006325CE">
        <w:rPr>
          <w:rFonts w:eastAsia="Times New Roman" w:cs="Times New Roman"/>
          <w:sz w:val="20"/>
          <w:szCs w:val="20"/>
          <w:lang w:eastAsia="en-CA"/>
        </w:rPr>
        <w:t xml:space="preserve">greater affront to dignity that a genital </w:t>
      </w:r>
      <w:r w:rsidRPr="006325CE">
        <w:rPr>
          <w:rFonts w:cs="Times New Roman"/>
          <w:sz w:val="20"/>
          <w:szCs w:val="20"/>
          <w:lang w:eastAsia="en-CA"/>
        </w:rPr>
        <w:t>swab</w:t>
      </w:r>
      <w:r w:rsidRPr="006325CE">
        <w:rPr>
          <w:rFonts w:eastAsia="Times New Roman" w:cs="Times New Roman"/>
          <w:sz w:val="20"/>
          <w:szCs w:val="20"/>
          <w:lang w:eastAsia="en-CA"/>
        </w:rPr>
        <w:t xml:space="preserve"> would represent. One indignity cannot justify another.</w:t>
      </w:r>
    </w:p>
    <w:p w:rsidR="006325CE" w:rsidRPr="006325CE" w:rsidRDefault="006325CE" w:rsidP="006325CE">
      <w:pPr>
        <w:tabs>
          <w:tab w:val="left" w:pos="1168"/>
        </w:tabs>
        <w:jc w:val="both"/>
        <w:rPr>
          <w:rFonts w:eastAsia="Times New Roman" w:cs="Times New Roman"/>
          <w:sz w:val="20"/>
          <w:szCs w:val="20"/>
          <w:lang w:eastAsia="en-CA"/>
        </w:rPr>
      </w:pPr>
    </w:p>
    <w:p w:rsidR="006325CE" w:rsidRPr="00E85E82" w:rsidRDefault="006325CE" w:rsidP="006325CE">
      <w:pPr>
        <w:tabs>
          <w:tab w:val="left" w:pos="1168"/>
        </w:tabs>
        <w:jc w:val="both"/>
        <w:rPr>
          <w:rFonts w:eastAsia="Times New Roman" w:cs="Times New Roman"/>
          <w:sz w:val="20"/>
          <w:szCs w:val="20"/>
          <w:lang w:eastAsia="en-CA"/>
        </w:rPr>
      </w:pPr>
      <w:r w:rsidRPr="006325CE">
        <w:rPr>
          <w:rFonts w:eastAsia="Times New Roman" w:cs="Times New Roman"/>
          <w:sz w:val="20"/>
          <w:szCs w:val="20"/>
          <w:lang w:eastAsia="en-CA"/>
        </w:rPr>
        <w:tab/>
        <w:t xml:space="preserve">Balancing the competing individual and state interests, it is not reasonable to permit the police to take warrantless genital swabs under the common law power of </w:t>
      </w:r>
      <w:r w:rsidRPr="006325CE">
        <w:rPr>
          <w:rFonts w:cs="Times New Roman"/>
          <w:sz w:val="20"/>
          <w:szCs w:val="20"/>
          <w:lang w:eastAsia="en-CA"/>
        </w:rPr>
        <w:t>search</w:t>
      </w:r>
      <w:r w:rsidRPr="006325CE">
        <w:rPr>
          <w:rFonts w:eastAsia="Times New Roman" w:cs="Times New Roman"/>
          <w:sz w:val="20"/>
          <w:szCs w:val="20"/>
          <w:lang w:eastAsia="en-CA"/>
        </w:rPr>
        <w:t xml:space="preserve"> incident to arrest.</w:t>
      </w:r>
    </w:p>
    <w:p w:rsidR="006325CE" w:rsidRPr="006325CE" w:rsidRDefault="006325CE" w:rsidP="006325CE">
      <w:pPr>
        <w:tabs>
          <w:tab w:val="left" w:pos="1168"/>
        </w:tabs>
        <w:jc w:val="both"/>
        <w:rPr>
          <w:rFonts w:eastAsia="Times New Roman" w:cs="Times New Roman"/>
          <w:sz w:val="20"/>
          <w:szCs w:val="20"/>
          <w:lang w:eastAsia="en-CA"/>
        </w:rPr>
      </w:pPr>
    </w:p>
    <w:p w:rsidR="006325CE" w:rsidRPr="00E85E82" w:rsidRDefault="006325CE" w:rsidP="006325CE">
      <w:pPr>
        <w:tabs>
          <w:tab w:val="left" w:pos="1168"/>
        </w:tabs>
        <w:jc w:val="both"/>
        <w:rPr>
          <w:rFonts w:eastAsia="Times New Roman" w:cs="Times New Roman"/>
          <w:sz w:val="20"/>
          <w:szCs w:val="20"/>
          <w:lang w:val="en" w:eastAsia="en-CA"/>
        </w:rPr>
      </w:pPr>
      <w:r w:rsidRPr="006325CE">
        <w:rPr>
          <w:rFonts w:eastAsia="Times New Roman" w:cs="Times New Roman"/>
          <w:sz w:val="20"/>
          <w:szCs w:val="20"/>
          <w:lang w:eastAsia="en-CA"/>
        </w:rPr>
        <w:tab/>
        <w:t>Recognizing that the traditional safeguards for the common law power are insufficient to protect the enhanced privacy interests at stake with genital swabs, the majority proposes a heightened threshold test for this specific search incident to arrest: the police must also have reasonable grounds to believe the genital swab will reveal and preserve evidence of an offence.</w:t>
      </w:r>
      <w:r w:rsidRPr="006325CE">
        <w:rPr>
          <w:rFonts w:eastAsia="Times New Roman" w:cs="Times New Roman"/>
          <w:sz w:val="20"/>
          <w:szCs w:val="20"/>
          <w:lang w:val="en" w:eastAsia="en-CA"/>
        </w:rPr>
        <w:t xml:space="preserve"> Additional requirements for particular types of searches incident to arrest should be avoided. A</w:t>
      </w:r>
      <w:r w:rsidRPr="006325CE">
        <w:rPr>
          <w:rFonts w:eastAsia="Times New Roman" w:cs="Times New Roman"/>
          <w:sz w:val="20"/>
          <w:szCs w:val="20"/>
          <w:lang w:eastAsia="en-CA"/>
        </w:rPr>
        <w:t xml:space="preserve"> specific threshold test is much less </w:t>
      </w:r>
      <w:r w:rsidRPr="006325CE">
        <w:rPr>
          <w:rFonts w:cs="Times New Roman"/>
          <w:sz w:val="20"/>
          <w:szCs w:val="20"/>
          <w:lang w:eastAsia="en-CA"/>
        </w:rPr>
        <w:t>effective</w:t>
      </w:r>
      <w:r w:rsidRPr="006325CE">
        <w:rPr>
          <w:rFonts w:eastAsia="Times New Roman" w:cs="Times New Roman"/>
          <w:sz w:val="20"/>
          <w:szCs w:val="20"/>
          <w:lang w:eastAsia="en-CA"/>
        </w:rPr>
        <w:t xml:space="preserve"> in safeguarding privacy than judicial pre</w:t>
      </w:r>
      <w:r w:rsidRPr="006325CE">
        <w:rPr>
          <w:rFonts w:eastAsia="Times New Roman" w:cs="Times New Roman"/>
          <w:sz w:val="20"/>
          <w:szCs w:val="20"/>
          <w:lang w:eastAsia="en-CA"/>
        </w:rPr>
        <w:noBreakHyphen/>
        <w:t xml:space="preserve">authorization. </w:t>
      </w:r>
      <w:r w:rsidRPr="006325CE">
        <w:rPr>
          <w:rFonts w:eastAsia="Times New Roman" w:cs="Times New Roman"/>
          <w:sz w:val="20"/>
          <w:szCs w:val="20"/>
          <w:lang w:val="en" w:eastAsia="en-CA"/>
        </w:rPr>
        <w:t>Moreover, defining the threshold requirements is a nuanced exercise which may be best left to Parliament.</w:t>
      </w:r>
    </w:p>
    <w:p w:rsidR="006325CE" w:rsidRPr="006325CE" w:rsidRDefault="006325CE" w:rsidP="006325CE">
      <w:pPr>
        <w:tabs>
          <w:tab w:val="left" w:pos="1168"/>
        </w:tabs>
        <w:jc w:val="both"/>
        <w:rPr>
          <w:rFonts w:eastAsia="Times New Roman" w:cs="Times New Roman"/>
          <w:sz w:val="20"/>
          <w:szCs w:val="20"/>
          <w:lang w:val="en" w:eastAsia="en-CA"/>
        </w:rPr>
      </w:pPr>
    </w:p>
    <w:p w:rsidR="006325CE" w:rsidRPr="00E85E82" w:rsidRDefault="006325CE" w:rsidP="006325CE">
      <w:pPr>
        <w:tabs>
          <w:tab w:val="left" w:pos="1168"/>
        </w:tabs>
        <w:jc w:val="both"/>
        <w:rPr>
          <w:rFonts w:eastAsia="Times New Roman" w:cs="Times New Roman"/>
          <w:sz w:val="20"/>
          <w:szCs w:val="20"/>
          <w:lang w:eastAsia="en-CA"/>
        </w:rPr>
      </w:pPr>
      <w:r w:rsidRPr="006325CE">
        <w:rPr>
          <w:rFonts w:eastAsia="Times New Roman" w:cs="Times New Roman"/>
          <w:sz w:val="20"/>
          <w:szCs w:val="20"/>
          <w:lang w:eastAsia="en-CA"/>
        </w:rPr>
        <w:tab/>
        <w:t xml:space="preserve">In the exceptional circumstances of this case, the trial judge’s decision to admit the evidence should be upheld. In considering the seriousness of the </w:t>
      </w:r>
      <w:r w:rsidRPr="006325CE">
        <w:rPr>
          <w:rFonts w:eastAsia="Times New Roman" w:cs="Times New Roman"/>
          <w:i/>
          <w:sz w:val="20"/>
          <w:szCs w:val="20"/>
          <w:lang w:eastAsia="en-CA"/>
        </w:rPr>
        <w:t>Charter</w:t>
      </w:r>
      <w:r w:rsidRPr="006325CE">
        <w:rPr>
          <w:rFonts w:eastAsia="Times New Roman" w:cs="Times New Roman"/>
          <w:sz w:val="20"/>
          <w:szCs w:val="20"/>
          <w:lang w:eastAsia="en-CA"/>
        </w:rPr>
        <w:noBreakHyphen/>
        <w:t xml:space="preserve">infringing state conduct, the trial judge found that the officer who directed the swab did not appropriately consider the accused’s </w:t>
      </w:r>
      <w:r w:rsidRPr="006325CE">
        <w:rPr>
          <w:rFonts w:eastAsia="Times New Roman" w:cs="Times New Roman"/>
          <w:i/>
          <w:sz w:val="20"/>
          <w:szCs w:val="20"/>
          <w:lang w:eastAsia="en-CA"/>
        </w:rPr>
        <w:t>Charter</w:t>
      </w:r>
      <w:r w:rsidRPr="006325CE">
        <w:rPr>
          <w:rFonts w:eastAsia="Times New Roman" w:cs="Times New Roman"/>
          <w:sz w:val="20"/>
          <w:szCs w:val="20"/>
          <w:lang w:eastAsia="en-CA"/>
        </w:rPr>
        <w:t xml:space="preserve"> rights and the ambit of the police’s power of search incident to arrest, but that there was no actual bad faith on the part of the police. Where the police act on a mistaken understanding of the law where the law is unsettled, their </w:t>
      </w:r>
      <w:r w:rsidRPr="006325CE">
        <w:rPr>
          <w:rFonts w:eastAsia="Times New Roman" w:cs="Times New Roman"/>
          <w:i/>
          <w:sz w:val="20"/>
          <w:szCs w:val="20"/>
          <w:lang w:eastAsia="en-CA"/>
        </w:rPr>
        <w:t>Charter</w:t>
      </w:r>
      <w:r w:rsidRPr="006325CE">
        <w:rPr>
          <w:rFonts w:eastAsia="Times New Roman" w:cs="Times New Roman"/>
          <w:sz w:val="20"/>
          <w:szCs w:val="20"/>
          <w:lang w:eastAsia="en-CA"/>
        </w:rPr>
        <w:noBreakHyphen/>
        <w:t xml:space="preserve">infringing conduct is less serious. The impact of the breach on the </w:t>
      </w:r>
      <w:r w:rsidRPr="006325CE">
        <w:rPr>
          <w:rFonts w:eastAsia="Times New Roman" w:cs="Times New Roman"/>
          <w:i/>
          <w:sz w:val="20"/>
          <w:szCs w:val="20"/>
          <w:lang w:eastAsia="en-CA"/>
        </w:rPr>
        <w:t>Charter</w:t>
      </w:r>
      <w:r w:rsidRPr="006325CE">
        <w:rPr>
          <w:rFonts w:eastAsia="Times New Roman" w:cs="Times New Roman"/>
          <w:i/>
          <w:sz w:val="20"/>
          <w:szCs w:val="20"/>
          <w:lang w:eastAsia="en-CA"/>
        </w:rPr>
        <w:noBreakHyphen/>
      </w:r>
      <w:r w:rsidRPr="006325CE">
        <w:rPr>
          <w:rFonts w:eastAsia="Times New Roman" w:cs="Times New Roman"/>
          <w:sz w:val="20"/>
          <w:szCs w:val="20"/>
          <w:lang w:eastAsia="en-CA"/>
        </w:rPr>
        <w:t xml:space="preserve">protected interests of the accused was obviously serious, and weighs against admitting the evidence. There is no doubt that this was a very intrusive search that engaged the core of the accused’s bodily privacy. Finally, society’s interest in the adjudication of the case on its merits weighs in favour of admission. The DNA evidence was reliable and probative. The evidence was very important in the Crown’s case. The assault was particularly heinous and society has a keen interest in the adjudication of this case on its merits. Having regard to all the circumstances, </w:t>
      </w:r>
      <w:r w:rsidRPr="006325CE">
        <w:rPr>
          <w:rFonts w:cs="Times New Roman"/>
          <w:sz w:val="20"/>
          <w:szCs w:val="20"/>
          <w:lang w:eastAsia="en-CA"/>
        </w:rPr>
        <w:t>on</w:t>
      </w:r>
      <w:r w:rsidRPr="006325CE">
        <w:rPr>
          <w:rFonts w:eastAsia="Times New Roman" w:cs="Times New Roman"/>
          <w:sz w:val="20"/>
          <w:szCs w:val="20"/>
          <w:lang w:eastAsia="en-CA"/>
        </w:rPr>
        <w:t xml:space="preserve"> balance, the trial judge was justified in concluding that the admission of the evidence would not bring the administration of justice into disrepute.</w:t>
      </w:r>
    </w:p>
    <w:p w:rsidR="006325CE" w:rsidRPr="006325CE" w:rsidRDefault="006325CE" w:rsidP="006325CE">
      <w:pPr>
        <w:tabs>
          <w:tab w:val="left" w:pos="1168"/>
        </w:tabs>
        <w:jc w:val="both"/>
        <w:rPr>
          <w:rFonts w:eastAsia="Times New Roman" w:cs="Times New Roman"/>
          <w:sz w:val="20"/>
          <w:szCs w:val="20"/>
          <w:lang w:eastAsia="en-CA"/>
        </w:rPr>
      </w:pPr>
    </w:p>
    <w:p w:rsidR="006325CE" w:rsidRPr="00E85E82" w:rsidRDefault="006325CE" w:rsidP="006325CE">
      <w:pPr>
        <w:tabs>
          <w:tab w:val="left" w:pos="1168"/>
        </w:tabs>
        <w:jc w:val="both"/>
        <w:rPr>
          <w:rFonts w:eastAsia="Times New Roman" w:cs="Times New Roman"/>
          <w:sz w:val="20"/>
          <w:szCs w:val="20"/>
          <w:lang w:eastAsia="en-CA"/>
        </w:rPr>
      </w:pPr>
      <w:r w:rsidRPr="006325CE">
        <w:rPr>
          <w:rFonts w:eastAsia="Times New Roman" w:cs="Times New Roman"/>
          <w:sz w:val="20"/>
          <w:szCs w:val="20"/>
          <w:lang w:eastAsia="en-CA"/>
        </w:rPr>
        <w:tab/>
      </w:r>
      <w:r w:rsidRPr="006325CE">
        <w:rPr>
          <w:rFonts w:eastAsia="Times New Roman" w:cs="Times New Roman"/>
          <w:i/>
          <w:sz w:val="20"/>
          <w:szCs w:val="20"/>
          <w:lang w:eastAsia="en-CA"/>
        </w:rPr>
        <w:t xml:space="preserve">Per </w:t>
      </w:r>
      <w:r w:rsidRPr="006325CE">
        <w:rPr>
          <w:rFonts w:eastAsia="Times New Roman" w:cs="Times New Roman"/>
          <w:b/>
          <w:sz w:val="20"/>
          <w:szCs w:val="20"/>
          <w:lang w:eastAsia="en-CA"/>
        </w:rPr>
        <w:t>Abella </w:t>
      </w:r>
      <w:r w:rsidRPr="006325CE">
        <w:rPr>
          <w:rFonts w:eastAsia="Times New Roman" w:cs="Times New Roman"/>
          <w:sz w:val="20"/>
          <w:szCs w:val="20"/>
          <w:lang w:eastAsia="en-CA"/>
        </w:rPr>
        <w:t>J. (dissenting): The evidence should be excluded.</w:t>
      </w:r>
    </w:p>
    <w:p w:rsidR="006325CE" w:rsidRPr="006325CE" w:rsidRDefault="006325CE" w:rsidP="006325CE">
      <w:pPr>
        <w:tabs>
          <w:tab w:val="left" w:pos="1168"/>
        </w:tabs>
        <w:jc w:val="both"/>
        <w:rPr>
          <w:rFonts w:eastAsia="Times New Roman" w:cs="Times New Roman"/>
          <w:sz w:val="20"/>
          <w:szCs w:val="20"/>
          <w:lang w:eastAsia="en-CA"/>
        </w:rPr>
      </w:pPr>
    </w:p>
    <w:p w:rsidR="006325CE" w:rsidRPr="00E85E82" w:rsidRDefault="006325CE" w:rsidP="006325CE">
      <w:pPr>
        <w:tabs>
          <w:tab w:val="left" w:pos="1168"/>
        </w:tabs>
        <w:jc w:val="both"/>
        <w:rPr>
          <w:rFonts w:cs="Times New Roman"/>
          <w:sz w:val="20"/>
          <w:szCs w:val="20"/>
          <w:lang w:eastAsia="en-CA"/>
        </w:rPr>
      </w:pPr>
      <w:r w:rsidRPr="006325CE">
        <w:rPr>
          <w:rFonts w:cs="Times New Roman"/>
          <w:sz w:val="20"/>
          <w:szCs w:val="20"/>
          <w:lang w:eastAsia="en-CA"/>
        </w:rPr>
        <w:tab/>
        <w:t>In determining whether evidence should be excluded under s. 24(2)</w:t>
      </w:r>
      <w:r w:rsidRPr="006325CE">
        <w:rPr>
          <w:rFonts w:eastAsia="Times New Roman" w:cs="Times New Roman"/>
          <w:sz w:val="20"/>
          <w:szCs w:val="20"/>
          <w:lang w:eastAsia="en-CA"/>
        </w:rPr>
        <w:t xml:space="preserve"> of the </w:t>
      </w:r>
      <w:r w:rsidRPr="006325CE">
        <w:rPr>
          <w:rFonts w:eastAsia="Times New Roman" w:cs="Times New Roman"/>
          <w:i/>
          <w:sz w:val="20"/>
          <w:szCs w:val="20"/>
          <w:lang w:eastAsia="en-CA"/>
        </w:rPr>
        <w:t>Charter</w:t>
      </w:r>
      <w:r w:rsidRPr="006325CE">
        <w:rPr>
          <w:rFonts w:eastAsia="Times New Roman" w:cs="Times New Roman"/>
          <w:sz w:val="20"/>
          <w:szCs w:val="20"/>
          <w:lang w:eastAsia="en-CA"/>
        </w:rPr>
        <w:t xml:space="preserve">, </w:t>
      </w:r>
      <w:r w:rsidRPr="006325CE">
        <w:rPr>
          <w:rFonts w:cs="Times New Roman"/>
          <w:sz w:val="20"/>
          <w:szCs w:val="20"/>
          <w:lang w:eastAsia="en-CA"/>
        </w:rPr>
        <w:t>three factors are to be balanced</w:t>
      </w:r>
      <w:r w:rsidRPr="006325CE">
        <w:rPr>
          <w:rFonts w:eastAsia="Times New Roman" w:cs="Times New Roman"/>
          <w:sz w:val="20"/>
          <w:szCs w:val="20"/>
          <w:lang w:eastAsia="en-CA"/>
        </w:rPr>
        <w:t xml:space="preserve"> under </w:t>
      </w:r>
      <w:r w:rsidRPr="006325CE">
        <w:rPr>
          <w:rFonts w:eastAsia="Times New Roman" w:cs="Times New Roman"/>
          <w:i/>
          <w:sz w:val="20"/>
          <w:szCs w:val="20"/>
          <w:lang w:eastAsia="en-CA"/>
        </w:rPr>
        <w:t>R. v. Grant</w:t>
      </w:r>
      <w:r w:rsidRPr="006325CE">
        <w:rPr>
          <w:rFonts w:eastAsia="Times New Roman" w:cs="Times New Roman"/>
          <w:sz w:val="20"/>
          <w:szCs w:val="20"/>
          <w:lang w:eastAsia="en-CA"/>
        </w:rPr>
        <w:t>, 2009 SCC 32, [2009] 2 S.C.R. 353</w:t>
      </w:r>
      <w:r w:rsidRPr="006325CE">
        <w:rPr>
          <w:rFonts w:cs="Times New Roman"/>
          <w:sz w:val="20"/>
          <w:szCs w:val="20"/>
          <w:lang w:eastAsia="en-CA"/>
        </w:rPr>
        <w:t xml:space="preserve">: the seriousness of the </w:t>
      </w:r>
      <w:r w:rsidRPr="006325CE">
        <w:rPr>
          <w:rFonts w:cs="Times New Roman"/>
          <w:i/>
          <w:sz w:val="20"/>
          <w:szCs w:val="20"/>
          <w:lang w:eastAsia="en-CA"/>
        </w:rPr>
        <w:t>Charter</w:t>
      </w:r>
      <w:r w:rsidRPr="006325CE">
        <w:rPr>
          <w:rFonts w:cs="Times New Roman"/>
          <w:sz w:val="20"/>
          <w:szCs w:val="20"/>
          <w:lang w:eastAsia="en-CA"/>
        </w:rPr>
        <w:noBreakHyphen/>
        <w:t xml:space="preserve">infringing state conduct; the impact of the breach on </w:t>
      </w:r>
      <w:r w:rsidRPr="006325CE">
        <w:rPr>
          <w:rFonts w:cs="Times New Roman"/>
          <w:i/>
          <w:sz w:val="20"/>
          <w:szCs w:val="20"/>
          <w:lang w:eastAsia="en-CA"/>
        </w:rPr>
        <w:t>Charter</w:t>
      </w:r>
      <w:r w:rsidRPr="006325CE">
        <w:rPr>
          <w:rFonts w:cs="Times New Roman"/>
          <w:sz w:val="20"/>
          <w:szCs w:val="20"/>
          <w:lang w:eastAsia="en-CA"/>
        </w:rPr>
        <w:noBreakHyphen/>
        <w:t xml:space="preserve">protected interests of the accused; and the societal interest in adjudication on the merits. No factor is determinative </w:t>
      </w:r>
      <w:r w:rsidRPr="006325CE">
        <w:rPr>
          <w:rFonts w:eastAsia="Times New Roman" w:cs="Times New Roman"/>
          <w:sz w:val="20"/>
          <w:szCs w:val="20"/>
          <w:lang w:eastAsia="en-CA"/>
        </w:rPr>
        <w:t xml:space="preserve">or </w:t>
      </w:r>
      <w:r w:rsidRPr="006325CE">
        <w:rPr>
          <w:rFonts w:cs="Times New Roman"/>
          <w:sz w:val="20"/>
          <w:szCs w:val="20"/>
          <w:lang w:eastAsia="en-CA"/>
        </w:rPr>
        <w:t>absolute.</w:t>
      </w:r>
    </w:p>
    <w:p w:rsidR="006325CE" w:rsidRPr="006325CE" w:rsidRDefault="006325CE" w:rsidP="006325CE">
      <w:pPr>
        <w:tabs>
          <w:tab w:val="left" w:pos="1168"/>
        </w:tabs>
        <w:jc w:val="both"/>
        <w:rPr>
          <w:rFonts w:eastAsia="Times New Roman" w:cs="Times New Roman"/>
          <w:sz w:val="20"/>
          <w:szCs w:val="20"/>
          <w:lang w:eastAsia="en-CA"/>
        </w:rPr>
      </w:pPr>
    </w:p>
    <w:p w:rsidR="006325CE" w:rsidRPr="00E85E82" w:rsidRDefault="006325CE" w:rsidP="006325CE">
      <w:pPr>
        <w:tabs>
          <w:tab w:val="left" w:pos="1168"/>
        </w:tabs>
        <w:jc w:val="both"/>
        <w:rPr>
          <w:rFonts w:eastAsia="Times New Roman" w:cs="Times New Roman"/>
          <w:sz w:val="20"/>
          <w:szCs w:val="20"/>
          <w:lang w:eastAsia="en-CA"/>
        </w:rPr>
      </w:pPr>
      <w:r w:rsidRPr="006325CE">
        <w:rPr>
          <w:rFonts w:eastAsia="Times New Roman" w:cs="Times New Roman"/>
          <w:sz w:val="20"/>
          <w:szCs w:val="20"/>
          <w:lang w:eastAsia="en-CA"/>
        </w:rPr>
        <w:tab/>
        <w:t xml:space="preserve">The first factor engages its own continuum. The key is not so much whether the conduct fits within a compartment called “good faith” or “bad faith”, but whether the police reasonably believed they were respecting the </w:t>
      </w:r>
      <w:r w:rsidRPr="006325CE">
        <w:rPr>
          <w:rFonts w:eastAsia="Times New Roman" w:cs="Times New Roman"/>
          <w:i/>
          <w:sz w:val="20"/>
          <w:szCs w:val="20"/>
          <w:lang w:eastAsia="en-CA"/>
        </w:rPr>
        <w:t>Charter</w:t>
      </w:r>
      <w:r w:rsidRPr="006325CE">
        <w:rPr>
          <w:rFonts w:eastAsia="Times New Roman" w:cs="Times New Roman"/>
          <w:sz w:val="20"/>
          <w:szCs w:val="20"/>
          <w:lang w:eastAsia="en-CA"/>
        </w:rPr>
        <w:t xml:space="preserve">. As a police officer’s disregard of </w:t>
      </w:r>
      <w:r w:rsidRPr="006325CE">
        <w:rPr>
          <w:rFonts w:eastAsia="Times New Roman" w:cs="Times New Roman"/>
          <w:i/>
          <w:sz w:val="20"/>
          <w:szCs w:val="20"/>
          <w:lang w:eastAsia="en-CA"/>
        </w:rPr>
        <w:t>Charter</w:t>
      </w:r>
      <w:r w:rsidRPr="006325CE">
        <w:rPr>
          <w:rFonts w:eastAsia="Times New Roman" w:cs="Times New Roman"/>
          <w:sz w:val="20"/>
          <w:szCs w:val="20"/>
          <w:lang w:eastAsia="en-CA"/>
        </w:rPr>
        <w:t xml:space="preserve"> requirements becomes more deliberate or flagrant, his or her conduct approaches the “bad faith” end of the spectrum. The police did not make any inquiry to determine whether a swab</w:t>
      </w:r>
      <w:r w:rsidRPr="006325CE">
        <w:rPr>
          <w:rFonts w:eastAsia="Times New Roman" w:cs="Times New Roman"/>
          <w:b/>
          <w:sz w:val="20"/>
          <w:szCs w:val="20"/>
          <w:lang w:eastAsia="en-CA"/>
        </w:rPr>
        <w:t xml:space="preserve"> </w:t>
      </w:r>
      <w:r w:rsidRPr="006325CE">
        <w:rPr>
          <w:rFonts w:eastAsia="Times New Roman" w:cs="Times New Roman"/>
          <w:sz w:val="20"/>
          <w:szCs w:val="20"/>
          <w:lang w:eastAsia="en-CA"/>
        </w:rPr>
        <w:t>would be probative. The accused had ample opportunity to wash away the evidence and it would have been impossible for the police to know whether the best source of DNA evidence was a genital swab. The police nonetheless chose the most invasive option. Restrictions on obtaining bodily samples as part of a search incident to arrest were</w:t>
      </w:r>
      <w:r w:rsidRPr="006325CE">
        <w:rPr>
          <w:rFonts w:eastAsia="Times New Roman" w:cs="Times New Roman"/>
          <w:b/>
          <w:sz w:val="20"/>
          <w:szCs w:val="20"/>
          <w:lang w:eastAsia="en-CA"/>
        </w:rPr>
        <w:t xml:space="preserve"> </w:t>
      </w:r>
      <w:r w:rsidRPr="006325CE">
        <w:rPr>
          <w:rFonts w:eastAsia="Times New Roman" w:cs="Times New Roman"/>
          <w:sz w:val="20"/>
          <w:szCs w:val="20"/>
          <w:lang w:eastAsia="en-CA"/>
        </w:rPr>
        <w:t>already</w:t>
      </w:r>
      <w:r w:rsidRPr="006325CE">
        <w:rPr>
          <w:rFonts w:eastAsia="Times New Roman" w:cs="Times New Roman"/>
          <w:b/>
          <w:sz w:val="20"/>
          <w:szCs w:val="20"/>
          <w:lang w:eastAsia="en-CA"/>
        </w:rPr>
        <w:t xml:space="preserve"> </w:t>
      </w:r>
      <w:r w:rsidRPr="006325CE">
        <w:rPr>
          <w:rFonts w:eastAsia="Times New Roman" w:cs="Times New Roman"/>
          <w:sz w:val="20"/>
          <w:szCs w:val="20"/>
          <w:lang w:eastAsia="en-CA"/>
        </w:rPr>
        <w:t>articulated by this Court</w:t>
      </w:r>
      <w:r w:rsidRPr="006325CE">
        <w:rPr>
          <w:rFonts w:eastAsia="Times New Roman" w:cs="Times New Roman"/>
          <w:b/>
          <w:sz w:val="20"/>
          <w:szCs w:val="20"/>
          <w:lang w:eastAsia="en-CA"/>
        </w:rPr>
        <w:t xml:space="preserve"> </w:t>
      </w:r>
      <w:r w:rsidRPr="006325CE">
        <w:rPr>
          <w:rFonts w:eastAsia="Times New Roman" w:cs="Times New Roman"/>
          <w:sz w:val="20"/>
          <w:szCs w:val="20"/>
          <w:lang w:eastAsia="en-CA"/>
        </w:rPr>
        <w:t xml:space="preserve">and the police must be taken to have been aware of them. The police are required to get prior judicial authorization yet there was no explanation for why they took no steps towards obtaining either a general warrant or a </w:t>
      </w:r>
      <w:proofErr w:type="spellStart"/>
      <w:r w:rsidRPr="006325CE">
        <w:rPr>
          <w:rFonts w:eastAsia="Times New Roman" w:cs="Times New Roman"/>
          <w:sz w:val="20"/>
          <w:szCs w:val="20"/>
          <w:lang w:eastAsia="en-CA"/>
        </w:rPr>
        <w:t>telewarrant</w:t>
      </w:r>
      <w:proofErr w:type="spellEnd"/>
      <w:r w:rsidRPr="006325CE">
        <w:rPr>
          <w:rFonts w:eastAsia="Times New Roman" w:cs="Times New Roman"/>
          <w:sz w:val="20"/>
          <w:szCs w:val="20"/>
          <w:lang w:eastAsia="en-CA"/>
        </w:rPr>
        <w:t>. There were no exigent circumstances. The only testimony demonstrating any concern about the need to preserve evidence was a vague statement by one officer. Most significantly, it is by no means clear that a warrant was even legally available. There is no statutory authority for a warrant in these circumstances. The police officers failed to establish reasonable and probable grounds that the evidence sought would still be present on the accused’s genitals. They handcuffed him to a pipe against a wall and deprived him of access to water or bathroom facilities. He was instructed to expose the most private part of his body and swab it in front of two uniformed police officers. All of this occurred without consent and without prior judicial authorization. These circumstances fall at the opposite end of the “good faith” continuum.</w:t>
      </w:r>
    </w:p>
    <w:p w:rsidR="006325CE" w:rsidRPr="006325CE" w:rsidRDefault="006325CE" w:rsidP="006325CE">
      <w:pPr>
        <w:tabs>
          <w:tab w:val="left" w:pos="1168"/>
        </w:tabs>
        <w:jc w:val="both"/>
        <w:rPr>
          <w:rFonts w:eastAsia="Times New Roman" w:cs="Times New Roman"/>
          <w:sz w:val="20"/>
          <w:szCs w:val="20"/>
          <w:lang w:eastAsia="en-CA"/>
        </w:rPr>
      </w:pPr>
    </w:p>
    <w:p w:rsidR="006325CE" w:rsidRPr="00E85E82" w:rsidRDefault="006325CE" w:rsidP="006325CE">
      <w:pPr>
        <w:tabs>
          <w:tab w:val="left" w:pos="1168"/>
        </w:tabs>
        <w:jc w:val="both"/>
        <w:rPr>
          <w:rFonts w:eastAsia="Times New Roman" w:cs="Times New Roman"/>
          <w:sz w:val="20"/>
          <w:szCs w:val="20"/>
          <w:lang w:eastAsia="en-CA"/>
        </w:rPr>
      </w:pPr>
      <w:r w:rsidRPr="006325CE">
        <w:rPr>
          <w:rFonts w:eastAsia="Times New Roman" w:cs="Times New Roman"/>
          <w:sz w:val="20"/>
          <w:szCs w:val="20"/>
          <w:lang w:eastAsia="en-CA"/>
        </w:rPr>
        <w:tab/>
        <w:t xml:space="preserve">The next </w:t>
      </w:r>
      <w:r w:rsidRPr="006325CE">
        <w:rPr>
          <w:rFonts w:eastAsia="Times New Roman" w:cs="Times New Roman"/>
          <w:i/>
          <w:sz w:val="20"/>
          <w:szCs w:val="20"/>
          <w:lang w:eastAsia="en-CA"/>
        </w:rPr>
        <w:t>Grant</w:t>
      </w:r>
      <w:r w:rsidRPr="006325CE">
        <w:rPr>
          <w:rFonts w:eastAsia="Times New Roman" w:cs="Times New Roman"/>
          <w:sz w:val="20"/>
          <w:szCs w:val="20"/>
          <w:lang w:eastAsia="en-CA"/>
        </w:rPr>
        <w:t xml:space="preserve"> question is the impact of the breach on the </w:t>
      </w:r>
      <w:r w:rsidRPr="006325CE">
        <w:rPr>
          <w:rFonts w:eastAsia="Times New Roman" w:cs="Times New Roman"/>
          <w:i/>
          <w:sz w:val="20"/>
          <w:szCs w:val="20"/>
          <w:lang w:eastAsia="en-CA"/>
        </w:rPr>
        <w:t>Charter</w:t>
      </w:r>
      <w:r w:rsidRPr="006325CE">
        <w:rPr>
          <w:rFonts w:eastAsia="Times New Roman" w:cs="Times New Roman"/>
          <w:sz w:val="20"/>
          <w:szCs w:val="20"/>
          <w:lang w:eastAsia="en-CA"/>
        </w:rPr>
        <w:noBreakHyphen/>
        <w:t xml:space="preserve">protected interests of the accused. This Court has found that the taking of hair, buccal and dental samples is the ultimate invasion of an individual’s privacy and that </w:t>
      </w:r>
      <w:r w:rsidRPr="006325CE">
        <w:rPr>
          <w:rFonts w:eastAsia="Times New Roman" w:cs="Times New Roman"/>
          <w:sz w:val="20"/>
          <w:szCs w:val="20"/>
          <w:lang w:val="en-US" w:eastAsia="en-CA"/>
        </w:rPr>
        <w:t xml:space="preserve">strip searches are inherently humiliating and degrading regardless of the manner in which they are carried out. </w:t>
      </w:r>
      <w:r w:rsidRPr="006325CE">
        <w:rPr>
          <w:rFonts w:eastAsia="Times New Roman" w:cs="Times New Roman"/>
          <w:sz w:val="20"/>
          <w:szCs w:val="20"/>
          <w:lang w:eastAsia="en-CA"/>
        </w:rPr>
        <w:t xml:space="preserve">The impact of the genital swab on the accused’s </w:t>
      </w:r>
      <w:r w:rsidRPr="006325CE">
        <w:rPr>
          <w:rFonts w:eastAsia="Times New Roman" w:cs="Times New Roman"/>
          <w:i/>
          <w:sz w:val="20"/>
          <w:szCs w:val="20"/>
          <w:lang w:eastAsia="en-CA"/>
        </w:rPr>
        <w:t>Charter</w:t>
      </w:r>
      <w:r w:rsidRPr="006325CE">
        <w:rPr>
          <w:rFonts w:eastAsia="Times New Roman" w:cs="Times New Roman"/>
          <w:sz w:val="20"/>
          <w:szCs w:val="20"/>
          <w:lang w:eastAsia="en-CA"/>
        </w:rPr>
        <w:noBreakHyphen/>
        <w:t xml:space="preserve">protected interests was therefore as profound as one can imagine. </w:t>
      </w:r>
      <w:r w:rsidRPr="006325CE">
        <w:rPr>
          <w:rFonts w:eastAsia="Times New Roman" w:cs="Times New Roman"/>
          <w:sz w:val="20"/>
          <w:szCs w:val="20"/>
          <w:lang w:val="en-US" w:eastAsia="en-CA"/>
        </w:rPr>
        <w:t>T</w:t>
      </w:r>
      <w:r w:rsidRPr="006325CE">
        <w:rPr>
          <w:rFonts w:eastAsia="Times New Roman" w:cs="Times New Roman"/>
          <w:sz w:val="20"/>
          <w:szCs w:val="20"/>
          <w:lang w:eastAsia="en-CA"/>
        </w:rPr>
        <w:t xml:space="preserve">he invasion of dignity and bodily integrity does not depend on whether it is penetrative, painful or </w:t>
      </w:r>
      <w:r w:rsidRPr="006325CE">
        <w:rPr>
          <w:rFonts w:cs="Times New Roman"/>
          <w:sz w:val="20"/>
          <w:szCs w:val="20"/>
          <w:lang w:eastAsia="en-CA"/>
        </w:rPr>
        <w:t>uncomfortable</w:t>
      </w:r>
      <w:r w:rsidRPr="006325CE">
        <w:rPr>
          <w:rFonts w:eastAsia="Times New Roman" w:cs="Times New Roman"/>
          <w:sz w:val="20"/>
          <w:szCs w:val="20"/>
          <w:lang w:eastAsia="en-CA"/>
        </w:rPr>
        <w:t>. A genital swab</w:t>
      </w:r>
      <w:r w:rsidRPr="006325CE">
        <w:rPr>
          <w:rFonts w:eastAsia="Times New Roman" w:cs="Times New Roman"/>
          <w:b/>
          <w:sz w:val="20"/>
          <w:szCs w:val="20"/>
          <w:lang w:eastAsia="en-CA"/>
        </w:rPr>
        <w:t xml:space="preserve"> </w:t>
      </w:r>
      <w:r w:rsidRPr="006325CE">
        <w:rPr>
          <w:rFonts w:eastAsia="Times New Roman" w:cs="Times New Roman"/>
          <w:sz w:val="20"/>
          <w:szCs w:val="20"/>
          <w:lang w:eastAsia="en-CA"/>
        </w:rPr>
        <w:t>does not just require the individual to expose his or her genitals to state scrutiny, it asks that individual to violate his own bodily integrity by collecting potentially self</w:t>
      </w:r>
      <w:r w:rsidRPr="006325CE">
        <w:rPr>
          <w:rFonts w:eastAsia="Times New Roman" w:cs="Times New Roman"/>
          <w:sz w:val="20"/>
          <w:szCs w:val="20"/>
          <w:lang w:eastAsia="en-CA"/>
        </w:rPr>
        <w:noBreakHyphen/>
        <w:t>incriminatory evidence from the most private area of his body.</w:t>
      </w:r>
    </w:p>
    <w:p w:rsidR="006325CE" w:rsidRPr="006325CE" w:rsidRDefault="006325CE" w:rsidP="006325CE">
      <w:pPr>
        <w:tabs>
          <w:tab w:val="left" w:pos="1168"/>
        </w:tabs>
        <w:jc w:val="both"/>
        <w:rPr>
          <w:rFonts w:eastAsia="Times New Roman" w:cs="Times New Roman"/>
          <w:sz w:val="20"/>
          <w:szCs w:val="20"/>
          <w:lang w:eastAsia="en-CA"/>
        </w:rPr>
      </w:pPr>
    </w:p>
    <w:p w:rsidR="006325CE" w:rsidRPr="00E85E82" w:rsidRDefault="006325CE" w:rsidP="006325CE">
      <w:pPr>
        <w:tabs>
          <w:tab w:val="left" w:pos="1168"/>
        </w:tabs>
        <w:jc w:val="both"/>
        <w:rPr>
          <w:rFonts w:eastAsia="Times New Roman" w:cs="Times New Roman"/>
          <w:sz w:val="20"/>
          <w:szCs w:val="20"/>
          <w:lang w:eastAsia="en-CA"/>
        </w:rPr>
      </w:pPr>
      <w:r w:rsidRPr="006325CE">
        <w:rPr>
          <w:rFonts w:eastAsia="Times New Roman" w:cs="Times New Roman"/>
          <w:sz w:val="20"/>
          <w:szCs w:val="20"/>
          <w:lang w:eastAsia="en-CA"/>
        </w:rPr>
        <w:tab/>
        <w:t xml:space="preserve">The third </w:t>
      </w:r>
      <w:r w:rsidRPr="006325CE">
        <w:rPr>
          <w:rFonts w:eastAsia="Times New Roman" w:cs="Times New Roman"/>
          <w:i/>
          <w:sz w:val="20"/>
          <w:szCs w:val="20"/>
          <w:lang w:eastAsia="en-CA"/>
        </w:rPr>
        <w:t>Grant</w:t>
      </w:r>
      <w:r w:rsidRPr="006325CE">
        <w:rPr>
          <w:rFonts w:eastAsia="Times New Roman" w:cs="Times New Roman"/>
          <w:sz w:val="20"/>
          <w:szCs w:val="20"/>
          <w:lang w:eastAsia="en-CA"/>
        </w:rPr>
        <w:t xml:space="preserve"> factor is society’s interest in an adjudication on the merits. This factor is nuanced and multi</w:t>
      </w:r>
      <w:r w:rsidRPr="006325CE">
        <w:rPr>
          <w:rFonts w:eastAsia="Times New Roman" w:cs="Times New Roman"/>
          <w:sz w:val="20"/>
          <w:szCs w:val="20"/>
          <w:lang w:eastAsia="en-CA"/>
        </w:rPr>
        <w:noBreakHyphen/>
        <w:t>faceted. What is weighed is the seriousness of the offence, the reliability of the evidence and its importance to the Crown’s case. The seriousness of the offence can point both towards inclusion and exclusion of the evidence. What is of utmost importance is the long</w:t>
      </w:r>
      <w:r w:rsidRPr="006325CE">
        <w:rPr>
          <w:rFonts w:eastAsia="Times New Roman" w:cs="Times New Roman"/>
          <w:sz w:val="20"/>
          <w:szCs w:val="20"/>
          <w:lang w:eastAsia="en-CA"/>
        </w:rPr>
        <w:noBreakHyphen/>
        <w:t>term reputation of the justice system — the public has a vital interest in a justice system that is beyond reproach.</w:t>
      </w:r>
    </w:p>
    <w:p w:rsidR="006325CE" w:rsidRPr="006325CE" w:rsidRDefault="006325CE" w:rsidP="006325CE">
      <w:pPr>
        <w:tabs>
          <w:tab w:val="left" w:pos="1168"/>
        </w:tabs>
        <w:jc w:val="both"/>
        <w:rPr>
          <w:rFonts w:eastAsia="Times New Roman" w:cs="Times New Roman"/>
          <w:sz w:val="20"/>
          <w:szCs w:val="20"/>
          <w:lang w:eastAsia="en-CA"/>
        </w:rPr>
      </w:pPr>
    </w:p>
    <w:p w:rsidR="006325CE" w:rsidRPr="006325CE" w:rsidRDefault="006325CE" w:rsidP="006325CE">
      <w:pPr>
        <w:tabs>
          <w:tab w:val="left" w:pos="1168"/>
        </w:tabs>
        <w:jc w:val="both"/>
        <w:rPr>
          <w:rFonts w:cs="Times New Roman"/>
          <w:sz w:val="20"/>
          <w:szCs w:val="20"/>
          <w:lang w:eastAsia="en-CA"/>
        </w:rPr>
      </w:pPr>
      <w:r w:rsidRPr="006325CE">
        <w:rPr>
          <w:rFonts w:cs="Times New Roman"/>
          <w:sz w:val="20"/>
          <w:szCs w:val="20"/>
          <w:lang w:eastAsia="en-CA"/>
        </w:rPr>
        <w:tab/>
        <w:t>The reputation of the justice system weighs against admission of the evidence. The law is clear that judicial authorization is required to conduct invasive searches with a view to obtaining bodily samples. The police officers’ unjustified and unexplained avoidance of this requirement weighs against admissibility. So does their disregard for the likelihood that a warrant was not even available. The deliberate failure to consider a warrant in the absence of exigent circumstances is, at its best, careless; ignoring the legal possibility that under Canadian law the police were not even entitled to take a penile swab, is fatal.</w:t>
      </w:r>
    </w:p>
    <w:p w:rsidR="006C7757" w:rsidRPr="00E85E82" w:rsidRDefault="006C7757" w:rsidP="006C7757">
      <w:pPr>
        <w:pStyle w:val="SCCNormalDoubleSpacing"/>
        <w:spacing w:line="240" w:lineRule="auto"/>
        <w:rPr>
          <w:sz w:val="20"/>
        </w:rPr>
      </w:pPr>
    </w:p>
    <w:p w:rsidR="004758BA" w:rsidRPr="00E85E82" w:rsidRDefault="004758BA" w:rsidP="004758BA">
      <w:pPr>
        <w:tabs>
          <w:tab w:val="left" w:pos="1168"/>
        </w:tabs>
        <w:jc w:val="both"/>
        <w:rPr>
          <w:rFonts w:eastAsia="Times New Roman" w:cs="Times New Roman"/>
          <w:sz w:val="20"/>
          <w:szCs w:val="20"/>
          <w:lang w:eastAsia="en-CA"/>
        </w:rPr>
      </w:pPr>
      <w:r w:rsidRPr="004758BA">
        <w:rPr>
          <w:rFonts w:eastAsia="Times New Roman" w:cs="Times New Roman"/>
          <w:sz w:val="20"/>
          <w:szCs w:val="20"/>
          <w:lang w:eastAsia="en-CA"/>
        </w:rPr>
        <w:tab/>
        <w:t xml:space="preserve">APPEAL from a judgment of the Alberta Court of Appeal (Watson, McDonald and </w:t>
      </w:r>
      <w:proofErr w:type="spellStart"/>
      <w:r w:rsidRPr="004758BA">
        <w:rPr>
          <w:rFonts w:eastAsia="Times New Roman" w:cs="Times New Roman"/>
          <w:sz w:val="20"/>
          <w:szCs w:val="20"/>
          <w:lang w:eastAsia="en-CA"/>
        </w:rPr>
        <w:t>Bielby</w:t>
      </w:r>
      <w:proofErr w:type="spellEnd"/>
      <w:r w:rsidRPr="004758BA">
        <w:rPr>
          <w:rFonts w:eastAsia="Times New Roman" w:cs="Times New Roman"/>
          <w:sz w:val="20"/>
          <w:szCs w:val="20"/>
          <w:lang w:eastAsia="en-CA"/>
        </w:rPr>
        <w:t xml:space="preserve"> JJ.A.), 2014 ABCA 238, 5 Alta. L.R. (6th) 219, 315 C.C.C. (3d) 127, 314 C.R.R. (2d) 338, [2014] 12 W.W.R. 291, [2014] A.J. No. 739 (QL), 2014 </w:t>
      </w:r>
      <w:proofErr w:type="spellStart"/>
      <w:r w:rsidRPr="004758BA">
        <w:rPr>
          <w:rFonts w:eastAsia="Times New Roman" w:cs="Times New Roman"/>
          <w:sz w:val="20"/>
          <w:szCs w:val="20"/>
          <w:lang w:eastAsia="en-CA"/>
        </w:rPr>
        <w:t>CarswellAlta</w:t>
      </w:r>
      <w:proofErr w:type="spellEnd"/>
      <w:r w:rsidRPr="004758BA">
        <w:rPr>
          <w:rFonts w:eastAsia="Times New Roman" w:cs="Times New Roman"/>
          <w:sz w:val="20"/>
          <w:szCs w:val="20"/>
          <w:lang w:eastAsia="en-CA"/>
        </w:rPr>
        <w:t xml:space="preserve"> 1181 (WL Can.), affirming the accused’s convictions for sexual assault causing bodily harm and sexual interference. Appeal dismissed, Abella J. dissenting.</w:t>
      </w:r>
    </w:p>
    <w:p w:rsidR="004758BA" w:rsidRPr="004758BA" w:rsidRDefault="004758BA" w:rsidP="004758BA">
      <w:pPr>
        <w:tabs>
          <w:tab w:val="left" w:pos="1168"/>
        </w:tabs>
        <w:jc w:val="both"/>
        <w:rPr>
          <w:rFonts w:eastAsia="Times New Roman" w:cs="Times New Roman"/>
          <w:sz w:val="20"/>
          <w:szCs w:val="20"/>
          <w:lang w:eastAsia="en-CA"/>
        </w:rPr>
      </w:pPr>
    </w:p>
    <w:p w:rsidR="004758BA" w:rsidRPr="00E85E82" w:rsidRDefault="004758BA" w:rsidP="004758BA">
      <w:pPr>
        <w:tabs>
          <w:tab w:val="left" w:pos="1168"/>
        </w:tabs>
        <w:jc w:val="both"/>
        <w:rPr>
          <w:rFonts w:eastAsia="Times New Roman" w:cs="Times New Roman"/>
          <w:sz w:val="20"/>
          <w:szCs w:val="20"/>
          <w:lang w:eastAsia="en-CA"/>
        </w:rPr>
      </w:pPr>
      <w:r w:rsidRPr="00E85E82">
        <w:rPr>
          <w:rFonts w:eastAsia="Times New Roman" w:cs="Times New Roman"/>
          <w:sz w:val="20"/>
          <w:szCs w:val="20"/>
          <w:lang w:eastAsia="en-CA"/>
        </w:rPr>
        <w:tab/>
      </w:r>
      <w:r w:rsidRPr="00E85E82">
        <w:rPr>
          <w:rFonts w:eastAsia="Times New Roman" w:cs="Times New Roman"/>
          <w:i/>
          <w:sz w:val="20"/>
          <w:szCs w:val="20"/>
          <w:lang w:eastAsia="en-CA"/>
        </w:rPr>
        <w:t>Peter J. Royal</w:t>
      </w:r>
      <w:r w:rsidRPr="00E85E82">
        <w:rPr>
          <w:rFonts w:eastAsia="Times New Roman" w:cs="Times New Roman"/>
          <w:sz w:val="20"/>
          <w:szCs w:val="20"/>
          <w:lang w:eastAsia="en-CA"/>
        </w:rPr>
        <w:t xml:space="preserve">, </w:t>
      </w:r>
      <w:r w:rsidRPr="00E85E82">
        <w:rPr>
          <w:rFonts w:eastAsia="Times New Roman" w:cs="Times New Roman"/>
          <w:i/>
          <w:sz w:val="20"/>
          <w:szCs w:val="20"/>
          <w:lang w:eastAsia="en-CA"/>
        </w:rPr>
        <w:t>Q.C.</w:t>
      </w:r>
      <w:r w:rsidRPr="00E85E82">
        <w:rPr>
          <w:rFonts w:eastAsia="Times New Roman" w:cs="Times New Roman"/>
          <w:sz w:val="20"/>
          <w:szCs w:val="20"/>
          <w:lang w:eastAsia="en-CA"/>
        </w:rPr>
        <w:t xml:space="preserve">, and </w:t>
      </w:r>
      <w:proofErr w:type="spellStart"/>
      <w:r w:rsidRPr="00E85E82">
        <w:rPr>
          <w:rFonts w:eastAsia="Times New Roman" w:cs="Times New Roman"/>
          <w:i/>
          <w:sz w:val="20"/>
          <w:szCs w:val="20"/>
          <w:lang w:eastAsia="en-CA"/>
        </w:rPr>
        <w:t>Conor</w:t>
      </w:r>
      <w:proofErr w:type="spellEnd"/>
      <w:r w:rsidRPr="00E85E82">
        <w:rPr>
          <w:rFonts w:eastAsia="Times New Roman" w:cs="Times New Roman"/>
          <w:i/>
          <w:sz w:val="20"/>
          <w:szCs w:val="20"/>
          <w:lang w:eastAsia="en-CA"/>
        </w:rPr>
        <w:t xml:space="preserve"> Davis</w:t>
      </w:r>
      <w:r w:rsidRPr="00E85E82">
        <w:rPr>
          <w:rFonts w:eastAsia="Times New Roman" w:cs="Times New Roman"/>
          <w:sz w:val="20"/>
          <w:szCs w:val="20"/>
          <w:lang w:eastAsia="en-CA"/>
        </w:rPr>
        <w:t>, for the appellant.</w:t>
      </w:r>
    </w:p>
    <w:p w:rsidR="004758BA" w:rsidRPr="004758BA" w:rsidRDefault="004758BA" w:rsidP="004758BA">
      <w:pPr>
        <w:tabs>
          <w:tab w:val="left" w:pos="1168"/>
        </w:tabs>
        <w:jc w:val="both"/>
        <w:rPr>
          <w:rFonts w:eastAsia="Times New Roman" w:cs="Times New Roman"/>
          <w:sz w:val="20"/>
          <w:szCs w:val="20"/>
          <w:lang w:eastAsia="en-CA"/>
        </w:rPr>
      </w:pPr>
    </w:p>
    <w:p w:rsidR="004758BA" w:rsidRPr="00E85E82" w:rsidRDefault="004758BA" w:rsidP="004758BA">
      <w:pPr>
        <w:tabs>
          <w:tab w:val="left" w:pos="1168"/>
        </w:tabs>
        <w:jc w:val="both"/>
        <w:rPr>
          <w:rFonts w:eastAsia="Times New Roman" w:cs="Times New Roman"/>
          <w:sz w:val="20"/>
          <w:szCs w:val="20"/>
          <w:lang w:eastAsia="en-CA"/>
        </w:rPr>
      </w:pPr>
      <w:r w:rsidRPr="00E85E82">
        <w:rPr>
          <w:rFonts w:eastAsia="Times New Roman" w:cs="Times New Roman"/>
          <w:sz w:val="20"/>
          <w:szCs w:val="20"/>
          <w:lang w:eastAsia="en-CA"/>
        </w:rPr>
        <w:tab/>
      </w:r>
      <w:r w:rsidRPr="00E85E82">
        <w:rPr>
          <w:rFonts w:eastAsia="Times New Roman" w:cs="Times New Roman"/>
          <w:i/>
          <w:sz w:val="20"/>
          <w:szCs w:val="20"/>
          <w:lang w:eastAsia="en-CA"/>
        </w:rPr>
        <w:t>Maureen J. McGuire</w:t>
      </w:r>
      <w:r w:rsidRPr="00E85E82">
        <w:rPr>
          <w:rFonts w:eastAsia="Times New Roman" w:cs="Times New Roman"/>
          <w:sz w:val="20"/>
          <w:szCs w:val="20"/>
          <w:lang w:eastAsia="en-CA"/>
        </w:rPr>
        <w:t xml:space="preserve"> and </w:t>
      </w:r>
      <w:r w:rsidRPr="00E85E82">
        <w:rPr>
          <w:rFonts w:eastAsia="Times New Roman" w:cs="Times New Roman"/>
          <w:i/>
          <w:sz w:val="20"/>
          <w:szCs w:val="20"/>
          <w:lang w:eastAsia="en-CA"/>
        </w:rPr>
        <w:t>Melanie Hayes</w:t>
      </w:r>
      <w:r w:rsidRPr="00E85E82">
        <w:rPr>
          <w:rFonts w:eastAsia="Times New Roman" w:cs="Times New Roman"/>
          <w:i/>
          <w:sz w:val="20"/>
          <w:szCs w:val="20"/>
          <w:lang w:eastAsia="en-CA"/>
        </w:rPr>
        <w:noBreakHyphen/>
        <w:t>Richards</w:t>
      </w:r>
      <w:r w:rsidRPr="00E85E82">
        <w:rPr>
          <w:rFonts w:eastAsia="Times New Roman" w:cs="Times New Roman"/>
          <w:sz w:val="20"/>
          <w:szCs w:val="20"/>
          <w:lang w:eastAsia="en-CA"/>
        </w:rPr>
        <w:t>, for the respondent.</w:t>
      </w:r>
    </w:p>
    <w:p w:rsidR="004758BA" w:rsidRPr="004758BA" w:rsidRDefault="004758BA" w:rsidP="004758BA">
      <w:pPr>
        <w:tabs>
          <w:tab w:val="left" w:pos="1168"/>
        </w:tabs>
        <w:jc w:val="both"/>
        <w:rPr>
          <w:rFonts w:eastAsia="Times New Roman" w:cs="Times New Roman"/>
          <w:sz w:val="20"/>
          <w:szCs w:val="20"/>
          <w:lang w:eastAsia="en-CA"/>
        </w:rPr>
      </w:pPr>
    </w:p>
    <w:p w:rsidR="004758BA" w:rsidRPr="00E85E82" w:rsidRDefault="004758BA" w:rsidP="004758BA">
      <w:pPr>
        <w:tabs>
          <w:tab w:val="left" w:pos="1168"/>
        </w:tabs>
        <w:jc w:val="both"/>
        <w:rPr>
          <w:rFonts w:eastAsia="Times New Roman" w:cs="Times New Roman"/>
          <w:sz w:val="20"/>
          <w:szCs w:val="20"/>
          <w:lang w:eastAsia="en-CA"/>
        </w:rPr>
      </w:pPr>
      <w:r w:rsidRPr="00E85E82">
        <w:rPr>
          <w:rFonts w:eastAsia="Times New Roman" w:cs="Times New Roman"/>
          <w:sz w:val="20"/>
          <w:szCs w:val="20"/>
          <w:lang w:eastAsia="en-CA"/>
        </w:rPr>
        <w:tab/>
      </w:r>
      <w:r w:rsidRPr="00E85E82">
        <w:rPr>
          <w:rFonts w:eastAsia="Times New Roman" w:cs="Times New Roman"/>
          <w:i/>
          <w:sz w:val="20"/>
          <w:szCs w:val="20"/>
          <w:lang w:eastAsia="en-CA"/>
        </w:rPr>
        <w:t>Melissa Adams</w:t>
      </w:r>
      <w:r w:rsidRPr="00E85E82">
        <w:rPr>
          <w:rFonts w:eastAsia="Times New Roman" w:cs="Times New Roman"/>
          <w:sz w:val="20"/>
          <w:szCs w:val="20"/>
          <w:lang w:eastAsia="en-CA"/>
        </w:rPr>
        <w:t xml:space="preserve"> and </w:t>
      </w:r>
      <w:r w:rsidRPr="00E85E82">
        <w:rPr>
          <w:rFonts w:eastAsia="Times New Roman" w:cs="Times New Roman"/>
          <w:i/>
          <w:sz w:val="20"/>
          <w:szCs w:val="20"/>
          <w:lang w:eastAsia="en-CA"/>
        </w:rPr>
        <w:t xml:space="preserve">Susan </w:t>
      </w:r>
      <w:proofErr w:type="spellStart"/>
      <w:r w:rsidRPr="00E85E82">
        <w:rPr>
          <w:rFonts w:eastAsia="Times New Roman" w:cs="Times New Roman"/>
          <w:i/>
          <w:sz w:val="20"/>
          <w:szCs w:val="20"/>
          <w:lang w:eastAsia="en-CA"/>
        </w:rPr>
        <w:t>Magotiaux</w:t>
      </w:r>
      <w:proofErr w:type="spellEnd"/>
      <w:r w:rsidRPr="00E85E82">
        <w:rPr>
          <w:rFonts w:eastAsia="Times New Roman" w:cs="Times New Roman"/>
          <w:sz w:val="20"/>
          <w:szCs w:val="20"/>
          <w:lang w:eastAsia="en-CA"/>
        </w:rPr>
        <w:t>, for the intervener the Attorney General of Ontario.</w:t>
      </w:r>
    </w:p>
    <w:p w:rsidR="004758BA" w:rsidRPr="004758BA" w:rsidRDefault="004758BA" w:rsidP="004758BA">
      <w:pPr>
        <w:tabs>
          <w:tab w:val="left" w:pos="1168"/>
        </w:tabs>
        <w:jc w:val="both"/>
        <w:rPr>
          <w:rFonts w:eastAsia="Times New Roman" w:cs="Times New Roman"/>
          <w:sz w:val="20"/>
          <w:szCs w:val="20"/>
          <w:lang w:eastAsia="en-CA"/>
        </w:rPr>
      </w:pPr>
    </w:p>
    <w:p w:rsidR="004758BA" w:rsidRPr="00E85E82" w:rsidRDefault="004758BA" w:rsidP="004758BA">
      <w:pPr>
        <w:tabs>
          <w:tab w:val="left" w:pos="1168"/>
        </w:tabs>
        <w:jc w:val="both"/>
        <w:rPr>
          <w:rFonts w:eastAsia="Times New Roman" w:cs="Times New Roman"/>
          <w:sz w:val="20"/>
          <w:szCs w:val="20"/>
          <w:lang w:eastAsia="en-CA"/>
        </w:rPr>
      </w:pPr>
      <w:r w:rsidRPr="00E85E82">
        <w:rPr>
          <w:rFonts w:eastAsia="Times New Roman" w:cs="Times New Roman"/>
          <w:sz w:val="20"/>
          <w:szCs w:val="20"/>
          <w:lang w:eastAsia="en-CA"/>
        </w:rPr>
        <w:tab/>
      </w:r>
      <w:r w:rsidRPr="00E85E82">
        <w:rPr>
          <w:rFonts w:eastAsia="Times New Roman" w:cs="Times New Roman"/>
          <w:i/>
          <w:sz w:val="20"/>
          <w:szCs w:val="20"/>
          <w:lang w:eastAsia="en-CA"/>
        </w:rPr>
        <w:t xml:space="preserve">David </w:t>
      </w:r>
      <w:proofErr w:type="spellStart"/>
      <w:r w:rsidRPr="00E85E82">
        <w:rPr>
          <w:rFonts w:eastAsia="Times New Roman" w:cs="Times New Roman"/>
          <w:i/>
          <w:sz w:val="20"/>
          <w:szCs w:val="20"/>
          <w:lang w:eastAsia="en-CA"/>
        </w:rPr>
        <w:t>Lynass</w:t>
      </w:r>
      <w:proofErr w:type="spellEnd"/>
      <w:r w:rsidRPr="00E85E82">
        <w:rPr>
          <w:rFonts w:eastAsia="Times New Roman" w:cs="Times New Roman"/>
          <w:sz w:val="20"/>
          <w:szCs w:val="20"/>
          <w:lang w:eastAsia="en-CA"/>
        </w:rPr>
        <w:t xml:space="preserve"> and </w:t>
      </w:r>
      <w:r w:rsidRPr="00E85E82">
        <w:rPr>
          <w:rFonts w:eastAsia="Times New Roman" w:cs="Times New Roman"/>
          <w:i/>
          <w:sz w:val="20"/>
          <w:szCs w:val="20"/>
          <w:lang w:eastAsia="en-CA"/>
        </w:rPr>
        <w:t>Greg Preston</w:t>
      </w:r>
      <w:r w:rsidRPr="00E85E82">
        <w:rPr>
          <w:rFonts w:eastAsia="Times New Roman" w:cs="Times New Roman"/>
          <w:sz w:val="20"/>
          <w:szCs w:val="20"/>
          <w:lang w:eastAsia="en-CA"/>
        </w:rPr>
        <w:t>, for the intervener the Canadian Association of Chiefs of Police.</w:t>
      </w:r>
    </w:p>
    <w:p w:rsidR="004758BA" w:rsidRPr="004758BA" w:rsidRDefault="004758BA" w:rsidP="004758BA">
      <w:pPr>
        <w:tabs>
          <w:tab w:val="left" w:pos="1168"/>
        </w:tabs>
        <w:jc w:val="both"/>
        <w:rPr>
          <w:rFonts w:eastAsia="Times New Roman" w:cs="Times New Roman"/>
          <w:sz w:val="20"/>
          <w:szCs w:val="20"/>
          <w:lang w:eastAsia="en-CA"/>
        </w:rPr>
      </w:pPr>
    </w:p>
    <w:p w:rsidR="004758BA" w:rsidRPr="00E85E82" w:rsidRDefault="004758BA" w:rsidP="004758BA">
      <w:pPr>
        <w:tabs>
          <w:tab w:val="left" w:pos="1168"/>
        </w:tabs>
        <w:jc w:val="both"/>
        <w:rPr>
          <w:rFonts w:eastAsia="Times New Roman" w:cs="Times New Roman"/>
          <w:sz w:val="20"/>
          <w:szCs w:val="20"/>
          <w:lang w:eastAsia="en-CA"/>
        </w:rPr>
      </w:pPr>
      <w:r w:rsidRPr="00E85E82">
        <w:rPr>
          <w:rFonts w:eastAsia="Times New Roman" w:cs="Times New Roman"/>
          <w:sz w:val="20"/>
          <w:szCs w:val="20"/>
          <w:lang w:eastAsia="en-CA"/>
        </w:rPr>
        <w:tab/>
      </w:r>
      <w:r w:rsidRPr="00E85E82">
        <w:rPr>
          <w:rFonts w:eastAsia="Times New Roman" w:cs="Times New Roman"/>
          <w:i/>
          <w:sz w:val="20"/>
          <w:szCs w:val="20"/>
          <w:lang w:eastAsia="en-CA"/>
        </w:rPr>
        <w:t xml:space="preserve">Howard L. </w:t>
      </w:r>
      <w:proofErr w:type="spellStart"/>
      <w:r w:rsidRPr="00E85E82">
        <w:rPr>
          <w:rFonts w:eastAsia="Times New Roman" w:cs="Times New Roman"/>
          <w:i/>
          <w:sz w:val="20"/>
          <w:szCs w:val="20"/>
          <w:lang w:eastAsia="en-CA"/>
        </w:rPr>
        <w:t>Krongold</w:t>
      </w:r>
      <w:proofErr w:type="spellEnd"/>
      <w:r w:rsidRPr="00E85E82">
        <w:rPr>
          <w:rFonts w:eastAsia="Times New Roman" w:cs="Times New Roman"/>
          <w:sz w:val="20"/>
          <w:szCs w:val="20"/>
          <w:lang w:eastAsia="en-CA"/>
        </w:rPr>
        <w:t xml:space="preserve"> and </w:t>
      </w:r>
      <w:r w:rsidRPr="00E85E82">
        <w:rPr>
          <w:rFonts w:eastAsia="Times New Roman" w:cs="Times New Roman"/>
          <w:i/>
          <w:sz w:val="20"/>
          <w:szCs w:val="20"/>
          <w:lang w:eastAsia="en-CA"/>
        </w:rPr>
        <w:t>Vanessa MacDonnell</w:t>
      </w:r>
      <w:r w:rsidRPr="00E85E82">
        <w:rPr>
          <w:rFonts w:eastAsia="Times New Roman" w:cs="Times New Roman"/>
          <w:sz w:val="20"/>
          <w:szCs w:val="20"/>
          <w:lang w:eastAsia="en-CA"/>
        </w:rPr>
        <w:t>, for the intervener the Criminal Lawyers’ Association (Ontario).</w:t>
      </w:r>
    </w:p>
    <w:p w:rsidR="004758BA" w:rsidRPr="004758BA" w:rsidRDefault="004758BA" w:rsidP="004758BA">
      <w:pPr>
        <w:tabs>
          <w:tab w:val="left" w:pos="1168"/>
        </w:tabs>
        <w:jc w:val="both"/>
        <w:rPr>
          <w:rFonts w:eastAsia="Times New Roman" w:cs="Times New Roman"/>
          <w:sz w:val="20"/>
          <w:szCs w:val="20"/>
          <w:lang w:eastAsia="en-CA"/>
        </w:rPr>
      </w:pPr>
    </w:p>
    <w:p w:rsidR="004758BA" w:rsidRPr="00E85E82" w:rsidRDefault="004758BA" w:rsidP="004758BA">
      <w:pPr>
        <w:tabs>
          <w:tab w:val="left" w:pos="1168"/>
        </w:tabs>
        <w:jc w:val="both"/>
        <w:rPr>
          <w:rFonts w:eastAsia="Times New Roman" w:cs="Times New Roman"/>
          <w:i/>
          <w:sz w:val="20"/>
          <w:szCs w:val="20"/>
          <w:lang w:eastAsia="en-CA"/>
        </w:rPr>
      </w:pPr>
      <w:r w:rsidRPr="004758BA">
        <w:rPr>
          <w:rFonts w:eastAsia="Times New Roman" w:cs="Times New Roman"/>
          <w:i/>
          <w:sz w:val="20"/>
          <w:szCs w:val="20"/>
          <w:lang w:eastAsia="en-CA"/>
        </w:rPr>
        <w:tab/>
        <w:t xml:space="preserve">Solicitors for the appellant: Royal &amp; Company, Edmonton; </w:t>
      </w:r>
      <w:proofErr w:type="spellStart"/>
      <w:r w:rsidRPr="004758BA">
        <w:rPr>
          <w:rFonts w:eastAsia="Times New Roman" w:cs="Times New Roman"/>
          <w:i/>
          <w:sz w:val="20"/>
          <w:szCs w:val="20"/>
          <w:lang w:eastAsia="en-CA"/>
        </w:rPr>
        <w:t>Conor</w:t>
      </w:r>
      <w:proofErr w:type="spellEnd"/>
      <w:r w:rsidRPr="004758BA">
        <w:rPr>
          <w:rFonts w:eastAsia="Times New Roman" w:cs="Times New Roman"/>
          <w:i/>
          <w:sz w:val="20"/>
          <w:szCs w:val="20"/>
          <w:lang w:eastAsia="en-CA"/>
        </w:rPr>
        <w:t xml:space="preserve"> Davis, Edmonton.</w:t>
      </w:r>
    </w:p>
    <w:p w:rsidR="004758BA" w:rsidRPr="004758BA" w:rsidRDefault="004758BA" w:rsidP="004758BA">
      <w:pPr>
        <w:tabs>
          <w:tab w:val="left" w:pos="1168"/>
        </w:tabs>
        <w:jc w:val="both"/>
        <w:rPr>
          <w:rFonts w:eastAsia="Times New Roman" w:cs="Times New Roman"/>
          <w:i/>
          <w:sz w:val="20"/>
          <w:szCs w:val="20"/>
          <w:lang w:eastAsia="en-CA"/>
        </w:rPr>
      </w:pPr>
    </w:p>
    <w:p w:rsidR="004758BA" w:rsidRPr="00E85E82" w:rsidRDefault="004758BA" w:rsidP="004758BA">
      <w:pPr>
        <w:tabs>
          <w:tab w:val="left" w:pos="1168"/>
        </w:tabs>
        <w:jc w:val="both"/>
        <w:rPr>
          <w:rFonts w:eastAsia="Times New Roman" w:cs="Times New Roman"/>
          <w:i/>
          <w:sz w:val="20"/>
          <w:szCs w:val="20"/>
          <w:lang w:eastAsia="en-CA"/>
        </w:rPr>
      </w:pPr>
      <w:r w:rsidRPr="004758BA">
        <w:rPr>
          <w:rFonts w:eastAsia="Times New Roman" w:cs="Times New Roman"/>
          <w:i/>
          <w:sz w:val="20"/>
          <w:szCs w:val="20"/>
          <w:lang w:eastAsia="en-CA"/>
        </w:rPr>
        <w:tab/>
        <w:t>Solicitor for the respondent: Attorney General of Alberta, Edmonton.</w:t>
      </w:r>
    </w:p>
    <w:p w:rsidR="004758BA" w:rsidRPr="004758BA" w:rsidRDefault="004758BA" w:rsidP="004758BA">
      <w:pPr>
        <w:tabs>
          <w:tab w:val="left" w:pos="1168"/>
        </w:tabs>
        <w:jc w:val="both"/>
        <w:rPr>
          <w:rFonts w:eastAsia="Times New Roman" w:cs="Times New Roman"/>
          <w:i/>
          <w:sz w:val="20"/>
          <w:szCs w:val="20"/>
          <w:lang w:eastAsia="en-CA"/>
        </w:rPr>
      </w:pPr>
    </w:p>
    <w:p w:rsidR="004758BA" w:rsidRPr="00E85E82" w:rsidRDefault="004758BA" w:rsidP="004758BA">
      <w:pPr>
        <w:tabs>
          <w:tab w:val="left" w:pos="1168"/>
        </w:tabs>
        <w:jc w:val="both"/>
        <w:rPr>
          <w:rFonts w:eastAsia="Times New Roman" w:cs="Times New Roman"/>
          <w:i/>
          <w:sz w:val="20"/>
          <w:szCs w:val="20"/>
          <w:lang w:eastAsia="en-CA"/>
        </w:rPr>
      </w:pPr>
      <w:r w:rsidRPr="004758BA">
        <w:rPr>
          <w:rFonts w:eastAsia="Times New Roman" w:cs="Times New Roman"/>
          <w:i/>
          <w:sz w:val="20"/>
          <w:szCs w:val="20"/>
          <w:lang w:eastAsia="en-CA"/>
        </w:rPr>
        <w:tab/>
        <w:t>Solicitor for the intervener the Attorney General of Ontario: Attorney General of Ontario, Toronto.</w:t>
      </w:r>
    </w:p>
    <w:p w:rsidR="004758BA" w:rsidRPr="004758BA" w:rsidRDefault="004758BA" w:rsidP="004758BA">
      <w:pPr>
        <w:tabs>
          <w:tab w:val="left" w:pos="1168"/>
        </w:tabs>
        <w:jc w:val="both"/>
        <w:rPr>
          <w:rFonts w:eastAsia="Times New Roman" w:cs="Times New Roman"/>
          <w:i/>
          <w:sz w:val="20"/>
          <w:szCs w:val="20"/>
          <w:lang w:eastAsia="en-CA"/>
        </w:rPr>
      </w:pPr>
    </w:p>
    <w:p w:rsidR="004758BA" w:rsidRPr="00E85E82" w:rsidRDefault="004758BA" w:rsidP="004758BA">
      <w:pPr>
        <w:tabs>
          <w:tab w:val="left" w:pos="1168"/>
        </w:tabs>
        <w:jc w:val="both"/>
        <w:rPr>
          <w:rFonts w:eastAsia="Times New Roman" w:cs="Times New Roman"/>
          <w:i/>
          <w:sz w:val="20"/>
          <w:szCs w:val="20"/>
          <w:lang w:eastAsia="en-CA"/>
        </w:rPr>
      </w:pPr>
      <w:r w:rsidRPr="004758BA">
        <w:rPr>
          <w:rFonts w:eastAsia="Times New Roman" w:cs="Times New Roman"/>
          <w:i/>
          <w:sz w:val="20"/>
          <w:szCs w:val="20"/>
          <w:lang w:eastAsia="en-CA"/>
        </w:rPr>
        <w:tab/>
        <w:t>Solicitor for the intervener the Canadian Association of Chiefs of Police: Edmonton Police Service, Edmonton.</w:t>
      </w:r>
    </w:p>
    <w:p w:rsidR="004758BA" w:rsidRPr="004758BA" w:rsidRDefault="004758BA" w:rsidP="004758BA">
      <w:pPr>
        <w:tabs>
          <w:tab w:val="left" w:pos="1168"/>
        </w:tabs>
        <w:jc w:val="both"/>
        <w:rPr>
          <w:rFonts w:eastAsia="Times New Roman" w:cs="Times New Roman"/>
          <w:i/>
          <w:sz w:val="20"/>
          <w:szCs w:val="20"/>
          <w:lang w:eastAsia="en-CA"/>
        </w:rPr>
      </w:pPr>
    </w:p>
    <w:p w:rsidR="004758BA" w:rsidRPr="004758BA" w:rsidRDefault="004758BA" w:rsidP="004758BA">
      <w:pPr>
        <w:tabs>
          <w:tab w:val="left" w:pos="1168"/>
        </w:tabs>
        <w:jc w:val="both"/>
        <w:rPr>
          <w:rFonts w:eastAsia="Times New Roman" w:cs="Times New Roman"/>
          <w:i/>
          <w:sz w:val="20"/>
          <w:szCs w:val="20"/>
          <w:lang w:eastAsia="en-CA"/>
        </w:rPr>
      </w:pPr>
      <w:r w:rsidRPr="004758BA">
        <w:rPr>
          <w:rFonts w:eastAsia="Times New Roman" w:cs="Times New Roman"/>
          <w:i/>
          <w:sz w:val="20"/>
          <w:szCs w:val="20"/>
          <w:lang w:eastAsia="en-CA"/>
        </w:rPr>
        <w:tab/>
        <w:t>Solicitors for the intervener the Criminal Lawyers’ Association (Ontario): </w:t>
      </w:r>
      <w:proofErr w:type="spellStart"/>
      <w:r w:rsidRPr="004758BA">
        <w:rPr>
          <w:rFonts w:eastAsia="Times New Roman" w:cs="Times New Roman"/>
          <w:i/>
          <w:sz w:val="20"/>
          <w:szCs w:val="20"/>
          <w:lang w:eastAsia="en-CA"/>
        </w:rPr>
        <w:t>Abergel</w:t>
      </w:r>
      <w:proofErr w:type="spellEnd"/>
      <w:r w:rsidRPr="004758BA">
        <w:rPr>
          <w:rFonts w:eastAsia="Times New Roman" w:cs="Times New Roman"/>
          <w:i/>
          <w:sz w:val="20"/>
          <w:szCs w:val="20"/>
          <w:lang w:eastAsia="en-CA"/>
        </w:rPr>
        <w:t xml:space="preserve"> Goldstein &amp; Partners, Ottawa.</w:t>
      </w:r>
    </w:p>
    <w:p w:rsidR="006C7757" w:rsidRPr="00E85E82" w:rsidRDefault="006C7757" w:rsidP="006C7757">
      <w:pPr>
        <w:pStyle w:val="SCCLawFirm"/>
        <w:spacing w:line="240" w:lineRule="auto"/>
        <w:rPr>
          <w:sz w:val="20"/>
        </w:rPr>
      </w:pPr>
    </w:p>
    <w:p w:rsidR="006C7757" w:rsidRPr="00C556BB" w:rsidRDefault="006C7757" w:rsidP="006C7757">
      <w:pPr>
        <w:rPr>
          <w:rFonts w:cs="Times New Roman"/>
          <w:sz w:val="20"/>
          <w:szCs w:val="20"/>
          <w:lang w:val="fr-CA"/>
        </w:rPr>
      </w:pPr>
      <w:r w:rsidRPr="00C556BB">
        <w:rPr>
          <w:rFonts w:cs="Times New Roman"/>
          <w:sz w:val="20"/>
          <w:szCs w:val="20"/>
          <w:lang w:val="fr-CA"/>
        </w:rPr>
        <w:t>________________________</w:t>
      </w:r>
    </w:p>
    <w:p w:rsidR="006C7757" w:rsidRPr="00C556BB" w:rsidRDefault="006C7757" w:rsidP="006C7757">
      <w:pPr>
        <w:rPr>
          <w:rFonts w:cs="Times New Roman"/>
          <w:sz w:val="20"/>
          <w:szCs w:val="20"/>
          <w:lang w:val="fr-CA"/>
        </w:rPr>
      </w:pPr>
    </w:p>
    <w:p w:rsidR="0052229C" w:rsidRPr="00E85E82" w:rsidRDefault="0052229C" w:rsidP="0052229C">
      <w:pPr>
        <w:jc w:val="both"/>
        <w:rPr>
          <w:sz w:val="20"/>
          <w:szCs w:val="20"/>
          <w:lang w:val="fr-CA"/>
        </w:rPr>
      </w:pPr>
      <w:r w:rsidRPr="00E85E82">
        <w:rPr>
          <w:sz w:val="20"/>
          <w:szCs w:val="20"/>
          <w:lang w:val="fr-CA"/>
        </w:rPr>
        <w:t>Présents : </w:t>
      </w:r>
      <w:r w:rsidR="00BC3E1C" w:rsidRPr="00E85E82">
        <w:rPr>
          <w:sz w:val="20"/>
          <w:szCs w:val="20"/>
          <w:lang w:val="fr-CA"/>
        </w:rPr>
        <w:t>La juge en chef McLachlin et les juges Abella, Cromwell, Moldaver, Karakatsanis, Wagner, Gascon, Côté et Brown</w:t>
      </w:r>
    </w:p>
    <w:p w:rsidR="0052229C" w:rsidRPr="00E85E82" w:rsidRDefault="0052229C" w:rsidP="008C1622">
      <w:pPr>
        <w:jc w:val="both"/>
        <w:rPr>
          <w:smallCaps/>
          <w:sz w:val="20"/>
          <w:szCs w:val="20"/>
          <w:lang w:val="fr-CA"/>
        </w:rPr>
      </w:pPr>
    </w:p>
    <w:p w:rsidR="008C1622" w:rsidRPr="00E85E8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sz w:val="20"/>
          <w:szCs w:val="20"/>
          <w:lang w:val="fr-CA" w:eastAsia="en-CA"/>
        </w:rPr>
        <w:tab/>
      </w:r>
      <w:r w:rsidRPr="008C1622">
        <w:rPr>
          <w:rFonts w:eastAsia="Times New Roman" w:cs="Times New Roman"/>
          <w:i/>
          <w:sz w:val="20"/>
          <w:szCs w:val="20"/>
          <w:lang w:val="fr-CA" w:eastAsia="en-CA"/>
        </w:rPr>
        <w:t xml:space="preserve">Droit constitutionnel — Charte des droits — Fouilles, perquisitions et saisies — Fouille accessoire à l’arrestation — Accusé arrêté relativement à une agression sexuelle — Policiers disposant de motifs raisonnables de croire que l’ADN de la plaignante se trouve sur le pénis de l’accusé — Prélèvement par écouvillonnage du pénis de l’accusé sollicité par les policiers — Accusé se soumettant à la procédure dans l’intimité d’une cellule du poste de police — Aucune tentative des policiers d’obtenir un mandat — ADN de la plaignante détecté dans l’échantillon prélevé et produit en preuve au procès — Le pouvoir de fouille accessoire à une arrestation reconnu par la </w:t>
      </w:r>
      <w:proofErr w:type="spellStart"/>
      <w:r w:rsidRPr="008C1622">
        <w:rPr>
          <w:rFonts w:eastAsia="Times New Roman" w:cs="Times New Roman"/>
          <w:i/>
          <w:sz w:val="20"/>
          <w:szCs w:val="20"/>
          <w:lang w:val="fr-CA" w:eastAsia="en-CA"/>
        </w:rPr>
        <w:t>common</w:t>
      </w:r>
      <w:proofErr w:type="spellEnd"/>
      <w:r w:rsidRPr="008C1622">
        <w:rPr>
          <w:rFonts w:eastAsia="Times New Roman" w:cs="Times New Roman"/>
          <w:i/>
          <w:sz w:val="20"/>
          <w:szCs w:val="20"/>
          <w:lang w:val="fr-CA" w:eastAsia="en-CA"/>
        </w:rPr>
        <w:t xml:space="preserve"> </w:t>
      </w:r>
      <w:proofErr w:type="spellStart"/>
      <w:r w:rsidRPr="008C1622">
        <w:rPr>
          <w:rFonts w:eastAsia="Times New Roman" w:cs="Times New Roman"/>
          <w:i/>
          <w:sz w:val="20"/>
          <w:szCs w:val="20"/>
          <w:lang w:val="fr-CA" w:eastAsia="en-CA"/>
        </w:rPr>
        <w:t>law</w:t>
      </w:r>
      <w:proofErr w:type="spellEnd"/>
      <w:r w:rsidRPr="008C1622">
        <w:rPr>
          <w:rFonts w:eastAsia="Times New Roman" w:cs="Times New Roman"/>
          <w:i/>
          <w:sz w:val="20"/>
          <w:szCs w:val="20"/>
          <w:lang w:val="fr-CA" w:eastAsia="en-CA"/>
        </w:rPr>
        <w:t xml:space="preserve"> autorise</w:t>
      </w:r>
      <w:r w:rsidRPr="008C1622">
        <w:rPr>
          <w:rFonts w:eastAsia="Times New Roman" w:cs="Times New Roman"/>
          <w:i/>
          <w:sz w:val="20"/>
          <w:szCs w:val="20"/>
          <w:lang w:val="fr-CA" w:eastAsia="en-CA"/>
        </w:rPr>
        <w:noBreakHyphen/>
        <w:t>t</w:t>
      </w:r>
      <w:r w:rsidRPr="008C1622">
        <w:rPr>
          <w:rFonts w:eastAsia="Times New Roman" w:cs="Times New Roman"/>
          <w:i/>
          <w:sz w:val="20"/>
          <w:szCs w:val="20"/>
          <w:lang w:val="fr-CA" w:eastAsia="en-CA"/>
        </w:rPr>
        <w:noBreakHyphen/>
        <w:t>il les prélèvements par écouvillonnage du pénis? — Le prélèvement effectué en l’espèce était</w:t>
      </w:r>
      <w:r w:rsidRPr="008C1622">
        <w:rPr>
          <w:rFonts w:eastAsia="Times New Roman" w:cs="Times New Roman"/>
          <w:i/>
          <w:sz w:val="20"/>
          <w:szCs w:val="20"/>
          <w:lang w:val="fr-CA" w:eastAsia="en-CA"/>
        </w:rPr>
        <w:noBreakHyphen/>
        <w:t>il abusif et contraire au droit de l’accusé à la protection contre les fouilles, les perquisitions ou les saisies abusives? — Dans l’affirmative, les éléments de preuve découverts lors de la fouille doivent</w:t>
      </w:r>
      <w:r w:rsidRPr="008C1622">
        <w:rPr>
          <w:rFonts w:eastAsia="Times New Roman" w:cs="Times New Roman"/>
          <w:i/>
          <w:sz w:val="20"/>
          <w:szCs w:val="20"/>
          <w:lang w:val="fr-CA" w:eastAsia="en-CA"/>
        </w:rPr>
        <w:noBreakHyphen/>
        <w:t>ils être écartés? — Charte canadienne des droits et libertés, art. 8, 24(2</w:t>
      </w:r>
      <w:r w:rsidRPr="008C1622">
        <w:rPr>
          <w:rFonts w:eastAsia="Times New Roman" w:cs="Times New Roman"/>
          <w:sz w:val="20"/>
          <w:szCs w:val="20"/>
          <w:lang w:val="fr-CA" w:eastAsia="en-CA"/>
        </w:rPr>
        <w:t xml:space="preserve">). </w:t>
      </w:r>
    </w:p>
    <w:p w:rsidR="008C1622" w:rsidRPr="008C1622" w:rsidRDefault="008C1622" w:rsidP="008C1622">
      <w:pPr>
        <w:tabs>
          <w:tab w:val="left" w:pos="1168"/>
        </w:tabs>
        <w:jc w:val="both"/>
        <w:rPr>
          <w:rFonts w:eastAsia="Times New Roman" w:cs="Times New Roman"/>
          <w:sz w:val="20"/>
          <w:szCs w:val="20"/>
          <w:lang w:val="fr-CA" w:eastAsia="en-CA"/>
        </w:rPr>
      </w:pPr>
    </w:p>
    <w:p w:rsidR="008C1622" w:rsidRPr="00E85E8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sz w:val="20"/>
          <w:szCs w:val="20"/>
          <w:lang w:val="fr-CA" w:eastAsia="en-CA"/>
        </w:rPr>
        <w:tab/>
        <w:t>Vers 4 h du matin le 22 mai 2011, la plaignante a été attaquée brutalement et agressée sexuellement. À 6 h 05, l’accusé a été arrêté et informé de son droit à l’assistance d’un avocat. Il a par erreur été remis en liberté puis arrêté de nouveau à 8 h 35. Eu égard aux allégations de la plaignante, l’agent superviseur a estimé qu’il y avait des motifs raisonnables de croire que l’ADN de celle</w:t>
      </w:r>
      <w:r w:rsidRPr="008C1622">
        <w:rPr>
          <w:rFonts w:eastAsia="Times New Roman" w:cs="Times New Roman"/>
          <w:sz w:val="20"/>
          <w:szCs w:val="20"/>
          <w:lang w:val="fr-CA" w:eastAsia="en-CA"/>
        </w:rPr>
        <w:noBreakHyphen/>
        <w:t>ci se trouvait toujours sur le pénis de l’accusé et qu’un prélèvement par écouvillonnage du pénis devait être effectué. Le prélèvement en question n’a pas pu être effectué immédiatement. Vers 9 h 30, l’accusé a été menotté à un mur dans une cellule sans toilette ni eau courante afin de préserver la preuve. Il a passé environ 30 à 40 minutes menotté dans la cellule sèche. L’agent superviseur n’a pas sollicité de mandat pour procéder au prélèvement proposé, parce qu’il s’agissait, à son avis, d’une fouille valide effectuée accessoirement à une arrestation. Le prélèvement a eu lieu vers 10 h 45 en présence de deux agents de sexe masculin qui se sont placés de façon à bloquer toute vue par la fenêtre de la cellule. Les policiers ont permis à l’accusé d’effectuer le prélèvement. Ce dernier a baissé son pantalon et a passé un écouvillon sur toute la longueur de son pénis et autour du gland. Le prélèvement a été analysé et a révélé la présence de l’ADN de la plaignante.</w:t>
      </w:r>
    </w:p>
    <w:p w:rsidR="008C1622" w:rsidRPr="008C1622" w:rsidRDefault="008C1622" w:rsidP="008C1622">
      <w:pPr>
        <w:tabs>
          <w:tab w:val="left" w:pos="1168"/>
        </w:tabs>
        <w:jc w:val="both"/>
        <w:rPr>
          <w:rFonts w:eastAsia="Times New Roman" w:cs="Times New Roman"/>
          <w:sz w:val="20"/>
          <w:szCs w:val="20"/>
          <w:lang w:val="fr-CA" w:eastAsia="en-CA"/>
        </w:rPr>
      </w:pPr>
    </w:p>
    <w:p w:rsidR="008C1622" w:rsidRPr="00E85E8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sz w:val="20"/>
          <w:szCs w:val="20"/>
          <w:lang w:val="fr-CA" w:eastAsia="en-CA"/>
        </w:rPr>
        <w:tab/>
        <w:t xml:space="preserve">Au procès, la question centrale était l’identité de l’agresseur de la plaignante. L’accusé a contesté l’admissibilité des éléments de preuve de l’ADN de la plaignante ayant été recueillis grâce au prélèvement par écouvillonnage du pénis. La juge du procès a statué que pareil prélèvement violait le droit de l’accusé à la protection contre les fouilles, les perquisitions ou les saisies abusives garanti par l’art. 8 de la </w:t>
      </w:r>
      <w:r w:rsidRPr="008C1622">
        <w:rPr>
          <w:rFonts w:eastAsia="Times New Roman" w:cs="Times New Roman"/>
          <w:i/>
          <w:sz w:val="20"/>
          <w:szCs w:val="20"/>
          <w:lang w:val="fr-CA" w:eastAsia="en-CA"/>
        </w:rPr>
        <w:t>Charte</w:t>
      </w:r>
      <w:r w:rsidRPr="008C1622">
        <w:rPr>
          <w:rFonts w:eastAsia="Times New Roman" w:cs="Times New Roman"/>
          <w:sz w:val="20"/>
          <w:szCs w:val="20"/>
          <w:lang w:val="fr-CA" w:eastAsia="en-CA"/>
        </w:rPr>
        <w:t xml:space="preserve">. Cependant, elle a permis l’utilisation de la preuve génétique en application du par. 24(2) de la </w:t>
      </w:r>
      <w:r w:rsidRPr="008C1622">
        <w:rPr>
          <w:rFonts w:eastAsia="Times New Roman" w:cs="Times New Roman"/>
          <w:i/>
          <w:sz w:val="20"/>
          <w:szCs w:val="20"/>
          <w:lang w:val="fr-CA" w:eastAsia="en-CA"/>
        </w:rPr>
        <w:t>Charte</w:t>
      </w:r>
      <w:r w:rsidRPr="008C1622">
        <w:rPr>
          <w:rFonts w:eastAsia="Times New Roman" w:cs="Times New Roman"/>
          <w:sz w:val="20"/>
          <w:szCs w:val="20"/>
          <w:lang w:val="fr-CA" w:eastAsia="en-CA"/>
        </w:rPr>
        <w:t xml:space="preserve"> et s’est fondée sur celle</w:t>
      </w:r>
      <w:r w:rsidRPr="008C1622">
        <w:rPr>
          <w:rFonts w:eastAsia="Times New Roman" w:cs="Times New Roman"/>
          <w:sz w:val="20"/>
          <w:szCs w:val="20"/>
          <w:lang w:val="fr-CA" w:eastAsia="en-CA"/>
        </w:rPr>
        <w:noBreakHyphen/>
        <w:t xml:space="preserve">ci pour déclarer l’accusé coupable d’agression sexuelle causant des lésions corporelles et de contacts sexuels illégaux. La Cour d’appel a rejeté l’appel de l’accusé. Les juges majoritaires ont conclu que le prélèvement contrevenait aux droits garantis par l’art. 8 de la </w:t>
      </w:r>
      <w:r w:rsidRPr="008C1622">
        <w:rPr>
          <w:rFonts w:eastAsia="Times New Roman" w:cs="Times New Roman"/>
          <w:i/>
          <w:sz w:val="20"/>
          <w:szCs w:val="20"/>
          <w:lang w:val="fr-CA" w:eastAsia="en-CA"/>
        </w:rPr>
        <w:t>Charte</w:t>
      </w:r>
      <w:r w:rsidRPr="008C1622">
        <w:rPr>
          <w:rFonts w:eastAsia="Times New Roman" w:cs="Times New Roman"/>
          <w:sz w:val="20"/>
          <w:szCs w:val="20"/>
          <w:lang w:val="fr-CA" w:eastAsia="en-CA"/>
        </w:rPr>
        <w:t>, mais que la preuve obtenue pouvait être utilisée en vertu du par. 24(2). Souscrivant au résultat, le juge McDonald a estimé pour sa part que les droits garantis par l’art. </w:t>
      </w:r>
      <w:r w:rsidRPr="00E85E82">
        <w:rPr>
          <w:rFonts w:eastAsia="Times New Roman" w:cs="Times New Roman"/>
          <w:sz w:val="20"/>
          <w:szCs w:val="20"/>
          <w:lang w:val="fr-CA" w:eastAsia="en-CA"/>
        </w:rPr>
        <w:t>8 n’avaient pas été violés.</w:t>
      </w:r>
    </w:p>
    <w:p w:rsidR="008C1622" w:rsidRPr="008C1622" w:rsidRDefault="008C1622" w:rsidP="008C1622">
      <w:pPr>
        <w:tabs>
          <w:tab w:val="left" w:pos="1168"/>
        </w:tabs>
        <w:jc w:val="both"/>
        <w:rPr>
          <w:rFonts w:eastAsia="Times New Roman" w:cs="Times New Roman"/>
          <w:sz w:val="20"/>
          <w:szCs w:val="20"/>
          <w:lang w:val="fr-CA" w:eastAsia="en-CA"/>
        </w:rPr>
      </w:pPr>
    </w:p>
    <w:p w:rsidR="008C1622" w:rsidRPr="008C162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sz w:val="20"/>
          <w:szCs w:val="20"/>
          <w:lang w:val="fr-CA" w:eastAsia="en-CA"/>
        </w:rPr>
        <w:tab/>
      </w:r>
      <w:r w:rsidRPr="008C1622">
        <w:rPr>
          <w:rFonts w:eastAsia="Times New Roman" w:cs="Times New Roman"/>
          <w:i/>
          <w:sz w:val="20"/>
          <w:szCs w:val="20"/>
          <w:lang w:val="fr-CA" w:eastAsia="en-CA"/>
        </w:rPr>
        <w:t>Arrêt</w:t>
      </w:r>
      <w:r w:rsidRPr="008C1622">
        <w:rPr>
          <w:rFonts w:eastAsia="Times New Roman" w:cs="Times New Roman"/>
          <w:sz w:val="20"/>
          <w:szCs w:val="20"/>
          <w:lang w:val="fr-CA" w:eastAsia="en-CA"/>
        </w:rPr>
        <w:t xml:space="preserve"> (la juge Abella est dissidente) : Le pourvoi est rejeté.</w:t>
      </w:r>
    </w:p>
    <w:p w:rsidR="008C1622" w:rsidRPr="00E85E8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i/>
          <w:sz w:val="20"/>
          <w:szCs w:val="20"/>
          <w:lang w:val="fr-CA" w:eastAsia="en-CA"/>
        </w:rPr>
        <w:tab/>
        <w:t>La</w:t>
      </w:r>
      <w:r w:rsidRPr="008C1622">
        <w:rPr>
          <w:rFonts w:eastAsia="Times New Roman" w:cs="Times New Roman"/>
          <w:sz w:val="20"/>
          <w:szCs w:val="20"/>
          <w:lang w:val="fr-CA" w:eastAsia="en-CA"/>
        </w:rPr>
        <w:t xml:space="preserve"> juge en chef </w:t>
      </w:r>
      <w:r w:rsidRPr="00E85E82">
        <w:rPr>
          <w:rFonts w:cs="Times New Roman"/>
          <w:sz w:val="20"/>
          <w:szCs w:val="20"/>
          <w:lang w:val="fr-CA"/>
        </w:rPr>
        <w:t xml:space="preserve">McLachlin et les juges Cromwell, </w:t>
      </w:r>
      <w:r w:rsidRPr="00E85E82">
        <w:rPr>
          <w:rFonts w:cs="Times New Roman"/>
          <w:b/>
          <w:sz w:val="20"/>
          <w:szCs w:val="20"/>
          <w:lang w:val="fr-CA"/>
        </w:rPr>
        <w:t>Moldaver</w:t>
      </w:r>
      <w:r w:rsidRPr="00E85E82">
        <w:rPr>
          <w:rFonts w:cs="Times New Roman"/>
          <w:sz w:val="20"/>
          <w:szCs w:val="20"/>
          <w:lang w:val="fr-CA"/>
        </w:rPr>
        <w:t xml:space="preserve">, Wagner, Gascon, Côté et Brown : </w:t>
      </w:r>
      <w:r w:rsidRPr="008C1622">
        <w:rPr>
          <w:rFonts w:eastAsia="Times New Roman" w:cs="Times New Roman"/>
          <w:sz w:val="20"/>
          <w:szCs w:val="20"/>
          <w:lang w:val="fr-CA" w:eastAsia="en-CA"/>
        </w:rPr>
        <w:t xml:space="preserve">Les droits garantis à l’accusé par l’art. 8 de la </w:t>
      </w:r>
      <w:r w:rsidRPr="008C1622">
        <w:rPr>
          <w:rFonts w:eastAsia="Times New Roman" w:cs="Times New Roman"/>
          <w:i/>
          <w:iCs/>
          <w:sz w:val="20"/>
          <w:szCs w:val="20"/>
          <w:lang w:val="fr-CA" w:eastAsia="en-CA"/>
        </w:rPr>
        <w:t xml:space="preserve">Charte </w:t>
      </w:r>
      <w:r w:rsidRPr="008C1622">
        <w:rPr>
          <w:rFonts w:eastAsia="Times New Roman" w:cs="Times New Roman"/>
          <w:sz w:val="20"/>
          <w:szCs w:val="20"/>
          <w:lang w:val="fr-CA" w:eastAsia="en-CA"/>
        </w:rPr>
        <w:t>n’ont pas été violés et les éléments de preuve relatifs à la présence de l’ADN de la plaignante recueillis grâce au prélève</w:t>
      </w:r>
      <w:r w:rsidRPr="00E85E82">
        <w:rPr>
          <w:rFonts w:eastAsia="Times New Roman" w:cs="Times New Roman"/>
          <w:sz w:val="20"/>
          <w:szCs w:val="20"/>
          <w:lang w:val="fr-CA" w:eastAsia="en-CA"/>
        </w:rPr>
        <w:t>ment ont été admis à bon droit.</w:t>
      </w:r>
    </w:p>
    <w:p w:rsidR="008C1622" w:rsidRPr="008C1622" w:rsidRDefault="008C1622" w:rsidP="008C1622">
      <w:pPr>
        <w:tabs>
          <w:tab w:val="left" w:pos="1168"/>
        </w:tabs>
        <w:jc w:val="both"/>
        <w:rPr>
          <w:rFonts w:eastAsia="Times New Roman" w:cs="Times New Roman"/>
          <w:sz w:val="20"/>
          <w:szCs w:val="20"/>
          <w:lang w:val="fr-CA" w:eastAsia="en-CA"/>
        </w:rPr>
      </w:pPr>
    </w:p>
    <w:p w:rsidR="008C1622" w:rsidRPr="00E85E8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sz w:val="20"/>
          <w:szCs w:val="20"/>
          <w:lang w:val="fr-CA" w:eastAsia="en-CA"/>
        </w:rPr>
        <w:tab/>
        <w:t xml:space="preserve">Pour ne pas être abusive et, par conséquent, être conforme à l’art. 8 de la </w:t>
      </w:r>
      <w:r w:rsidRPr="008C1622">
        <w:rPr>
          <w:rFonts w:eastAsia="Times New Roman" w:cs="Times New Roman"/>
          <w:i/>
          <w:sz w:val="20"/>
          <w:szCs w:val="20"/>
          <w:lang w:val="fr-CA" w:eastAsia="en-CA"/>
        </w:rPr>
        <w:t>Charte</w:t>
      </w:r>
      <w:r w:rsidRPr="008C1622">
        <w:rPr>
          <w:rFonts w:eastAsia="Times New Roman" w:cs="Times New Roman"/>
          <w:sz w:val="20"/>
          <w:szCs w:val="20"/>
          <w:lang w:val="fr-CA" w:eastAsia="en-CA"/>
        </w:rPr>
        <w:t xml:space="preserve">, une fouille doit respecter trois exigences : (1) la fouille doit être autorisée par la loi, (2) la loi l’autorisant doit n’avoir rien d’abusif et (3) la fouille ne doit pas être effectuée d’une manière abusive. Pour décider si le pouvoir de fouille accessoire à l’arrestation reconnu par la </w:t>
      </w:r>
      <w:proofErr w:type="spellStart"/>
      <w:r w:rsidRPr="008C1622">
        <w:rPr>
          <w:rFonts w:eastAsia="Times New Roman" w:cs="Times New Roman"/>
          <w:sz w:val="20"/>
          <w:szCs w:val="20"/>
          <w:lang w:val="fr-CA" w:eastAsia="en-CA"/>
        </w:rPr>
        <w:t>common</w:t>
      </w:r>
      <w:proofErr w:type="spellEnd"/>
      <w:r w:rsidRPr="008C1622">
        <w:rPr>
          <w:rFonts w:eastAsia="Times New Roman" w:cs="Times New Roman"/>
          <w:sz w:val="20"/>
          <w:szCs w:val="20"/>
          <w:lang w:val="fr-CA" w:eastAsia="en-CA"/>
        </w:rPr>
        <w:t xml:space="preserve"> </w:t>
      </w:r>
      <w:proofErr w:type="spellStart"/>
      <w:r w:rsidRPr="008C1622">
        <w:rPr>
          <w:rFonts w:eastAsia="Times New Roman" w:cs="Times New Roman"/>
          <w:sz w:val="20"/>
          <w:szCs w:val="20"/>
          <w:lang w:val="fr-CA" w:eastAsia="en-CA"/>
        </w:rPr>
        <w:t>law</w:t>
      </w:r>
      <w:proofErr w:type="spellEnd"/>
      <w:r w:rsidRPr="008C1622">
        <w:rPr>
          <w:rFonts w:eastAsia="Times New Roman" w:cs="Times New Roman"/>
          <w:sz w:val="20"/>
          <w:szCs w:val="20"/>
          <w:lang w:val="fr-CA" w:eastAsia="en-CA"/>
        </w:rPr>
        <w:t xml:space="preserve"> peut raisonnablement autoriser un prélèvement par écouvillonnage du pénis, il faut déterminer si un juste équilibre peut être établi entre, d’une part, les intérêts de l’accusé en matière de respect de sa vie privée et, d’autre part, les objectifs valables en matière d’application de la loi. Dans certains cas, les intérêts de l’accusé au respect de la vie privée seront si élevés qu’ils seront pratiquement inviolables. Le pouvoir de </w:t>
      </w:r>
      <w:proofErr w:type="spellStart"/>
      <w:r w:rsidRPr="008C1622">
        <w:rPr>
          <w:rFonts w:eastAsia="Times New Roman" w:cs="Times New Roman"/>
          <w:sz w:val="20"/>
          <w:szCs w:val="20"/>
          <w:lang w:val="fr-CA" w:eastAsia="en-CA"/>
        </w:rPr>
        <w:t>common</w:t>
      </w:r>
      <w:proofErr w:type="spellEnd"/>
      <w:r w:rsidRPr="008C1622">
        <w:rPr>
          <w:rFonts w:eastAsia="Times New Roman" w:cs="Times New Roman"/>
          <w:sz w:val="20"/>
          <w:szCs w:val="20"/>
          <w:lang w:val="fr-CA" w:eastAsia="en-CA"/>
        </w:rPr>
        <w:t xml:space="preserve"> </w:t>
      </w:r>
      <w:proofErr w:type="spellStart"/>
      <w:r w:rsidRPr="008C1622">
        <w:rPr>
          <w:rFonts w:eastAsia="Times New Roman" w:cs="Times New Roman"/>
          <w:sz w:val="20"/>
          <w:szCs w:val="20"/>
          <w:lang w:val="fr-CA" w:eastAsia="en-CA"/>
        </w:rPr>
        <w:t>law</w:t>
      </w:r>
      <w:proofErr w:type="spellEnd"/>
      <w:r w:rsidRPr="008C1622">
        <w:rPr>
          <w:rFonts w:eastAsia="Times New Roman" w:cs="Times New Roman"/>
          <w:sz w:val="20"/>
          <w:szCs w:val="20"/>
          <w:lang w:val="fr-CA" w:eastAsia="en-CA"/>
        </w:rPr>
        <w:t xml:space="preserve"> de procéder à une fouille accessoire à l’arrestation doit alors céder le pas à ces intérêts, et une fouille ne sera permise que dans les cas suivants : soit l’accusé y consent, soit un mandat est obtenu, soit peut</w:t>
      </w:r>
      <w:r w:rsidRPr="008C1622">
        <w:rPr>
          <w:rFonts w:eastAsia="Times New Roman" w:cs="Times New Roman"/>
          <w:sz w:val="20"/>
          <w:szCs w:val="20"/>
          <w:lang w:val="fr-CA" w:eastAsia="en-CA"/>
        </w:rPr>
        <w:noBreakHyphen/>
        <w:t xml:space="preserve">être en présence d’une situation d’urgence. Dans d’autres cas, bien qu’ils puissent être importants, les intérêts de l’accusé au respect de sa vie privée ne seront pas élevés au point d’empêcher la police d’exercer son pouvoir de fouille accessoire à l’arrestation. En pareilles situations, le cadre général actuel du pouvoir de </w:t>
      </w:r>
      <w:proofErr w:type="spellStart"/>
      <w:r w:rsidRPr="008C1622">
        <w:rPr>
          <w:rFonts w:eastAsia="Times New Roman" w:cs="Times New Roman"/>
          <w:sz w:val="20"/>
          <w:szCs w:val="20"/>
          <w:lang w:val="fr-CA" w:eastAsia="en-CA"/>
        </w:rPr>
        <w:t>common</w:t>
      </w:r>
      <w:proofErr w:type="spellEnd"/>
      <w:r w:rsidRPr="008C1622">
        <w:rPr>
          <w:rFonts w:eastAsia="Times New Roman" w:cs="Times New Roman"/>
          <w:sz w:val="20"/>
          <w:szCs w:val="20"/>
          <w:lang w:val="fr-CA" w:eastAsia="en-CA"/>
        </w:rPr>
        <w:t> </w:t>
      </w:r>
      <w:proofErr w:type="spellStart"/>
      <w:r w:rsidRPr="008C1622">
        <w:rPr>
          <w:rFonts w:eastAsia="Times New Roman" w:cs="Times New Roman"/>
          <w:sz w:val="20"/>
          <w:szCs w:val="20"/>
          <w:lang w:val="fr-CA" w:eastAsia="en-CA"/>
        </w:rPr>
        <w:t>law</w:t>
      </w:r>
      <w:proofErr w:type="spellEnd"/>
      <w:r w:rsidRPr="008C1622">
        <w:rPr>
          <w:rFonts w:eastAsia="Times New Roman" w:cs="Times New Roman"/>
          <w:sz w:val="20"/>
          <w:szCs w:val="20"/>
          <w:lang w:val="fr-CA" w:eastAsia="en-CA"/>
        </w:rPr>
        <w:t xml:space="preserve"> de procéder à une fouille accessoire à l’arrestation doit plutôt être adapté pour faire en sorte que la fouille soit effectuée conformément à la </w:t>
      </w:r>
      <w:r w:rsidRPr="008C1622">
        <w:rPr>
          <w:rFonts w:eastAsia="Times New Roman" w:cs="Times New Roman"/>
          <w:i/>
          <w:iCs/>
          <w:sz w:val="20"/>
          <w:szCs w:val="20"/>
          <w:lang w:val="fr-CA" w:eastAsia="en-CA"/>
        </w:rPr>
        <w:t>Charte</w:t>
      </w:r>
      <w:r w:rsidRPr="008C1622">
        <w:rPr>
          <w:rFonts w:eastAsia="Times New Roman" w:cs="Times New Roman"/>
          <w:sz w:val="20"/>
          <w:szCs w:val="20"/>
          <w:lang w:val="fr-CA" w:eastAsia="en-CA"/>
        </w:rPr>
        <w:t>. La présente affaire entre dans la seconde catégorie de cas.</w:t>
      </w:r>
    </w:p>
    <w:p w:rsidR="008C1622" w:rsidRPr="008C1622" w:rsidRDefault="008C1622" w:rsidP="008C1622">
      <w:pPr>
        <w:tabs>
          <w:tab w:val="left" w:pos="1168"/>
        </w:tabs>
        <w:jc w:val="both"/>
        <w:rPr>
          <w:rFonts w:eastAsia="Times New Roman" w:cs="Times New Roman"/>
          <w:sz w:val="20"/>
          <w:szCs w:val="20"/>
          <w:lang w:val="fr-CA" w:eastAsia="en-CA"/>
        </w:rPr>
      </w:pPr>
    </w:p>
    <w:p w:rsidR="008C1622" w:rsidRPr="00E85E8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sz w:val="20"/>
          <w:szCs w:val="20"/>
          <w:lang w:val="fr-CA" w:eastAsia="en-CA"/>
        </w:rPr>
        <w:tab/>
        <w:t xml:space="preserve">Le prélèvement par écouvillonnage du pénis ne relève pas du champ d’application de l’arrêt </w:t>
      </w:r>
      <w:r w:rsidRPr="008C1622">
        <w:rPr>
          <w:rFonts w:eastAsia="Times New Roman" w:cs="Times New Roman"/>
          <w:i/>
          <w:sz w:val="20"/>
          <w:szCs w:val="20"/>
          <w:lang w:val="fr-CA" w:eastAsia="en-CA"/>
        </w:rPr>
        <w:t>R. c.</w:t>
      </w:r>
      <w:r w:rsidRPr="008C1622">
        <w:rPr>
          <w:rFonts w:eastAsia="Times New Roman" w:cs="Times New Roman"/>
          <w:sz w:val="20"/>
          <w:szCs w:val="20"/>
          <w:lang w:val="fr-CA" w:eastAsia="en-CA"/>
        </w:rPr>
        <w:t xml:space="preserve"> </w:t>
      </w:r>
      <w:proofErr w:type="spellStart"/>
      <w:r w:rsidRPr="008C1622">
        <w:rPr>
          <w:rFonts w:eastAsia="Times New Roman" w:cs="Times New Roman"/>
          <w:i/>
          <w:sz w:val="20"/>
          <w:szCs w:val="20"/>
          <w:lang w:val="fr-CA" w:eastAsia="en-CA"/>
        </w:rPr>
        <w:t>Stillman</w:t>
      </w:r>
      <w:proofErr w:type="spellEnd"/>
      <w:r w:rsidRPr="008C1622">
        <w:rPr>
          <w:rFonts w:eastAsia="Times New Roman" w:cs="Times New Roman"/>
          <w:sz w:val="20"/>
          <w:szCs w:val="20"/>
          <w:lang w:val="fr-CA" w:eastAsia="en-CA"/>
        </w:rPr>
        <w:t xml:space="preserve">, [1997] 1 R.C.S. 607. Premièrement, ce prélèvement ne vise pas à saisir les substances corporelles de l’accusé, mais plutôt celles du plaignant. Les accusés n’ont pas un intérêt important au respect de leur vie privée à l’égard de l’ADN des plaignants. Deuxièmement, le prélèvement par écouvillonnage du pénis est à </w:t>
      </w:r>
      <w:proofErr w:type="gramStart"/>
      <w:r w:rsidRPr="008C1622">
        <w:rPr>
          <w:rFonts w:eastAsia="Times New Roman" w:cs="Times New Roman"/>
          <w:sz w:val="20"/>
          <w:szCs w:val="20"/>
          <w:lang w:val="fr-CA" w:eastAsia="en-CA"/>
        </w:rPr>
        <w:t>certains égards moins envahissant</w:t>
      </w:r>
      <w:proofErr w:type="gramEnd"/>
      <w:r w:rsidRPr="008C1622">
        <w:rPr>
          <w:rFonts w:eastAsia="Times New Roman" w:cs="Times New Roman"/>
          <w:sz w:val="20"/>
          <w:szCs w:val="20"/>
          <w:lang w:val="fr-CA" w:eastAsia="en-CA"/>
        </w:rPr>
        <w:t xml:space="preserve"> que la prise d’empreintes dentaires et que le prélèvement de force de parties du corps d’une personne. Troisièmement, contrairement aux substances corporelles ou aux empreintes de l’accusé, la preuve démontrant la présence de l’ADN du plaignant se dégrade avec le temps. En résumé, le prélèvement par écouvillonnage du pénis met en cause des intérêts en matière de vie privée et des objectifs d’application de la loi qui diffèrent de ceux qui sont en jeu dans les saisies d’échantillons corpore</w:t>
      </w:r>
      <w:r w:rsidRPr="00E85E82">
        <w:rPr>
          <w:rFonts w:eastAsia="Times New Roman" w:cs="Times New Roman"/>
          <w:sz w:val="20"/>
          <w:szCs w:val="20"/>
          <w:lang w:val="fr-CA" w:eastAsia="en-CA"/>
        </w:rPr>
        <w:t>ls et d’empreintes de l’accusé.</w:t>
      </w:r>
    </w:p>
    <w:p w:rsidR="008C1622" w:rsidRPr="008C1622" w:rsidRDefault="008C1622" w:rsidP="008C1622">
      <w:pPr>
        <w:tabs>
          <w:tab w:val="left" w:pos="1168"/>
        </w:tabs>
        <w:jc w:val="both"/>
        <w:rPr>
          <w:rFonts w:eastAsia="Times New Roman" w:cs="Times New Roman"/>
          <w:sz w:val="20"/>
          <w:szCs w:val="20"/>
          <w:lang w:val="fr-CA" w:eastAsia="en-CA"/>
        </w:rPr>
      </w:pPr>
    </w:p>
    <w:p w:rsidR="008C1622" w:rsidRPr="00E85E8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sz w:val="20"/>
          <w:szCs w:val="20"/>
          <w:lang w:val="fr-CA" w:eastAsia="en-CA"/>
        </w:rPr>
        <w:tab/>
        <w:t xml:space="preserve">Le pouvoir de </w:t>
      </w:r>
      <w:proofErr w:type="spellStart"/>
      <w:r w:rsidRPr="008C1622">
        <w:rPr>
          <w:rFonts w:eastAsia="Times New Roman" w:cs="Times New Roman"/>
          <w:sz w:val="20"/>
          <w:szCs w:val="20"/>
          <w:lang w:val="fr-CA" w:eastAsia="en-CA"/>
        </w:rPr>
        <w:t>common</w:t>
      </w:r>
      <w:proofErr w:type="spellEnd"/>
      <w:r w:rsidRPr="008C1622">
        <w:rPr>
          <w:rFonts w:eastAsia="Times New Roman" w:cs="Times New Roman"/>
          <w:sz w:val="20"/>
          <w:szCs w:val="20"/>
          <w:lang w:val="fr-CA" w:eastAsia="en-CA"/>
        </w:rPr>
        <w:t xml:space="preserve"> </w:t>
      </w:r>
      <w:proofErr w:type="spellStart"/>
      <w:r w:rsidRPr="008C1622">
        <w:rPr>
          <w:rFonts w:eastAsia="Times New Roman" w:cs="Times New Roman"/>
          <w:sz w:val="20"/>
          <w:szCs w:val="20"/>
          <w:lang w:val="fr-CA" w:eastAsia="en-CA"/>
        </w:rPr>
        <w:t>law</w:t>
      </w:r>
      <w:proofErr w:type="spellEnd"/>
      <w:r w:rsidRPr="008C1622">
        <w:rPr>
          <w:rFonts w:eastAsia="Times New Roman" w:cs="Times New Roman"/>
          <w:sz w:val="20"/>
          <w:szCs w:val="20"/>
          <w:lang w:val="fr-CA" w:eastAsia="en-CA"/>
        </w:rPr>
        <w:t xml:space="preserve"> de procéder à une fouille accessoire à l’arrestation doit être délimité d’une manière compatible avec l’art. 8 de la </w:t>
      </w:r>
      <w:r w:rsidRPr="008C1622">
        <w:rPr>
          <w:rFonts w:eastAsia="Times New Roman" w:cs="Times New Roman"/>
          <w:i/>
          <w:sz w:val="20"/>
          <w:szCs w:val="20"/>
          <w:lang w:val="fr-CA" w:eastAsia="en-CA"/>
        </w:rPr>
        <w:t>Charte</w:t>
      </w:r>
      <w:r w:rsidRPr="008C1622">
        <w:rPr>
          <w:rFonts w:eastAsia="Times New Roman" w:cs="Times New Roman"/>
          <w:sz w:val="20"/>
          <w:szCs w:val="20"/>
          <w:lang w:val="fr-CA" w:eastAsia="en-CA"/>
        </w:rPr>
        <w:t xml:space="preserve">. Contraindre un accusé à se soumettre à un prélèvement par écouvillonnage du pénis constitue indéniablement une atteinte à sa vie privée. Pareil prélèvement peut représenter une expérience humiliante, avilissante et traumatisante. En revanche, il peut permettre de réaliser d’importants objectifs d’application de la loi. Il permet en effet aux policiers de préserver des éléments de preuve importants qui risquent de se dégrader ou d’être détruits. Prouver une agression sexuelle est une tâche notoirement difficile et de tels éléments de preuve sont très fiables. Un prélèvement par écouvillonnage du pénis peut avoir une importance cruciale dans le cas des plaignants incapables de témoigner. Les intérêts en matière de vie privée en jeu en l’espèce sont semblables à ceux en cause dans les fouilles à nu, et ils peuvent être protégés suivant une approche similaire. Comme c’est le cas pour les fouilles à nu, la </w:t>
      </w:r>
      <w:proofErr w:type="spellStart"/>
      <w:r w:rsidRPr="008C1622">
        <w:rPr>
          <w:rFonts w:eastAsia="Times New Roman" w:cs="Times New Roman"/>
          <w:sz w:val="20"/>
          <w:szCs w:val="20"/>
          <w:lang w:val="fr-CA" w:eastAsia="en-CA"/>
        </w:rPr>
        <w:t>common</w:t>
      </w:r>
      <w:proofErr w:type="spellEnd"/>
      <w:r w:rsidRPr="008C1622">
        <w:rPr>
          <w:rFonts w:eastAsia="Times New Roman" w:cs="Times New Roman"/>
          <w:sz w:val="20"/>
          <w:szCs w:val="20"/>
          <w:lang w:val="fr-CA" w:eastAsia="en-CA"/>
        </w:rPr>
        <w:t xml:space="preserve"> </w:t>
      </w:r>
      <w:proofErr w:type="spellStart"/>
      <w:r w:rsidRPr="008C1622">
        <w:rPr>
          <w:rFonts w:eastAsia="Times New Roman" w:cs="Times New Roman"/>
          <w:sz w:val="20"/>
          <w:szCs w:val="20"/>
          <w:lang w:val="fr-CA" w:eastAsia="en-CA"/>
        </w:rPr>
        <w:t>law</w:t>
      </w:r>
      <w:proofErr w:type="spellEnd"/>
      <w:r w:rsidRPr="008C1622">
        <w:rPr>
          <w:rFonts w:eastAsia="Times New Roman" w:cs="Times New Roman"/>
          <w:sz w:val="20"/>
          <w:szCs w:val="20"/>
          <w:lang w:val="fr-CA" w:eastAsia="en-CA"/>
        </w:rPr>
        <w:t xml:space="preserve"> doit fournir un moyen de prévenir les fouilles injustifiées avant qu’elles ne se produisent, ainsi qu’un moyen de s’assurer que, lorsque de telles fouilles ont lieu, elles soient effectuées d’une manière non abusive. La norme des motifs raisonnables et les lignes directrices sur la manière d’effectuer le prélèvement confèrent ces deux protections. Ces deux modifications au pouvoir de </w:t>
      </w:r>
      <w:proofErr w:type="spellStart"/>
      <w:r w:rsidRPr="008C1622">
        <w:rPr>
          <w:rFonts w:eastAsia="Times New Roman" w:cs="Times New Roman"/>
          <w:sz w:val="20"/>
          <w:szCs w:val="20"/>
          <w:lang w:val="fr-CA" w:eastAsia="en-CA"/>
        </w:rPr>
        <w:t>common</w:t>
      </w:r>
      <w:proofErr w:type="spellEnd"/>
      <w:r w:rsidRPr="008C1622">
        <w:rPr>
          <w:rFonts w:eastAsia="Times New Roman" w:cs="Times New Roman"/>
          <w:sz w:val="20"/>
          <w:szCs w:val="20"/>
          <w:lang w:val="fr-CA" w:eastAsia="en-CA"/>
        </w:rPr>
        <w:t xml:space="preserve"> </w:t>
      </w:r>
      <w:proofErr w:type="spellStart"/>
      <w:r w:rsidRPr="008C1622">
        <w:rPr>
          <w:rFonts w:eastAsia="Times New Roman" w:cs="Times New Roman"/>
          <w:sz w:val="20"/>
          <w:szCs w:val="20"/>
          <w:lang w:val="fr-CA" w:eastAsia="en-CA"/>
        </w:rPr>
        <w:t>law</w:t>
      </w:r>
      <w:proofErr w:type="spellEnd"/>
      <w:r w:rsidRPr="008C1622">
        <w:rPr>
          <w:rFonts w:eastAsia="Times New Roman" w:cs="Times New Roman"/>
          <w:sz w:val="20"/>
          <w:szCs w:val="20"/>
          <w:lang w:val="fr-CA" w:eastAsia="en-CA"/>
        </w:rPr>
        <w:t xml:space="preserve"> de procéder à une fouille accessoire à l’arrestation font en sorte que les prélèvements de ce type sont conformes à la </w:t>
      </w:r>
      <w:r w:rsidRPr="008C1622">
        <w:rPr>
          <w:rFonts w:eastAsia="Times New Roman" w:cs="Times New Roman"/>
          <w:i/>
          <w:sz w:val="20"/>
          <w:szCs w:val="20"/>
          <w:lang w:val="fr-CA" w:eastAsia="en-CA"/>
        </w:rPr>
        <w:t>Charte</w:t>
      </w:r>
      <w:r w:rsidRPr="008C1622">
        <w:rPr>
          <w:rFonts w:eastAsia="Times New Roman" w:cs="Times New Roman"/>
          <w:sz w:val="20"/>
          <w:szCs w:val="20"/>
          <w:lang w:val="fr-CA" w:eastAsia="en-CA"/>
        </w:rPr>
        <w:t>.</w:t>
      </w:r>
    </w:p>
    <w:p w:rsidR="008C1622" w:rsidRPr="008C1622" w:rsidRDefault="008C1622" w:rsidP="008C1622">
      <w:pPr>
        <w:tabs>
          <w:tab w:val="left" w:pos="1168"/>
        </w:tabs>
        <w:jc w:val="both"/>
        <w:rPr>
          <w:rFonts w:eastAsia="Times New Roman" w:cs="Times New Roman"/>
          <w:sz w:val="20"/>
          <w:szCs w:val="20"/>
          <w:lang w:val="fr-CA" w:eastAsia="en-CA"/>
        </w:rPr>
      </w:pPr>
    </w:p>
    <w:p w:rsidR="008C1622" w:rsidRPr="00E85E8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sz w:val="20"/>
          <w:szCs w:val="20"/>
          <w:lang w:val="fr-CA" w:eastAsia="en-CA"/>
        </w:rPr>
        <w:tab/>
        <w:t>Il est loisible aux policiers de procéder à un prélèvement par écouvillonnage du pénis accessoirement à une arrestation s’ils ont des motifs raisonnables de croire que cette fouille permettra de découvrir et de préserver une preuve de l’infraction pour laquelle l’accusé a été arrêté. La norme des motifs raisonnables permettra de prévenir les fouilles injustifiées avant qu’elles ne se produisent et assujettira les policiers à un degré de justification plus élevé avant qu’ils puissent procéder à un prélèvement par écouvillonnage du pénis. La réponse à la question de savoir si on a établi l’existence de motifs raisonnables variera selon les faits de chaque affaire. Les facteurs pertinents sont notamment le moment choisi pour procéder à l’arrestation eu égard à l’infraction reprochée, la nature des allégations et la question de savoir si des éléments de preuve indiquent que la substance recherchée a déjà été détruite. Le risque de destruction ou de dégradation de l’ADN du plaignant constituera toujours une préoccupation dans un tel contexte.</w:t>
      </w:r>
    </w:p>
    <w:p w:rsidR="008C1622" w:rsidRPr="008C1622" w:rsidRDefault="008C1622" w:rsidP="008C1622">
      <w:pPr>
        <w:tabs>
          <w:tab w:val="left" w:pos="1168"/>
        </w:tabs>
        <w:jc w:val="both"/>
        <w:rPr>
          <w:rFonts w:eastAsia="Times New Roman" w:cs="Times New Roman"/>
          <w:sz w:val="20"/>
          <w:szCs w:val="20"/>
          <w:u w:val="single"/>
          <w:lang w:val="fr-CA" w:eastAsia="en-CA"/>
        </w:rPr>
      </w:pPr>
    </w:p>
    <w:p w:rsidR="008C1622" w:rsidRPr="00E85E8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sz w:val="20"/>
          <w:szCs w:val="20"/>
          <w:lang w:val="fr-CA" w:eastAsia="en-CA"/>
        </w:rPr>
        <w:tab/>
        <w:t>Le prélèvement par écouvillonnage du pénis doit également être effectué d’une manière non abusive. Les facteurs suivants aideront les policiers à procéder d’une manière non abusive à un tel prélèvement accessoirement à une arrestation. Le prélèvement devrait, en règle générale, être effectué au poste de police. Il devrait être effectué d’une façon qui protège la santé et la sécurité de toutes les personnes en jeu. Il devrait être autorisé par un agent de police agissant en qualité d’officier supérieur. L’accusé devrait, peu de temps avant le prélèvement, être informé de la nature de la procédure applicable, du but du prélèvement et du pouvoir autorisant les policiers à l’exiger. L’accusé devrait avoir la possibilité d’enlever ses vêtements et d’effectuer le prélèvement lui</w:t>
      </w:r>
      <w:r w:rsidRPr="008C1622">
        <w:rPr>
          <w:rFonts w:eastAsia="Times New Roman" w:cs="Times New Roman"/>
          <w:sz w:val="20"/>
          <w:szCs w:val="20"/>
          <w:lang w:val="fr-CA" w:eastAsia="en-CA"/>
        </w:rPr>
        <w:noBreakHyphen/>
        <w:t>même, ou le prélèvement devrait être effectué ou supervisé par un agent ou un professionnel de la santé qualifié, en ne faisant usage que de la force minimale nécessaire. Les agents chargés du prélèvement devraient être du même sexe que l’accusé, à moins que les circonstances ne le permettent absolument pas. Le nombre de policiers participant au prélèvement devrait se limiter à ce qui est raisonnablement nécessaire dans les circonstances. Le prélèvement devrait être effectué dans un endroit privé. Il devrait être effectué le plus rapidement possible et de telle manière que la personne ne soit jamais complètement nue. Un procès</w:t>
      </w:r>
      <w:r w:rsidRPr="008C1622">
        <w:rPr>
          <w:rFonts w:eastAsia="Times New Roman" w:cs="Times New Roman"/>
          <w:sz w:val="20"/>
          <w:szCs w:val="20"/>
          <w:lang w:val="fr-CA" w:eastAsia="en-CA"/>
        </w:rPr>
        <w:noBreakHyphen/>
        <w:t>verbal faisant état des motifs et des modalités d’exécution du prélèvement devrait être dressé.</w:t>
      </w:r>
    </w:p>
    <w:p w:rsidR="008C1622" w:rsidRPr="008C1622" w:rsidRDefault="008C1622" w:rsidP="008C1622">
      <w:pPr>
        <w:tabs>
          <w:tab w:val="left" w:pos="1168"/>
        </w:tabs>
        <w:jc w:val="both"/>
        <w:rPr>
          <w:rFonts w:eastAsia="Times New Roman" w:cs="Times New Roman"/>
          <w:sz w:val="20"/>
          <w:szCs w:val="20"/>
          <w:lang w:val="fr-CA" w:eastAsia="en-CA"/>
        </w:rPr>
      </w:pPr>
    </w:p>
    <w:p w:rsidR="008C1622" w:rsidRPr="00E85E8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sz w:val="20"/>
          <w:szCs w:val="20"/>
          <w:lang w:val="fr-CA" w:eastAsia="en-CA"/>
        </w:rPr>
        <w:tab/>
        <w:t xml:space="preserve">À la lumière de ces exigences, le prélèvement par écouvillonnage du pénis en l’espèce n’a pas porté atteinte aux droits garantis à l’accusé par l’art. 8 de la </w:t>
      </w:r>
      <w:r w:rsidRPr="008C1622">
        <w:rPr>
          <w:rFonts w:eastAsia="Times New Roman" w:cs="Times New Roman"/>
          <w:i/>
          <w:sz w:val="20"/>
          <w:szCs w:val="20"/>
          <w:lang w:val="fr-CA" w:eastAsia="en-CA"/>
        </w:rPr>
        <w:t>Charte</w:t>
      </w:r>
      <w:r w:rsidRPr="008C1622">
        <w:rPr>
          <w:rFonts w:eastAsia="Times New Roman" w:cs="Times New Roman"/>
          <w:sz w:val="20"/>
          <w:szCs w:val="20"/>
          <w:lang w:val="fr-CA" w:eastAsia="en-CA"/>
        </w:rPr>
        <w:t>. L’accusé a été validement arrêté. Le prélèvement visait à préserver des éléments de preuve relatifs à l’agression sexuelle. Les policiers possédaient des motifs raisonnables de croire qu’il y avait eu transfert de l’ADN de la plaignante sur le pénis de l’accusé durant l’agression, et qu’il s’y trouverait encore. Le prélèvement a été effectué de manière non abusive. Les policiers ont été sensibles au besoin de préserver la vie privée et la dignité de l’accusé. L’accusé a été informé à l’avance de la procédure employée pour obtenir le prélèvement ainsi que de l’objectif de celui</w:t>
      </w:r>
      <w:r w:rsidRPr="008C1622">
        <w:rPr>
          <w:rFonts w:eastAsia="Times New Roman" w:cs="Times New Roman"/>
          <w:sz w:val="20"/>
          <w:szCs w:val="20"/>
          <w:lang w:val="fr-CA" w:eastAsia="en-CA"/>
        </w:rPr>
        <w:noBreakHyphen/>
        <w:t>ci. Le prélèvement lui</w:t>
      </w:r>
      <w:r w:rsidRPr="008C1622">
        <w:rPr>
          <w:rFonts w:eastAsia="Times New Roman" w:cs="Times New Roman"/>
          <w:sz w:val="20"/>
          <w:szCs w:val="20"/>
          <w:lang w:val="fr-CA" w:eastAsia="en-CA"/>
        </w:rPr>
        <w:noBreakHyphen/>
        <w:t>même s’est déroulé rapidement, sans difficulté et en privé. Il a duré tout au plus deux minutes. L’accusé l’a effectué lui</w:t>
      </w:r>
      <w:r w:rsidRPr="008C1622">
        <w:rPr>
          <w:rFonts w:eastAsia="Times New Roman" w:cs="Times New Roman"/>
          <w:sz w:val="20"/>
          <w:szCs w:val="20"/>
          <w:lang w:val="fr-CA" w:eastAsia="en-CA"/>
        </w:rPr>
        <w:noBreakHyphen/>
        <w:t>même. Il n’y a eu aucun contact physique entre les policiers et l’accusé. Les policiers ont pris des notes détaillées au sujet des motifs du prélèvement et du processus suivi pour l’obtenir. Le prélèvement n’a pas violé de manière fondamentale la dignité humaine de l’accusé.</w:t>
      </w:r>
    </w:p>
    <w:p w:rsidR="008C1622" w:rsidRPr="008C1622" w:rsidRDefault="008C1622" w:rsidP="008C1622">
      <w:pPr>
        <w:tabs>
          <w:tab w:val="left" w:pos="1168"/>
        </w:tabs>
        <w:jc w:val="both"/>
        <w:rPr>
          <w:rFonts w:eastAsia="Times New Roman" w:cs="Times New Roman"/>
          <w:sz w:val="20"/>
          <w:szCs w:val="20"/>
          <w:lang w:val="fr-CA" w:eastAsia="en-CA"/>
        </w:rPr>
      </w:pPr>
    </w:p>
    <w:p w:rsidR="008C1622" w:rsidRPr="00E85E8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sz w:val="20"/>
          <w:szCs w:val="20"/>
          <w:lang w:val="fr-CA" w:eastAsia="en-CA"/>
        </w:rPr>
        <w:tab/>
      </w:r>
      <w:r w:rsidRPr="008C1622">
        <w:rPr>
          <w:rFonts w:eastAsia="Times New Roman" w:cs="Times New Roman"/>
          <w:i/>
          <w:sz w:val="20"/>
          <w:szCs w:val="20"/>
          <w:lang w:val="fr-CA" w:eastAsia="en-CA"/>
        </w:rPr>
        <w:t xml:space="preserve">La </w:t>
      </w:r>
      <w:r w:rsidRPr="008C1622">
        <w:rPr>
          <w:rFonts w:eastAsia="Times New Roman" w:cs="Times New Roman"/>
          <w:sz w:val="20"/>
          <w:szCs w:val="20"/>
          <w:lang w:val="fr-CA" w:eastAsia="en-CA"/>
        </w:rPr>
        <w:t xml:space="preserve">juge </w:t>
      </w:r>
      <w:r w:rsidRPr="008C1622">
        <w:rPr>
          <w:rFonts w:eastAsia="Times New Roman" w:cs="Times New Roman"/>
          <w:b/>
          <w:sz w:val="20"/>
          <w:szCs w:val="20"/>
          <w:lang w:val="fr-CA" w:eastAsia="en-CA"/>
        </w:rPr>
        <w:t>Karakatsanis</w:t>
      </w:r>
      <w:r w:rsidRPr="008C1622">
        <w:rPr>
          <w:rFonts w:eastAsia="Times New Roman" w:cs="Times New Roman"/>
          <w:sz w:val="20"/>
          <w:szCs w:val="20"/>
          <w:lang w:val="fr-CA" w:eastAsia="en-CA"/>
        </w:rPr>
        <w:t xml:space="preserve"> : La façon dont nous traitons les personnes soupçonnées d’infractions criminelles graves en dit long sur les valeurs de notre société libre et démocratique. Étant donné l’impact profond qu’un prélèvement par écouvillonnage génital peut avoir sur la vie privée et la dignité d’une personne, le pouvoir de fouille accessoire à l’arrestation reconnu par la </w:t>
      </w:r>
      <w:proofErr w:type="spellStart"/>
      <w:r w:rsidRPr="008C1622">
        <w:rPr>
          <w:rFonts w:eastAsia="Times New Roman" w:cs="Times New Roman"/>
          <w:sz w:val="20"/>
          <w:szCs w:val="20"/>
          <w:lang w:val="fr-CA" w:eastAsia="en-CA"/>
        </w:rPr>
        <w:t>common</w:t>
      </w:r>
      <w:proofErr w:type="spellEnd"/>
      <w:r w:rsidRPr="008C1622">
        <w:rPr>
          <w:rFonts w:eastAsia="Times New Roman" w:cs="Times New Roman"/>
          <w:sz w:val="20"/>
          <w:szCs w:val="20"/>
          <w:lang w:val="fr-CA" w:eastAsia="en-CA"/>
        </w:rPr>
        <w:t xml:space="preserve"> </w:t>
      </w:r>
      <w:proofErr w:type="spellStart"/>
      <w:r w:rsidRPr="008C1622">
        <w:rPr>
          <w:rFonts w:eastAsia="Times New Roman" w:cs="Times New Roman"/>
          <w:sz w:val="20"/>
          <w:szCs w:val="20"/>
          <w:lang w:val="fr-CA" w:eastAsia="en-CA"/>
        </w:rPr>
        <w:t>law</w:t>
      </w:r>
      <w:proofErr w:type="spellEnd"/>
      <w:r w:rsidRPr="008C1622">
        <w:rPr>
          <w:rFonts w:eastAsia="Times New Roman" w:cs="Times New Roman"/>
          <w:sz w:val="20"/>
          <w:szCs w:val="20"/>
          <w:lang w:val="fr-CA" w:eastAsia="en-CA"/>
        </w:rPr>
        <w:t xml:space="preserve"> n’autorise pas les policiers à prélever des échantillons au moyen de cette procédure. Comme le prélèvement effectué sur le pénis de l’accusé n’était pas autorisé par une règle de droit, il était abusif et contraire à l’art. 8 de la </w:t>
      </w:r>
      <w:r w:rsidRPr="008C1622">
        <w:rPr>
          <w:rFonts w:eastAsia="Times New Roman" w:cs="Times New Roman"/>
          <w:i/>
          <w:sz w:val="20"/>
          <w:szCs w:val="20"/>
          <w:lang w:val="fr-CA" w:eastAsia="en-CA"/>
        </w:rPr>
        <w:t>Charte</w:t>
      </w:r>
      <w:r w:rsidRPr="008C1622">
        <w:rPr>
          <w:rFonts w:eastAsia="Times New Roman" w:cs="Times New Roman"/>
          <w:sz w:val="20"/>
          <w:szCs w:val="20"/>
          <w:lang w:val="fr-CA" w:eastAsia="en-CA"/>
        </w:rPr>
        <w:t xml:space="preserve">. Cependant, vu les circonstances exceptionnelles de l’espèce, la preuve obtenue en violation de la </w:t>
      </w:r>
      <w:r w:rsidRPr="008C1622">
        <w:rPr>
          <w:rFonts w:eastAsia="Times New Roman" w:cs="Times New Roman"/>
          <w:i/>
          <w:sz w:val="20"/>
          <w:szCs w:val="20"/>
          <w:lang w:val="fr-CA" w:eastAsia="en-CA"/>
        </w:rPr>
        <w:t>Charte</w:t>
      </w:r>
      <w:r w:rsidRPr="008C1622">
        <w:rPr>
          <w:rFonts w:eastAsia="Times New Roman" w:cs="Times New Roman"/>
          <w:sz w:val="20"/>
          <w:szCs w:val="20"/>
          <w:lang w:val="fr-CA" w:eastAsia="en-CA"/>
        </w:rPr>
        <w:t xml:space="preserve"> pouvait néanmoins être utilisée en vertu du par. 24(2) de la </w:t>
      </w:r>
      <w:r w:rsidRPr="008C1622">
        <w:rPr>
          <w:rFonts w:eastAsia="Times New Roman" w:cs="Times New Roman"/>
          <w:i/>
          <w:sz w:val="20"/>
          <w:szCs w:val="20"/>
          <w:lang w:val="fr-CA" w:eastAsia="en-CA"/>
        </w:rPr>
        <w:t>Charte</w:t>
      </w:r>
      <w:r w:rsidRPr="008C1622">
        <w:rPr>
          <w:rFonts w:eastAsia="Times New Roman" w:cs="Times New Roman"/>
          <w:sz w:val="20"/>
          <w:szCs w:val="20"/>
          <w:lang w:val="fr-CA" w:eastAsia="en-CA"/>
        </w:rPr>
        <w:t>.</w:t>
      </w:r>
    </w:p>
    <w:p w:rsidR="008C1622" w:rsidRPr="008C1622" w:rsidRDefault="008C1622" w:rsidP="008C1622">
      <w:pPr>
        <w:tabs>
          <w:tab w:val="left" w:pos="1168"/>
        </w:tabs>
        <w:jc w:val="both"/>
        <w:rPr>
          <w:rFonts w:eastAsia="Times New Roman" w:cs="Times New Roman"/>
          <w:sz w:val="20"/>
          <w:szCs w:val="20"/>
          <w:lang w:val="fr-CA" w:eastAsia="en-CA"/>
        </w:rPr>
      </w:pPr>
    </w:p>
    <w:p w:rsidR="008C1622" w:rsidRPr="00E85E8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sz w:val="20"/>
          <w:szCs w:val="20"/>
          <w:lang w:val="fr-CA" w:eastAsia="en-CA"/>
        </w:rPr>
        <w:tab/>
        <w:t xml:space="preserve">L’article 8 de la </w:t>
      </w:r>
      <w:r w:rsidRPr="008C1622">
        <w:rPr>
          <w:rFonts w:eastAsia="Times New Roman" w:cs="Times New Roman"/>
          <w:i/>
          <w:sz w:val="20"/>
          <w:szCs w:val="20"/>
          <w:lang w:val="fr-CA" w:eastAsia="en-CA"/>
        </w:rPr>
        <w:t xml:space="preserve">Charte </w:t>
      </w:r>
      <w:r w:rsidRPr="008C1622">
        <w:rPr>
          <w:rFonts w:eastAsia="Times New Roman" w:cs="Times New Roman"/>
          <w:sz w:val="20"/>
          <w:szCs w:val="20"/>
          <w:lang w:val="fr-CA" w:eastAsia="en-CA"/>
        </w:rPr>
        <w:t xml:space="preserve">met en équilibre l’intérêt d’une personne au respect de sa vie privée et celui de l’État à enquêter sur les crimes et à poursuivre leurs auteurs. Le pouvoir de </w:t>
      </w:r>
      <w:proofErr w:type="spellStart"/>
      <w:r w:rsidRPr="008C1622">
        <w:rPr>
          <w:rFonts w:eastAsia="Times New Roman" w:cs="Times New Roman"/>
          <w:sz w:val="20"/>
          <w:szCs w:val="20"/>
          <w:lang w:val="fr-CA" w:eastAsia="en-CA"/>
        </w:rPr>
        <w:t>common</w:t>
      </w:r>
      <w:proofErr w:type="spellEnd"/>
      <w:r w:rsidRPr="008C1622">
        <w:rPr>
          <w:rFonts w:eastAsia="Times New Roman" w:cs="Times New Roman"/>
          <w:sz w:val="20"/>
          <w:szCs w:val="20"/>
          <w:lang w:val="fr-CA" w:eastAsia="en-CA"/>
        </w:rPr>
        <w:t xml:space="preserve"> </w:t>
      </w:r>
      <w:proofErr w:type="spellStart"/>
      <w:r w:rsidRPr="008C1622">
        <w:rPr>
          <w:rFonts w:eastAsia="Times New Roman" w:cs="Times New Roman"/>
          <w:sz w:val="20"/>
          <w:szCs w:val="20"/>
          <w:lang w:val="fr-CA" w:eastAsia="en-CA"/>
        </w:rPr>
        <w:t>law</w:t>
      </w:r>
      <w:proofErr w:type="spellEnd"/>
      <w:r w:rsidRPr="008C1622">
        <w:rPr>
          <w:rFonts w:eastAsia="Times New Roman" w:cs="Times New Roman"/>
          <w:sz w:val="20"/>
          <w:szCs w:val="20"/>
          <w:lang w:val="fr-CA" w:eastAsia="en-CA"/>
        </w:rPr>
        <w:t xml:space="preserve"> de fouiller une personne accessoirement à son arrestation doit évoluer d’une manière compatible avec les principes consacrés par la </w:t>
      </w:r>
      <w:r w:rsidRPr="008C1622">
        <w:rPr>
          <w:rFonts w:eastAsia="Times New Roman" w:cs="Times New Roman"/>
          <w:i/>
          <w:sz w:val="20"/>
          <w:szCs w:val="20"/>
          <w:lang w:val="fr-CA" w:eastAsia="en-CA"/>
        </w:rPr>
        <w:t>Charte</w:t>
      </w:r>
      <w:r w:rsidRPr="008C1622">
        <w:rPr>
          <w:rFonts w:eastAsia="Times New Roman" w:cs="Times New Roman"/>
          <w:sz w:val="20"/>
          <w:szCs w:val="20"/>
          <w:lang w:val="fr-CA" w:eastAsia="en-CA"/>
        </w:rPr>
        <w:t xml:space="preserve">. Certains types de fouilles échappent à l’application du pouvoir de </w:t>
      </w:r>
      <w:proofErr w:type="spellStart"/>
      <w:r w:rsidRPr="008C1622">
        <w:rPr>
          <w:rFonts w:eastAsia="Times New Roman" w:cs="Times New Roman"/>
          <w:sz w:val="20"/>
          <w:szCs w:val="20"/>
          <w:lang w:val="fr-CA" w:eastAsia="en-CA"/>
        </w:rPr>
        <w:t>common</w:t>
      </w:r>
      <w:proofErr w:type="spellEnd"/>
      <w:r w:rsidRPr="008C1622">
        <w:rPr>
          <w:rFonts w:eastAsia="Times New Roman" w:cs="Times New Roman"/>
          <w:sz w:val="20"/>
          <w:szCs w:val="20"/>
          <w:lang w:val="fr-CA" w:eastAsia="en-CA"/>
        </w:rPr>
        <w:t xml:space="preserve"> </w:t>
      </w:r>
      <w:proofErr w:type="spellStart"/>
      <w:r w:rsidRPr="008C1622">
        <w:rPr>
          <w:rFonts w:eastAsia="Times New Roman" w:cs="Times New Roman"/>
          <w:sz w:val="20"/>
          <w:szCs w:val="20"/>
          <w:lang w:val="fr-CA" w:eastAsia="en-CA"/>
        </w:rPr>
        <w:t>law</w:t>
      </w:r>
      <w:proofErr w:type="spellEnd"/>
      <w:r w:rsidRPr="008C1622">
        <w:rPr>
          <w:rFonts w:eastAsia="Times New Roman" w:cs="Times New Roman"/>
          <w:sz w:val="20"/>
          <w:szCs w:val="20"/>
          <w:lang w:val="fr-CA" w:eastAsia="en-CA"/>
        </w:rPr>
        <w:t>, parce que ces fouilles ne reflètent pas un équilibre raisonnable entre l’intérêt de l’individu à la protection de sa dignité et de sa vie privée et l’intérêt de l’É</w:t>
      </w:r>
      <w:r w:rsidRPr="00E85E82">
        <w:rPr>
          <w:rFonts w:eastAsia="Times New Roman" w:cs="Times New Roman"/>
          <w:sz w:val="20"/>
          <w:szCs w:val="20"/>
          <w:lang w:val="fr-CA" w:eastAsia="en-CA"/>
        </w:rPr>
        <w:t>tat à enquêter sur les crimes.</w:t>
      </w:r>
    </w:p>
    <w:p w:rsidR="008C1622" w:rsidRPr="008C1622" w:rsidRDefault="008C1622" w:rsidP="008C1622">
      <w:pPr>
        <w:tabs>
          <w:tab w:val="left" w:pos="1168"/>
        </w:tabs>
        <w:jc w:val="both"/>
        <w:rPr>
          <w:rFonts w:eastAsia="Times New Roman" w:cs="Times New Roman"/>
          <w:sz w:val="20"/>
          <w:szCs w:val="20"/>
          <w:lang w:val="fr-CA" w:eastAsia="en-CA"/>
        </w:rPr>
      </w:pPr>
    </w:p>
    <w:p w:rsidR="008C1622" w:rsidRPr="00E85E8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sz w:val="20"/>
          <w:szCs w:val="20"/>
          <w:lang w:val="fr-CA" w:eastAsia="en-CA"/>
        </w:rPr>
        <w:tab/>
        <w:t xml:space="preserve">Les principes sur lesquels repose l’arrêt </w:t>
      </w:r>
      <w:r w:rsidRPr="008C1622">
        <w:rPr>
          <w:rFonts w:eastAsia="Times New Roman" w:cs="Times New Roman"/>
          <w:i/>
          <w:sz w:val="20"/>
          <w:szCs w:val="20"/>
          <w:lang w:val="fr-CA" w:eastAsia="en-CA"/>
        </w:rPr>
        <w:t xml:space="preserve">R. c. </w:t>
      </w:r>
      <w:proofErr w:type="spellStart"/>
      <w:r w:rsidRPr="008C1622">
        <w:rPr>
          <w:rFonts w:eastAsia="Times New Roman" w:cs="Times New Roman"/>
          <w:i/>
          <w:sz w:val="20"/>
          <w:szCs w:val="20"/>
          <w:lang w:val="fr-CA" w:eastAsia="en-CA"/>
        </w:rPr>
        <w:t>Stillman</w:t>
      </w:r>
      <w:proofErr w:type="spellEnd"/>
      <w:r w:rsidRPr="008C1622">
        <w:rPr>
          <w:rFonts w:eastAsia="Times New Roman" w:cs="Times New Roman"/>
          <w:sz w:val="20"/>
          <w:szCs w:val="20"/>
          <w:lang w:val="fr-CA" w:eastAsia="en-CA"/>
        </w:rPr>
        <w:t xml:space="preserve">, [1997] 1 R.C.S. 607, tendent à indiquer que le fait d’autoriser les prélèvements par écouvillonnage génital en vertu de la </w:t>
      </w:r>
      <w:proofErr w:type="spellStart"/>
      <w:r w:rsidRPr="008C1622">
        <w:rPr>
          <w:rFonts w:eastAsia="Times New Roman" w:cs="Times New Roman"/>
          <w:sz w:val="20"/>
          <w:szCs w:val="20"/>
          <w:lang w:val="fr-CA" w:eastAsia="en-CA"/>
        </w:rPr>
        <w:t>common</w:t>
      </w:r>
      <w:proofErr w:type="spellEnd"/>
      <w:r w:rsidRPr="008C1622">
        <w:rPr>
          <w:rFonts w:eastAsia="Times New Roman" w:cs="Times New Roman"/>
          <w:sz w:val="20"/>
          <w:szCs w:val="20"/>
          <w:lang w:val="fr-CA" w:eastAsia="en-CA"/>
        </w:rPr>
        <w:t xml:space="preserve"> </w:t>
      </w:r>
      <w:proofErr w:type="spellStart"/>
      <w:r w:rsidRPr="008C1622">
        <w:rPr>
          <w:rFonts w:eastAsia="Times New Roman" w:cs="Times New Roman"/>
          <w:sz w:val="20"/>
          <w:szCs w:val="20"/>
          <w:lang w:val="fr-CA" w:eastAsia="en-CA"/>
        </w:rPr>
        <w:t>law</w:t>
      </w:r>
      <w:proofErr w:type="spellEnd"/>
      <w:r w:rsidRPr="008C1622">
        <w:rPr>
          <w:rFonts w:eastAsia="Times New Roman" w:cs="Times New Roman"/>
          <w:sz w:val="20"/>
          <w:szCs w:val="20"/>
          <w:lang w:val="fr-CA" w:eastAsia="en-CA"/>
        </w:rPr>
        <w:t xml:space="preserve"> ne permettrait pas d’établir un équilibre raisonnable entre les intérêts opposés de l’individu et de l’État. Un prélèvement effectué dans la région génitale constitue une atteinte beaucoup plus importante à la dignité et à la vie privée de la personne qu’un prélèvement buccal ou que le fait d’arracher des cheveux sur la tête d’une personne. De tels prélèvements sont considérablement plus envahissants et déshumanisants. On ne peut procéder à pareil prélèvement sur une personne sans, pour ce faire, exposer, toucher et manipuler ses organes génitaux — la région la plus intime de son corps — en présence d’autres personnes. Il est difficile d’imaginer intérêt plus personnel ou privé appartenant à une personne à l’égard de son corps. De plus, bien que l’objectif d’un prélèvement par écouvillonnage génital consiste à chercher la présence de résidus déposés sur les organes génitaux de l’individu qui y est soumis, l’un des effets d’une telle saisie est de mettre l’ADN de ce dernier entre les mains de l’État, qui, de ce fait, peut l’utiliser de façon indéterminée dans le futur.</w:t>
      </w:r>
    </w:p>
    <w:p w:rsidR="008C1622" w:rsidRPr="008C1622" w:rsidRDefault="008C1622" w:rsidP="008C1622">
      <w:pPr>
        <w:tabs>
          <w:tab w:val="left" w:pos="1168"/>
        </w:tabs>
        <w:jc w:val="both"/>
        <w:rPr>
          <w:rFonts w:eastAsia="Times New Roman" w:cs="Times New Roman"/>
          <w:sz w:val="20"/>
          <w:szCs w:val="20"/>
          <w:lang w:val="fr-CA" w:eastAsia="en-CA"/>
        </w:rPr>
      </w:pPr>
    </w:p>
    <w:p w:rsidR="008C1622" w:rsidRPr="00E85E8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sz w:val="20"/>
          <w:szCs w:val="20"/>
          <w:lang w:val="fr-CA" w:eastAsia="en-CA"/>
        </w:rPr>
        <w:tab/>
        <w:t xml:space="preserve">Pour ce qui est de l’intérêt de la société à ce que la loi soit appliquée efficacement, les prélèvements par écouvillonnage génital peuvent favoriser des intérêts impérieux de l’État. L’agression sexuelle constitue une infraction très grave. Elle est notoirement difficile à prouver. Vérifier la présence de l’ADN de la victime sur les organes génitaux de l’accusé peut permettre d’obtenir des éléments de preuve matériels très probants. Cependant, les intérêts de l’État ne sont pas plus impérieux dans la présente affaire qu’ils ne l’étaient dans </w:t>
      </w:r>
      <w:proofErr w:type="spellStart"/>
      <w:r w:rsidRPr="008C1622">
        <w:rPr>
          <w:rFonts w:eastAsia="Times New Roman" w:cs="Times New Roman"/>
          <w:i/>
          <w:sz w:val="20"/>
          <w:szCs w:val="20"/>
          <w:lang w:val="fr-CA" w:eastAsia="en-CA"/>
        </w:rPr>
        <w:t>Stillman</w:t>
      </w:r>
      <w:proofErr w:type="spellEnd"/>
      <w:r w:rsidRPr="008C1622">
        <w:rPr>
          <w:rFonts w:eastAsia="Times New Roman" w:cs="Times New Roman"/>
          <w:sz w:val="20"/>
          <w:szCs w:val="20"/>
          <w:lang w:val="fr-CA" w:eastAsia="en-CA"/>
        </w:rPr>
        <w:t xml:space="preserve">. De plus, tout comme dans cet arrêt, on ne saurait dire avec certitude en l’espèce s’il existe d’autres moyens légaux de procéder à un prélèvement par écouvillonnage génital. Sans trancher la question de façon définitive, on peut affirmer qu’il n’existe pas de mandat autorisant de façon évidente de tels prélèvements. L’absence de mandat permettant de procéder à de tels prélèvements ne signifie pas forcément que la </w:t>
      </w:r>
      <w:proofErr w:type="spellStart"/>
      <w:r w:rsidRPr="008C1622">
        <w:rPr>
          <w:rFonts w:eastAsia="Times New Roman" w:cs="Times New Roman"/>
          <w:sz w:val="20"/>
          <w:szCs w:val="20"/>
          <w:lang w:val="fr-CA" w:eastAsia="en-CA"/>
        </w:rPr>
        <w:t>common</w:t>
      </w:r>
      <w:proofErr w:type="spellEnd"/>
      <w:r w:rsidRPr="008C1622">
        <w:rPr>
          <w:rFonts w:eastAsia="Times New Roman" w:cs="Times New Roman"/>
          <w:sz w:val="20"/>
          <w:szCs w:val="20"/>
          <w:lang w:val="fr-CA" w:eastAsia="en-CA"/>
        </w:rPr>
        <w:t xml:space="preserve"> </w:t>
      </w:r>
      <w:proofErr w:type="spellStart"/>
      <w:r w:rsidRPr="008C1622">
        <w:rPr>
          <w:rFonts w:eastAsia="Times New Roman" w:cs="Times New Roman"/>
          <w:sz w:val="20"/>
          <w:szCs w:val="20"/>
          <w:lang w:val="fr-CA" w:eastAsia="en-CA"/>
        </w:rPr>
        <w:t>law</w:t>
      </w:r>
      <w:proofErr w:type="spellEnd"/>
      <w:r w:rsidRPr="008C1622">
        <w:rPr>
          <w:rFonts w:eastAsia="Times New Roman" w:cs="Times New Roman"/>
          <w:sz w:val="20"/>
          <w:szCs w:val="20"/>
          <w:lang w:val="fr-CA" w:eastAsia="en-CA"/>
        </w:rPr>
        <w:t xml:space="preserve"> peut favoriser les intérêts de l’État en autorisant les policiers à prélever ce type d’échantillon pour parer à la dégradation de la preuve qui surviendrait en attendant la délivrance d’un mandat. Enfin, on ne peut invoquer l’atteinte préoccupante à la dignité de la personne que constitue la détention dans une cellule sèche pour justifier l’atteinte plus grave à la dignité de la personne que représente un prélèvement par écouvillonnage génital. Une atteinte à la dignité ne </w:t>
      </w:r>
      <w:r w:rsidRPr="00E85E82">
        <w:rPr>
          <w:rFonts w:eastAsia="Times New Roman" w:cs="Times New Roman"/>
          <w:sz w:val="20"/>
          <w:szCs w:val="20"/>
          <w:lang w:val="fr-CA" w:eastAsia="en-CA"/>
        </w:rPr>
        <w:t>saurait en justifier une autre.</w:t>
      </w:r>
    </w:p>
    <w:p w:rsidR="008C1622" w:rsidRPr="008C1622" w:rsidRDefault="008C1622" w:rsidP="008C1622">
      <w:pPr>
        <w:tabs>
          <w:tab w:val="left" w:pos="1168"/>
        </w:tabs>
        <w:jc w:val="both"/>
        <w:rPr>
          <w:rFonts w:eastAsia="Times New Roman" w:cs="Times New Roman"/>
          <w:sz w:val="20"/>
          <w:szCs w:val="20"/>
          <w:lang w:val="fr-CA" w:eastAsia="en-CA"/>
        </w:rPr>
      </w:pPr>
    </w:p>
    <w:p w:rsidR="008C1622" w:rsidRPr="00E85E8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sz w:val="20"/>
          <w:szCs w:val="20"/>
          <w:lang w:val="fr-CA" w:eastAsia="en-CA"/>
        </w:rPr>
        <w:tab/>
        <w:t xml:space="preserve">Il ressort de la mise en balance des intérêts opposés de l’individu et de l’État qu’il n’est pas raisonnable d’autoriser les policiers à procéder sans mandat à des prélèvements par écouvillonnage génital en vertu du pouvoir de fouille accessoire à l’arrestation reconnu par la </w:t>
      </w:r>
      <w:proofErr w:type="spellStart"/>
      <w:r w:rsidRPr="008C1622">
        <w:rPr>
          <w:rFonts w:eastAsia="Times New Roman" w:cs="Times New Roman"/>
          <w:sz w:val="20"/>
          <w:szCs w:val="20"/>
          <w:lang w:val="fr-CA" w:eastAsia="en-CA"/>
        </w:rPr>
        <w:t>common</w:t>
      </w:r>
      <w:proofErr w:type="spellEnd"/>
      <w:r w:rsidRPr="008C1622">
        <w:rPr>
          <w:rFonts w:eastAsia="Times New Roman" w:cs="Times New Roman"/>
          <w:sz w:val="20"/>
          <w:szCs w:val="20"/>
          <w:lang w:val="fr-CA" w:eastAsia="en-CA"/>
        </w:rPr>
        <w:t xml:space="preserve"> </w:t>
      </w:r>
      <w:proofErr w:type="spellStart"/>
      <w:r w:rsidRPr="008C1622">
        <w:rPr>
          <w:rFonts w:eastAsia="Times New Roman" w:cs="Times New Roman"/>
          <w:sz w:val="20"/>
          <w:szCs w:val="20"/>
          <w:lang w:val="fr-CA" w:eastAsia="en-CA"/>
        </w:rPr>
        <w:t>law</w:t>
      </w:r>
      <w:proofErr w:type="spellEnd"/>
      <w:r w:rsidRPr="008C1622">
        <w:rPr>
          <w:rFonts w:eastAsia="Times New Roman" w:cs="Times New Roman"/>
          <w:sz w:val="20"/>
          <w:szCs w:val="20"/>
          <w:lang w:val="fr-CA" w:eastAsia="en-CA"/>
        </w:rPr>
        <w:t>.</w:t>
      </w:r>
    </w:p>
    <w:p w:rsidR="008C1622" w:rsidRPr="008C1622" w:rsidRDefault="008C1622" w:rsidP="008C1622">
      <w:pPr>
        <w:tabs>
          <w:tab w:val="left" w:pos="1168"/>
        </w:tabs>
        <w:jc w:val="both"/>
        <w:rPr>
          <w:rFonts w:eastAsia="Times New Roman" w:cs="Times New Roman"/>
          <w:sz w:val="20"/>
          <w:szCs w:val="20"/>
          <w:lang w:val="fr-CA" w:eastAsia="en-CA"/>
        </w:rPr>
      </w:pPr>
    </w:p>
    <w:p w:rsidR="008C1622" w:rsidRPr="00E85E8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sz w:val="20"/>
          <w:szCs w:val="20"/>
          <w:lang w:val="fr-CA" w:eastAsia="en-CA"/>
        </w:rPr>
        <w:tab/>
        <w:t xml:space="preserve">Reconnaissant que les garanties traditionnelles associées au pouvoir de </w:t>
      </w:r>
      <w:proofErr w:type="spellStart"/>
      <w:r w:rsidRPr="008C1622">
        <w:rPr>
          <w:rFonts w:eastAsia="Times New Roman" w:cs="Times New Roman"/>
          <w:sz w:val="20"/>
          <w:szCs w:val="20"/>
          <w:lang w:val="fr-CA" w:eastAsia="en-CA"/>
        </w:rPr>
        <w:t>common</w:t>
      </w:r>
      <w:proofErr w:type="spellEnd"/>
      <w:r w:rsidRPr="008C1622">
        <w:rPr>
          <w:rFonts w:eastAsia="Times New Roman" w:cs="Times New Roman"/>
          <w:sz w:val="20"/>
          <w:szCs w:val="20"/>
          <w:lang w:val="fr-CA" w:eastAsia="en-CA"/>
        </w:rPr>
        <w:t xml:space="preserve"> </w:t>
      </w:r>
      <w:proofErr w:type="spellStart"/>
      <w:r w:rsidRPr="008C1622">
        <w:rPr>
          <w:rFonts w:eastAsia="Times New Roman" w:cs="Times New Roman"/>
          <w:sz w:val="20"/>
          <w:szCs w:val="20"/>
          <w:lang w:val="fr-CA" w:eastAsia="en-CA"/>
        </w:rPr>
        <w:t>law</w:t>
      </w:r>
      <w:proofErr w:type="spellEnd"/>
      <w:r w:rsidRPr="008C1622">
        <w:rPr>
          <w:rFonts w:eastAsia="Times New Roman" w:cs="Times New Roman"/>
          <w:sz w:val="20"/>
          <w:szCs w:val="20"/>
          <w:lang w:val="fr-CA" w:eastAsia="en-CA"/>
        </w:rPr>
        <w:t xml:space="preserve"> ne sont pas suffisantes pour protéger les intérêts élevés au respect de la vie privée qui sont en jeu lors des prélèvements par écouvillonnage génital, les juges majoritaires proposent de resserrer le critère préliminaire applicable à ce type particulier de fouille accessoire à une arrestation : les policiers doivent également avoir des motifs raisonnables de croire qu’un tel prélèvement permettra de découvrir et de préserver une preuve de l’infraction. Il vaut mieux éviter d’appliquer des exigences additionnelles à l’égard de types particuliers de fouilles accessoires à une arrestation. L’application d’un critère préliminaire spécifique protège beaucoup moins efficacement la vie privée qu’une procédure d’autorisation judiciaire préalable. De plus, la définition des exigences préliminaires applicables représente un exercice délicat, qu’il est préférable de laisser au législateur.</w:t>
      </w:r>
    </w:p>
    <w:p w:rsidR="008C1622" w:rsidRPr="008C1622" w:rsidRDefault="008C1622" w:rsidP="008C1622">
      <w:pPr>
        <w:tabs>
          <w:tab w:val="left" w:pos="1168"/>
        </w:tabs>
        <w:jc w:val="both"/>
        <w:rPr>
          <w:rFonts w:eastAsia="Times New Roman" w:cs="Times New Roman"/>
          <w:sz w:val="20"/>
          <w:szCs w:val="20"/>
          <w:lang w:val="fr-CA" w:eastAsia="en-CA"/>
        </w:rPr>
      </w:pPr>
    </w:p>
    <w:p w:rsidR="008C1622" w:rsidRPr="00E85E8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sz w:val="20"/>
          <w:szCs w:val="20"/>
          <w:lang w:val="fr-CA" w:eastAsia="en-CA"/>
        </w:rPr>
        <w:tab/>
        <w:t xml:space="preserve">Vu les circonstances exceptionnelles de l’espèce, la décision de la juge du procès de permettre l’utilisation des éléments de preuve obtenus devrait être confirmée. Dans l’examen de la gravité de la conduite attentatoire de l’État, la juge du procès a conclu que le policier qui avait ordonné le prélèvement n’avait pas dûment tenu compte des droits que garantit la </w:t>
      </w:r>
      <w:r w:rsidRPr="008C1622">
        <w:rPr>
          <w:rFonts w:eastAsia="Times New Roman" w:cs="Times New Roman"/>
          <w:i/>
          <w:iCs/>
          <w:sz w:val="20"/>
          <w:szCs w:val="20"/>
          <w:lang w:val="fr-CA" w:eastAsia="en-CA"/>
        </w:rPr>
        <w:t xml:space="preserve">Charte </w:t>
      </w:r>
      <w:r w:rsidRPr="008C1622">
        <w:rPr>
          <w:rFonts w:eastAsia="Times New Roman" w:cs="Times New Roman"/>
          <w:sz w:val="20"/>
          <w:szCs w:val="20"/>
          <w:lang w:val="fr-CA" w:eastAsia="en-CA"/>
        </w:rPr>
        <w:t>à l’accusé et de l’étendue des pouvoirs dont disposent les policiers en matière de fouille accessoire à l’arrestation, mais qu’il n’y avait pas eu véritablement mauvaise foi de leur part. Lorsque les policiers agissent sur la foi d’une interprétation erronée du droit applicable et que celui</w:t>
      </w:r>
      <w:r w:rsidRPr="008C1622">
        <w:rPr>
          <w:rFonts w:eastAsia="Times New Roman" w:cs="Times New Roman"/>
          <w:sz w:val="20"/>
          <w:szCs w:val="20"/>
          <w:lang w:val="fr-CA" w:eastAsia="en-CA"/>
        </w:rPr>
        <w:noBreakHyphen/>
        <w:t xml:space="preserve">ci est incertain, leur conduite attentatoire à la </w:t>
      </w:r>
      <w:r w:rsidRPr="008C1622">
        <w:rPr>
          <w:rFonts w:eastAsia="Times New Roman" w:cs="Times New Roman"/>
          <w:i/>
          <w:sz w:val="20"/>
          <w:szCs w:val="20"/>
          <w:lang w:val="fr-CA" w:eastAsia="en-CA"/>
        </w:rPr>
        <w:t>Charte</w:t>
      </w:r>
      <w:r w:rsidRPr="008C1622">
        <w:rPr>
          <w:rFonts w:eastAsia="Times New Roman" w:cs="Times New Roman"/>
          <w:sz w:val="20"/>
          <w:szCs w:val="20"/>
          <w:lang w:val="fr-CA" w:eastAsia="en-CA"/>
        </w:rPr>
        <w:t xml:space="preserve"> est moins grave. L’incidence de la violation sur les droits garantis à l’accusé par la </w:t>
      </w:r>
      <w:r w:rsidRPr="008C1622">
        <w:rPr>
          <w:rFonts w:eastAsia="Times New Roman" w:cs="Times New Roman"/>
          <w:i/>
          <w:iCs/>
          <w:sz w:val="20"/>
          <w:szCs w:val="20"/>
          <w:lang w:val="fr-CA" w:eastAsia="en-CA"/>
        </w:rPr>
        <w:t xml:space="preserve">Charte </w:t>
      </w:r>
      <w:r w:rsidRPr="008C1622">
        <w:rPr>
          <w:rFonts w:eastAsia="Times New Roman" w:cs="Times New Roman"/>
          <w:sz w:val="20"/>
          <w:szCs w:val="20"/>
          <w:lang w:val="fr-CA" w:eastAsia="en-CA"/>
        </w:rPr>
        <w:t>était manifestement grave et milite contre l’utilisation de la preuve. Il n’y a aucun doute qu’il s’agissait d’une fouille très envahissante qui touchait à l’essence même de l’intimité physique de l’accusé. Enfin, l’intérêt de la société à ce que l’affaire soit jugée au fond milite en faveur de l’utilisation de la preuve. La preuve génétique était fiable et probante. Cette preuve revêtait une grande importance pour la thèse du ministère public. L’agression en cause était particulièrement odieuse et la société a un vif intérêt à ce que l’affaire soit jugée au fond. Tout bien considéré, eu égard à l’ensemble des circonstances, la juge du procès était justifiée de conclure que l’utilisation de la preuve n’était pas susceptible de déconsidérer l’administration de la justice.</w:t>
      </w:r>
    </w:p>
    <w:p w:rsidR="008C1622" w:rsidRPr="008C1622" w:rsidRDefault="008C1622" w:rsidP="008C1622">
      <w:pPr>
        <w:tabs>
          <w:tab w:val="left" w:pos="1168"/>
        </w:tabs>
        <w:jc w:val="both"/>
        <w:rPr>
          <w:rFonts w:eastAsia="Times New Roman" w:cs="Times New Roman"/>
          <w:sz w:val="20"/>
          <w:szCs w:val="20"/>
          <w:lang w:val="fr-CA" w:eastAsia="en-CA"/>
        </w:rPr>
      </w:pPr>
    </w:p>
    <w:p w:rsidR="008C1622" w:rsidRPr="00E85E8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sz w:val="20"/>
          <w:szCs w:val="20"/>
          <w:lang w:val="fr-CA" w:eastAsia="en-CA"/>
        </w:rPr>
        <w:tab/>
      </w:r>
      <w:r w:rsidRPr="008C1622">
        <w:rPr>
          <w:rFonts w:eastAsia="Times New Roman" w:cs="Times New Roman"/>
          <w:i/>
          <w:sz w:val="20"/>
          <w:szCs w:val="20"/>
          <w:lang w:val="fr-CA" w:eastAsia="en-CA"/>
        </w:rPr>
        <w:t xml:space="preserve">La </w:t>
      </w:r>
      <w:r w:rsidRPr="008C1622">
        <w:rPr>
          <w:rFonts w:eastAsia="Times New Roman" w:cs="Times New Roman"/>
          <w:sz w:val="20"/>
          <w:szCs w:val="20"/>
          <w:lang w:val="fr-CA" w:eastAsia="en-CA"/>
        </w:rPr>
        <w:t xml:space="preserve">juge </w:t>
      </w:r>
      <w:r w:rsidRPr="008C1622">
        <w:rPr>
          <w:rFonts w:eastAsia="Times New Roman" w:cs="Times New Roman"/>
          <w:b/>
          <w:sz w:val="20"/>
          <w:szCs w:val="20"/>
          <w:lang w:val="fr-CA" w:eastAsia="en-CA"/>
        </w:rPr>
        <w:t xml:space="preserve">Abella </w:t>
      </w:r>
      <w:r w:rsidRPr="008C1622">
        <w:rPr>
          <w:rFonts w:eastAsia="Times New Roman" w:cs="Times New Roman"/>
          <w:sz w:val="20"/>
          <w:szCs w:val="20"/>
          <w:lang w:val="fr-CA" w:eastAsia="en-CA"/>
        </w:rPr>
        <w:t>(dissidente) : La preuve devrait être écartée.</w:t>
      </w:r>
    </w:p>
    <w:p w:rsidR="008C1622" w:rsidRPr="008C1622" w:rsidRDefault="008C1622" w:rsidP="008C1622">
      <w:pPr>
        <w:tabs>
          <w:tab w:val="left" w:pos="1168"/>
        </w:tabs>
        <w:jc w:val="both"/>
        <w:rPr>
          <w:rFonts w:eastAsia="Times New Roman" w:cs="Times New Roman"/>
          <w:sz w:val="20"/>
          <w:szCs w:val="20"/>
          <w:lang w:val="fr-CA" w:eastAsia="en-CA"/>
        </w:rPr>
      </w:pPr>
    </w:p>
    <w:p w:rsidR="008C1622" w:rsidRPr="00E85E8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sz w:val="20"/>
          <w:szCs w:val="20"/>
          <w:lang w:val="fr-CA" w:eastAsia="en-CA"/>
        </w:rPr>
        <w:tab/>
        <w:t xml:space="preserve">Pour décider si une preuve devrait être écartée en application du par. 24(2) de la </w:t>
      </w:r>
      <w:r w:rsidRPr="008C1622">
        <w:rPr>
          <w:rFonts w:eastAsia="Times New Roman" w:cs="Times New Roman"/>
          <w:i/>
          <w:sz w:val="20"/>
          <w:szCs w:val="20"/>
          <w:lang w:val="fr-CA" w:eastAsia="en-CA"/>
        </w:rPr>
        <w:t>Charte</w:t>
      </w:r>
      <w:r w:rsidRPr="008C1622">
        <w:rPr>
          <w:rFonts w:eastAsia="Times New Roman" w:cs="Times New Roman"/>
          <w:sz w:val="20"/>
          <w:szCs w:val="20"/>
          <w:lang w:val="fr-CA" w:eastAsia="en-CA"/>
        </w:rPr>
        <w:t>, trois facteurs doivent être soupesés conformément à l’arrêt</w:t>
      </w:r>
      <w:r w:rsidRPr="008C1622">
        <w:rPr>
          <w:rFonts w:eastAsia="Times New Roman" w:cs="Times New Roman"/>
          <w:i/>
          <w:sz w:val="20"/>
          <w:szCs w:val="20"/>
          <w:lang w:val="fr-CA" w:eastAsia="en-CA"/>
        </w:rPr>
        <w:t xml:space="preserve"> R. c. Grant</w:t>
      </w:r>
      <w:r w:rsidRPr="008C1622">
        <w:rPr>
          <w:rFonts w:eastAsia="Times New Roman" w:cs="Times New Roman"/>
          <w:sz w:val="20"/>
          <w:szCs w:val="20"/>
          <w:lang w:val="fr-CA" w:eastAsia="en-CA"/>
        </w:rPr>
        <w:t xml:space="preserve">, 2009 CSC 32, [2009] 2 R.C.S. 353 : la gravité de la conduite attentatoire de l’État; l’incidence de la violation sur les droits de l’accusé garantis par la </w:t>
      </w:r>
      <w:r w:rsidRPr="008C1622">
        <w:rPr>
          <w:rFonts w:eastAsia="Times New Roman" w:cs="Times New Roman"/>
          <w:i/>
          <w:sz w:val="20"/>
          <w:szCs w:val="20"/>
          <w:lang w:val="fr-CA" w:eastAsia="en-CA"/>
        </w:rPr>
        <w:t>Charte</w:t>
      </w:r>
      <w:r w:rsidRPr="008C1622">
        <w:rPr>
          <w:rFonts w:eastAsia="Times New Roman" w:cs="Times New Roman"/>
          <w:sz w:val="20"/>
          <w:szCs w:val="20"/>
          <w:lang w:val="fr-CA" w:eastAsia="en-CA"/>
        </w:rPr>
        <w:t>; l’intérêt de la société à ce que l’affaire soit jugée au fond</w:t>
      </w:r>
      <w:r w:rsidRPr="008C1622">
        <w:rPr>
          <w:rFonts w:cs="Times New Roman"/>
          <w:sz w:val="20"/>
          <w:szCs w:val="20"/>
          <w:lang w:val="fr-CA" w:eastAsia="en-CA"/>
        </w:rPr>
        <w:t>. A</w:t>
      </w:r>
      <w:r w:rsidRPr="008C1622">
        <w:rPr>
          <w:rFonts w:eastAsia="Times New Roman" w:cs="Times New Roman"/>
          <w:sz w:val="20"/>
          <w:szCs w:val="20"/>
          <w:lang w:val="fr-CA" w:eastAsia="en-CA"/>
        </w:rPr>
        <w:t>ucun facteur n’est déterminant ou absolu.</w:t>
      </w:r>
    </w:p>
    <w:p w:rsidR="008C1622" w:rsidRPr="008C1622" w:rsidRDefault="008C1622" w:rsidP="008C1622">
      <w:pPr>
        <w:tabs>
          <w:tab w:val="left" w:pos="1168"/>
        </w:tabs>
        <w:jc w:val="both"/>
        <w:rPr>
          <w:rFonts w:eastAsia="Times New Roman" w:cs="Times New Roman"/>
          <w:sz w:val="20"/>
          <w:szCs w:val="20"/>
          <w:lang w:val="fr-CA" w:eastAsia="en-CA"/>
        </w:rPr>
      </w:pPr>
    </w:p>
    <w:p w:rsidR="008C1622" w:rsidRPr="00E85E8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sz w:val="20"/>
          <w:szCs w:val="20"/>
          <w:lang w:val="fr-CA" w:eastAsia="en-CA"/>
        </w:rPr>
        <w:tab/>
        <w:t xml:space="preserve">Le premier facteur possède son propre continuum. Ce qui importe, ce n’est pas tant de savoir si le comportement entre dans la catégorie des actes accomplis de « bonne foi » ou de « mauvaise foi », mais plutôt de savoir si les policiers croyaient raisonnablement qu’ils respectaient la </w:t>
      </w:r>
      <w:r w:rsidRPr="008C1622">
        <w:rPr>
          <w:rFonts w:eastAsia="Times New Roman" w:cs="Times New Roman"/>
          <w:i/>
          <w:sz w:val="20"/>
          <w:szCs w:val="20"/>
          <w:lang w:val="fr-CA" w:eastAsia="en-CA"/>
        </w:rPr>
        <w:t>Charte</w:t>
      </w:r>
      <w:r w:rsidRPr="008C1622">
        <w:rPr>
          <w:rFonts w:eastAsia="Times New Roman" w:cs="Times New Roman"/>
          <w:sz w:val="20"/>
          <w:szCs w:val="20"/>
          <w:lang w:val="fr-CA" w:eastAsia="en-CA"/>
        </w:rPr>
        <w:t xml:space="preserve">. Plus le mépris des exigences de la </w:t>
      </w:r>
      <w:r w:rsidRPr="008C1622">
        <w:rPr>
          <w:rFonts w:eastAsia="Times New Roman" w:cs="Times New Roman"/>
          <w:i/>
          <w:sz w:val="20"/>
          <w:szCs w:val="20"/>
          <w:lang w:val="fr-CA" w:eastAsia="en-CA"/>
        </w:rPr>
        <w:t>Charte</w:t>
      </w:r>
      <w:r w:rsidRPr="008C1622">
        <w:rPr>
          <w:rFonts w:eastAsia="Times New Roman" w:cs="Times New Roman"/>
          <w:sz w:val="20"/>
          <w:szCs w:val="20"/>
          <w:lang w:val="fr-CA" w:eastAsia="en-CA"/>
        </w:rPr>
        <w:t xml:space="preserve"> par un policier devient délibéré ou flagrant, plus sa conduite s’approche de l’extrémité du spectre correspondant aux comportements de « mauvaise foi ». Les policiers n’ont pas cherché à savoir si un prélèvement par écouvillonnage serait susceptible d’avoir une valeur probante. L’accusé a eu amplement le temps de supprimer la preuve en se lavant et il était impossible aux policiers de déterminer si un prélèvement par écouvillonnage génital était la source la plus susceptible de fournir une preuve génétique. Les policiers ont néanmoins choisi la solution la plus envahissante. Les restrictions applicables à l’obtention d’échantillons corporels dans le cadre d’une fouille accessoire à l’arrestation ont déjà été énoncées par la Cour, et il faut tenir pour acquis que les policiers les connaissaient. Ceux</w:t>
      </w:r>
      <w:r w:rsidRPr="008C1622">
        <w:rPr>
          <w:rFonts w:eastAsia="Times New Roman" w:cs="Times New Roman"/>
          <w:sz w:val="20"/>
          <w:szCs w:val="20"/>
          <w:lang w:val="fr-CA" w:eastAsia="en-CA"/>
        </w:rPr>
        <w:noBreakHyphen/>
        <w:t xml:space="preserve">ci doivent obtenir une autorisation judiciaire préalable, mais aucune explication n’a été donnée sur la raison pour laquelle ils n’ont fait aucune démarche pour que soit décerné un mandat général ou un </w:t>
      </w:r>
      <w:proofErr w:type="spellStart"/>
      <w:r w:rsidRPr="008C1622">
        <w:rPr>
          <w:rFonts w:eastAsia="Times New Roman" w:cs="Times New Roman"/>
          <w:sz w:val="20"/>
          <w:szCs w:val="20"/>
          <w:lang w:val="fr-CA" w:eastAsia="en-CA"/>
        </w:rPr>
        <w:t>télémandat</w:t>
      </w:r>
      <w:proofErr w:type="spellEnd"/>
      <w:r w:rsidRPr="008C1622">
        <w:rPr>
          <w:rFonts w:eastAsia="Times New Roman" w:cs="Times New Roman"/>
          <w:sz w:val="20"/>
          <w:szCs w:val="20"/>
          <w:lang w:val="fr-CA" w:eastAsia="en-CA"/>
        </w:rPr>
        <w:t>. Il n’y avait pas de situation d’urgence. Le seul témoignage qui établissait que les policiers se souciaient de préserver des éléments de preuve était une vague déclaration faite par l’un d’eux. Facteur plus important encore, il est loin d’être évident qu’il était même légalement possible d’obtenir un mandat. Rien dans la loi ne confère le pouvoir de décerner un mandat dans de telles circonstances. Les policiers n’ont pas établi qu’ils avaient des motifs raisonnables et probables de croire que les éléments de preuve recherchés se trouveraient toujours sur les organes génitaux de l’accusé. Ils l’ont menotté à un tuyau contre un mur et privé d’eau et d’accès à des toilettes. On lui a ordonné d’exposer la partie la plus intime de son corps et d’y faire un prélèvement par écouvillonnage devant deux policiers en uniforme. Tout cela a eu lieu sans consentement et sans autorisation judiciaire préalable. Les circonstances de la présente espèce se situent à l’autre extrémité du continuum de la « bonne foi ».</w:t>
      </w:r>
    </w:p>
    <w:p w:rsidR="008C1622" w:rsidRPr="008C1622" w:rsidRDefault="008C1622" w:rsidP="008C1622">
      <w:pPr>
        <w:tabs>
          <w:tab w:val="left" w:pos="1168"/>
        </w:tabs>
        <w:jc w:val="both"/>
        <w:rPr>
          <w:rFonts w:eastAsia="Times New Roman" w:cs="Times New Roman"/>
          <w:sz w:val="20"/>
          <w:szCs w:val="20"/>
          <w:lang w:val="fr-CA" w:eastAsia="en-CA"/>
        </w:rPr>
      </w:pPr>
    </w:p>
    <w:p w:rsidR="008C1622" w:rsidRPr="00E85E8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sz w:val="20"/>
          <w:szCs w:val="20"/>
          <w:lang w:val="fr-CA" w:eastAsia="en-CA"/>
        </w:rPr>
        <w:tab/>
        <w:t xml:space="preserve">La question suivante sur laquelle il faut se pencher conformément à l’arrêt </w:t>
      </w:r>
      <w:r w:rsidRPr="008C1622">
        <w:rPr>
          <w:rFonts w:eastAsia="Times New Roman" w:cs="Times New Roman"/>
          <w:i/>
          <w:sz w:val="20"/>
          <w:szCs w:val="20"/>
          <w:lang w:val="fr-CA" w:eastAsia="en-CA"/>
        </w:rPr>
        <w:t>Grant</w:t>
      </w:r>
      <w:r w:rsidRPr="008C1622">
        <w:rPr>
          <w:rFonts w:eastAsia="Times New Roman" w:cs="Times New Roman"/>
          <w:sz w:val="20"/>
          <w:szCs w:val="20"/>
          <w:lang w:val="fr-CA" w:eastAsia="en-CA"/>
        </w:rPr>
        <w:t xml:space="preserve"> concerne l’incidence de la violation sur les droits garantis à l’accusé par la </w:t>
      </w:r>
      <w:r w:rsidRPr="008C1622">
        <w:rPr>
          <w:rFonts w:eastAsia="Times New Roman" w:cs="Times New Roman"/>
          <w:i/>
          <w:sz w:val="20"/>
          <w:szCs w:val="20"/>
          <w:lang w:val="fr-CA" w:eastAsia="en-CA"/>
        </w:rPr>
        <w:t>Charte</w:t>
      </w:r>
      <w:r w:rsidRPr="008C1622">
        <w:rPr>
          <w:rFonts w:eastAsia="Times New Roman" w:cs="Times New Roman"/>
          <w:sz w:val="20"/>
          <w:szCs w:val="20"/>
          <w:lang w:val="fr-CA" w:eastAsia="en-CA"/>
        </w:rPr>
        <w:t xml:space="preserve">. La Cour a conclu que le fait de prendre des échantillons de cheveux et de poils, des prélèvements buccaux et des empreintes dentaires constitue l’atteinte la plus grave à la vie privée d’une personne, et que les fouilles à nu sont fondamentalement humiliantes et avilissantes, peu importe la manière dont elles sont effectuées. Par conséquent, on ne saurait imaginer d’impact plus profond sur les droits garantis à l’accusé par la </w:t>
      </w:r>
      <w:r w:rsidRPr="008C1622">
        <w:rPr>
          <w:rFonts w:eastAsia="Times New Roman" w:cs="Times New Roman"/>
          <w:i/>
          <w:sz w:val="20"/>
          <w:szCs w:val="20"/>
          <w:lang w:val="fr-CA" w:eastAsia="en-CA"/>
        </w:rPr>
        <w:t>Charte</w:t>
      </w:r>
      <w:r w:rsidRPr="008C1622">
        <w:rPr>
          <w:rFonts w:eastAsia="Times New Roman" w:cs="Times New Roman"/>
          <w:sz w:val="20"/>
          <w:szCs w:val="20"/>
          <w:lang w:val="fr-CA" w:eastAsia="en-CA"/>
        </w:rPr>
        <w:t xml:space="preserve"> que celui causé par un prélèvement par écouvillonnage génital. L’atteinte à la dignité et à l’intégrité physique ne dépend pas de la question de savoir si la fouille nécessite l’introduction de quoi que ce soit dans le corps, si elle est douloureuse ou si elle est inconfortable. Un prélèvement par écouvillonnage génital ne nécessite pas seulement que la personne qui y est soumise expose ses organes génitaux aux autorités, mais aussi qu’elle viole sa propre intégrité physique en recueillant une preuve potentiellement auto</w:t>
      </w:r>
      <w:r w:rsidRPr="008C1622">
        <w:rPr>
          <w:rFonts w:eastAsia="Times New Roman" w:cs="Times New Roman"/>
          <w:sz w:val="20"/>
          <w:szCs w:val="20"/>
          <w:lang w:val="fr-CA" w:eastAsia="en-CA"/>
        </w:rPr>
        <w:noBreakHyphen/>
        <w:t xml:space="preserve">incriminante sur la partie de son </w:t>
      </w:r>
      <w:r w:rsidRPr="00E85E82">
        <w:rPr>
          <w:rFonts w:eastAsia="Times New Roman" w:cs="Times New Roman"/>
          <w:sz w:val="20"/>
          <w:szCs w:val="20"/>
          <w:lang w:val="fr-CA" w:eastAsia="en-CA"/>
        </w:rPr>
        <w:t>corps la plus intime qui soit.</w:t>
      </w:r>
    </w:p>
    <w:p w:rsidR="008C1622" w:rsidRPr="008C1622" w:rsidRDefault="008C1622" w:rsidP="008C1622">
      <w:pPr>
        <w:tabs>
          <w:tab w:val="left" w:pos="1168"/>
        </w:tabs>
        <w:jc w:val="both"/>
        <w:rPr>
          <w:rFonts w:eastAsia="Times New Roman" w:cs="Times New Roman"/>
          <w:sz w:val="20"/>
          <w:szCs w:val="20"/>
          <w:lang w:val="fr-CA" w:eastAsia="en-CA"/>
        </w:rPr>
      </w:pPr>
    </w:p>
    <w:p w:rsidR="008C1622" w:rsidRPr="00E85E82" w:rsidRDefault="008C1622" w:rsidP="008C1622">
      <w:pPr>
        <w:tabs>
          <w:tab w:val="left" w:pos="1168"/>
        </w:tabs>
        <w:jc w:val="both"/>
        <w:rPr>
          <w:rFonts w:eastAsia="Times New Roman" w:cs="Times New Roman"/>
          <w:sz w:val="20"/>
          <w:szCs w:val="20"/>
          <w:lang w:val="fr-CA" w:eastAsia="en-CA"/>
        </w:rPr>
      </w:pPr>
      <w:r w:rsidRPr="008C1622">
        <w:rPr>
          <w:rFonts w:eastAsia="Times New Roman" w:cs="Times New Roman"/>
          <w:sz w:val="20"/>
          <w:szCs w:val="20"/>
          <w:lang w:val="fr-CA" w:eastAsia="en-CA"/>
        </w:rPr>
        <w:tab/>
        <w:t xml:space="preserve">Le troisième facteur énoncé dans l’arrêt </w:t>
      </w:r>
      <w:r w:rsidRPr="008C1622">
        <w:rPr>
          <w:rFonts w:eastAsia="Times New Roman" w:cs="Times New Roman"/>
          <w:i/>
          <w:sz w:val="20"/>
          <w:szCs w:val="20"/>
          <w:lang w:val="fr-CA" w:eastAsia="en-CA"/>
        </w:rPr>
        <w:t>Grant</w:t>
      </w:r>
      <w:r w:rsidRPr="008C1622">
        <w:rPr>
          <w:rFonts w:eastAsia="Times New Roman" w:cs="Times New Roman"/>
          <w:sz w:val="20"/>
          <w:szCs w:val="20"/>
          <w:lang w:val="fr-CA" w:eastAsia="en-CA"/>
        </w:rPr>
        <w:t xml:space="preserve"> est l’intérêt qu’a la société à ce que l’affaire soit jugée au fond. Il s’agit d’un facteur nuancé qui comporte de multiples facettes. Les éléments suivants sont soupesés : la gravité de l’infraction, la fiabilité des éléments de preuve et leur importance pour la preuve du ministère public. La gravité de l’infraction peut jouer autant en faveur de l’inclusion de la preuve que de son exclusion. La considération dont jouit à long terme le système de justice est de la plus haute importance; le public a un intérêt vital à ce que le système</w:t>
      </w:r>
      <w:r w:rsidRPr="00E85E82">
        <w:rPr>
          <w:rFonts w:eastAsia="Times New Roman" w:cs="Times New Roman"/>
          <w:sz w:val="20"/>
          <w:szCs w:val="20"/>
          <w:lang w:val="fr-CA" w:eastAsia="en-CA"/>
        </w:rPr>
        <w:t xml:space="preserve"> de justice soit irréprochable.</w:t>
      </w:r>
    </w:p>
    <w:p w:rsidR="008C1622" w:rsidRPr="008C1622" w:rsidRDefault="008C1622" w:rsidP="008C1622">
      <w:pPr>
        <w:tabs>
          <w:tab w:val="left" w:pos="1168"/>
        </w:tabs>
        <w:jc w:val="both"/>
        <w:rPr>
          <w:rFonts w:eastAsia="Times New Roman" w:cs="Times New Roman"/>
          <w:sz w:val="20"/>
          <w:szCs w:val="20"/>
          <w:lang w:val="fr-CA" w:eastAsia="en-CA"/>
        </w:rPr>
      </w:pPr>
    </w:p>
    <w:p w:rsidR="008C1622" w:rsidRPr="00E85E82" w:rsidRDefault="008C1622" w:rsidP="008C1622">
      <w:pPr>
        <w:tabs>
          <w:tab w:val="left" w:pos="1168"/>
        </w:tabs>
        <w:jc w:val="both"/>
        <w:rPr>
          <w:rFonts w:cs="Times New Roman"/>
          <w:sz w:val="20"/>
          <w:szCs w:val="20"/>
          <w:lang w:val="fr-CA" w:eastAsia="en-CA"/>
        </w:rPr>
      </w:pPr>
      <w:r w:rsidRPr="008C1622">
        <w:rPr>
          <w:rFonts w:cs="Times New Roman"/>
          <w:sz w:val="20"/>
          <w:szCs w:val="20"/>
          <w:lang w:val="fr-CA" w:eastAsia="en-CA"/>
        </w:rPr>
        <w:tab/>
      </w:r>
      <w:r w:rsidRPr="008C1622">
        <w:rPr>
          <w:rFonts w:eastAsia="Times New Roman" w:cs="Times New Roman"/>
          <w:sz w:val="20"/>
          <w:szCs w:val="20"/>
          <w:lang w:val="fr-CA" w:eastAsia="en-CA"/>
        </w:rPr>
        <w:t>La considération reconnue au système de justice milite contre l’utilisation de la preuve</w:t>
      </w:r>
      <w:r w:rsidRPr="008C1622">
        <w:rPr>
          <w:rFonts w:cs="Times New Roman"/>
          <w:sz w:val="20"/>
          <w:szCs w:val="20"/>
          <w:lang w:val="fr-CA" w:eastAsia="en-CA"/>
        </w:rPr>
        <w:t xml:space="preserve">. </w:t>
      </w:r>
      <w:r w:rsidRPr="008C1622">
        <w:rPr>
          <w:rFonts w:eastAsia="Times New Roman" w:cs="Times New Roman"/>
          <w:sz w:val="20"/>
          <w:szCs w:val="20"/>
          <w:lang w:val="fr-CA" w:eastAsia="en-CA"/>
        </w:rPr>
        <w:t>Le droit est clair : une autorisation judiciaire est nécessaire pour pouvoir effectuer des fouilles envahissantes en vue d’obtenir des échantillons de substances corporelles. L’omission non justifiée et inexpliquée des policiers de respecter cette exigence milite contre l’utilisation de la preuve, tout comme le fait que ces derniers ont négligé de considérer qu’il puisse même ne pas être possible d’obtenir un mandat. L’omission délibérée d’envisager l’obtention d’un mandat vu l’absence de situation d’urgence constitue, au mieux, de l’insouciance; le fait d’avoir négligé la possibilité qu’en droit canadien les policiers n’étaient même pas autorisés à obtenir un prélèvement par écouvillonnage du pénis est fatal</w:t>
      </w:r>
      <w:r w:rsidRPr="008C1622">
        <w:rPr>
          <w:rFonts w:cs="Times New Roman"/>
          <w:sz w:val="20"/>
          <w:szCs w:val="20"/>
          <w:lang w:val="fr-CA" w:eastAsia="en-CA"/>
        </w:rPr>
        <w:t>.</w:t>
      </w:r>
    </w:p>
    <w:p w:rsidR="008C1622" w:rsidRPr="008C1622" w:rsidRDefault="008C1622" w:rsidP="002B3767">
      <w:pPr>
        <w:tabs>
          <w:tab w:val="left" w:pos="1168"/>
        </w:tabs>
        <w:jc w:val="both"/>
        <w:rPr>
          <w:rFonts w:eastAsia="Times New Roman" w:cs="Times New Roman"/>
          <w:sz w:val="20"/>
          <w:szCs w:val="20"/>
          <w:lang w:val="fr-CA" w:eastAsia="en-CA"/>
        </w:rPr>
      </w:pPr>
    </w:p>
    <w:p w:rsidR="002B3767" w:rsidRPr="00E85E82" w:rsidRDefault="002B3767" w:rsidP="002B3767">
      <w:pPr>
        <w:tabs>
          <w:tab w:val="left" w:pos="1168"/>
        </w:tabs>
        <w:jc w:val="both"/>
        <w:rPr>
          <w:rFonts w:eastAsia="Times New Roman" w:cs="Times New Roman"/>
          <w:sz w:val="20"/>
          <w:szCs w:val="20"/>
          <w:lang w:val="fr-CA" w:eastAsia="en-CA"/>
        </w:rPr>
      </w:pPr>
      <w:r w:rsidRPr="002B3767">
        <w:rPr>
          <w:rFonts w:eastAsia="Times New Roman" w:cs="Times New Roman"/>
          <w:sz w:val="20"/>
          <w:szCs w:val="20"/>
          <w:lang w:val="fr-CA" w:eastAsia="en-CA"/>
        </w:rPr>
        <w:tab/>
        <w:t xml:space="preserve">POURVOI contre un arrêt de la Cour d’appel de l’Alberta (les juges Watson, McDonald et </w:t>
      </w:r>
      <w:proofErr w:type="spellStart"/>
      <w:r w:rsidRPr="002B3767">
        <w:rPr>
          <w:rFonts w:eastAsia="Times New Roman" w:cs="Times New Roman"/>
          <w:sz w:val="20"/>
          <w:szCs w:val="20"/>
          <w:lang w:val="fr-CA" w:eastAsia="en-CA"/>
        </w:rPr>
        <w:t>Bielby</w:t>
      </w:r>
      <w:proofErr w:type="spellEnd"/>
      <w:r w:rsidRPr="002B3767">
        <w:rPr>
          <w:rFonts w:eastAsia="Times New Roman" w:cs="Times New Roman"/>
          <w:sz w:val="20"/>
          <w:szCs w:val="20"/>
          <w:lang w:val="fr-CA" w:eastAsia="en-CA"/>
        </w:rPr>
        <w:t xml:space="preserve">), 2014 ABCA 238, 5 Alta. L.R. (6th) 219, 315 C.C.C. (3d) 127, 314 C.R.R. (2d) 338, [2014] 12 W.W.R. 291, [2014] A.J. No. 739 (QL), 2014 </w:t>
      </w:r>
      <w:proofErr w:type="spellStart"/>
      <w:r w:rsidRPr="002B3767">
        <w:rPr>
          <w:rFonts w:eastAsia="Times New Roman" w:cs="Times New Roman"/>
          <w:sz w:val="20"/>
          <w:szCs w:val="20"/>
          <w:lang w:val="fr-CA" w:eastAsia="en-CA"/>
        </w:rPr>
        <w:t>CarswellAlta</w:t>
      </w:r>
      <w:proofErr w:type="spellEnd"/>
      <w:r w:rsidRPr="002B3767">
        <w:rPr>
          <w:rFonts w:eastAsia="Times New Roman" w:cs="Times New Roman"/>
          <w:sz w:val="20"/>
          <w:szCs w:val="20"/>
          <w:lang w:val="fr-CA" w:eastAsia="en-CA"/>
        </w:rPr>
        <w:t xml:space="preserve"> 1181 (WL Can.), qui a confirmé les déclarations de culpabilité d’agression sexuelle causant des lésions corporelles et de contacts sexuels prononcées contre l’accusé. Pourvoi rejeté, la juge Abella est dissidente.</w:t>
      </w:r>
    </w:p>
    <w:p w:rsidR="002B3767" w:rsidRPr="002B3767" w:rsidRDefault="002B3767" w:rsidP="002B3767">
      <w:pPr>
        <w:tabs>
          <w:tab w:val="left" w:pos="1168"/>
        </w:tabs>
        <w:jc w:val="both"/>
        <w:rPr>
          <w:rFonts w:eastAsia="Times New Roman" w:cs="Times New Roman"/>
          <w:sz w:val="20"/>
          <w:szCs w:val="20"/>
          <w:lang w:val="fr-CA" w:eastAsia="en-CA"/>
        </w:rPr>
      </w:pPr>
    </w:p>
    <w:p w:rsidR="002B3767" w:rsidRPr="00E85E82" w:rsidRDefault="002B3767" w:rsidP="002B3767">
      <w:pPr>
        <w:tabs>
          <w:tab w:val="left" w:pos="1168"/>
        </w:tabs>
        <w:jc w:val="both"/>
        <w:rPr>
          <w:rFonts w:eastAsia="Times New Roman" w:cs="Times New Roman"/>
          <w:sz w:val="20"/>
          <w:szCs w:val="20"/>
          <w:lang w:val="fr-CA" w:eastAsia="en-CA"/>
        </w:rPr>
      </w:pPr>
      <w:r w:rsidRPr="00E85E82">
        <w:rPr>
          <w:rFonts w:eastAsia="Times New Roman" w:cs="Times New Roman"/>
          <w:sz w:val="20"/>
          <w:szCs w:val="20"/>
          <w:lang w:val="fr-CA" w:eastAsia="en-CA"/>
        </w:rPr>
        <w:tab/>
      </w:r>
      <w:r w:rsidRPr="00E85E82">
        <w:rPr>
          <w:rFonts w:eastAsia="Times New Roman" w:cs="Times New Roman"/>
          <w:i/>
          <w:sz w:val="20"/>
          <w:szCs w:val="20"/>
          <w:lang w:val="fr-CA" w:eastAsia="en-CA"/>
        </w:rPr>
        <w:t>Peter J. Royal</w:t>
      </w:r>
      <w:r w:rsidRPr="00E85E82">
        <w:rPr>
          <w:rFonts w:eastAsia="Times New Roman" w:cs="Times New Roman"/>
          <w:sz w:val="20"/>
          <w:szCs w:val="20"/>
          <w:lang w:val="fr-CA" w:eastAsia="en-CA"/>
        </w:rPr>
        <w:t xml:space="preserve">, </w:t>
      </w:r>
      <w:proofErr w:type="spellStart"/>
      <w:proofErr w:type="gramStart"/>
      <w:r w:rsidRPr="00E85E82">
        <w:rPr>
          <w:rFonts w:eastAsia="Times New Roman" w:cs="Times New Roman"/>
          <w:i/>
          <w:sz w:val="20"/>
          <w:szCs w:val="20"/>
          <w:lang w:val="fr-CA" w:eastAsia="en-CA"/>
        </w:rPr>
        <w:t>c.r</w:t>
      </w:r>
      <w:proofErr w:type="spellEnd"/>
      <w:r w:rsidRPr="00E85E82">
        <w:rPr>
          <w:rFonts w:eastAsia="Times New Roman" w:cs="Times New Roman"/>
          <w:i/>
          <w:sz w:val="20"/>
          <w:szCs w:val="20"/>
          <w:lang w:val="fr-CA" w:eastAsia="en-CA"/>
        </w:rPr>
        <w:t>.</w:t>
      </w:r>
      <w:r w:rsidRPr="00E85E82">
        <w:rPr>
          <w:rFonts w:eastAsia="Times New Roman" w:cs="Times New Roman"/>
          <w:sz w:val="20"/>
          <w:szCs w:val="20"/>
          <w:lang w:val="fr-CA" w:eastAsia="en-CA"/>
        </w:rPr>
        <w:t>,</w:t>
      </w:r>
      <w:proofErr w:type="gramEnd"/>
      <w:r w:rsidRPr="00E85E82">
        <w:rPr>
          <w:rFonts w:eastAsia="Times New Roman" w:cs="Times New Roman"/>
          <w:sz w:val="20"/>
          <w:szCs w:val="20"/>
          <w:lang w:val="fr-CA" w:eastAsia="en-CA"/>
        </w:rPr>
        <w:t xml:space="preserve"> et </w:t>
      </w:r>
      <w:proofErr w:type="spellStart"/>
      <w:r w:rsidRPr="00E85E82">
        <w:rPr>
          <w:rFonts w:eastAsia="Times New Roman" w:cs="Times New Roman"/>
          <w:i/>
          <w:sz w:val="20"/>
          <w:szCs w:val="20"/>
          <w:lang w:val="fr-CA" w:eastAsia="en-CA"/>
        </w:rPr>
        <w:t>Conor</w:t>
      </w:r>
      <w:proofErr w:type="spellEnd"/>
      <w:r w:rsidRPr="00E85E82">
        <w:rPr>
          <w:rFonts w:eastAsia="Times New Roman" w:cs="Times New Roman"/>
          <w:i/>
          <w:sz w:val="20"/>
          <w:szCs w:val="20"/>
          <w:lang w:val="fr-CA" w:eastAsia="en-CA"/>
        </w:rPr>
        <w:t xml:space="preserve"> Davis</w:t>
      </w:r>
      <w:r w:rsidRPr="00E85E82">
        <w:rPr>
          <w:rFonts w:eastAsia="Times New Roman" w:cs="Times New Roman"/>
          <w:sz w:val="20"/>
          <w:szCs w:val="20"/>
          <w:lang w:val="fr-CA" w:eastAsia="en-CA"/>
        </w:rPr>
        <w:t>, pour l’appelant.</w:t>
      </w:r>
    </w:p>
    <w:p w:rsidR="002B3767" w:rsidRPr="002B3767" w:rsidRDefault="002B3767" w:rsidP="002B3767">
      <w:pPr>
        <w:tabs>
          <w:tab w:val="left" w:pos="1168"/>
        </w:tabs>
        <w:jc w:val="both"/>
        <w:rPr>
          <w:rFonts w:eastAsia="Times New Roman" w:cs="Times New Roman"/>
          <w:sz w:val="20"/>
          <w:szCs w:val="20"/>
          <w:lang w:val="fr-CA" w:eastAsia="en-CA"/>
        </w:rPr>
      </w:pPr>
    </w:p>
    <w:p w:rsidR="002B3767" w:rsidRPr="00E85E82" w:rsidRDefault="002B3767" w:rsidP="002B3767">
      <w:pPr>
        <w:tabs>
          <w:tab w:val="left" w:pos="1168"/>
        </w:tabs>
        <w:jc w:val="both"/>
        <w:rPr>
          <w:rFonts w:eastAsia="Times New Roman" w:cs="Times New Roman"/>
          <w:sz w:val="20"/>
          <w:szCs w:val="20"/>
          <w:lang w:val="fr-CA" w:eastAsia="en-CA"/>
        </w:rPr>
      </w:pPr>
      <w:r w:rsidRPr="00E85E82">
        <w:rPr>
          <w:rFonts w:eastAsia="Times New Roman" w:cs="Times New Roman"/>
          <w:sz w:val="20"/>
          <w:szCs w:val="20"/>
          <w:lang w:val="fr-CA" w:eastAsia="en-CA"/>
        </w:rPr>
        <w:tab/>
      </w:r>
      <w:r w:rsidRPr="00E85E82">
        <w:rPr>
          <w:rFonts w:eastAsia="Times New Roman" w:cs="Times New Roman"/>
          <w:i/>
          <w:sz w:val="20"/>
          <w:szCs w:val="20"/>
          <w:lang w:val="fr-CA" w:eastAsia="en-CA"/>
        </w:rPr>
        <w:t xml:space="preserve">Maureen J. </w:t>
      </w:r>
      <w:proofErr w:type="spellStart"/>
      <w:r w:rsidRPr="00E85E82">
        <w:rPr>
          <w:rFonts w:eastAsia="Times New Roman" w:cs="Times New Roman"/>
          <w:i/>
          <w:sz w:val="20"/>
          <w:szCs w:val="20"/>
          <w:lang w:val="fr-CA" w:eastAsia="en-CA"/>
        </w:rPr>
        <w:t>McGuire</w:t>
      </w:r>
      <w:proofErr w:type="spellEnd"/>
      <w:r w:rsidRPr="00E85E82">
        <w:rPr>
          <w:rFonts w:eastAsia="Times New Roman" w:cs="Times New Roman"/>
          <w:sz w:val="20"/>
          <w:szCs w:val="20"/>
          <w:lang w:val="fr-CA" w:eastAsia="en-CA"/>
        </w:rPr>
        <w:t xml:space="preserve"> et </w:t>
      </w:r>
      <w:proofErr w:type="spellStart"/>
      <w:r w:rsidRPr="00E85E82">
        <w:rPr>
          <w:rFonts w:eastAsia="Times New Roman" w:cs="Times New Roman"/>
          <w:i/>
          <w:sz w:val="20"/>
          <w:szCs w:val="20"/>
          <w:lang w:val="fr-CA" w:eastAsia="en-CA"/>
        </w:rPr>
        <w:t>Melanie</w:t>
      </w:r>
      <w:proofErr w:type="spellEnd"/>
      <w:r w:rsidRPr="00E85E82">
        <w:rPr>
          <w:rFonts w:eastAsia="Times New Roman" w:cs="Times New Roman"/>
          <w:i/>
          <w:sz w:val="20"/>
          <w:szCs w:val="20"/>
          <w:lang w:val="fr-CA" w:eastAsia="en-CA"/>
        </w:rPr>
        <w:t xml:space="preserve"> Hayes</w:t>
      </w:r>
      <w:r w:rsidRPr="00E85E82">
        <w:rPr>
          <w:rFonts w:eastAsia="Times New Roman" w:cs="Times New Roman"/>
          <w:i/>
          <w:sz w:val="20"/>
          <w:szCs w:val="20"/>
          <w:lang w:val="fr-CA" w:eastAsia="en-CA"/>
        </w:rPr>
        <w:noBreakHyphen/>
        <w:t>Richards</w:t>
      </w:r>
      <w:r w:rsidRPr="00E85E82">
        <w:rPr>
          <w:rFonts w:eastAsia="Times New Roman" w:cs="Times New Roman"/>
          <w:sz w:val="20"/>
          <w:szCs w:val="20"/>
          <w:lang w:val="fr-CA" w:eastAsia="en-CA"/>
        </w:rPr>
        <w:t>, pour l’intimée.</w:t>
      </w:r>
    </w:p>
    <w:p w:rsidR="002B3767" w:rsidRPr="002B3767" w:rsidRDefault="002B3767" w:rsidP="002B3767">
      <w:pPr>
        <w:tabs>
          <w:tab w:val="left" w:pos="1168"/>
        </w:tabs>
        <w:jc w:val="both"/>
        <w:rPr>
          <w:rFonts w:eastAsia="Times New Roman" w:cs="Times New Roman"/>
          <w:sz w:val="20"/>
          <w:szCs w:val="20"/>
          <w:lang w:val="fr-CA" w:eastAsia="en-CA"/>
        </w:rPr>
      </w:pPr>
    </w:p>
    <w:p w:rsidR="002B3767" w:rsidRPr="00E85E82" w:rsidRDefault="002B3767" w:rsidP="002B3767">
      <w:pPr>
        <w:tabs>
          <w:tab w:val="left" w:pos="1168"/>
        </w:tabs>
        <w:jc w:val="both"/>
        <w:rPr>
          <w:rFonts w:eastAsia="Times New Roman" w:cs="Times New Roman"/>
          <w:sz w:val="20"/>
          <w:szCs w:val="20"/>
          <w:lang w:val="fr-CA" w:eastAsia="en-CA"/>
        </w:rPr>
      </w:pPr>
      <w:r w:rsidRPr="00E85E82">
        <w:rPr>
          <w:rFonts w:eastAsia="Times New Roman" w:cs="Times New Roman"/>
          <w:sz w:val="20"/>
          <w:szCs w:val="20"/>
          <w:lang w:val="fr-CA" w:eastAsia="en-CA"/>
        </w:rPr>
        <w:tab/>
      </w:r>
      <w:r w:rsidRPr="00E85E82">
        <w:rPr>
          <w:rFonts w:eastAsia="Times New Roman" w:cs="Times New Roman"/>
          <w:i/>
          <w:sz w:val="20"/>
          <w:szCs w:val="20"/>
          <w:lang w:val="fr-CA" w:eastAsia="en-CA"/>
        </w:rPr>
        <w:t>Melissa Adams</w:t>
      </w:r>
      <w:r w:rsidRPr="00E85E82">
        <w:rPr>
          <w:rFonts w:eastAsia="Times New Roman" w:cs="Times New Roman"/>
          <w:sz w:val="20"/>
          <w:szCs w:val="20"/>
          <w:lang w:val="fr-CA" w:eastAsia="en-CA"/>
        </w:rPr>
        <w:t xml:space="preserve"> et </w:t>
      </w:r>
      <w:r w:rsidRPr="00E85E82">
        <w:rPr>
          <w:rFonts w:eastAsia="Times New Roman" w:cs="Times New Roman"/>
          <w:i/>
          <w:sz w:val="20"/>
          <w:szCs w:val="20"/>
          <w:lang w:val="fr-CA" w:eastAsia="en-CA"/>
        </w:rPr>
        <w:t xml:space="preserve">Susan </w:t>
      </w:r>
      <w:proofErr w:type="spellStart"/>
      <w:r w:rsidRPr="00E85E82">
        <w:rPr>
          <w:rFonts w:eastAsia="Times New Roman" w:cs="Times New Roman"/>
          <w:i/>
          <w:sz w:val="20"/>
          <w:szCs w:val="20"/>
          <w:lang w:val="fr-CA" w:eastAsia="en-CA"/>
        </w:rPr>
        <w:t>Magotiaux</w:t>
      </w:r>
      <w:proofErr w:type="spellEnd"/>
      <w:r w:rsidRPr="00E85E82">
        <w:rPr>
          <w:rFonts w:eastAsia="Times New Roman" w:cs="Times New Roman"/>
          <w:sz w:val="20"/>
          <w:szCs w:val="20"/>
          <w:lang w:val="fr-CA" w:eastAsia="en-CA"/>
        </w:rPr>
        <w:t>, pour l’intervenant le procureur général de l’Ontario.</w:t>
      </w:r>
    </w:p>
    <w:p w:rsidR="002B3767" w:rsidRPr="002B3767" w:rsidRDefault="002B3767" w:rsidP="002B3767">
      <w:pPr>
        <w:tabs>
          <w:tab w:val="left" w:pos="1168"/>
        </w:tabs>
        <w:jc w:val="both"/>
        <w:rPr>
          <w:rFonts w:eastAsia="Times New Roman" w:cs="Times New Roman"/>
          <w:sz w:val="20"/>
          <w:szCs w:val="20"/>
          <w:lang w:val="fr-CA" w:eastAsia="en-CA"/>
        </w:rPr>
      </w:pPr>
    </w:p>
    <w:p w:rsidR="002B3767" w:rsidRPr="00E85E82" w:rsidRDefault="002B3767" w:rsidP="002B3767">
      <w:pPr>
        <w:tabs>
          <w:tab w:val="left" w:pos="1168"/>
        </w:tabs>
        <w:jc w:val="both"/>
        <w:rPr>
          <w:rFonts w:eastAsia="Times New Roman" w:cs="Times New Roman"/>
          <w:sz w:val="20"/>
          <w:szCs w:val="20"/>
          <w:lang w:val="fr-CA" w:eastAsia="en-CA"/>
        </w:rPr>
      </w:pPr>
      <w:r w:rsidRPr="00E85E82">
        <w:rPr>
          <w:rFonts w:eastAsia="Times New Roman" w:cs="Times New Roman"/>
          <w:sz w:val="20"/>
          <w:szCs w:val="20"/>
          <w:lang w:val="fr-CA" w:eastAsia="en-CA"/>
        </w:rPr>
        <w:tab/>
      </w:r>
      <w:r w:rsidRPr="00E85E82">
        <w:rPr>
          <w:rFonts w:eastAsia="Times New Roman" w:cs="Times New Roman"/>
          <w:i/>
          <w:sz w:val="20"/>
          <w:szCs w:val="20"/>
          <w:lang w:val="fr-CA" w:eastAsia="en-CA"/>
        </w:rPr>
        <w:t xml:space="preserve">David </w:t>
      </w:r>
      <w:proofErr w:type="spellStart"/>
      <w:r w:rsidRPr="00E85E82">
        <w:rPr>
          <w:rFonts w:eastAsia="Times New Roman" w:cs="Times New Roman"/>
          <w:i/>
          <w:sz w:val="20"/>
          <w:szCs w:val="20"/>
          <w:lang w:val="fr-CA" w:eastAsia="en-CA"/>
        </w:rPr>
        <w:t>Lynass</w:t>
      </w:r>
      <w:proofErr w:type="spellEnd"/>
      <w:r w:rsidRPr="00E85E82">
        <w:rPr>
          <w:rFonts w:eastAsia="Times New Roman" w:cs="Times New Roman"/>
          <w:sz w:val="20"/>
          <w:szCs w:val="20"/>
          <w:lang w:val="fr-CA" w:eastAsia="en-CA"/>
        </w:rPr>
        <w:t xml:space="preserve"> et </w:t>
      </w:r>
      <w:r w:rsidRPr="00E85E82">
        <w:rPr>
          <w:rFonts w:eastAsia="Times New Roman" w:cs="Times New Roman"/>
          <w:i/>
          <w:sz w:val="20"/>
          <w:szCs w:val="20"/>
          <w:lang w:val="fr-CA" w:eastAsia="en-CA"/>
        </w:rPr>
        <w:t>Greg Preston</w:t>
      </w:r>
      <w:r w:rsidRPr="00E85E82">
        <w:rPr>
          <w:rFonts w:eastAsia="Times New Roman" w:cs="Times New Roman"/>
          <w:sz w:val="20"/>
          <w:szCs w:val="20"/>
          <w:lang w:val="fr-CA" w:eastAsia="en-CA"/>
        </w:rPr>
        <w:t>, pour l’intervenante l’Association canadienne des chefs de police.</w:t>
      </w:r>
    </w:p>
    <w:p w:rsidR="002B3767" w:rsidRPr="002B3767" w:rsidRDefault="002B3767" w:rsidP="002B3767">
      <w:pPr>
        <w:tabs>
          <w:tab w:val="left" w:pos="1168"/>
        </w:tabs>
        <w:jc w:val="both"/>
        <w:rPr>
          <w:rFonts w:eastAsia="Times New Roman" w:cs="Times New Roman"/>
          <w:sz w:val="20"/>
          <w:szCs w:val="20"/>
          <w:lang w:val="fr-CA" w:eastAsia="en-CA"/>
        </w:rPr>
      </w:pPr>
    </w:p>
    <w:p w:rsidR="002B3767" w:rsidRPr="00E85E82" w:rsidRDefault="002B3767" w:rsidP="002B3767">
      <w:pPr>
        <w:tabs>
          <w:tab w:val="left" w:pos="1168"/>
        </w:tabs>
        <w:jc w:val="both"/>
        <w:rPr>
          <w:rFonts w:eastAsia="Times New Roman" w:cs="Times New Roman"/>
          <w:sz w:val="20"/>
          <w:szCs w:val="20"/>
          <w:lang w:val="fr-CA" w:eastAsia="en-CA"/>
        </w:rPr>
      </w:pPr>
      <w:r w:rsidRPr="00E85E82">
        <w:rPr>
          <w:rFonts w:eastAsia="Times New Roman" w:cs="Times New Roman"/>
          <w:sz w:val="20"/>
          <w:szCs w:val="20"/>
          <w:lang w:val="fr-CA" w:eastAsia="en-CA"/>
        </w:rPr>
        <w:tab/>
      </w:r>
      <w:r w:rsidRPr="00E85E82">
        <w:rPr>
          <w:rFonts w:eastAsia="Times New Roman" w:cs="Times New Roman"/>
          <w:i/>
          <w:sz w:val="20"/>
          <w:szCs w:val="20"/>
          <w:lang w:val="fr-CA" w:eastAsia="en-CA"/>
        </w:rPr>
        <w:t xml:space="preserve">Howard L. </w:t>
      </w:r>
      <w:proofErr w:type="spellStart"/>
      <w:r w:rsidRPr="00E85E82">
        <w:rPr>
          <w:rFonts w:eastAsia="Times New Roman" w:cs="Times New Roman"/>
          <w:i/>
          <w:sz w:val="20"/>
          <w:szCs w:val="20"/>
          <w:lang w:val="fr-CA" w:eastAsia="en-CA"/>
        </w:rPr>
        <w:t>Krongold</w:t>
      </w:r>
      <w:proofErr w:type="spellEnd"/>
      <w:r w:rsidRPr="00E85E82">
        <w:rPr>
          <w:rFonts w:eastAsia="Times New Roman" w:cs="Times New Roman"/>
          <w:sz w:val="20"/>
          <w:szCs w:val="20"/>
          <w:lang w:val="fr-CA" w:eastAsia="en-CA"/>
        </w:rPr>
        <w:t xml:space="preserve"> et </w:t>
      </w:r>
      <w:r w:rsidRPr="00E85E82">
        <w:rPr>
          <w:rFonts w:eastAsia="Times New Roman" w:cs="Times New Roman"/>
          <w:i/>
          <w:sz w:val="20"/>
          <w:szCs w:val="20"/>
          <w:lang w:val="fr-CA" w:eastAsia="en-CA"/>
        </w:rPr>
        <w:t xml:space="preserve">Vanessa </w:t>
      </w:r>
      <w:proofErr w:type="spellStart"/>
      <w:r w:rsidRPr="00E85E82">
        <w:rPr>
          <w:rFonts w:eastAsia="Times New Roman" w:cs="Times New Roman"/>
          <w:i/>
          <w:sz w:val="20"/>
          <w:szCs w:val="20"/>
          <w:lang w:val="fr-CA" w:eastAsia="en-CA"/>
        </w:rPr>
        <w:t>MacDonnell</w:t>
      </w:r>
      <w:proofErr w:type="spellEnd"/>
      <w:r w:rsidRPr="00E85E82">
        <w:rPr>
          <w:rFonts w:eastAsia="Times New Roman" w:cs="Times New Roman"/>
          <w:sz w:val="20"/>
          <w:szCs w:val="20"/>
          <w:lang w:val="fr-CA" w:eastAsia="en-CA"/>
        </w:rPr>
        <w:t xml:space="preserve">, pour l’intervenante </w:t>
      </w:r>
      <w:proofErr w:type="spellStart"/>
      <w:r w:rsidRPr="00E85E82">
        <w:rPr>
          <w:rFonts w:eastAsia="Times New Roman" w:cs="Times New Roman"/>
          <w:sz w:val="20"/>
          <w:szCs w:val="20"/>
          <w:lang w:val="fr-CA" w:eastAsia="en-CA"/>
        </w:rPr>
        <w:t>Criminal</w:t>
      </w:r>
      <w:proofErr w:type="spellEnd"/>
      <w:r w:rsidRPr="00E85E82">
        <w:rPr>
          <w:rFonts w:eastAsia="Times New Roman" w:cs="Times New Roman"/>
          <w:sz w:val="20"/>
          <w:szCs w:val="20"/>
          <w:lang w:val="fr-CA" w:eastAsia="en-CA"/>
        </w:rPr>
        <w:t xml:space="preserve"> </w:t>
      </w:r>
      <w:proofErr w:type="spellStart"/>
      <w:r w:rsidRPr="00E85E82">
        <w:rPr>
          <w:rFonts w:eastAsia="Times New Roman" w:cs="Times New Roman"/>
          <w:sz w:val="20"/>
          <w:szCs w:val="20"/>
          <w:lang w:val="fr-CA" w:eastAsia="en-CA"/>
        </w:rPr>
        <w:t>Lawyers</w:t>
      </w:r>
      <w:proofErr w:type="spellEnd"/>
      <w:r w:rsidRPr="00E85E82">
        <w:rPr>
          <w:rFonts w:eastAsia="Times New Roman" w:cs="Times New Roman"/>
          <w:sz w:val="20"/>
          <w:szCs w:val="20"/>
          <w:lang w:val="fr-CA" w:eastAsia="en-CA"/>
        </w:rPr>
        <w:t>’ Association (Ontario).</w:t>
      </w:r>
    </w:p>
    <w:p w:rsidR="002B3767" w:rsidRPr="002B3767" w:rsidRDefault="002B3767" w:rsidP="002B3767">
      <w:pPr>
        <w:tabs>
          <w:tab w:val="left" w:pos="1168"/>
        </w:tabs>
        <w:jc w:val="both"/>
        <w:rPr>
          <w:rFonts w:eastAsia="Times New Roman" w:cs="Times New Roman"/>
          <w:sz w:val="20"/>
          <w:szCs w:val="20"/>
          <w:lang w:val="fr-CA" w:eastAsia="en-CA"/>
        </w:rPr>
      </w:pPr>
    </w:p>
    <w:p w:rsidR="002B3767" w:rsidRPr="00E85E82" w:rsidRDefault="002B3767" w:rsidP="002B3767">
      <w:pPr>
        <w:tabs>
          <w:tab w:val="left" w:pos="1168"/>
        </w:tabs>
        <w:jc w:val="both"/>
        <w:rPr>
          <w:rFonts w:eastAsia="Times New Roman" w:cs="Times New Roman"/>
          <w:i/>
          <w:sz w:val="20"/>
          <w:szCs w:val="20"/>
          <w:lang w:val="fr-CA" w:eastAsia="en-CA"/>
        </w:rPr>
      </w:pPr>
      <w:r w:rsidRPr="002B3767">
        <w:rPr>
          <w:rFonts w:eastAsia="Times New Roman" w:cs="Times New Roman"/>
          <w:i/>
          <w:sz w:val="20"/>
          <w:szCs w:val="20"/>
          <w:lang w:val="fr-CA" w:eastAsia="en-CA"/>
        </w:rPr>
        <w:tab/>
        <w:t xml:space="preserve">Procureurs de l’appelant : Royal &amp; </w:t>
      </w:r>
      <w:proofErr w:type="spellStart"/>
      <w:r w:rsidRPr="002B3767">
        <w:rPr>
          <w:rFonts w:eastAsia="Times New Roman" w:cs="Times New Roman"/>
          <w:i/>
          <w:sz w:val="20"/>
          <w:szCs w:val="20"/>
          <w:lang w:val="fr-CA" w:eastAsia="en-CA"/>
        </w:rPr>
        <w:t>Company</w:t>
      </w:r>
      <w:proofErr w:type="spellEnd"/>
      <w:r w:rsidRPr="002B3767">
        <w:rPr>
          <w:rFonts w:eastAsia="Times New Roman" w:cs="Times New Roman"/>
          <w:i/>
          <w:sz w:val="20"/>
          <w:szCs w:val="20"/>
          <w:lang w:val="fr-CA" w:eastAsia="en-CA"/>
        </w:rPr>
        <w:t xml:space="preserve">, Edmonton; </w:t>
      </w:r>
      <w:proofErr w:type="spellStart"/>
      <w:r w:rsidRPr="002B3767">
        <w:rPr>
          <w:rFonts w:eastAsia="Times New Roman" w:cs="Times New Roman"/>
          <w:i/>
          <w:sz w:val="20"/>
          <w:szCs w:val="20"/>
          <w:lang w:val="fr-CA" w:eastAsia="en-CA"/>
        </w:rPr>
        <w:t>Conor</w:t>
      </w:r>
      <w:proofErr w:type="spellEnd"/>
      <w:r w:rsidRPr="002B3767">
        <w:rPr>
          <w:rFonts w:eastAsia="Times New Roman" w:cs="Times New Roman"/>
          <w:i/>
          <w:sz w:val="20"/>
          <w:szCs w:val="20"/>
          <w:lang w:val="fr-CA" w:eastAsia="en-CA"/>
        </w:rPr>
        <w:t xml:space="preserve"> Davis, Edmonton.</w:t>
      </w:r>
    </w:p>
    <w:p w:rsidR="002B3767" w:rsidRPr="002B3767" w:rsidRDefault="002B3767" w:rsidP="002B3767">
      <w:pPr>
        <w:tabs>
          <w:tab w:val="left" w:pos="1168"/>
        </w:tabs>
        <w:jc w:val="both"/>
        <w:rPr>
          <w:rFonts w:eastAsia="Times New Roman" w:cs="Times New Roman"/>
          <w:i/>
          <w:sz w:val="20"/>
          <w:szCs w:val="20"/>
          <w:lang w:val="fr-CA" w:eastAsia="en-CA"/>
        </w:rPr>
      </w:pPr>
    </w:p>
    <w:p w:rsidR="002B3767" w:rsidRPr="00E85E82" w:rsidRDefault="002B3767" w:rsidP="002B3767">
      <w:pPr>
        <w:tabs>
          <w:tab w:val="left" w:pos="1168"/>
        </w:tabs>
        <w:jc w:val="both"/>
        <w:rPr>
          <w:rFonts w:eastAsia="Times New Roman" w:cs="Times New Roman"/>
          <w:i/>
          <w:sz w:val="20"/>
          <w:szCs w:val="20"/>
          <w:lang w:val="fr-CA" w:eastAsia="en-CA"/>
        </w:rPr>
      </w:pPr>
      <w:r w:rsidRPr="002B3767">
        <w:rPr>
          <w:rFonts w:eastAsia="Times New Roman" w:cs="Times New Roman"/>
          <w:i/>
          <w:sz w:val="20"/>
          <w:szCs w:val="20"/>
          <w:lang w:val="fr-CA" w:eastAsia="en-CA"/>
        </w:rPr>
        <w:tab/>
        <w:t>Procureur de l’intimée : Procureur général de l’Alberta, Edmonton.</w:t>
      </w:r>
    </w:p>
    <w:p w:rsidR="002B3767" w:rsidRPr="002B3767" w:rsidRDefault="002B3767" w:rsidP="002B3767">
      <w:pPr>
        <w:tabs>
          <w:tab w:val="left" w:pos="1168"/>
        </w:tabs>
        <w:jc w:val="both"/>
        <w:rPr>
          <w:rFonts w:eastAsia="Times New Roman" w:cs="Times New Roman"/>
          <w:i/>
          <w:sz w:val="20"/>
          <w:szCs w:val="20"/>
          <w:lang w:val="fr-CA" w:eastAsia="en-CA"/>
        </w:rPr>
      </w:pPr>
    </w:p>
    <w:p w:rsidR="002B3767" w:rsidRPr="00E85E82" w:rsidRDefault="002B3767" w:rsidP="002B3767">
      <w:pPr>
        <w:tabs>
          <w:tab w:val="left" w:pos="1168"/>
        </w:tabs>
        <w:jc w:val="both"/>
        <w:rPr>
          <w:rFonts w:eastAsia="Times New Roman" w:cs="Times New Roman"/>
          <w:i/>
          <w:sz w:val="20"/>
          <w:szCs w:val="20"/>
          <w:lang w:val="fr-CA" w:eastAsia="en-CA"/>
        </w:rPr>
      </w:pPr>
      <w:r w:rsidRPr="002B3767">
        <w:rPr>
          <w:rFonts w:eastAsia="Times New Roman" w:cs="Times New Roman"/>
          <w:i/>
          <w:sz w:val="20"/>
          <w:szCs w:val="20"/>
          <w:lang w:val="fr-CA" w:eastAsia="en-CA"/>
        </w:rPr>
        <w:tab/>
        <w:t>Procureur de l’intervenant le procureur général de l’Ontario : Procureur général de l’Ontario, Toronto.</w:t>
      </w:r>
    </w:p>
    <w:p w:rsidR="002B3767" w:rsidRPr="002B3767" w:rsidRDefault="002B3767" w:rsidP="002B3767">
      <w:pPr>
        <w:tabs>
          <w:tab w:val="left" w:pos="1168"/>
        </w:tabs>
        <w:jc w:val="both"/>
        <w:rPr>
          <w:rFonts w:eastAsia="Times New Roman" w:cs="Times New Roman"/>
          <w:i/>
          <w:sz w:val="20"/>
          <w:szCs w:val="20"/>
          <w:lang w:val="fr-CA" w:eastAsia="en-CA"/>
        </w:rPr>
      </w:pPr>
    </w:p>
    <w:p w:rsidR="002B3767" w:rsidRPr="00E85E82" w:rsidRDefault="002B3767" w:rsidP="002B3767">
      <w:pPr>
        <w:tabs>
          <w:tab w:val="left" w:pos="1168"/>
        </w:tabs>
        <w:jc w:val="both"/>
        <w:rPr>
          <w:rFonts w:eastAsia="Times New Roman" w:cs="Times New Roman"/>
          <w:i/>
          <w:sz w:val="20"/>
          <w:szCs w:val="20"/>
          <w:lang w:val="fr-CA" w:eastAsia="en-CA"/>
        </w:rPr>
      </w:pPr>
      <w:r w:rsidRPr="002B3767">
        <w:rPr>
          <w:rFonts w:eastAsia="Times New Roman" w:cs="Times New Roman"/>
          <w:i/>
          <w:sz w:val="20"/>
          <w:szCs w:val="20"/>
          <w:lang w:val="fr-CA" w:eastAsia="en-CA"/>
        </w:rPr>
        <w:tab/>
        <w:t>Procureur de l’intervenante l’Association canadienne des chefs de police : Edmonton Police Service, Edmonton.</w:t>
      </w:r>
    </w:p>
    <w:p w:rsidR="002B3767" w:rsidRPr="002B3767" w:rsidRDefault="002B3767" w:rsidP="002B3767">
      <w:pPr>
        <w:tabs>
          <w:tab w:val="left" w:pos="1168"/>
        </w:tabs>
        <w:jc w:val="both"/>
        <w:rPr>
          <w:rFonts w:eastAsia="Times New Roman" w:cs="Times New Roman"/>
          <w:i/>
          <w:sz w:val="20"/>
          <w:szCs w:val="20"/>
          <w:lang w:val="fr-CA" w:eastAsia="en-CA"/>
        </w:rPr>
      </w:pPr>
    </w:p>
    <w:p w:rsidR="002B3767" w:rsidRPr="00E85E82" w:rsidRDefault="002B3767" w:rsidP="002B3767">
      <w:pPr>
        <w:tabs>
          <w:tab w:val="left" w:pos="1168"/>
        </w:tabs>
        <w:jc w:val="both"/>
        <w:rPr>
          <w:rFonts w:eastAsia="Times New Roman" w:cs="Times New Roman"/>
          <w:i/>
          <w:sz w:val="20"/>
          <w:szCs w:val="20"/>
          <w:lang w:val="fr-CA" w:eastAsia="en-CA"/>
        </w:rPr>
      </w:pPr>
      <w:r w:rsidRPr="002B3767">
        <w:rPr>
          <w:rFonts w:eastAsia="Times New Roman" w:cs="Times New Roman"/>
          <w:i/>
          <w:sz w:val="20"/>
          <w:szCs w:val="20"/>
          <w:lang w:val="fr-CA" w:eastAsia="en-CA"/>
        </w:rPr>
        <w:tab/>
        <w:t xml:space="preserve">Procureurs de l’intervenante </w:t>
      </w:r>
      <w:proofErr w:type="spellStart"/>
      <w:r w:rsidRPr="002B3767">
        <w:rPr>
          <w:rFonts w:eastAsia="Times New Roman" w:cs="Times New Roman"/>
          <w:i/>
          <w:sz w:val="20"/>
          <w:szCs w:val="20"/>
          <w:lang w:val="fr-CA" w:eastAsia="en-CA"/>
        </w:rPr>
        <w:t>Criminal</w:t>
      </w:r>
      <w:proofErr w:type="spellEnd"/>
      <w:r w:rsidRPr="002B3767">
        <w:rPr>
          <w:rFonts w:eastAsia="Times New Roman" w:cs="Times New Roman"/>
          <w:i/>
          <w:sz w:val="20"/>
          <w:szCs w:val="20"/>
          <w:lang w:val="fr-CA" w:eastAsia="en-CA"/>
        </w:rPr>
        <w:t xml:space="preserve"> </w:t>
      </w:r>
      <w:proofErr w:type="spellStart"/>
      <w:r w:rsidRPr="002B3767">
        <w:rPr>
          <w:rFonts w:eastAsia="Times New Roman" w:cs="Times New Roman"/>
          <w:i/>
          <w:sz w:val="20"/>
          <w:szCs w:val="20"/>
          <w:lang w:val="fr-CA" w:eastAsia="en-CA"/>
        </w:rPr>
        <w:t>Lawyers</w:t>
      </w:r>
      <w:proofErr w:type="spellEnd"/>
      <w:r w:rsidRPr="002B3767">
        <w:rPr>
          <w:rFonts w:eastAsia="Times New Roman" w:cs="Times New Roman"/>
          <w:i/>
          <w:sz w:val="20"/>
          <w:szCs w:val="20"/>
          <w:lang w:val="fr-CA" w:eastAsia="en-CA"/>
        </w:rPr>
        <w:t>’ Association (Ontario) : </w:t>
      </w:r>
      <w:proofErr w:type="spellStart"/>
      <w:r w:rsidRPr="002B3767">
        <w:rPr>
          <w:rFonts w:eastAsia="Times New Roman" w:cs="Times New Roman"/>
          <w:i/>
          <w:sz w:val="20"/>
          <w:szCs w:val="20"/>
          <w:lang w:val="fr-CA" w:eastAsia="en-CA"/>
        </w:rPr>
        <w:t>Abergel</w:t>
      </w:r>
      <w:proofErr w:type="spellEnd"/>
      <w:r w:rsidRPr="002B3767">
        <w:rPr>
          <w:rFonts w:eastAsia="Times New Roman" w:cs="Times New Roman"/>
          <w:i/>
          <w:sz w:val="20"/>
          <w:szCs w:val="20"/>
          <w:lang w:val="fr-CA" w:eastAsia="en-CA"/>
        </w:rPr>
        <w:t xml:space="preserve"> Goldstein &amp; </w:t>
      </w:r>
      <w:proofErr w:type="spellStart"/>
      <w:r w:rsidRPr="002B3767">
        <w:rPr>
          <w:rFonts w:eastAsia="Times New Roman" w:cs="Times New Roman"/>
          <w:i/>
          <w:sz w:val="20"/>
          <w:szCs w:val="20"/>
          <w:lang w:val="fr-CA" w:eastAsia="en-CA"/>
        </w:rPr>
        <w:t>Partners</w:t>
      </w:r>
      <w:proofErr w:type="spellEnd"/>
      <w:r w:rsidRPr="002B3767">
        <w:rPr>
          <w:rFonts w:eastAsia="Times New Roman" w:cs="Times New Roman"/>
          <w:i/>
          <w:sz w:val="20"/>
          <w:szCs w:val="20"/>
          <w:lang w:val="fr-CA" w:eastAsia="en-CA"/>
        </w:rPr>
        <w:t>, Ottawa.</w:t>
      </w:r>
    </w:p>
    <w:p w:rsidR="006C7757" w:rsidRPr="00E85E82" w:rsidRDefault="006C7757" w:rsidP="005C6840">
      <w:pPr>
        <w:rPr>
          <w:rFonts w:cs="Times New Roman"/>
          <w:sz w:val="20"/>
          <w:szCs w:val="20"/>
          <w:lang w:val="fr-CA"/>
        </w:rPr>
      </w:pPr>
    </w:p>
    <w:p w:rsidR="005C6840" w:rsidRPr="00E85E82" w:rsidRDefault="00B407D6" w:rsidP="005C6840">
      <w:pPr>
        <w:rPr>
          <w:lang w:val="fr-CA"/>
        </w:rPr>
      </w:pPr>
      <w:r>
        <w:rPr>
          <w:rFonts w:cs="Times New Roman"/>
          <w:sz w:val="20"/>
          <w:szCs w:val="20"/>
          <w:lang w:val="fr-CA"/>
        </w:rPr>
        <w:pict>
          <v:rect id="_x0000_i1096" style="width:144.3pt;height:1pt" o:hrpct="300" o:hralign="center" o:hrstd="t" o:hrnoshade="t" o:hr="t" fillcolor="black [3213]" stroked="f"/>
        </w:pict>
      </w:r>
      <w:r w:rsidR="005C6840" w:rsidRPr="00E85E82">
        <w:rPr>
          <w:lang w:val="fr-CA"/>
        </w:rPr>
        <w:br w:type="page"/>
      </w:r>
    </w:p>
    <w:p w:rsidR="0052229C" w:rsidRPr="00C556BB" w:rsidRDefault="000F110A" w:rsidP="0052229C">
      <w:pPr>
        <w:ind w:left="720" w:hanging="720"/>
        <w:rPr>
          <w:rFonts w:eastAsia="Calibri" w:cs="Times New Roman"/>
          <w:b/>
          <w:sz w:val="20"/>
          <w:szCs w:val="20"/>
        </w:rPr>
      </w:pPr>
      <w:r w:rsidRPr="00C556BB">
        <w:rPr>
          <w:rFonts w:cs="Times New Roman"/>
          <w:i/>
          <w:sz w:val="20"/>
          <w:szCs w:val="20"/>
        </w:rPr>
        <w:t>Workers’ Compensation Appeal Tribunal et al.</w:t>
      </w:r>
      <w:r w:rsidR="0052229C" w:rsidRPr="00C556BB">
        <w:rPr>
          <w:rFonts w:cs="Times New Roman"/>
          <w:i/>
          <w:sz w:val="20"/>
          <w:szCs w:val="20"/>
        </w:rPr>
        <w:t xml:space="preserve"> v. </w:t>
      </w:r>
      <w:r w:rsidRPr="00C556BB">
        <w:rPr>
          <w:rFonts w:cs="Times New Roman"/>
          <w:i/>
          <w:sz w:val="20"/>
          <w:szCs w:val="20"/>
        </w:rPr>
        <w:t>Fraser Health Authority et al.</w:t>
      </w:r>
      <w:r w:rsidR="0052229C" w:rsidRPr="00C556BB">
        <w:rPr>
          <w:rFonts w:cs="Times New Roman"/>
          <w:sz w:val="20"/>
          <w:szCs w:val="20"/>
        </w:rPr>
        <w:t xml:space="preserve"> (</w:t>
      </w:r>
      <w:r w:rsidRPr="00C556BB">
        <w:rPr>
          <w:rFonts w:cs="Times New Roman"/>
          <w:sz w:val="20"/>
          <w:szCs w:val="20"/>
        </w:rPr>
        <w:t>B</w:t>
      </w:r>
      <w:r w:rsidR="0052229C" w:rsidRPr="00C556BB">
        <w:rPr>
          <w:rFonts w:cs="Times New Roman"/>
          <w:sz w:val="20"/>
          <w:szCs w:val="20"/>
        </w:rPr>
        <w:t>.</w:t>
      </w:r>
      <w:r w:rsidRPr="00C556BB">
        <w:rPr>
          <w:rFonts w:cs="Times New Roman"/>
          <w:sz w:val="20"/>
          <w:szCs w:val="20"/>
        </w:rPr>
        <w:t>C</w:t>
      </w:r>
      <w:r w:rsidR="0052229C" w:rsidRPr="00C556BB">
        <w:rPr>
          <w:rFonts w:cs="Times New Roman"/>
          <w:sz w:val="20"/>
          <w:szCs w:val="20"/>
        </w:rPr>
        <w:t>.) (</w:t>
      </w:r>
      <w:hyperlink r:id="rId95" w:history="1">
        <w:r w:rsidR="0052229C" w:rsidRPr="00C556BB">
          <w:rPr>
            <w:rStyle w:val="Hyperlink"/>
            <w:rFonts w:cs="Times New Roman"/>
            <w:sz w:val="20"/>
            <w:szCs w:val="20"/>
          </w:rPr>
          <w:t>3</w:t>
        </w:r>
        <w:r w:rsidRPr="00C556BB">
          <w:rPr>
            <w:rStyle w:val="Hyperlink"/>
            <w:rFonts w:cs="Times New Roman"/>
            <w:sz w:val="20"/>
            <w:szCs w:val="20"/>
          </w:rPr>
          <w:t>6300</w:t>
        </w:r>
      </w:hyperlink>
      <w:r w:rsidR="0052229C" w:rsidRPr="00C556BB">
        <w:rPr>
          <w:rFonts w:cs="Times New Roman"/>
          <w:sz w:val="20"/>
          <w:szCs w:val="20"/>
        </w:rPr>
        <w:t>)</w:t>
      </w:r>
    </w:p>
    <w:p w:rsidR="0052229C" w:rsidRPr="00C556BB" w:rsidRDefault="0052229C" w:rsidP="0052229C">
      <w:pPr>
        <w:jc w:val="both"/>
        <w:rPr>
          <w:rFonts w:cs="Times New Roman"/>
          <w:b/>
          <w:sz w:val="20"/>
          <w:szCs w:val="20"/>
        </w:rPr>
      </w:pPr>
      <w:r w:rsidRPr="00C556BB">
        <w:rPr>
          <w:rFonts w:cs="Times New Roman"/>
          <w:b/>
          <w:sz w:val="20"/>
          <w:szCs w:val="20"/>
        </w:rPr>
        <w:t xml:space="preserve">Indexed as:  </w:t>
      </w:r>
      <w:r w:rsidR="00896AAB" w:rsidRPr="00C556BB">
        <w:rPr>
          <w:rFonts w:cs="Times New Roman"/>
          <w:b/>
          <w:sz w:val="20"/>
          <w:szCs w:val="20"/>
        </w:rPr>
        <w:t>British Columbia (Workers’ Compensation Appeal Tribunal)</w:t>
      </w:r>
      <w:r w:rsidRPr="00C556BB">
        <w:rPr>
          <w:rFonts w:cs="Times New Roman"/>
          <w:b/>
          <w:sz w:val="20"/>
          <w:szCs w:val="20"/>
        </w:rPr>
        <w:t xml:space="preserve"> </w:t>
      </w:r>
      <w:r w:rsidRPr="00C556BB">
        <w:rPr>
          <w:rFonts w:cs="Times New Roman"/>
          <w:b/>
          <w:i/>
          <w:sz w:val="20"/>
          <w:szCs w:val="20"/>
        </w:rPr>
        <w:t xml:space="preserve">v. </w:t>
      </w:r>
      <w:r w:rsidR="00896AAB" w:rsidRPr="00C556BB">
        <w:rPr>
          <w:rFonts w:cs="Times New Roman"/>
          <w:b/>
          <w:sz w:val="20"/>
          <w:szCs w:val="20"/>
        </w:rPr>
        <w:t>Fraser Health Authority</w:t>
      </w:r>
      <w:r w:rsidRPr="00C556BB">
        <w:rPr>
          <w:rStyle w:val="SCCAppellantForIndexChar"/>
          <w:rFonts w:eastAsiaTheme="minorHAnsi"/>
          <w:sz w:val="20"/>
          <w:lang w:val="en-CA"/>
        </w:rPr>
        <w:t xml:space="preserve"> / </w:t>
      </w:r>
      <w:proofErr w:type="spellStart"/>
      <w:proofErr w:type="gramStart"/>
      <w:r w:rsidRPr="00C556BB">
        <w:rPr>
          <w:rFonts w:cs="Times New Roman"/>
          <w:b/>
          <w:sz w:val="20"/>
          <w:szCs w:val="20"/>
        </w:rPr>
        <w:t>Répertorié</w:t>
      </w:r>
      <w:proofErr w:type="spellEnd"/>
      <w:r w:rsidRPr="00C556BB">
        <w:rPr>
          <w:rFonts w:cs="Times New Roman"/>
          <w:b/>
          <w:sz w:val="20"/>
          <w:szCs w:val="20"/>
        </w:rPr>
        <w:t> :</w:t>
      </w:r>
      <w:proofErr w:type="gramEnd"/>
      <w:r w:rsidRPr="00C556BB">
        <w:rPr>
          <w:rFonts w:cs="Times New Roman"/>
          <w:b/>
          <w:sz w:val="20"/>
          <w:szCs w:val="20"/>
        </w:rPr>
        <w:t> </w:t>
      </w:r>
      <w:proofErr w:type="spellStart"/>
      <w:r w:rsidR="00896AAB" w:rsidRPr="00C556BB">
        <w:rPr>
          <w:rFonts w:cs="Times New Roman"/>
          <w:b/>
          <w:sz w:val="20"/>
          <w:szCs w:val="20"/>
        </w:rPr>
        <w:t>Colombie-Britannique</w:t>
      </w:r>
      <w:proofErr w:type="spellEnd"/>
      <w:r w:rsidR="00896AAB" w:rsidRPr="00C556BB">
        <w:rPr>
          <w:rFonts w:cs="Times New Roman"/>
          <w:b/>
          <w:sz w:val="20"/>
          <w:szCs w:val="20"/>
        </w:rPr>
        <w:t xml:space="preserve"> (Workers’ Compensation Appeal Tribunal)</w:t>
      </w:r>
      <w:r w:rsidRPr="00C556BB">
        <w:rPr>
          <w:rFonts w:cs="Times New Roman"/>
          <w:b/>
          <w:sz w:val="20"/>
          <w:szCs w:val="20"/>
        </w:rPr>
        <w:t xml:space="preserve"> </w:t>
      </w:r>
      <w:r w:rsidRPr="00C556BB">
        <w:rPr>
          <w:rFonts w:cs="Times New Roman"/>
          <w:b/>
          <w:i/>
          <w:sz w:val="20"/>
          <w:szCs w:val="20"/>
        </w:rPr>
        <w:t xml:space="preserve">c. </w:t>
      </w:r>
      <w:r w:rsidR="00896AAB" w:rsidRPr="00C556BB">
        <w:rPr>
          <w:rStyle w:val="SCCAppellantForIndexChar"/>
          <w:rFonts w:eastAsiaTheme="minorHAnsi"/>
          <w:sz w:val="20"/>
          <w:lang w:val="en-CA"/>
        </w:rPr>
        <w:t>Fraser Health Authority</w:t>
      </w:r>
    </w:p>
    <w:p w:rsidR="0052229C" w:rsidRPr="00C556BB" w:rsidRDefault="0052229C" w:rsidP="0052229C">
      <w:pPr>
        <w:pStyle w:val="SCCSystemYear"/>
        <w:jc w:val="both"/>
        <w:rPr>
          <w:sz w:val="20"/>
        </w:rPr>
      </w:pPr>
      <w:proofErr w:type="spellStart"/>
      <w:r w:rsidRPr="00C556BB">
        <w:rPr>
          <w:sz w:val="20"/>
        </w:rPr>
        <w:t>Neutral</w:t>
      </w:r>
      <w:proofErr w:type="spellEnd"/>
      <w:r w:rsidRPr="00C556BB">
        <w:rPr>
          <w:sz w:val="20"/>
        </w:rPr>
        <w:t xml:space="preserve"> citation</w:t>
      </w:r>
      <w:proofErr w:type="gramStart"/>
      <w:r w:rsidRPr="00C556BB">
        <w:rPr>
          <w:sz w:val="20"/>
        </w:rPr>
        <w:t xml:space="preserve">:  </w:t>
      </w:r>
      <w:r w:rsidR="0030050B" w:rsidRPr="00C556BB">
        <w:rPr>
          <w:sz w:val="20"/>
        </w:rPr>
        <w:t>2016</w:t>
      </w:r>
      <w:proofErr w:type="gramEnd"/>
      <w:r w:rsidRPr="00C556BB">
        <w:rPr>
          <w:sz w:val="20"/>
        </w:rPr>
        <w:t xml:space="preserve"> SCC </w:t>
      </w:r>
      <w:r w:rsidR="00E9749B" w:rsidRPr="00C556BB">
        <w:rPr>
          <w:sz w:val="20"/>
        </w:rPr>
        <w:t>25</w:t>
      </w:r>
      <w:r w:rsidRPr="00C556BB">
        <w:rPr>
          <w:sz w:val="20"/>
        </w:rPr>
        <w:t xml:space="preserve"> / Référence neutre : </w:t>
      </w:r>
      <w:r w:rsidR="0030050B" w:rsidRPr="00C556BB">
        <w:rPr>
          <w:sz w:val="20"/>
        </w:rPr>
        <w:t>2016</w:t>
      </w:r>
      <w:r w:rsidRPr="00C556BB">
        <w:rPr>
          <w:sz w:val="20"/>
        </w:rPr>
        <w:t xml:space="preserve"> CSC </w:t>
      </w:r>
      <w:r w:rsidR="00E9749B" w:rsidRPr="00C556BB">
        <w:rPr>
          <w:sz w:val="20"/>
        </w:rPr>
        <w:t>25</w:t>
      </w:r>
    </w:p>
    <w:p w:rsidR="0052229C" w:rsidRPr="00C556BB" w:rsidRDefault="0052229C" w:rsidP="0052229C">
      <w:pPr>
        <w:rPr>
          <w:rFonts w:cs="Times New Roman"/>
          <w:sz w:val="20"/>
          <w:szCs w:val="20"/>
          <w:lang w:val="fr-CA"/>
        </w:rPr>
      </w:pPr>
      <w:proofErr w:type="spellStart"/>
      <w:r w:rsidRPr="00C556BB">
        <w:rPr>
          <w:rFonts w:cs="Times New Roman"/>
          <w:sz w:val="20"/>
          <w:szCs w:val="20"/>
          <w:lang w:val="fr-CA"/>
        </w:rPr>
        <w:t>Hearing</w:t>
      </w:r>
      <w:proofErr w:type="spellEnd"/>
      <w:proofErr w:type="gramStart"/>
      <w:r w:rsidRPr="00C556BB">
        <w:rPr>
          <w:rFonts w:cs="Times New Roman"/>
          <w:sz w:val="20"/>
          <w:szCs w:val="20"/>
          <w:lang w:val="fr-CA"/>
        </w:rPr>
        <w:t xml:space="preserve">:  </w:t>
      </w:r>
      <w:proofErr w:type="spellStart"/>
      <w:r w:rsidR="000F110A" w:rsidRPr="00C556BB">
        <w:rPr>
          <w:rFonts w:cs="Times New Roman"/>
          <w:sz w:val="20"/>
          <w:szCs w:val="20"/>
          <w:lang w:val="fr-CA"/>
        </w:rPr>
        <w:t>January</w:t>
      </w:r>
      <w:proofErr w:type="spellEnd"/>
      <w:proofErr w:type="gramEnd"/>
      <w:r w:rsidRPr="00C556BB">
        <w:rPr>
          <w:rFonts w:cs="Times New Roman"/>
          <w:sz w:val="20"/>
          <w:szCs w:val="20"/>
          <w:lang w:val="fr-CA"/>
        </w:rPr>
        <w:t xml:space="preserve"> </w:t>
      </w:r>
      <w:r w:rsidR="000F110A" w:rsidRPr="00C556BB">
        <w:rPr>
          <w:rFonts w:cs="Times New Roman"/>
          <w:sz w:val="20"/>
          <w:szCs w:val="20"/>
          <w:lang w:val="fr-CA"/>
        </w:rPr>
        <w:t>14</w:t>
      </w:r>
      <w:r w:rsidRPr="00C556BB">
        <w:rPr>
          <w:rFonts w:cs="Times New Roman"/>
          <w:sz w:val="20"/>
          <w:szCs w:val="20"/>
          <w:lang w:val="fr-CA"/>
        </w:rPr>
        <w:t>, 201</w:t>
      </w:r>
      <w:r w:rsidR="000F110A" w:rsidRPr="00C556BB">
        <w:rPr>
          <w:rFonts w:cs="Times New Roman"/>
          <w:sz w:val="20"/>
          <w:szCs w:val="20"/>
          <w:lang w:val="fr-CA"/>
        </w:rPr>
        <w:t>6</w:t>
      </w:r>
      <w:r w:rsidRPr="00C556BB">
        <w:rPr>
          <w:rFonts w:cs="Times New Roman"/>
          <w:sz w:val="20"/>
          <w:szCs w:val="20"/>
          <w:lang w:val="fr-CA"/>
        </w:rPr>
        <w:t xml:space="preserve"> / </w:t>
      </w:r>
      <w:proofErr w:type="spellStart"/>
      <w:r w:rsidRPr="00C556BB">
        <w:rPr>
          <w:rFonts w:cs="Times New Roman"/>
          <w:sz w:val="20"/>
          <w:szCs w:val="20"/>
          <w:lang w:val="fr-CA"/>
        </w:rPr>
        <w:t>Judgment</w:t>
      </w:r>
      <w:proofErr w:type="spellEnd"/>
      <w:r w:rsidRPr="00C556BB">
        <w:rPr>
          <w:rFonts w:cs="Times New Roman"/>
          <w:sz w:val="20"/>
          <w:szCs w:val="20"/>
          <w:lang w:val="fr-CA"/>
        </w:rPr>
        <w:t xml:space="preserve">:  </w:t>
      </w:r>
      <w:proofErr w:type="spellStart"/>
      <w:r w:rsidRPr="00C556BB">
        <w:rPr>
          <w:rFonts w:cs="Times New Roman"/>
          <w:sz w:val="20"/>
          <w:szCs w:val="20"/>
          <w:lang w:val="fr-CA"/>
        </w:rPr>
        <w:t>J</w:t>
      </w:r>
      <w:r w:rsidR="000F110A" w:rsidRPr="00C556BB">
        <w:rPr>
          <w:rFonts w:cs="Times New Roman"/>
          <w:sz w:val="20"/>
          <w:szCs w:val="20"/>
          <w:lang w:val="fr-CA"/>
        </w:rPr>
        <w:t>une</w:t>
      </w:r>
      <w:proofErr w:type="spellEnd"/>
      <w:r w:rsidRPr="00C556BB">
        <w:rPr>
          <w:rFonts w:cs="Times New Roman"/>
          <w:sz w:val="20"/>
          <w:szCs w:val="20"/>
          <w:lang w:val="fr-CA"/>
        </w:rPr>
        <w:t xml:space="preserve"> </w:t>
      </w:r>
      <w:r w:rsidR="000F110A" w:rsidRPr="00C556BB">
        <w:rPr>
          <w:rFonts w:cs="Times New Roman"/>
          <w:sz w:val="20"/>
          <w:szCs w:val="20"/>
          <w:lang w:val="fr-CA"/>
        </w:rPr>
        <w:t>24</w:t>
      </w:r>
      <w:r w:rsidRPr="00C556BB">
        <w:rPr>
          <w:rFonts w:cs="Times New Roman"/>
          <w:sz w:val="20"/>
          <w:szCs w:val="20"/>
          <w:lang w:val="fr-CA"/>
        </w:rPr>
        <w:t xml:space="preserve">, </w:t>
      </w:r>
      <w:r w:rsidR="0030050B" w:rsidRPr="00C556BB">
        <w:rPr>
          <w:rFonts w:cs="Times New Roman"/>
          <w:sz w:val="20"/>
          <w:szCs w:val="20"/>
          <w:lang w:val="fr-CA"/>
        </w:rPr>
        <w:t>2016</w:t>
      </w:r>
    </w:p>
    <w:p w:rsidR="0052229C" w:rsidRPr="00C556BB" w:rsidRDefault="0052229C" w:rsidP="0052229C">
      <w:pPr>
        <w:rPr>
          <w:rFonts w:cs="Times New Roman"/>
          <w:sz w:val="20"/>
          <w:szCs w:val="20"/>
          <w:lang w:val="fr-CA"/>
        </w:rPr>
      </w:pPr>
      <w:r w:rsidRPr="00C556BB">
        <w:rPr>
          <w:rFonts w:cs="Times New Roman"/>
          <w:sz w:val="20"/>
          <w:szCs w:val="20"/>
          <w:lang w:val="fr-CA"/>
        </w:rPr>
        <w:t xml:space="preserve">Audition : Le </w:t>
      </w:r>
      <w:r w:rsidR="000F110A" w:rsidRPr="00C556BB">
        <w:rPr>
          <w:rFonts w:cs="Times New Roman"/>
          <w:sz w:val="20"/>
          <w:szCs w:val="20"/>
          <w:lang w:val="fr-CA"/>
        </w:rPr>
        <w:t>14</w:t>
      </w:r>
      <w:r w:rsidRPr="00C556BB">
        <w:rPr>
          <w:rFonts w:cs="Times New Roman"/>
          <w:sz w:val="20"/>
          <w:szCs w:val="20"/>
          <w:lang w:val="fr-CA"/>
        </w:rPr>
        <w:t xml:space="preserve"> </w:t>
      </w:r>
      <w:r w:rsidR="000F110A" w:rsidRPr="00C556BB">
        <w:rPr>
          <w:rFonts w:cs="Times New Roman"/>
          <w:sz w:val="20"/>
          <w:szCs w:val="20"/>
          <w:lang w:val="fr-CA"/>
        </w:rPr>
        <w:t>janvier</w:t>
      </w:r>
      <w:r w:rsidRPr="00C556BB">
        <w:rPr>
          <w:rFonts w:cs="Times New Roman"/>
          <w:sz w:val="20"/>
          <w:szCs w:val="20"/>
          <w:lang w:val="fr-CA"/>
        </w:rPr>
        <w:t xml:space="preserve"> 201</w:t>
      </w:r>
      <w:r w:rsidR="000F110A" w:rsidRPr="00C556BB">
        <w:rPr>
          <w:rFonts w:cs="Times New Roman"/>
          <w:sz w:val="20"/>
          <w:szCs w:val="20"/>
          <w:lang w:val="fr-CA"/>
        </w:rPr>
        <w:t>6</w:t>
      </w:r>
      <w:r w:rsidRPr="00C556BB">
        <w:rPr>
          <w:rFonts w:cs="Times New Roman"/>
          <w:sz w:val="20"/>
          <w:szCs w:val="20"/>
          <w:lang w:val="fr-CA"/>
        </w:rPr>
        <w:t xml:space="preserve"> / Jugement : Le </w:t>
      </w:r>
      <w:r w:rsidR="000F110A" w:rsidRPr="00C556BB">
        <w:rPr>
          <w:rFonts w:cs="Times New Roman"/>
          <w:sz w:val="20"/>
          <w:szCs w:val="20"/>
          <w:lang w:val="fr-CA"/>
        </w:rPr>
        <w:t>24</w:t>
      </w:r>
      <w:r w:rsidRPr="00C556BB">
        <w:rPr>
          <w:rFonts w:cs="Times New Roman"/>
          <w:sz w:val="20"/>
          <w:szCs w:val="20"/>
          <w:lang w:val="fr-CA"/>
        </w:rPr>
        <w:t xml:space="preserve"> j</w:t>
      </w:r>
      <w:r w:rsidR="000F110A" w:rsidRPr="00C556BB">
        <w:rPr>
          <w:rFonts w:cs="Times New Roman"/>
          <w:sz w:val="20"/>
          <w:szCs w:val="20"/>
          <w:lang w:val="fr-CA"/>
        </w:rPr>
        <w:t>uin</w:t>
      </w:r>
      <w:r w:rsidRPr="00C556BB">
        <w:rPr>
          <w:rFonts w:cs="Times New Roman"/>
          <w:sz w:val="20"/>
          <w:szCs w:val="20"/>
          <w:lang w:val="fr-CA"/>
        </w:rPr>
        <w:t xml:space="preserve"> </w:t>
      </w:r>
      <w:r w:rsidR="0030050B" w:rsidRPr="00C556BB">
        <w:rPr>
          <w:rFonts w:cs="Times New Roman"/>
          <w:sz w:val="20"/>
          <w:szCs w:val="20"/>
          <w:lang w:val="fr-CA"/>
        </w:rPr>
        <w:t>2016</w:t>
      </w:r>
    </w:p>
    <w:p w:rsidR="005C6840" w:rsidRPr="00C556BB" w:rsidRDefault="00B407D6" w:rsidP="005C6840">
      <w:pPr>
        <w:rPr>
          <w:rFonts w:cs="Times New Roman"/>
          <w:sz w:val="20"/>
          <w:szCs w:val="20"/>
          <w:lang w:val="fr-CA"/>
        </w:rPr>
      </w:pPr>
      <w:r>
        <w:rPr>
          <w:rFonts w:cs="Times New Roman"/>
          <w:i/>
          <w:sz w:val="20"/>
          <w:szCs w:val="20"/>
        </w:rPr>
        <w:pict>
          <v:rect id="_x0000_i1097" style="width:480.95pt;height:1pt" o:hralign="center" o:hrstd="t" o:hrnoshade="t" o:hr="t" fillcolor="black [3213]" stroked="f"/>
        </w:pict>
      </w:r>
    </w:p>
    <w:p w:rsidR="005C6840" w:rsidRPr="00C556BB" w:rsidRDefault="005C6840" w:rsidP="005C6840">
      <w:pPr>
        <w:spacing w:line="0" w:lineRule="atLeast"/>
        <w:rPr>
          <w:rFonts w:cs="Times New Roman"/>
          <w:sz w:val="20"/>
          <w:szCs w:val="20"/>
          <w:lang w:val="fr-CA"/>
        </w:rPr>
      </w:pPr>
    </w:p>
    <w:p w:rsidR="0052229C" w:rsidRPr="00C556BB" w:rsidRDefault="0052229C" w:rsidP="0052229C">
      <w:pPr>
        <w:jc w:val="both"/>
        <w:rPr>
          <w:rFonts w:cs="Times New Roman"/>
          <w:sz w:val="20"/>
          <w:szCs w:val="20"/>
        </w:rPr>
      </w:pPr>
      <w:r w:rsidRPr="00C556BB">
        <w:rPr>
          <w:rFonts w:cs="Times New Roman"/>
          <w:sz w:val="20"/>
          <w:szCs w:val="20"/>
        </w:rPr>
        <w:t xml:space="preserve">Present:  </w:t>
      </w:r>
      <w:r w:rsidR="00AC1CDC" w:rsidRPr="00C556BB">
        <w:rPr>
          <w:rFonts w:cs="Times New Roman"/>
          <w:sz w:val="20"/>
          <w:szCs w:val="20"/>
        </w:rPr>
        <w:t>McLachlin C.J. and Abella, Moldaver, Karakatsanis, Wagner, Côté and Brown JJ.</w:t>
      </w:r>
    </w:p>
    <w:p w:rsidR="0052229C" w:rsidRPr="00C556BB" w:rsidRDefault="0052229C" w:rsidP="005F403A">
      <w:pPr>
        <w:pStyle w:val="SCCNormalDoubleSpacing"/>
        <w:spacing w:line="240" w:lineRule="auto"/>
        <w:rPr>
          <w:sz w:val="20"/>
        </w:rPr>
      </w:pPr>
    </w:p>
    <w:p w:rsidR="005F403A" w:rsidRPr="00C556BB" w:rsidRDefault="005F403A" w:rsidP="005F403A">
      <w:pPr>
        <w:tabs>
          <w:tab w:val="left" w:pos="1168"/>
        </w:tabs>
        <w:jc w:val="both"/>
        <w:rPr>
          <w:rFonts w:eastAsia="Times New Roman" w:cs="Times New Roman"/>
          <w:sz w:val="20"/>
          <w:szCs w:val="20"/>
          <w:lang w:eastAsia="en-CA"/>
        </w:rPr>
      </w:pPr>
      <w:r w:rsidRPr="00C556BB">
        <w:rPr>
          <w:rFonts w:eastAsia="Times New Roman" w:cs="Times New Roman"/>
          <w:sz w:val="20"/>
          <w:szCs w:val="20"/>
          <w:lang w:eastAsia="en-CA"/>
        </w:rPr>
        <w:tab/>
      </w:r>
      <w:r w:rsidRPr="00C556BB">
        <w:rPr>
          <w:rFonts w:eastAsia="Times New Roman" w:cs="Times New Roman"/>
          <w:i/>
          <w:sz w:val="20"/>
          <w:szCs w:val="20"/>
          <w:lang w:eastAsia="en-CA"/>
        </w:rPr>
        <w:t>Workers’ compensation — Occupational disease — Causation — Evidence — Standard of proof — Hospital laboratory technicians diagnosed with breast cancer applying for compensation on basis that their cancers are occupational diseases — Compensation payable if employment is of causative significance in development of disease — Medical experts unable to find sufficient scientific basis to establish causal link between workers’ cancers and employment — Whether Tribunal erred in its approach to causation in deciding that workers’ cancer was occupational disease arising due to nature of employment — Workers Compensation Act, R.S.B.C. 1996, c. 492, ss. 6, 250(4).</w:t>
      </w:r>
    </w:p>
    <w:p w:rsidR="005F403A" w:rsidRPr="00C556BB" w:rsidRDefault="005F403A" w:rsidP="005F403A">
      <w:pPr>
        <w:tabs>
          <w:tab w:val="left" w:pos="1168"/>
        </w:tabs>
        <w:jc w:val="both"/>
        <w:rPr>
          <w:rFonts w:eastAsia="Times New Roman" w:cs="Times New Roman"/>
          <w:sz w:val="20"/>
          <w:szCs w:val="20"/>
          <w:lang w:eastAsia="en-CA"/>
        </w:rPr>
      </w:pPr>
    </w:p>
    <w:p w:rsidR="005F403A" w:rsidRPr="00C556BB" w:rsidRDefault="005F403A" w:rsidP="005F403A">
      <w:pPr>
        <w:tabs>
          <w:tab w:val="left" w:pos="1168"/>
        </w:tabs>
        <w:jc w:val="both"/>
        <w:rPr>
          <w:rFonts w:eastAsia="Times New Roman" w:cs="Times New Roman"/>
          <w:sz w:val="20"/>
          <w:szCs w:val="20"/>
          <w:lang w:eastAsia="en-CA"/>
        </w:rPr>
      </w:pPr>
      <w:r w:rsidRPr="00C556BB">
        <w:rPr>
          <w:rFonts w:eastAsia="Times New Roman" w:cs="Times New Roman"/>
          <w:sz w:val="20"/>
          <w:szCs w:val="20"/>
          <w:lang w:eastAsia="en-CA"/>
        </w:rPr>
        <w:tab/>
        <w:t xml:space="preserve">H, S and M (the “workers”) were among seven technicians at a single hospital laboratory who were diagnosed with breast cancer. Each of them applied for compensation under the </w:t>
      </w:r>
      <w:r w:rsidRPr="00C556BB">
        <w:rPr>
          <w:rFonts w:eastAsia="Times New Roman" w:cs="Times New Roman"/>
          <w:i/>
          <w:sz w:val="20"/>
          <w:szCs w:val="20"/>
          <w:lang w:eastAsia="en-CA"/>
        </w:rPr>
        <w:t>Workers Compensation Act</w:t>
      </w:r>
      <w:r w:rsidRPr="00C556BB">
        <w:rPr>
          <w:rFonts w:eastAsia="Times New Roman" w:cs="Times New Roman"/>
          <w:sz w:val="20"/>
          <w:szCs w:val="20"/>
          <w:lang w:eastAsia="en-CA"/>
        </w:rPr>
        <w:t xml:space="preserve"> on the basis that the cancer was an occupational disease. The </w:t>
      </w:r>
      <w:r w:rsidRPr="00C556BB">
        <w:rPr>
          <w:rFonts w:eastAsia="Times New Roman" w:cs="Times New Roman"/>
          <w:i/>
          <w:sz w:val="20"/>
          <w:szCs w:val="20"/>
          <w:lang w:eastAsia="en-CA"/>
        </w:rPr>
        <w:t>Act</w:t>
      </w:r>
      <w:r w:rsidRPr="00C556BB">
        <w:rPr>
          <w:rFonts w:eastAsia="Times New Roman" w:cs="Times New Roman"/>
          <w:sz w:val="20"/>
          <w:szCs w:val="20"/>
          <w:lang w:eastAsia="en-CA"/>
        </w:rPr>
        <w:t xml:space="preserve"> provides that where a worker is disabled from an occupational disease that is due to the nature of his or her employment, compensation is payable as if the disease were a personal injury arising out of and in the course of that employment. In accordance with the applicable policy, the payment of benefits is conditional upon the employment having been of “causative significance” in the development of the worker’s illness.</w:t>
      </w:r>
    </w:p>
    <w:p w:rsidR="005F403A" w:rsidRPr="00C556BB" w:rsidRDefault="005F403A" w:rsidP="005F403A">
      <w:pPr>
        <w:tabs>
          <w:tab w:val="left" w:pos="1168"/>
        </w:tabs>
        <w:jc w:val="both"/>
        <w:rPr>
          <w:rFonts w:eastAsia="Times New Roman" w:cs="Times New Roman"/>
          <w:sz w:val="20"/>
          <w:szCs w:val="20"/>
          <w:lang w:eastAsia="en-CA"/>
        </w:rPr>
      </w:pPr>
    </w:p>
    <w:p w:rsidR="005F403A" w:rsidRPr="00C556BB" w:rsidRDefault="005F403A" w:rsidP="005F403A">
      <w:pPr>
        <w:tabs>
          <w:tab w:val="left" w:pos="1168"/>
        </w:tabs>
        <w:jc w:val="both"/>
        <w:rPr>
          <w:rFonts w:eastAsia="Times New Roman" w:cs="Times New Roman"/>
          <w:sz w:val="20"/>
          <w:szCs w:val="20"/>
          <w:lang w:val="en-US" w:eastAsia="en-CA"/>
        </w:rPr>
      </w:pPr>
      <w:r w:rsidRPr="00C556BB">
        <w:rPr>
          <w:rFonts w:eastAsia="Times New Roman" w:cs="Times New Roman"/>
          <w:sz w:val="20"/>
          <w:szCs w:val="20"/>
          <w:lang w:eastAsia="en-CA"/>
        </w:rPr>
        <w:tab/>
        <w:t xml:space="preserve">The medical experts who provided evidence concluded that there was a lack of a sufficient scientific basis to causally link the incidence of breast cancer to the workers’ employment in the laboratory. A review officer of the Workers’ Compensation Board denied each of the workers’ claims. The workers each appealed the Board’s decision to the Workers’ Compensation Appeal Tribunal. A majority of the Tribunal found that the workers’ breast cancers were indeed occupational diseases. Upon application by the employer to the Tribunal for reconsideration, a reconsideration panel upheld the original decision. The employer’s application for judicial review of the Tribunal’s original and reconsideration decisions was allowed: both decisions were set aside and the matter was remitted back to the Tribunal. On appeal by the workers, the majority of the Court of Appeal dismissed the appeal, holding that the Tribunal’s reconsideration decision was a nullity and that the Tribunal’s original decision was patently unreasonable. </w:t>
      </w:r>
      <w:r w:rsidRPr="00C556BB">
        <w:rPr>
          <w:rFonts w:eastAsia="Times New Roman" w:cs="Times New Roman"/>
          <w:sz w:val="20"/>
          <w:szCs w:val="20"/>
          <w:lang w:val="en-US" w:eastAsia="en-CA"/>
        </w:rPr>
        <w:t>The workers now appeal to this Court, raising the issue of whether the Tribunal erred in its approach to causation. The Tribunal also appeals to this Court, raising the issue of whether it can, by way of a reconsideration decision, reopen an earlier decision to consider whether it was patently unreasonable.</w:t>
      </w:r>
    </w:p>
    <w:p w:rsidR="005F403A" w:rsidRPr="00C556BB" w:rsidRDefault="005F403A" w:rsidP="005F403A">
      <w:pPr>
        <w:tabs>
          <w:tab w:val="left" w:pos="1168"/>
        </w:tabs>
        <w:jc w:val="both"/>
        <w:rPr>
          <w:rFonts w:eastAsia="Times New Roman" w:cs="Times New Roman"/>
          <w:sz w:val="20"/>
          <w:szCs w:val="20"/>
          <w:lang w:val="en-US" w:eastAsia="en-CA"/>
        </w:rPr>
      </w:pPr>
    </w:p>
    <w:p w:rsidR="005F403A" w:rsidRPr="00C556BB" w:rsidRDefault="005F403A" w:rsidP="005F403A">
      <w:pPr>
        <w:tabs>
          <w:tab w:val="left" w:pos="1168"/>
        </w:tabs>
        <w:jc w:val="both"/>
        <w:rPr>
          <w:rFonts w:eastAsia="Times New Roman" w:cs="Times New Roman"/>
          <w:sz w:val="20"/>
          <w:szCs w:val="20"/>
          <w:lang w:eastAsia="en-CA"/>
        </w:rPr>
      </w:pPr>
      <w:r w:rsidRPr="00C556BB">
        <w:rPr>
          <w:rFonts w:eastAsia="Times New Roman" w:cs="Times New Roman"/>
          <w:sz w:val="20"/>
          <w:szCs w:val="20"/>
          <w:lang w:eastAsia="en-CA"/>
        </w:rPr>
        <w:tab/>
      </w:r>
      <w:r w:rsidRPr="00C556BB">
        <w:rPr>
          <w:rFonts w:eastAsia="Times New Roman" w:cs="Times New Roman"/>
          <w:i/>
          <w:sz w:val="20"/>
          <w:szCs w:val="20"/>
          <w:lang w:eastAsia="en-CA"/>
        </w:rPr>
        <w:t xml:space="preserve">Held </w:t>
      </w:r>
      <w:r w:rsidRPr="00C556BB">
        <w:rPr>
          <w:rFonts w:eastAsia="Times New Roman" w:cs="Times New Roman"/>
          <w:sz w:val="20"/>
          <w:szCs w:val="20"/>
          <w:lang w:eastAsia="en-CA"/>
        </w:rPr>
        <w:t>(Côté J. dissenting in part): The appeal by the workers should be allowed. The appeal by the Tribunal should be dismissed.</w:t>
      </w:r>
    </w:p>
    <w:p w:rsidR="005F403A" w:rsidRPr="00C556BB" w:rsidRDefault="005F403A" w:rsidP="005F403A">
      <w:pPr>
        <w:tabs>
          <w:tab w:val="left" w:pos="1168"/>
        </w:tabs>
        <w:jc w:val="both"/>
        <w:rPr>
          <w:rFonts w:eastAsia="Times New Roman" w:cs="Times New Roman"/>
          <w:sz w:val="20"/>
          <w:szCs w:val="20"/>
          <w:lang w:eastAsia="en-CA"/>
        </w:rPr>
      </w:pPr>
    </w:p>
    <w:p w:rsidR="005F403A" w:rsidRPr="00C556BB" w:rsidRDefault="005F403A" w:rsidP="005F403A">
      <w:pPr>
        <w:tabs>
          <w:tab w:val="left" w:pos="1168"/>
        </w:tabs>
        <w:jc w:val="both"/>
        <w:rPr>
          <w:rFonts w:eastAsia="Times New Roman" w:cs="Times New Roman"/>
          <w:sz w:val="20"/>
          <w:szCs w:val="20"/>
          <w:lang w:eastAsia="en-CA"/>
        </w:rPr>
      </w:pPr>
      <w:r w:rsidRPr="00C556BB">
        <w:rPr>
          <w:rFonts w:eastAsia="Times New Roman" w:cs="Times New Roman"/>
          <w:sz w:val="20"/>
          <w:szCs w:val="20"/>
          <w:lang w:eastAsia="en-CA"/>
        </w:rPr>
        <w:tab/>
      </w:r>
      <w:r w:rsidRPr="00C556BB">
        <w:rPr>
          <w:rFonts w:eastAsia="Times New Roman" w:cs="Times New Roman"/>
          <w:i/>
          <w:sz w:val="20"/>
          <w:szCs w:val="20"/>
          <w:lang w:eastAsia="en-CA"/>
        </w:rPr>
        <w:t>Per</w:t>
      </w:r>
      <w:r w:rsidRPr="00C556BB">
        <w:rPr>
          <w:rFonts w:eastAsia="Times New Roman" w:cs="Times New Roman"/>
          <w:sz w:val="20"/>
          <w:szCs w:val="20"/>
          <w:lang w:eastAsia="en-CA"/>
        </w:rPr>
        <w:t xml:space="preserve"> McLachlin C.J. and Abella, Moldaver, Karakatsanis, Wagner and </w:t>
      </w:r>
      <w:r w:rsidRPr="00C556BB">
        <w:rPr>
          <w:rFonts w:eastAsia="Times New Roman" w:cs="Times New Roman"/>
          <w:b/>
          <w:sz w:val="20"/>
          <w:szCs w:val="20"/>
          <w:lang w:eastAsia="en-CA"/>
        </w:rPr>
        <w:t>Brown </w:t>
      </w:r>
      <w:r w:rsidRPr="00C556BB">
        <w:rPr>
          <w:rFonts w:eastAsia="Times New Roman" w:cs="Times New Roman"/>
          <w:sz w:val="20"/>
          <w:szCs w:val="20"/>
          <w:lang w:eastAsia="en-CA"/>
        </w:rPr>
        <w:t>JJ.: The standard of review applicable to the Tribunal’s original decision requires curial deference, absent a finding of fact or law that is patently unreasonable. Because a court must defer where there is evidence capable of supporting a finding of fact, patent unreasonableness is not established where the reviewing court considers the evidence merely to be insufficient.</w:t>
      </w:r>
    </w:p>
    <w:p w:rsidR="005F403A" w:rsidRPr="00C556BB" w:rsidRDefault="005F403A" w:rsidP="005F403A">
      <w:pPr>
        <w:tabs>
          <w:tab w:val="left" w:pos="1168"/>
        </w:tabs>
        <w:jc w:val="both"/>
        <w:rPr>
          <w:rFonts w:eastAsia="Times New Roman" w:cs="Times New Roman"/>
          <w:sz w:val="20"/>
          <w:szCs w:val="20"/>
          <w:lang w:eastAsia="en-CA"/>
        </w:rPr>
      </w:pPr>
    </w:p>
    <w:p w:rsidR="005F403A" w:rsidRPr="00C556BB" w:rsidRDefault="005F403A" w:rsidP="005F403A">
      <w:pPr>
        <w:tabs>
          <w:tab w:val="left" w:pos="1168"/>
        </w:tabs>
        <w:jc w:val="both"/>
        <w:rPr>
          <w:rFonts w:eastAsia="Times New Roman" w:cs="Times New Roman"/>
          <w:sz w:val="20"/>
          <w:szCs w:val="20"/>
          <w:lang w:eastAsia="en-CA"/>
        </w:rPr>
      </w:pPr>
      <w:r w:rsidRPr="00C556BB">
        <w:rPr>
          <w:rFonts w:eastAsia="Times New Roman" w:cs="Times New Roman"/>
          <w:sz w:val="20"/>
          <w:szCs w:val="20"/>
          <w:lang w:eastAsia="en-CA"/>
        </w:rPr>
        <w:tab/>
        <w:t xml:space="preserve">The presence or absence of opinion evidence from an expert positing or refuting a causal link is not determinative of causation. Causation can be inferred — even in the face of inconclusive or contrary expert evidence — from other evidence, including merely circumstantial evidence. Subject to the applicable standard of review, the task of weighing evidence rests with the trier of fact. In the instant case, the Tribunal’s original decision cannot be said to have been patently unreasonable. While the record on which that decision was based did not include confirmatory expert evidence, the Tribunal nonetheless relied upon other evidence which, viewed reasonably, was capable of supporting its finding of a causal link between the workers’ breast cancers and workplace conditions. </w:t>
      </w:r>
    </w:p>
    <w:p w:rsidR="005F403A" w:rsidRPr="00C556BB" w:rsidRDefault="005F403A" w:rsidP="005F403A">
      <w:pPr>
        <w:tabs>
          <w:tab w:val="left" w:pos="1168"/>
        </w:tabs>
        <w:jc w:val="both"/>
        <w:rPr>
          <w:rFonts w:eastAsia="Times New Roman" w:cs="Times New Roman"/>
          <w:sz w:val="20"/>
          <w:szCs w:val="20"/>
          <w:lang w:eastAsia="en-CA"/>
        </w:rPr>
      </w:pPr>
    </w:p>
    <w:p w:rsidR="005F403A" w:rsidRPr="00C556BB" w:rsidRDefault="005F403A" w:rsidP="005F403A">
      <w:pPr>
        <w:tabs>
          <w:tab w:val="left" w:pos="1168"/>
        </w:tabs>
        <w:jc w:val="both"/>
        <w:rPr>
          <w:rFonts w:eastAsia="Times New Roman" w:cs="Times New Roman"/>
          <w:sz w:val="20"/>
          <w:szCs w:val="20"/>
          <w:lang w:eastAsia="en-CA"/>
        </w:rPr>
      </w:pPr>
      <w:r w:rsidRPr="00C556BB">
        <w:rPr>
          <w:rFonts w:eastAsia="Times New Roman" w:cs="Times New Roman"/>
          <w:sz w:val="20"/>
          <w:szCs w:val="20"/>
          <w:lang w:eastAsia="en-CA"/>
        </w:rPr>
        <w:tab/>
        <w:t xml:space="preserve">In addition, according to the standard of proof set out in s. 250(4) of the </w:t>
      </w:r>
      <w:r w:rsidRPr="00C556BB">
        <w:rPr>
          <w:rFonts w:eastAsia="Times New Roman" w:cs="Times New Roman"/>
          <w:i/>
          <w:sz w:val="20"/>
          <w:szCs w:val="20"/>
          <w:lang w:eastAsia="en-CA"/>
        </w:rPr>
        <w:t>Act</w:t>
      </w:r>
      <w:r w:rsidRPr="00C556BB">
        <w:rPr>
          <w:rFonts w:eastAsia="Times New Roman" w:cs="Times New Roman"/>
          <w:sz w:val="20"/>
          <w:szCs w:val="20"/>
          <w:lang w:eastAsia="en-CA"/>
        </w:rPr>
        <w:t>, where the evidence is evenly weighed on causation, that issue must be resolved in the workers’ favour. This standard of proof contrasts sharply with the scientific standards employed by the medical experts in the case at bar. The majority of the Tribunal was right to consider that the experts thus imposed a too stringent standard of proof. In relying upon the inconclusive quality of the experts’ findings as determinative of whether a causal link was established between the workers’ breast cancers and their employment, the chambers judge and the majority of the Court of Appeal erred in law.</w:t>
      </w:r>
    </w:p>
    <w:p w:rsidR="005F403A" w:rsidRPr="00C556BB" w:rsidRDefault="005F403A" w:rsidP="005F403A">
      <w:pPr>
        <w:tabs>
          <w:tab w:val="left" w:pos="1168"/>
        </w:tabs>
        <w:jc w:val="both"/>
        <w:rPr>
          <w:rFonts w:eastAsia="Times New Roman" w:cs="Times New Roman"/>
          <w:sz w:val="20"/>
          <w:szCs w:val="20"/>
          <w:lang w:eastAsia="en-CA"/>
        </w:rPr>
      </w:pPr>
    </w:p>
    <w:p w:rsidR="005F403A" w:rsidRPr="00C556BB" w:rsidRDefault="005F403A" w:rsidP="005F403A">
      <w:pPr>
        <w:tabs>
          <w:tab w:val="left" w:pos="1168"/>
        </w:tabs>
        <w:jc w:val="both"/>
        <w:rPr>
          <w:rFonts w:eastAsia="Times New Roman" w:cs="Times New Roman"/>
          <w:sz w:val="20"/>
          <w:szCs w:val="20"/>
          <w:lang w:eastAsia="en-CA"/>
        </w:rPr>
      </w:pPr>
      <w:r w:rsidRPr="00C556BB">
        <w:rPr>
          <w:rFonts w:eastAsia="Times New Roman" w:cs="Times New Roman"/>
          <w:sz w:val="20"/>
          <w:szCs w:val="20"/>
          <w:lang w:eastAsia="en-CA"/>
        </w:rPr>
        <w:tab/>
        <w:t>With respect to the appeal by the Tribunal, the employer agrees with the Court of Appeal’s assessment that the Tribunal’s reconsideration decision was a nullity. Accordingly, there is no reason to interfere with that aspect of the Court of Appeal’s decision.</w:t>
      </w:r>
    </w:p>
    <w:p w:rsidR="005F403A" w:rsidRPr="00C556BB" w:rsidRDefault="005F403A" w:rsidP="005F403A">
      <w:pPr>
        <w:tabs>
          <w:tab w:val="left" w:pos="1168"/>
        </w:tabs>
        <w:jc w:val="both"/>
        <w:rPr>
          <w:rFonts w:eastAsia="Times New Roman" w:cs="Times New Roman"/>
          <w:sz w:val="20"/>
          <w:szCs w:val="20"/>
          <w:lang w:eastAsia="en-CA"/>
        </w:rPr>
      </w:pPr>
    </w:p>
    <w:p w:rsidR="005F403A" w:rsidRPr="00C556BB" w:rsidRDefault="005F403A" w:rsidP="005F403A">
      <w:pPr>
        <w:tabs>
          <w:tab w:val="left" w:pos="1168"/>
        </w:tabs>
        <w:jc w:val="both"/>
        <w:rPr>
          <w:rFonts w:eastAsia="Times New Roman" w:cs="Times New Roman"/>
          <w:sz w:val="20"/>
          <w:szCs w:val="20"/>
          <w:lang w:val="en-US" w:eastAsia="en-CA"/>
        </w:rPr>
      </w:pPr>
      <w:r w:rsidRPr="00C556BB">
        <w:rPr>
          <w:rFonts w:eastAsia="Times New Roman" w:cs="Times New Roman"/>
          <w:sz w:val="20"/>
          <w:szCs w:val="20"/>
          <w:lang w:eastAsia="en-CA"/>
        </w:rPr>
        <w:tab/>
      </w:r>
      <w:r w:rsidRPr="00C556BB">
        <w:rPr>
          <w:rFonts w:eastAsia="Times New Roman" w:cs="Times New Roman"/>
          <w:i/>
          <w:sz w:val="20"/>
          <w:szCs w:val="20"/>
          <w:lang w:eastAsia="en-CA"/>
        </w:rPr>
        <w:t>Per</w:t>
      </w:r>
      <w:r w:rsidRPr="00C556BB">
        <w:rPr>
          <w:rFonts w:eastAsia="Times New Roman" w:cs="Times New Roman"/>
          <w:sz w:val="20"/>
          <w:szCs w:val="20"/>
          <w:lang w:eastAsia="en-CA"/>
        </w:rPr>
        <w:t xml:space="preserve"> </w:t>
      </w:r>
      <w:r w:rsidRPr="00C556BB">
        <w:rPr>
          <w:rFonts w:eastAsia="Times New Roman" w:cs="Times New Roman"/>
          <w:b/>
          <w:sz w:val="20"/>
          <w:szCs w:val="20"/>
          <w:lang w:eastAsia="en-CA"/>
        </w:rPr>
        <w:t>C</w:t>
      </w:r>
      <w:proofErr w:type="spellStart"/>
      <w:r w:rsidRPr="00C556BB">
        <w:rPr>
          <w:rFonts w:eastAsia="Times New Roman" w:cs="Times New Roman"/>
          <w:b/>
          <w:sz w:val="20"/>
          <w:szCs w:val="20"/>
          <w:lang w:val="en-US" w:eastAsia="en-CA"/>
        </w:rPr>
        <w:t>ôté</w:t>
      </w:r>
      <w:proofErr w:type="spellEnd"/>
      <w:r w:rsidRPr="00C556BB">
        <w:rPr>
          <w:rFonts w:eastAsia="Times New Roman" w:cs="Times New Roman"/>
          <w:b/>
          <w:sz w:val="20"/>
          <w:szCs w:val="20"/>
          <w:lang w:val="en-US" w:eastAsia="en-CA"/>
        </w:rPr>
        <w:t> </w:t>
      </w:r>
      <w:r w:rsidRPr="00C556BB">
        <w:rPr>
          <w:rFonts w:eastAsia="Times New Roman" w:cs="Times New Roman"/>
          <w:sz w:val="20"/>
          <w:szCs w:val="20"/>
          <w:lang w:val="en-US" w:eastAsia="en-CA"/>
        </w:rPr>
        <w:t xml:space="preserve">J. (dissenting in part): There is agreement with the majority with respect to the Tribunal’s appeal only. As for the workers’ appeal, it should be dismissed since the original decision of the Tribunal is patently unreasonable and ought to be set aside. There is no evidence </w:t>
      </w:r>
      <w:r w:rsidRPr="00C556BB">
        <w:rPr>
          <w:rFonts w:eastAsia="Times New Roman" w:cs="Times New Roman"/>
          <w:i/>
          <w:sz w:val="20"/>
          <w:szCs w:val="20"/>
          <w:lang w:val="en-US" w:eastAsia="en-CA"/>
        </w:rPr>
        <w:t>—</w:t>
      </w:r>
      <w:r w:rsidRPr="00C556BB">
        <w:rPr>
          <w:rFonts w:eastAsia="Times New Roman" w:cs="Times New Roman"/>
          <w:sz w:val="20"/>
          <w:szCs w:val="20"/>
          <w:lang w:val="en-US" w:eastAsia="en-CA"/>
        </w:rPr>
        <w:t xml:space="preserve"> and certainly no positive evidence </w:t>
      </w:r>
      <w:r w:rsidRPr="00C556BB">
        <w:rPr>
          <w:rFonts w:eastAsia="Times New Roman" w:cs="Times New Roman"/>
          <w:i/>
          <w:sz w:val="20"/>
          <w:szCs w:val="20"/>
          <w:lang w:val="en-US" w:eastAsia="en-CA"/>
        </w:rPr>
        <w:t>—</w:t>
      </w:r>
      <w:r w:rsidRPr="00C556BB">
        <w:rPr>
          <w:rFonts w:eastAsia="Times New Roman" w:cs="Times New Roman"/>
          <w:sz w:val="20"/>
          <w:szCs w:val="20"/>
          <w:lang w:val="en-US" w:eastAsia="en-CA"/>
        </w:rPr>
        <w:t xml:space="preserve"> capable of supporting a causal link between the workers’ employment and the development of their respective diseases.</w:t>
      </w:r>
    </w:p>
    <w:p w:rsidR="005F403A" w:rsidRPr="00C556BB" w:rsidRDefault="005F403A" w:rsidP="005F403A">
      <w:pPr>
        <w:tabs>
          <w:tab w:val="left" w:pos="1168"/>
        </w:tabs>
        <w:jc w:val="both"/>
        <w:rPr>
          <w:rFonts w:eastAsia="Times New Roman" w:cs="Times New Roman"/>
          <w:i/>
          <w:sz w:val="20"/>
          <w:szCs w:val="20"/>
          <w:lang w:val="en-US" w:eastAsia="en-CA"/>
        </w:rPr>
      </w:pPr>
    </w:p>
    <w:p w:rsidR="005F403A" w:rsidRPr="00C556BB" w:rsidRDefault="005F403A" w:rsidP="005F403A">
      <w:pPr>
        <w:tabs>
          <w:tab w:val="left" w:pos="1168"/>
        </w:tabs>
        <w:jc w:val="both"/>
        <w:rPr>
          <w:rFonts w:eastAsia="Times New Roman" w:cs="Times New Roman"/>
          <w:sz w:val="20"/>
          <w:szCs w:val="20"/>
          <w:lang w:val="en-US" w:eastAsia="en-CA"/>
        </w:rPr>
      </w:pPr>
      <w:r w:rsidRPr="00C556BB">
        <w:rPr>
          <w:rFonts w:eastAsia="Times New Roman" w:cs="Times New Roman"/>
          <w:sz w:val="20"/>
          <w:szCs w:val="20"/>
          <w:lang w:val="en-US" w:eastAsia="en-CA"/>
        </w:rPr>
        <w:tab/>
        <w:t xml:space="preserve">Experts are responsible for providing decision-makers with precisely those inferences </w:t>
      </w:r>
      <w:r w:rsidRPr="00C556BB">
        <w:rPr>
          <w:rFonts w:eastAsia="Times New Roman" w:cs="Times New Roman"/>
          <w:sz w:val="20"/>
          <w:szCs w:val="20"/>
          <w:lang w:eastAsia="en-CA"/>
        </w:rPr>
        <w:t>that</w:t>
      </w:r>
      <w:r w:rsidRPr="00C556BB">
        <w:rPr>
          <w:rFonts w:eastAsia="Times New Roman" w:cs="Times New Roman"/>
          <w:sz w:val="20"/>
          <w:szCs w:val="20"/>
          <w:lang w:val="en-US" w:eastAsia="en-CA"/>
        </w:rPr>
        <w:t xml:space="preserve"> decision-makers — due to the technical nature of the issues — are unable to formulate themselves. The Tribunal is not presumed to possess medical expertise. As a result, while the Tribunal is not bound by the medical experts’ findings, it cannot simply disregard their </w:t>
      </w:r>
      <w:proofErr w:type="spellStart"/>
      <w:r w:rsidRPr="00C556BB">
        <w:rPr>
          <w:rFonts w:eastAsia="Times New Roman" w:cs="Times New Roman"/>
          <w:sz w:val="20"/>
          <w:szCs w:val="20"/>
          <w:lang w:val="en-US" w:eastAsia="en-CA"/>
        </w:rPr>
        <w:t>uncontradicted</w:t>
      </w:r>
      <w:proofErr w:type="spellEnd"/>
      <w:r w:rsidRPr="00C556BB">
        <w:rPr>
          <w:rFonts w:eastAsia="Times New Roman" w:cs="Times New Roman"/>
          <w:sz w:val="20"/>
          <w:szCs w:val="20"/>
          <w:lang w:val="en-US" w:eastAsia="en-CA"/>
        </w:rPr>
        <w:t xml:space="preserve"> conclusions. In this case, the expert reports before the Tribunal were unequivocal: the available evidence could not establish any causal relationship between the workers’ employment as laboratory technicians and the development of their breast cancer.</w:t>
      </w:r>
    </w:p>
    <w:p w:rsidR="005F403A" w:rsidRPr="00C556BB" w:rsidRDefault="005F403A" w:rsidP="005F403A">
      <w:pPr>
        <w:tabs>
          <w:tab w:val="left" w:pos="1168"/>
        </w:tabs>
        <w:jc w:val="both"/>
        <w:rPr>
          <w:rFonts w:eastAsia="Times New Roman" w:cs="Times New Roman"/>
          <w:sz w:val="20"/>
          <w:szCs w:val="20"/>
          <w:lang w:val="en-US" w:eastAsia="en-CA"/>
        </w:rPr>
      </w:pPr>
    </w:p>
    <w:p w:rsidR="005F403A" w:rsidRPr="00C556BB" w:rsidRDefault="005F403A" w:rsidP="005F403A">
      <w:pPr>
        <w:tabs>
          <w:tab w:val="left" w:pos="1168"/>
        </w:tabs>
        <w:jc w:val="both"/>
        <w:rPr>
          <w:rFonts w:eastAsia="Times New Roman" w:cs="Times New Roman"/>
          <w:sz w:val="20"/>
          <w:szCs w:val="20"/>
          <w:lang w:val="en-US" w:eastAsia="en-CA"/>
        </w:rPr>
      </w:pPr>
      <w:r w:rsidRPr="00C556BB">
        <w:rPr>
          <w:rFonts w:eastAsia="Times New Roman" w:cs="Times New Roman"/>
          <w:sz w:val="20"/>
          <w:szCs w:val="20"/>
          <w:lang w:val="en-US" w:eastAsia="en-CA"/>
        </w:rPr>
        <w:tab/>
        <w:t xml:space="preserve">In the instant case, the medical experts did not seek to establish causation on a level of scientific certainty. Having undertaken a more limited investigation, the medical experts simply found no workplace exposure that could plausibly have increased the risk of developing breast cancer. As a result, even on the relaxed standard of proof applicable under s. 250(4) of the </w:t>
      </w:r>
      <w:r w:rsidRPr="00C556BB">
        <w:rPr>
          <w:rFonts w:eastAsia="Times New Roman" w:cs="Times New Roman"/>
          <w:i/>
          <w:sz w:val="20"/>
          <w:szCs w:val="20"/>
          <w:lang w:val="en-US" w:eastAsia="en-CA"/>
        </w:rPr>
        <w:t>Act</w:t>
      </w:r>
      <w:r w:rsidRPr="00C556BB">
        <w:rPr>
          <w:rFonts w:eastAsia="Times New Roman" w:cs="Times New Roman"/>
          <w:sz w:val="20"/>
          <w:szCs w:val="20"/>
          <w:lang w:val="en-US" w:eastAsia="en-CA"/>
        </w:rPr>
        <w:t xml:space="preserve">, there is still no positive evidence capable of establishing causative significance. </w:t>
      </w:r>
    </w:p>
    <w:p w:rsidR="005F403A" w:rsidRPr="00C556BB" w:rsidRDefault="005F403A" w:rsidP="005F403A">
      <w:pPr>
        <w:tabs>
          <w:tab w:val="left" w:pos="1168"/>
        </w:tabs>
        <w:jc w:val="both"/>
        <w:rPr>
          <w:rFonts w:eastAsia="Times New Roman" w:cs="Times New Roman"/>
          <w:sz w:val="20"/>
          <w:szCs w:val="20"/>
          <w:lang w:val="en-US" w:eastAsia="en-CA"/>
        </w:rPr>
      </w:pPr>
    </w:p>
    <w:p w:rsidR="005F403A" w:rsidRPr="00C556BB" w:rsidRDefault="005F403A" w:rsidP="005F403A">
      <w:pPr>
        <w:tabs>
          <w:tab w:val="left" w:pos="1168"/>
        </w:tabs>
        <w:jc w:val="both"/>
        <w:rPr>
          <w:rFonts w:eastAsia="Times New Roman" w:cs="Times New Roman"/>
          <w:sz w:val="20"/>
          <w:szCs w:val="20"/>
          <w:lang w:val="en-US" w:eastAsia="en-CA"/>
        </w:rPr>
      </w:pPr>
      <w:r w:rsidRPr="00C556BB">
        <w:rPr>
          <w:rFonts w:eastAsia="Times New Roman" w:cs="Times New Roman"/>
          <w:sz w:val="20"/>
          <w:szCs w:val="20"/>
          <w:lang w:val="en-US" w:eastAsia="en-CA"/>
        </w:rPr>
        <w:tab/>
        <w:t xml:space="preserve">While drawing inferences is important in fact finding, the evidence in the record must still be capable of supporting the inferences drawn. Otherwise, the fact-finder is at risk of straying outside the realm of inference and reasonable deductions and into the wilderness of mere speculation or conjecture. Common sense or inferential reasoning cannot bridge insuperable gaps in the evidence, in either a standard civil action or in an administrative claim under the </w:t>
      </w:r>
      <w:r w:rsidRPr="00C556BB">
        <w:rPr>
          <w:rFonts w:eastAsia="Times New Roman" w:cs="Times New Roman"/>
          <w:i/>
          <w:sz w:val="20"/>
          <w:szCs w:val="20"/>
          <w:lang w:val="en-US" w:eastAsia="en-CA"/>
        </w:rPr>
        <w:t>Act</w:t>
      </w:r>
      <w:r w:rsidRPr="00C556BB">
        <w:rPr>
          <w:rFonts w:eastAsia="Times New Roman" w:cs="Times New Roman"/>
          <w:sz w:val="20"/>
          <w:szCs w:val="20"/>
          <w:lang w:val="en-US" w:eastAsia="en-CA"/>
        </w:rPr>
        <w:t>. In the case at bar, the only support for the Tribunal’s original decision is the existence of a cluster of diagnosed cases of breast cancer. The Tribunal’s findings of fact simply do not rise above the level of mere speculation. The Tribunal disregarded the consensus view of the medical experts, in spite of its own lack of expertise in medical matters. The Tribunal also ignored the applicable policy, which states that there must be sufficient positive evidence capable of supporting a finding of causative significance, failing which the only possible option is to deny the claim.</w:t>
      </w:r>
    </w:p>
    <w:p w:rsidR="0052229C" w:rsidRPr="00C556BB" w:rsidRDefault="0052229C" w:rsidP="005F403A">
      <w:pPr>
        <w:pStyle w:val="SCCNormalDoubleSpacing"/>
        <w:spacing w:line="240" w:lineRule="auto"/>
        <w:rPr>
          <w:sz w:val="20"/>
        </w:rPr>
      </w:pPr>
    </w:p>
    <w:p w:rsidR="005F403A" w:rsidRPr="00C556BB" w:rsidRDefault="005F403A" w:rsidP="005F403A">
      <w:pPr>
        <w:tabs>
          <w:tab w:val="left" w:pos="1168"/>
        </w:tabs>
        <w:jc w:val="both"/>
        <w:rPr>
          <w:rFonts w:eastAsia="Times New Roman" w:cs="Times New Roman"/>
          <w:sz w:val="20"/>
          <w:szCs w:val="20"/>
          <w:lang w:eastAsia="en-CA"/>
        </w:rPr>
      </w:pPr>
      <w:r w:rsidRPr="00C556BB">
        <w:rPr>
          <w:rFonts w:eastAsia="Times New Roman" w:cs="Times New Roman"/>
          <w:sz w:val="20"/>
          <w:szCs w:val="20"/>
          <w:lang w:eastAsia="en-CA"/>
        </w:rPr>
        <w:tab/>
        <w:t xml:space="preserve">APPEALS from a judgment of the British Columbia Court of Appeal (Newbury, </w:t>
      </w:r>
      <w:proofErr w:type="spellStart"/>
      <w:r w:rsidRPr="00C556BB">
        <w:rPr>
          <w:rFonts w:eastAsia="Times New Roman" w:cs="Times New Roman"/>
          <w:sz w:val="20"/>
          <w:szCs w:val="20"/>
          <w:lang w:eastAsia="en-CA"/>
        </w:rPr>
        <w:t>Chiasson</w:t>
      </w:r>
      <w:proofErr w:type="spellEnd"/>
      <w:r w:rsidRPr="00C556BB">
        <w:rPr>
          <w:rFonts w:eastAsia="Times New Roman" w:cs="Times New Roman"/>
          <w:sz w:val="20"/>
          <w:szCs w:val="20"/>
          <w:lang w:eastAsia="en-CA"/>
        </w:rPr>
        <w:t xml:space="preserve">, Frankel, Bennett and </w:t>
      </w:r>
      <w:proofErr w:type="spellStart"/>
      <w:r w:rsidRPr="00C556BB">
        <w:rPr>
          <w:rFonts w:eastAsia="Times New Roman" w:cs="Times New Roman"/>
          <w:sz w:val="20"/>
          <w:szCs w:val="20"/>
          <w:lang w:eastAsia="en-CA"/>
        </w:rPr>
        <w:t>Goepel</w:t>
      </w:r>
      <w:proofErr w:type="spellEnd"/>
      <w:r w:rsidRPr="00C556BB">
        <w:rPr>
          <w:rFonts w:eastAsia="Times New Roman" w:cs="Times New Roman"/>
          <w:sz w:val="20"/>
          <w:szCs w:val="20"/>
          <w:lang w:eastAsia="en-CA"/>
        </w:rPr>
        <w:t xml:space="preserve"> JJ.A.), 2014 BCCA 499, 364 B.C.A.C. 241, 82 Admin. L.R. (5th) 246, 67 B.C.L.R. (5th) 213, 380 D.L.R. (4th) 204, 625 W.A.C. 241, [2015] 4 W.W.R. 1, [2014] B.C.J. No. 3111 (QL), 2014 </w:t>
      </w:r>
      <w:proofErr w:type="spellStart"/>
      <w:r w:rsidRPr="00C556BB">
        <w:rPr>
          <w:rFonts w:eastAsia="Times New Roman" w:cs="Times New Roman"/>
          <w:sz w:val="20"/>
          <w:szCs w:val="20"/>
          <w:lang w:eastAsia="en-CA"/>
        </w:rPr>
        <w:t>CarswellBC</w:t>
      </w:r>
      <w:proofErr w:type="spellEnd"/>
      <w:r w:rsidRPr="00C556BB">
        <w:rPr>
          <w:rFonts w:eastAsia="Times New Roman" w:cs="Times New Roman"/>
          <w:sz w:val="20"/>
          <w:szCs w:val="20"/>
          <w:lang w:eastAsia="en-CA"/>
        </w:rPr>
        <w:t xml:space="preserve"> 3824 (WL Can.), affirming a decision of Savage J., 2013 BCSC 524, [2013] B.C.J. No. 605 (QL), 2013 </w:t>
      </w:r>
      <w:proofErr w:type="spellStart"/>
      <w:r w:rsidRPr="00C556BB">
        <w:rPr>
          <w:rFonts w:eastAsia="Times New Roman" w:cs="Times New Roman"/>
          <w:sz w:val="20"/>
          <w:szCs w:val="20"/>
          <w:lang w:eastAsia="en-CA"/>
        </w:rPr>
        <w:t>CarswellBC</w:t>
      </w:r>
      <w:proofErr w:type="spellEnd"/>
      <w:r w:rsidRPr="00C556BB">
        <w:rPr>
          <w:rFonts w:eastAsia="Times New Roman" w:cs="Times New Roman"/>
          <w:sz w:val="20"/>
          <w:szCs w:val="20"/>
          <w:lang w:eastAsia="en-CA"/>
        </w:rPr>
        <w:t xml:space="preserve"> 795 (WL Can.). Appeal by the Workers’ Compensation Appeal Tribunal dismissed. Appeal by Katrina Hammer, Patricia Schmidt and Anne MacFarlane allowed, C</w:t>
      </w:r>
      <w:proofErr w:type="spellStart"/>
      <w:r w:rsidRPr="00C556BB">
        <w:rPr>
          <w:rFonts w:eastAsia="Times New Roman" w:cs="Times New Roman"/>
          <w:sz w:val="20"/>
          <w:szCs w:val="20"/>
          <w:lang w:val="en-US" w:eastAsia="en-CA"/>
        </w:rPr>
        <w:t>ôté</w:t>
      </w:r>
      <w:proofErr w:type="spellEnd"/>
      <w:r w:rsidRPr="00C556BB">
        <w:rPr>
          <w:rFonts w:eastAsia="Times New Roman" w:cs="Times New Roman"/>
          <w:sz w:val="20"/>
          <w:szCs w:val="20"/>
          <w:lang w:val="en-US" w:eastAsia="en-CA"/>
        </w:rPr>
        <w:t> J. dissenting</w:t>
      </w:r>
      <w:r w:rsidRPr="00C556BB">
        <w:rPr>
          <w:rFonts w:eastAsia="Times New Roman" w:cs="Times New Roman"/>
          <w:sz w:val="20"/>
          <w:szCs w:val="20"/>
          <w:lang w:eastAsia="en-CA"/>
        </w:rPr>
        <w:t>.</w:t>
      </w:r>
    </w:p>
    <w:p w:rsidR="005F403A" w:rsidRPr="00C556BB" w:rsidRDefault="005F403A" w:rsidP="005F403A">
      <w:pPr>
        <w:tabs>
          <w:tab w:val="left" w:pos="1168"/>
        </w:tabs>
        <w:jc w:val="both"/>
        <w:rPr>
          <w:rFonts w:eastAsia="Times New Roman" w:cs="Times New Roman"/>
          <w:sz w:val="20"/>
          <w:szCs w:val="20"/>
          <w:lang w:eastAsia="en-CA"/>
        </w:rPr>
      </w:pPr>
    </w:p>
    <w:p w:rsidR="005F403A" w:rsidRPr="00C556BB" w:rsidRDefault="005F403A" w:rsidP="005F403A">
      <w:pPr>
        <w:tabs>
          <w:tab w:val="left" w:pos="1168"/>
        </w:tabs>
        <w:jc w:val="both"/>
        <w:rPr>
          <w:rFonts w:eastAsia="Times New Roman" w:cs="Times New Roman"/>
          <w:sz w:val="20"/>
          <w:szCs w:val="20"/>
          <w:lang w:eastAsia="en-CA"/>
        </w:rPr>
      </w:pPr>
      <w:r w:rsidRPr="00C556BB">
        <w:rPr>
          <w:rFonts w:eastAsia="Times New Roman" w:cs="Times New Roman"/>
          <w:i/>
          <w:sz w:val="20"/>
          <w:szCs w:val="20"/>
          <w:lang w:eastAsia="en-CA"/>
        </w:rPr>
        <w:tab/>
        <w:t xml:space="preserve">Timothy J. </w:t>
      </w:r>
      <w:proofErr w:type="spellStart"/>
      <w:r w:rsidRPr="00C556BB">
        <w:rPr>
          <w:rFonts w:eastAsia="Times New Roman" w:cs="Times New Roman"/>
          <w:i/>
          <w:sz w:val="20"/>
          <w:szCs w:val="20"/>
          <w:lang w:eastAsia="en-CA"/>
        </w:rPr>
        <w:t>Martiniuk</w:t>
      </w:r>
      <w:proofErr w:type="spellEnd"/>
      <w:r w:rsidRPr="00C556BB">
        <w:rPr>
          <w:rFonts w:eastAsia="Times New Roman" w:cs="Times New Roman"/>
          <w:sz w:val="20"/>
          <w:szCs w:val="20"/>
          <w:lang w:eastAsia="en-CA"/>
        </w:rPr>
        <w:t xml:space="preserve"> and </w:t>
      </w:r>
      <w:r w:rsidRPr="00C556BB">
        <w:rPr>
          <w:rFonts w:eastAsia="Times New Roman" w:cs="Times New Roman"/>
          <w:i/>
          <w:sz w:val="20"/>
          <w:szCs w:val="20"/>
          <w:lang w:eastAsia="en-CA"/>
        </w:rPr>
        <w:t>Jeremy Thomas Lovell</w:t>
      </w:r>
      <w:r w:rsidRPr="00C556BB">
        <w:rPr>
          <w:rFonts w:eastAsia="Times New Roman" w:cs="Times New Roman"/>
          <w:sz w:val="20"/>
          <w:szCs w:val="20"/>
          <w:lang w:eastAsia="en-CA"/>
        </w:rPr>
        <w:t>, for the appellant/respondent the Workers’ Compensation Appeal Tribunal.</w:t>
      </w:r>
    </w:p>
    <w:p w:rsidR="005F403A" w:rsidRPr="00C556BB" w:rsidRDefault="005F403A" w:rsidP="005F403A">
      <w:pPr>
        <w:tabs>
          <w:tab w:val="left" w:pos="1168"/>
        </w:tabs>
        <w:jc w:val="both"/>
        <w:rPr>
          <w:rFonts w:eastAsia="Times New Roman" w:cs="Times New Roman"/>
          <w:sz w:val="20"/>
          <w:szCs w:val="20"/>
          <w:lang w:eastAsia="en-CA"/>
        </w:rPr>
      </w:pPr>
    </w:p>
    <w:p w:rsidR="005F403A" w:rsidRPr="00C556BB" w:rsidRDefault="005F403A" w:rsidP="005F403A">
      <w:pPr>
        <w:tabs>
          <w:tab w:val="left" w:pos="1168"/>
        </w:tabs>
        <w:jc w:val="both"/>
        <w:rPr>
          <w:rFonts w:eastAsia="Times New Roman" w:cs="Times New Roman"/>
          <w:sz w:val="20"/>
          <w:szCs w:val="20"/>
          <w:lang w:eastAsia="en-CA"/>
        </w:rPr>
      </w:pPr>
      <w:r w:rsidRPr="00C556BB">
        <w:rPr>
          <w:rFonts w:eastAsia="Times New Roman" w:cs="Times New Roman"/>
          <w:i/>
          <w:sz w:val="20"/>
          <w:szCs w:val="20"/>
          <w:lang w:eastAsia="en-CA"/>
        </w:rPr>
        <w:tab/>
      </w:r>
      <w:proofErr w:type="spellStart"/>
      <w:r w:rsidRPr="00C556BB">
        <w:rPr>
          <w:rFonts w:eastAsia="Times New Roman" w:cs="Times New Roman"/>
          <w:i/>
          <w:sz w:val="20"/>
          <w:szCs w:val="20"/>
          <w:lang w:eastAsia="en-CA"/>
        </w:rPr>
        <w:t>Tonie</w:t>
      </w:r>
      <w:proofErr w:type="spellEnd"/>
      <w:r w:rsidRPr="00C556BB">
        <w:rPr>
          <w:rFonts w:eastAsia="Times New Roman" w:cs="Times New Roman"/>
          <w:i/>
          <w:sz w:val="20"/>
          <w:szCs w:val="20"/>
          <w:lang w:eastAsia="en-CA"/>
        </w:rPr>
        <w:t xml:space="preserve"> </w:t>
      </w:r>
      <w:proofErr w:type="spellStart"/>
      <w:r w:rsidRPr="00C556BB">
        <w:rPr>
          <w:rFonts w:eastAsia="Times New Roman" w:cs="Times New Roman"/>
          <w:i/>
          <w:sz w:val="20"/>
          <w:szCs w:val="20"/>
          <w:lang w:eastAsia="en-CA"/>
        </w:rPr>
        <w:t>Beharrell</w:t>
      </w:r>
      <w:proofErr w:type="spellEnd"/>
      <w:r w:rsidRPr="00C556BB">
        <w:rPr>
          <w:rFonts w:eastAsia="Times New Roman" w:cs="Times New Roman"/>
          <w:sz w:val="20"/>
          <w:szCs w:val="20"/>
          <w:lang w:eastAsia="en-CA"/>
        </w:rPr>
        <w:t xml:space="preserve">, </w:t>
      </w:r>
      <w:r w:rsidRPr="00C556BB">
        <w:rPr>
          <w:rFonts w:eastAsia="Times New Roman" w:cs="Times New Roman"/>
          <w:i/>
          <w:sz w:val="20"/>
          <w:szCs w:val="20"/>
          <w:lang w:eastAsia="en-CA"/>
        </w:rPr>
        <w:t>Randall J. Noonan</w:t>
      </w:r>
      <w:r w:rsidRPr="00C556BB">
        <w:rPr>
          <w:rFonts w:eastAsia="Times New Roman" w:cs="Times New Roman"/>
          <w:sz w:val="20"/>
          <w:szCs w:val="20"/>
          <w:lang w:eastAsia="en-CA"/>
        </w:rPr>
        <w:t xml:space="preserve"> and </w:t>
      </w:r>
      <w:proofErr w:type="spellStart"/>
      <w:r w:rsidRPr="00C556BB">
        <w:rPr>
          <w:rFonts w:eastAsia="Times New Roman" w:cs="Times New Roman"/>
          <w:i/>
          <w:sz w:val="20"/>
          <w:szCs w:val="20"/>
          <w:lang w:eastAsia="en-CA"/>
        </w:rPr>
        <w:t>Kaity</w:t>
      </w:r>
      <w:proofErr w:type="spellEnd"/>
      <w:r w:rsidRPr="00C556BB">
        <w:rPr>
          <w:rFonts w:eastAsia="Times New Roman" w:cs="Times New Roman"/>
          <w:i/>
          <w:sz w:val="20"/>
          <w:szCs w:val="20"/>
          <w:lang w:eastAsia="en-CA"/>
        </w:rPr>
        <w:t xml:space="preserve"> Cooper</w:t>
      </w:r>
      <w:r w:rsidRPr="00C556BB">
        <w:rPr>
          <w:rFonts w:eastAsia="Times New Roman" w:cs="Times New Roman"/>
          <w:sz w:val="20"/>
          <w:szCs w:val="20"/>
          <w:lang w:eastAsia="en-CA"/>
        </w:rPr>
        <w:t>, for the appellants/respondents Katrina Hammer, Patricia Schmidt and Anne MacFarlane.</w:t>
      </w:r>
    </w:p>
    <w:p w:rsidR="005F403A" w:rsidRPr="00C556BB" w:rsidRDefault="005F403A" w:rsidP="005F403A">
      <w:pPr>
        <w:tabs>
          <w:tab w:val="left" w:pos="1168"/>
        </w:tabs>
        <w:jc w:val="both"/>
        <w:rPr>
          <w:rFonts w:eastAsia="Times New Roman" w:cs="Times New Roman"/>
          <w:sz w:val="20"/>
          <w:szCs w:val="20"/>
          <w:lang w:eastAsia="en-CA"/>
        </w:rPr>
      </w:pPr>
    </w:p>
    <w:p w:rsidR="005F403A" w:rsidRPr="00C556BB" w:rsidRDefault="005F403A" w:rsidP="005F403A">
      <w:pPr>
        <w:tabs>
          <w:tab w:val="left" w:pos="1168"/>
        </w:tabs>
        <w:jc w:val="both"/>
        <w:rPr>
          <w:rFonts w:eastAsia="Times New Roman" w:cs="Times New Roman"/>
          <w:sz w:val="20"/>
          <w:szCs w:val="20"/>
          <w:lang w:eastAsia="en-CA"/>
        </w:rPr>
      </w:pPr>
      <w:r w:rsidRPr="00C556BB">
        <w:rPr>
          <w:rFonts w:eastAsia="Times New Roman" w:cs="Times New Roman"/>
          <w:i/>
          <w:sz w:val="20"/>
          <w:szCs w:val="20"/>
          <w:lang w:eastAsia="en-CA"/>
        </w:rPr>
        <w:tab/>
      </w:r>
      <w:proofErr w:type="spellStart"/>
      <w:r w:rsidRPr="00C556BB">
        <w:rPr>
          <w:rFonts w:eastAsia="Times New Roman" w:cs="Times New Roman"/>
          <w:i/>
          <w:sz w:val="20"/>
          <w:szCs w:val="20"/>
          <w:lang w:eastAsia="en-CA"/>
        </w:rPr>
        <w:t>Nazeer</w:t>
      </w:r>
      <w:proofErr w:type="spellEnd"/>
      <w:r w:rsidRPr="00C556BB">
        <w:rPr>
          <w:rFonts w:eastAsia="Times New Roman" w:cs="Times New Roman"/>
          <w:i/>
          <w:sz w:val="20"/>
          <w:szCs w:val="20"/>
          <w:lang w:eastAsia="en-CA"/>
        </w:rPr>
        <w:t xml:space="preserve"> T. </w:t>
      </w:r>
      <w:proofErr w:type="spellStart"/>
      <w:r w:rsidRPr="00C556BB">
        <w:rPr>
          <w:rFonts w:eastAsia="Times New Roman" w:cs="Times New Roman"/>
          <w:i/>
          <w:sz w:val="20"/>
          <w:szCs w:val="20"/>
          <w:lang w:eastAsia="en-CA"/>
        </w:rPr>
        <w:t>Mitha</w:t>
      </w:r>
      <w:proofErr w:type="spellEnd"/>
      <w:r w:rsidRPr="00C556BB">
        <w:rPr>
          <w:rFonts w:eastAsia="Times New Roman" w:cs="Times New Roman"/>
          <w:sz w:val="20"/>
          <w:szCs w:val="20"/>
          <w:lang w:eastAsia="en-CA"/>
        </w:rPr>
        <w:t xml:space="preserve">, </w:t>
      </w:r>
      <w:r w:rsidRPr="00C556BB">
        <w:rPr>
          <w:rFonts w:eastAsia="Times New Roman" w:cs="Times New Roman"/>
          <w:i/>
          <w:sz w:val="20"/>
          <w:szCs w:val="20"/>
          <w:lang w:eastAsia="en-CA"/>
        </w:rPr>
        <w:t xml:space="preserve">Dianne D. </w:t>
      </w:r>
      <w:proofErr w:type="spellStart"/>
      <w:r w:rsidRPr="00C556BB">
        <w:rPr>
          <w:rFonts w:eastAsia="Times New Roman" w:cs="Times New Roman"/>
          <w:i/>
          <w:sz w:val="20"/>
          <w:szCs w:val="20"/>
          <w:lang w:eastAsia="en-CA"/>
        </w:rPr>
        <w:t>Rideout</w:t>
      </w:r>
      <w:proofErr w:type="spellEnd"/>
      <w:r w:rsidRPr="00C556BB">
        <w:rPr>
          <w:rFonts w:eastAsia="Times New Roman" w:cs="Times New Roman"/>
          <w:sz w:val="20"/>
          <w:szCs w:val="20"/>
          <w:lang w:eastAsia="en-CA"/>
        </w:rPr>
        <w:t xml:space="preserve"> and </w:t>
      </w:r>
      <w:r w:rsidRPr="00C556BB">
        <w:rPr>
          <w:rFonts w:eastAsia="Times New Roman" w:cs="Times New Roman"/>
          <w:i/>
          <w:sz w:val="20"/>
          <w:szCs w:val="20"/>
          <w:lang w:eastAsia="en-CA"/>
        </w:rPr>
        <w:t>Erin Cutler</w:t>
      </w:r>
      <w:r w:rsidRPr="00C556BB">
        <w:rPr>
          <w:rFonts w:eastAsia="Times New Roman" w:cs="Times New Roman"/>
          <w:sz w:val="20"/>
          <w:szCs w:val="20"/>
          <w:lang w:eastAsia="en-CA"/>
        </w:rPr>
        <w:t>, for the respondent Fraser Health Authority.</w:t>
      </w:r>
    </w:p>
    <w:p w:rsidR="005F403A" w:rsidRPr="00C556BB" w:rsidRDefault="005F403A" w:rsidP="005F403A">
      <w:pPr>
        <w:tabs>
          <w:tab w:val="left" w:pos="1168"/>
        </w:tabs>
        <w:jc w:val="both"/>
        <w:rPr>
          <w:rFonts w:eastAsia="Times New Roman" w:cs="Times New Roman"/>
          <w:sz w:val="20"/>
          <w:szCs w:val="20"/>
          <w:lang w:eastAsia="en-CA"/>
        </w:rPr>
      </w:pPr>
    </w:p>
    <w:p w:rsidR="005F403A" w:rsidRPr="00C556BB" w:rsidRDefault="005F403A" w:rsidP="005F403A">
      <w:pPr>
        <w:tabs>
          <w:tab w:val="left" w:pos="1168"/>
        </w:tabs>
        <w:jc w:val="both"/>
        <w:rPr>
          <w:rFonts w:eastAsia="Times New Roman" w:cs="Times New Roman"/>
          <w:sz w:val="20"/>
          <w:szCs w:val="20"/>
          <w:lang w:eastAsia="en-CA"/>
        </w:rPr>
      </w:pPr>
      <w:r w:rsidRPr="00C556BB">
        <w:rPr>
          <w:rFonts w:eastAsia="Times New Roman" w:cs="Times New Roman"/>
          <w:i/>
          <w:sz w:val="20"/>
          <w:szCs w:val="20"/>
          <w:lang w:eastAsia="en-CA"/>
        </w:rPr>
        <w:tab/>
        <w:t>Christine Mohr</w:t>
      </w:r>
      <w:r w:rsidRPr="00C556BB">
        <w:rPr>
          <w:rFonts w:eastAsia="Times New Roman" w:cs="Times New Roman"/>
          <w:sz w:val="20"/>
          <w:szCs w:val="20"/>
          <w:lang w:eastAsia="en-CA"/>
        </w:rPr>
        <w:t xml:space="preserve"> and </w:t>
      </w:r>
      <w:r w:rsidRPr="00C556BB">
        <w:rPr>
          <w:rFonts w:eastAsia="Times New Roman" w:cs="Times New Roman"/>
          <w:i/>
          <w:sz w:val="20"/>
          <w:szCs w:val="20"/>
          <w:lang w:eastAsia="en-CA"/>
        </w:rPr>
        <w:t xml:space="preserve">Alexander </w:t>
      </w:r>
      <w:proofErr w:type="spellStart"/>
      <w:r w:rsidRPr="00C556BB">
        <w:rPr>
          <w:rFonts w:eastAsia="Times New Roman" w:cs="Times New Roman"/>
          <w:i/>
          <w:sz w:val="20"/>
          <w:szCs w:val="20"/>
          <w:lang w:eastAsia="en-CA"/>
        </w:rPr>
        <w:t>Pless</w:t>
      </w:r>
      <w:proofErr w:type="spellEnd"/>
      <w:r w:rsidRPr="00C556BB">
        <w:rPr>
          <w:rFonts w:eastAsia="Times New Roman" w:cs="Times New Roman"/>
          <w:sz w:val="20"/>
          <w:szCs w:val="20"/>
          <w:lang w:eastAsia="en-CA"/>
        </w:rPr>
        <w:t>, for the intervener the Attorney General of Canada.</w:t>
      </w:r>
    </w:p>
    <w:p w:rsidR="005F403A" w:rsidRPr="00C556BB" w:rsidRDefault="005F403A" w:rsidP="005F403A">
      <w:pPr>
        <w:tabs>
          <w:tab w:val="left" w:pos="1168"/>
        </w:tabs>
        <w:jc w:val="both"/>
        <w:rPr>
          <w:rFonts w:eastAsia="Times New Roman" w:cs="Times New Roman"/>
          <w:sz w:val="20"/>
          <w:szCs w:val="20"/>
          <w:lang w:eastAsia="en-CA"/>
        </w:rPr>
      </w:pPr>
    </w:p>
    <w:p w:rsidR="005F403A" w:rsidRPr="00C556BB" w:rsidRDefault="005F403A" w:rsidP="005F403A">
      <w:pPr>
        <w:tabs>
          <w:tab w:val="left" w:pos="1168"/>
        </w:tabs>
        <w:jc w:val="both"/>
        <w:rPr>
          <w:rFonts w:eastAsia="Times New Roman" w:cs="Times New Roman"/>
          <w:sz w:val="20"/>
          <w:szCs w:val="20"/>
          <w:lang w:eastAsia="en-CA"/>
        </w:rPr>
      </w:pPr>
      <w:r w:rsidRPr="00C556BB">
        <w:rPr>
          <w:rFonts w:eastAsia="Times New Roman" w:cs="Times New Roman"/>
          <w:i/>
          <w:sz w:val="20"/>
          <w:szCs w:val="20"/>
          <w:lang w:eastAsia="en-CA"/>
        </w:rPr>
        <w:tab/>
        <w:t>Sara Blake</w:t>
      </w:r>
      <w:r w:rsidRPr="00C556BB">
        <w:rPr>
          <w:rFonts w:eastAsia="Times New Roman" w:cs="Times New Roman"/>
          <w:sz w:val="20"/>
          <w:szCs w:val="20"/>
          <w:lang w:eastAsia="en-CA"/>
        </w:rPr>
        <w:t xml:space="preserve"> and </w:t>
      </w:r>
      <w:r w:rsidRPr="00C556BB">
        <w:rPr>
          <w:rFonts w:eastAsia="Times New Roman" w:cs="Times New Roman"/>
          <w:i/>
          <w:sz w:val="20"/>
          <w:szCs w:val="20"/>
          <w:lang w:eastAsia="en-CA"/>
        </w:rPr>
        <w:t>Sandra Nishikawa</w:t>
      </w:r>
      <w:r w:rsidRPr="00C556BB">
        <w:rPr>
          <w:rFonts w:eastAsia="Times New Roman" w:cs="Times New Roman"/>
          <w:sz w:val="20"/>
          <w:szCs w:val="20"/>
          <w:lang w:eastAsia="en-CA"/>
        </w:rPr>
        <w:t>, for the intervener the Attorney General of Ontario.</w:t>
      </w:r>
    </w:p>
    <w:p w:rsidR="005F403A" w:rsidRPr="00C556BB" w:rsidRDefault="005F403A" w:rsidP="005F403A">
      <w:pPr>
        <w:tabs>
          <w:tab w:val="left" w:pos="1168"/>
        </w:tabs>
        <w:jc w:val="both"/>
        <w:rPr>
          <w:rFonts w:eastAsia="Times New Roman" w:cs="Times New Roman"/>
          <w:sz w:val="20"/>
          <w:szCs w:val="20"/>
          <w:lang w:eastAsia="en-CA"/>
        </w:rPr>
      </w:pPr>
    </w:p>
    <w:p w:rsidR="005F403A" w:rsidRPr="00C556BB" w:rsidRDefault="005F403A" w:rsidP="005F403A">
      <w:pPr>
        <w:tabs>
          <w:tab w:val="left" w:pos="1168"/>
        </w:tabs>
        <w:jc w:val="both"/>
        <w:rPr>
          <w:rFonts w:eastAsia="Times New Roman" w:cs="Times New Roman"/>
          <w:sz w:val="20"/>
          <w:szCs w:val="20"/>
          <w:lang w:eastAsia="en-CA"/>
        </w:rPr>
      </w:pPr>
      <w:r w:rsidRPr="00C556BB">
        <w:rPr>
          <w:rFonts w:eastAsia="Times New Roman" w:cs="Times New Roman"/>
          <w:i/>
          <w:sz w:val="20"/>
          <w:szCs w:val="20"/>
          <w:lang w:eastAsia="en-CA"/>
        </w:rPr>
        <w:tab/>
        <w:t xml:space="preserve">Ivana </w:t>
      </w:r>
      <w:proofErr w:type="spellStart"/>
      <w:r w:rsidRPr="00C556BB">
        <w:rPr>
          <w:rFonts w:eastAsia="Times New Roman" w:cs="Times New Roman"/>
          <w:i/>
          <w:sz w:val="20"/>
          <w:szCs w:val="20"/>
          <w:lang w:eastAsia="en-CA"/>
        </w:rPr>
        <w:t>Petricone</w:t>
      </w:r>
      <w:proofErr w:type="spellEnd"/>
      <w:r w:rsidRPr="00C556BB">
        <w:rPr>
          <w:rFonts w:eastAsia="Times New Roman" w:cs="Times New Roman"/>
          <w:sz w:val="20"/>
          <w:szCs w:val="20"/>
          <w:lang w:eastAsia="en-CA"/>
        </w:rPr>
        <w:t>, for the interveners the Ontario Network of Injured Workers’ Groups and the Industrial Accident Victims’ Group of Ontario.</w:t>
      </w:r>
    </w:p>
    <w:p w:rsidR="005F403A" w:rsidRPr="00C556BB" w:rsidRDefault="005F403A" w:rsidP="005F403A">
      <w:pPr>
        <w:tabs>
          <w:tab w:val="left" w:pos="1168"/>
        </w:tabs>
        <w:jc w:val="both"/>
        <w:rPr>
          <w:rFonts w:eastAsia="Times New Roman" w:cs="Times New Roman"/>
          <w:sz w:val="20"/>
          <w:szCs w:val="20"/>
          <w:lang w:eastAsia="en-CA"/>
        </w:rPr>
      </w:pPr>
    </w:p>
    <w:p w:rsidR="005F403A" w:rsidRPr="00C556BB" w:rsidRDefault="005F403A" w:rsidP="005F403A">
      <w:pPr>
        <w:tabs>
          <w:tab w:val="left" w:pos="1168"/>
        </w:tabs>
        <w:jc w:val="both"/>
        <w:rPr>
          <w:rFonts w:eastAsia="Times New Roman" w:cs="Times New Roman"/>
          <w:sz w:val="20"/>
          <w:szCs w:val="20"/>
          <w:lang w:eastAsia="en-CA"/>
        </w:rPr>
      </w:pPr>
      <w:r w:rsidRPr="00C556BB">
        <w:rPr>
          <w:rFonts w:eastAsia="Times New Roman" w:cs="Times New Roman"/>
          <w:i/>
          <w:sz w:val="20"/>
          <w:szCs w:val="20"/>
          <w:lang w:eastAsia="en-CA"/>
        </w:rPr>
        <w:tab/>
        <w:t xml:space="preserve">Monique </w:t>
      </w:r>
      <w:proofErr w:type="spellStart"/>
      <w:r w:rsidRPr="00C556BB">
        <w:rPr>
          <w:rFonts w:eastAsia="Times New Roman" w:cs="Times New Roman"/>
          <w:i/>
          <w:sz w:val="20"/>
          <w:szCs w:val="20"/>
          <w:lang w:eastAsia="en-CA"/>
        </w:rPr>
        <w:t>Pongracic</w:t>
      </w:r>
      <w:proofErr w:type="spellEnd"/>
      <w:r w:rsidRPr="00C556BB">
        <w:rPr>
          <w:rFonts w:eastAsia="Times New Roman" w:cs="Times New Roman"/>
          <w:i/>
          <w:sz w:val="20"/>
          <w:szCs w:val="20"/>
          <w:lang w:eastAsia="en-CA"/>
        </w:rPr>
        <w:t>-Speier</w:t>
      </w:r>
      <w:r w:rsidRPr="00C556BB">
        <w:rPr>
          <w:rFonts w:eastAsia="Times New Roman" w:cs="Times New Roman"/>
          <w:sz w:val="20"/>
          <w:szCs w:val="20"/>
          <w:lang w:eastAsia="en-CA"/>
        </w:rPr>
        <w:t>, for the interveners the Community Legal Assistance Society and the British Columbia Federation of Labour.</w:t>
      </w:r>
    </w:p>
    <w:p w:rsidR="005F403A" w:rsidRPr="00C556BB" w:rsidRDefault="005F403A" w:rsidP="005F403A">
      <w:pPr>
        <w:tabs>
          <w:tab w:val="left" w:pos="1168"/>
        </w:tabs>
        <w:jc w:val="both"/>
        <w:rPr>
          <w:rFonts w:eastAsia="Times New Roman" w:cs="Times New Roman"/>
          <w:sz w:val="20"/>
          <w:szCs w:val="20"/>
          <w:lang w:eastAsia="en-CA"/>
        </w:rPr>
      </w:pPr>
    </w:p>
    <w:p w:rsidR="005F403A" w:rsidRPr="00C556BB" w:rsidRDefault="005F403A" w:rsidP="005F403A">
      <w:pPr>
        <w:tabs>
          <w:tab w:val="left" w:pos="1168"/>
        </w:tabs>
        <w:jc w:val="both"/>
        <w:rPr>
          <w:rFonts w:eastAsia="Times New Roman" w:cs="Times New Roman"/>
          <w:i/>
          <w:sz w:val="20"/>
          <w:szCs w:val="20"/>
          <w:lang w:eastAsia="en-CA"/>
        </w:rPr>
      </w:pPr>
      <w:r w:rsidRPr="00C556BB">
        <w:rPr>
          <w:rFonts w:eastAsia="Times New Roman" w:cs="Times New Roman"/>
          <w:i/>
          <w:sz w:val="20"/>
          <w:szCs w:val="20"/>
          <w:lang w:eastAsia="en-CA"/>
        </w:rPr>
        <w:tab/>
        <w:t>Solicitor for the appellant/respondent the Workers’ Compensation Appeal Tribunal: Workers’ Compensation Appeal Tribunal, Richmond.</w:t>
      </w:r>
    </w:p>
    <w:p w:rsidR="005F403A" w:rsidRPr="00C556BB" w:rsidRDefault="005F403A" w:rsidP="005F403A">
      <w:pPr>
        <w:tabs>
          <w:tab w:val="left" w:pos="1168"/>
        </w:tabs>
        <w:jc w:val="both"/>
        <w:rPr>
          <w:rFonts w:eastAsia="Times New Roman" w:cs="Times New Roman"/>
          <w:i/>
          <w:sz w:val="20"/>
          <w:szCs w:val="20"/>
          <w:lang w:eastAsia="en-CA"/>
        </w:rPr>
      </w:pPr>
    </w:p>
    <w:p w:rsidR="005F403A" w:rsidRPr="00C556BB" w:rsidRDefault="005F403A" w:rsidP="005F403A">
      <w:pPr>
        <w:tabs>
          <w:tab w:val="left" w:pos="1168"/>
        </w:tabs>
        <w:jc w:val="both"/>
        <w:rPr>
          <w:rFonts w:eastAsia="Times New Roman" w:cs="Times New Roman"/>
          <w:i/>
          <w:sz w:val="20"/>
          <w:szCs w:val="20"/>
          <w:lang w:eastAsia="en-CA"/>
        </w:rPr>
      </w:pPr>
      <w:r w:rsidRPr="00C556BB">
        <w:rPr>
          <w:rFonts w:eastAsia="Times New Roman" w:cs="Times New Roman"/>
          <w:i/>
          <w:sz w:val="20"/>
          <w:szCs w:val="20"/>
          <w:lang w:eastAsia="en-CA"/>
        </w:rPr>
        <w:tab/>
        <w:t>Solicitors for the appellants/respondents Katrina Hammer, Patricia Schmidt and Anne MacFarlane: Health Sciences Association of British Columbia, New Westminster; Hospital Employees’ Union, New Westminster.</w:t>
      </w:r>
    </w:p>
    <w:p w:rsidR="005F403A" w:rsidRPr="00C556BB" w:rsidRDefault="005F403A" w:rsidP="005F403A">
      <w:pPr>
        <w:tabs>
          <w:tab w:val="left" w:pos="1168"/>
        </w:tabs>
        <w:jc w:val="both"/>
        <w:rPr>
          <w:rFonts w:eastAsia="Times New Roman" w:cs="Times New Roman"/>
          <w:i/>
          <w:sz w:val="20"/>
          <w:szCs w:val="20"/>
          <w:lang w:eastAsia="en-CA"/>
        </w:rPr>
      </w:pPr>
    </w:p>
    <w:p w:rsidR="005F403A" w:rsidRPr="00C556BB" w:rsidRDefault="005F403A" w:rsidP="005F403A">
      <w:pPr>
        <w:tabs>
          <w:tab w:val="left" w:pos="1168"/>
        </w:tabs>
        <w:jc w:val="both"/>
        <w:rPr>
          <w:rFonts w:eastAsia="Times New Roman" w:cs="Times New Roman"/>
          <w:i/>
          <w:sz w:val="20"/>
          <w:szCs w:val="20"/>
          <w:lang w:eastAsia="en-CA"/>
        </w:rPr>
      </w:pPr>
      <w:r w:rsidRPr="00C556BB">
        <w:rPr>
          <w:rFonts w:eastAsia="Times New Roman" w:cs="Times New Roman"/>
          <w:i/>
          <w:sz w:val="20"/>
          <w:szCs w:val="20"/>
          <w:lang w:eastAsia="en-CA"/>
        </w:rPr>
        <w:tab/>
        <w:t>Solicitors for the respondent Fraser Health Authority: Harris &amp; Company, Vancouver; Health Employers Association of British Columbia, Vancouver.</w:t>
      </w:r>
    </w:p>
    <w:p w:rsidR="005F403A" w:rsidRPr="00C556BB" w:rsidRDefault="005F403A" w:rsidP="005F403A">
      <w:pPr>
        <w:tabs>
          <w:tab w:val="left" w:pos="1168"/>
        </w:tabs>
        <w:jc w:val="both"/>
        <w:rPr>
          <w:rFonts w:eastAsia="Times New Roman" w:cs="Times New Roman"/>
          <w:i/>
          <w:sz w:val="20"/>
          <w:szCs w:val="20"/>
          <w:lang w:eastAsia="en-CA"/>
        </w:rPr>
      </w:pPr>
    </w:p>
    <w:p w:rsidR="005F403A" w:rsidRPr="00C556BB" w:rsidRDefault="005F403A" w:rsidP="005F403A">
      <w:pPr>
        <w:tabs>
          <w:tab w:val="left" w:pos="1168"/>
        </w:tabs>
        <w:jc w:val="both"/>
        <w:rPr>
          <w:rFonts w:eastAsia="Times New Roman" w:cs="Times New Roman"/>
          <w:i/>
          <w:sz w:val="20"/>
          <w:szCs w:val="20"/>
          <w:lang w:eastAsia="en-CA"/>
        </w:rPr>
      </w:pPr>
      <w:r w:rsidRPr="00C556BB">
        <w:rPr>
          <w:rFonts w:eastAsia="Times New Roman" w:cs="Times New Roman"/>
          <w:i/>
          <w:sz w:val="20"/>
          <w:szCs w:val="20"/>
          <w:lang w:eastAsia="en-CA"/>
        </w:rPr>
        <w:tab/>
        <w:t>Solicitor for the intervener the Attorney General of Canada:  Attorney General of Canada, Toronto.</w:t>
      </w:r>
    </w:p>
    <w:p w:rsidR="005F403A" w:rsidRPr="00C556BB" w:rsidRDefault="005F403A" w:rsidP="005F403A">
      <w:pPr>
        <w:tabs>
          <w:tab w:val="left" w:pos="1168"/>
        </w:tabs>
        <w:jc w:val="both"/>
        <w:rPr>
          <w:rFonts w:eastAsia="Times New Roman" w:cs="Times New Roman"/>
          <w:i/>
          <w:sz w:val="20"/>
          <w:szCs w:val="20"/>
          <w:lang w:eastAsia="en-CA"/>
        </w:rPr>
      </w:pPr>
    </w:p>
    <w:p w:rsidR="005F403A" w:rsidRPr="00C556BB" w:rsidRDefault="005F403A" w:rsidP="005F403A">
      <w:pPr>
        <w:tabs>
          <w:tab w:val="left" w:pos="1168"/>
        </w:tabs>
        <w:jc w:val="both"/>
        <w:rPr>
          <w:rFonts w:eastAsia="Times New Roman" w:cs="Times New Roman"/>
          <w:i/>
          <w:sz w:val="20"/>
          <w:szCs w:val="20"/>
          <w:lang w:eastAsia="en-CA"/>
        </w:rPr>
      </w:pPr>
      <w:r w:rsidRPr="00C556BB">
        <w:rPr>
          <w:rFonts w:eastAsia="Times New Roman" w:cs="Times New Roman"/>
          <w:i/>
          <w:sz w:val="20"/>
          <w:szCs w:val="20"/>
          <w:lang w:eastAsia="en-CA"/>
        </w:rPr>
        <w:tab/>
        <w:t>Solicitor for the intervener the Attorney General of Ontario:  Attorney General of Ontario, Toronto.</w:t>
      </w:r>
    </w:p>
    <w:p w:rsidR="005F403A" w:rsidRPr="00C556BB" w:rsidRDefault="005F403A" w:rsidP="005F403A">
      <w:pPr>
        <w:tabs>
          <w:tab w:val="left" w:pos="1168"/>
        </w:tabs>
        <w:jc w:val="both"/>
        <w:rPr>
          <w:rFonts w:eastAsia="Times New Roman" w:cs="Times New Roman"/>
          <w:i/>
          <w:sz w:val="20"/>
          <w:szCs w:val="20"/>
          <w:lang w:eastAsia="en-CA"/>
        </w:rPr>
      </w:pPr>
    </w:p>
    <w:p w:rsidR="005F403A" w:rsidRPr="00C556BB" w:rsidRDefault="005F403A" w:rsidP="005F403A">
      <w:pPr>
        <w:tabs>
          <w:tab w:val="left" w:pos="1168"/>
        </w:tabs>
        <w:jc w:val="both"/>
        <w:rPr>
          <w:rFonts w:eastAsia="Times New Roman" w:cs="Times New Roman"/>
          <w:i/>
          <w:sz w:val="20"/>
          <w:szCs w:val="20"/>
          <w:lang w:eastAsia="en-CA"/>
        </w:rPr>
      </w:pPr>
      <w:r w:rsidRPr="00C556BB">
        <w:rPr>
          <w:rFonts w:eastAsia="Times New Roman" w:cs="Times New Roman"/>
          <w:i/>
          <w:sz w:val="20"/>
          <w:szCs w:val="20"/>
          <w:lang w:eastAsia="en-CA"/>
        </w:rPr>
        <w:tab/>
        <w:t>Solicitors for the interveners the Ontario Network of Injured Workers’ Groups and the Industrial Accident Victims’ Group of Ontario:  IAVGO Community Legal Clinic, Toronto.</w:t>
      </w:r>
    </w:p>
    <w:p w:rsidR="005F403A" w:rsidRPr="00C556BB" w:rsidRDefault="005F403A" w:rsidP="005F403A">
      <w:pPr>
        <w:tabs>
          <w:tab w:val="left" w:pos="1168"/>
        </w:tabs>
        <w:jc w:val="both"/>
        <w:rPr>
          <w:rFonts w:eastAsia="Times New Roman" w:cs="Times New Roman"/>
          <w:i/>
          <w:sz w:val="20"/>
          <w:szCs w:val="20"/>
          <w:lang w:eastAsia="en-CA"/>
        </w:rPr>
      </w:pPr>
    </w:p>
    <w:p w:rsidR="0052229C" w:rsidRPr="00C556BB" w:rsidRDefault="005F403A" w:rsidP="005F403A">
      <w:pPr>
        <w:tabs>
          <w:tab w:val="left" w:pos="1168"/>
        </w:tabs>
        <w:jc w:val="both"/>
        <w:rPr>
          <w:rFonts w:cs="Times New Roman"/>
          <w:sz w:val="20"/>
          <w:szCs w:val="20"/>
        </w:rPr>
      </w:pPr>
      <w:r w:rsidRPr="00C556BB">
        <w:rPr>
          <w:rFonts w:eastAsia="Times New Roman" w:cs="Times New Roman"/>
          <w:i/>
          <w:sz w:val="20"/>
          <w:szCs w:val="20"/>
          <w:lang w:eastAsia="en-CA"/>
        </w:rPr>
        <w:tab/>
        <w:t>Solicitors for the interveners the Community Legal Assistance Society and the British Columbia Federation of Labour:  Ethos Law Group, Vancouver.</w:t>
      </w:r>
    </w:p>
    <w:p w:rsidR="0052229C" w:rsidRPr="00C556BB" w:rsidRDefault="0052229C" w:rsidP="0052229C">
      <w:pPr>
        <w:rPr>
          <w:rFonts w:cs="Times New Roman"/>
          <w:sz w:val="20"/>
          <w:szCs w:val="20"/>
          <w:lang w:val="fr-CA"/>
        </w:rPr>
      </w:pPr>
      <w:r w:rsidRPr="00C556BB">
        <w:rPr>
          <w:rFonts w:cs="Times New Roman"/>
          <w:sz w:val="20"/>
          <w:szCs w:val="20"/>
          <w:lang w:val="fr-CA"/>
        </w:rPr>
        <w:t>________________________</w:t>
      </w:r>
    </w:p>
    <w:p w:rsidR="0052229C" w:rsidRPr="00C556BB" w:rsidRDefault="0052229C" w:rsidP="0052229C">
      <w:pPr>
        <w:rPr>
          <w:rFonts w:cs="Times New Roman"/>
          <w:sz w:val="20"/>
          <w:szCs w:val="20"/>
          <w:lang w:val="fr-CA"/>
        </w:rPr>
      </w:pPr>
    </w:p>
    <w:p w:rsidR="0052229C" w:rsidRPr="00C556BB" w:rsidRDefault="0052229C" w:rsidP="0052229C">
      <w:pPr>
        <w:jc w:val="both"/>
        <w:rPr>
          <w:rFonts w:cs="Times New Roman"/>
          <w:sz w:val="20"/>
          <w:szCs w:val="20"/>
          <w:lang w:val="fr-CA"/>
        </w:rPr>
      </w:pPr>
      <w:r w:rsidRPr="00C556BB">
        <w:rPr>
          <w:rFonts w:cs="Times New Roman"/>
          <w:sz w:val="20"/>
          <w:szCs w:val="20"/>
          <w:lang w:val="fr-CA"/>
        </w:rPr>
        <w:t>Présents : </w:t>
      </w:r>
      <w:r w:rsidR="00AC1CDC" w:rsidRPr="00C556BB">
        <w:rPr>
          <w:rFonts w:cs="Times New Roman"/>
          <w:sz w:val="20"/>
          <w:szCs w:val="20"/>
          <w:lang w:val="fr-CA"/>
        </w:rPr>
        <w:t>La juge en chef McLachlin et les juges Abella, Moldaver, Karakatsanis, Wagner, Côté et Brown</w:t>
      </w:r>
    </w:p>
    <w:p w:rsidR="0052229C" w:rsidRPr="00C556BB" w:rsidRDefault="0052229C" w:rsidP="00144956">
      <w:pPr>
        <w:jc w:val="both"/>
        <w:rPr>
          <w:rFonts w:cs="Times New Roman"/>
          <w:smallCaps/>
          <w:sz w:val="20"/>
          <w:szCs w:val="20"/>
          <w:lang w:val="fr-CA"/>
        </w:rPr>
      </w:pPr>
    </w:p>
    <w:p w:rsidR="00144956" w:rsidRPr="00C556BB" w:rsidRDefault="00144956" w:rsidP="00144956">
      <w:pPr>
        <w:tabs>
          <w:tab w:val="left" w:pos="1168"/>
        </w:tabs>
        <w:jc w:val="both"/>
        <w:rPr>
          <w:rFonts w:eastAsia="Times New Roman" w:cs="Times New Roman"/>
          <w:sz w:val="20"/>
          <w:szCs w:val="20"/>
          <w:lang w:val="fr-CA" w:eastAsia="en-CA"/>
        </w:rPr>
      </w:pPr>
      <w:r w:rsidRPr="00C556BB">
        <w:rPr>
          <w:rFonts w:eastAsia="Times New Roman" w:cs="Times New Roman"/>
          <w:sz w:val="20"/>
          <w:szCs w:val="20"/>
          <w:lang w:val="fr-CA" w:eastAsia="en-CA"/>
        </w:rPr>
        <w:tab/>
      </w:r>
      <w:r w:rsidRPr="00C556BB">
        <w:rPr>
          <w:rFonts w:eastAsia="Times New Roman" w:cs="Times New Roman"/>
          <w:i/>
          <w:sz w:val="20"/>
          <w:szCs w:val="20"/>
          <w:lang w:val="fr-CA" w:eastAsia="en-CA"/>
        </w:rPr>
        <w:t xml:space="preserve">Accidents du travail — Maladie professionnelle — Lien de causalité — Preuve — Norme de preuve — Techniciennes du laboratoire d’un hôpital atteintes d’un cancer du sein demandant une indemnisation parce que leur cancer constitue une maladie professionnelle — Indemnisation payable s’il existe un lien causal significatif entre l’emploi et l’évolution de la maladie — Experts médicaux incapables de conclure à l’existence </w:t>
      </w:r>
      <w:r w:rsidRPr="00C556BB">
        <w:rPr>
          <w:rFonts w:eastAsia="Times New Roman" w:cs="Times New Roman"/>
          <w:i/>
          <w:noProof/>
          <w:sz w:val="20"/>
          <w:szCs w:val="20"/>
          <w:lang w:val="fr-CA" w:eastAsia="en-CA"/>
        </w:rPr>
        <w:t>de données scientifiques permettant d’établir un lien de causalité entre le cancer des employées</w:t>
      </w:r>
      <w:r w:rsidRPr="00C556BB">
        <w:rPr>
          <w:rFonts w:eastAsia="Times New Roman" w:cs="Times New Roman"/>
          <w:i/>
          <w:sz w:val="20"/>
          <w:szCs w:val="20"/>
          <w:lang w:val="fr-CA" w:eastAsia="en-CA"/>
        </w:rPr>
        <w:t xml:space="preserve"> </w:t>
      </w:r>
      <w:r w:rsidRPr="00C556BB">
        <w:rPr>
          <w:rFonts w:eastAsia="Times New Roman" w:cs="Times New Roman"/>
          <w:i/>
          <w:noProof/>
          <w:sz w:val="20"/>
          <w:szCs w:val="20"/>
          <w:lang w:val="fr-CA" w:eastAsia="en-CA"/>
        </w:rPr>
        <w:t xml:space="preserve">et leur travail </w:t>
      </w:r>
      <w:r w:rsidRPr="00C556BB">
        <w:rPr>
          <w:rFonts w:eastAsia="Times New Roman" w:cs="Times New Roman"/>
          <w:i/>
          <w:sz w:val="20"/>
          <w:szCs w:val="20"/>
          <w:lang w:val="fr-CA" w:eastAsia="en-CA"/>
        </w:rPr>
        <w:t xml:space="preserve">— </w:t>
      </w:r>
      <w:r w:rsidRPr="00C556BB">
        <w:rPr>
          <w:rFonts w:eastAsia="Times New Roman" w:cs="Times New Roman"/>
          <w:i/>
          <w:noProof/>
          <w:sz w:val="20"/>
          <w:szCs w:val="20"/>
          <w:lang w:val="fr-CA" w:eastAsia="en-CA"/>
        </w:rPr>
        <w:t>Le Tribunal a</w:t>
      </w:r>
      <w:r w:rsidRPr="00C556BB">
        <w:rPr>
          <w:rFonts w:eastAsia="Times New Roman" w:cs="Times New Roman"/>
          <w:i/>
          <w:noProof/>
          <w:sz w:val="20"/>
          <w:szCs w:val="20"/>
          <w:lang w:val="fr-CA" w:eastAsia="en-CA"/>
        </w:rPr>
        <w:noBreakHyphen/>
        <w:t>t</w:t>
      </w:r>
      <w:r w:rsidRPr="00C556BB">
        <w:rPr>
          <w:rFonts w:eastAsia="Times New Roman" w:cs="Times New Roman"/>
          <w:i/>
          <w:noProof/>
          <w:sz w:val="20"/>
          <w:szCs w:val="20"/>
          <w:lang w:val="fr-CA" w:eastAsia="en-CA"/>
        </w:rPr>
        <w:noBreakHyphen/>
        <w:t>il commis une erreur dans son analyse du lien de causalité en décidant que le cancer dont étaient atteintes les employées était une maladie professionnelle attribuable à la nature de leur travail?</w:t>
      </w:r>
      <w:r w:rsidRPr="00C556BB">
        <w:rPr>
          <w:rFonts w:eastAsia="Times New Roman" w:cs="Times New Roman"/>
          <w:i/>
          <w:sz w:val="20"/>
          <w:szCs w:val="20"/>
          <w:lang w:val="fr-CA" w:eastAsia="en-CA"/>
        </w:rPr>
        <w:t xml:space="preserve"> — </w:t>
      </w:r>
      <w:proofErr w:type="spellStart"/>
      <w:r w:rsidRPr="00C556BB">
        <w:rPr>
          <w:rFonts w:eastAsia="Times New Roman" w:cs="Times New Roman"/>
          <w:i/>
          <w:sz w:val="20"/>
          <w:szCs w:val="20"/>
          <w:lang w:val="fr-CA" w:eastAsia="en-CA"/>
        </w:rPr>
        <w:t>Workers</w:t>
      </w:r>
      <w:proofErr w:type="spellEnd"/>
      <w:r w:rsidRPr="00C556BB">
        <w:rPr>
          <w:rFonts w:eastAsia="Times New Roman" w:cs="Times New Roman"/>
          <w:i/>
          <w:sz w:val="20"/>
          <w:szCs w:val="20"/>
          <w:lang w:val="fr-CA" w:eastAsia="en-CA"/>
        </w:rPr>
        <w:t xml:space="preserve"> Compensation </w:t>
      </w:r>
      <w:proofErr w:type="spellStart"/>
      <w:r w:rsidRPr="00C556BB">
        <w:rPr>
          <w:rFonts w:eastAsia="Times New Roman" w:cs="Times New Roman"/>
          <w:i/>
          <w:sz w:val="20"/>
          <w:szCs w:val="20"/>
          <w:lang w:val="fr-CA" w:eastAsia="en-CA"/>
        </w:rPr>
        <w:t>Act</w:t>
      </w:r>
      <w:proofErr w:type="spellEnd"/>
      <w:r w:rsidRPr="00C556BB">
        <w:rPr>
          <w:rFonts w:eastAsia="Times New Roman" w:cs="Times New Roman"/>
          <w:i/>
          <w:sz w:val="20"/>
          <w:szCs w:val="20"/>
          <w:lang w:val="fr-CA" w:eastAsia="en-CA"/>
        </w:rPr>
        <w:t>, R.S.B.C. 1996, c. 492, art. 6, 250(4).</w:t>
      </w:r>
    </w:p>
    <w:p w:rsidR="00144956" w:rsidRPr="00144956" w:rsidRDefault="00144956" w:rsidP="00144956">
      <w:pPr>
        <w:tabs>
          <w:tab w:val="left" w:pos="1168"/>
        </w:tabs>
        <w:jc w:val="both"/>
        <w:rPr>
          <w:rFonts w:eastAsia="Times New Roman" w:cs="Times New Roman"/>
          <w:sz w:val="20"/>
          <w:szCs w:val="20"/>
          <w:lang w:val="fr-CA" w:eastAsia="en-CA"/>
        </w:rPr>
      </w:pPr>
    </w:p>
    <w:p w:rsidR="00144956" w:rsidRPr="00E85E82" w:rsidRDefault="00144956" w:rsidP="00144956">
      <w:pPr>
        <w:tabs>
          <w:tab w:val="left" w:pos="1168"/>
        </w:tabs>
        <w:jc w:val="both"/>
        <w:rPr>
          <w:rFonts w:eastAsia="Times New Roman" w:cs="Times New Roman"/>
          <w:noProof/>
          <w:sz w:val="20"/>
          <w:szCs w:val="20"/>
          <w:lang w:val="fr-CA" w:eastAsia="en-CA"/>
        </w:rPr>
      </w:pPr>
      <w:r w:rsidRPr="00144956">
        <w:rPr>
          <w:rFonts w:eastAsia="Times New Roman" w:cs="Times New Roman"/>
          <w:sz w:val="20"/>
          <w:szCs w:val="20"/>
          <w:lang w:val="fr-CA" w:eastAsia="en-CA"/>
        </w:rPr>
        <w:tab/>
        <w:t xml:space="preserve">H, S et M (les </w:t>
      </w:r>
      <w:r w:rsidRPr="00144956">
        <w:rPr>
          <w:rFonts w:eastAsia="Times New Roman" w:cs="Times New Roman"/>
          <w:noProof/>
          <w:sz w:val="20"/>
          <w:szCs w:val="20"/>
          <w:lang w:val="fr-CA" w:eastAsia="en-CA"/>
        </w:rPr>
        <w:t>« </w:t>
      </w:r>
      <w:r w:rsidRPr="00144956">
        <w:rPr>
          <w:rFonts w:eastAsia="Times New Roman" w:cs="Times New Roman"/>
          <w:sz w:val="20"/>
          <w:szCs w:val="20"/>
          <w:lang w:val="fr-CA" w:eastAsia="en-CA"/>
        </w:rPr>
        <w:t>employées</w:t>
      </w:r>
      <w:r w:rsidRPr="00144956">
        <w:rPr>
          <w:rFonts w:eastAsia="Times New Roman" w:cs="Times New Roman"/>
          <w:noProof/>
          <w:sz w:val="20"/>
          <w:szCs w:val="20"/>
          <w:lang w:val="fr-CA" w:eastAsia="en-CA"/>
        </w:rPr>
        <w:t> »</w:t>
      </w:r>
      <w:r w:rsidRPr="00144956">
        <w:rPr>
          <w:rFonts w:eastAsia="Times New Roman" w:cs="Times New Roman"/>
          <w:sz w:val="20"/>
          <w:szCs w:val="20"/>
          <w:lang w:val="fr-CA" w:eastAsia="en-CA"/>
        </w:rPr>
        <w:t xml:space="preserve">) </w:t>
      </w:r>
      <w:r w:rsidRPr="00144956">
        <w:rPr>
          <w:rFonts w:eastAsia="Times New Roman" w:cs="Times New Roman"/>
          <w:noProof/>
          <w:sz w:val="20"/>
          <w:szCs w:val="20"/>
          <w:lang w:val="fr-CA" w:eastAsia="en-CA"/>
        </w:rPr>
        <w:t xml:space="preserve">font partie des sept techniciennes du même laboratoire d’un hôpital qui ont appris être atteintes d’un cancer du sein. Chacune d’elles a réclamé une indemnité au titre de la </w:t>
      </w:r>
      <w:r w:rsidRPr="00144956">
        <w:rPr>
          <w:rFonts w:eastAsia="Times New Roman" w:cs="Times New Roman"/>
          <w:i/>
          <w:noProof/>
          <w:sz w:val="20"/>
          <w:szCs w:val="20"/>
          <w:lang w:val="fr-CA" w:eastAsia="en-CA"/>
        </w:rPr>
        <w:t>Workers Compensation Act</w:t>
      </w:r>
      <w:r w:rsidRPr="00144956">
        <w:rPr>
          <w:rFonts w:eastAsia="Times New Roman" w:cs="Times New Roman"/>
          <w:noProof/>
          <w:sz w:val="20"/>
          <w:szCs w:val="20"/>
          <w:lang w:val="fr-CA" w:eastAsia="en-CA"/>
        </w:rPr>
        <w:t xml:space="preserve"> (la « </w:t>
      </w:r>
      <w:r w:rsidRPr="00144956">
        <w:rPr>
          <w:rFonts w:eastAsia="Times New Roman" w:cs="Times New Roman"/>
          <w:i/>
          <w:noProof/>
          <w:sz w:val="20"/>
          <w:szCs w:val="20"/>
          <w:lang w:val="fr-CA" w:eastAsia="en-CA"/>
        </w:rPr>
        <w:t>Loi</w:t>
      </w:r>
      <w:r w:rsidRPr="00144956">
        <w:rPr>
          <w:rFonts w:eastAsia="Times New Roman" w:cs="Times New Roman"/>
          <w:noProof/>
          <w:sz w:val="20"/>
          <w:szCs w:val="20"/>
          <w:lang w:val="fr-CA" w:eastAsia="en-CA"/>
        </w:rPr>
        <w:t xml:space="preserve"> ») en affirmant que le cancer constituait une maladie professionnelle. Selon la </w:t>
      </w:r>
      <w:r w:rsidRPr="00144956">
        <w:rPr>
          <w:rFonts w:eastAsia="Times New Roman" w:cs="Times New Roman"/>
          <w:i/>
          <w:noProof/>
          <w:sz w:val="20"/>
          <w:szCs w:val="20"/>
          <w:lang w:val="fr-CA" w:eastAsia="en-CA"/>
        </w:rPr>
        <w:t>Loi</w:t>
      </w:r>
      <w:r w:rsidRPr="00144956">
        <w:rPr>
          <w:rFonts w:eastAsia="Times New Roman" w:cs="Times New Roman"/>
          <w:noProof/>
          <w:sz w:val="20"/>
          <w:szCs w:val="20"/>
          <w:lang w:val="fr-CA" w:eastAsia="en-CA"/>
        </w:rPr>
        <w:t xml:space="preserve">, lorsqu’un travailleur est invalide à cause d’une maladie professionnelle attribuable à la nature de son travail, une indemnité doit lui être versée tout comme s’il s’agissait d’une blessure corporelle survenue par le fait et à l’occasion de ce travail. La directive applicable assujettit le versement des prestations au fait que le travail a eu un effet « causal significatif » sur l’évolution de la maladie qui frappe le travailleur. </w:t>
      </w:r>
    </w:p>
    <w:p w:rsidR="00144956" w:rsidRPr="00144956" w:rsidRDefault="00144956" w:rsidP="00144956">
      <w:pPr>
        <w:tabs>
          <w:tab w:val="left" w:pos="1168"/>
        </w:tabs>
        <w:jc w:val="both"/>
        <w:rPr>
          <w:rFonts w:eastAsia="Times New Roman" w:cs="Times New Roman"/>
          <w:noProof/>
          <w:sz w:val="20"/>
          <w:szCs w:val="20"/>
          <w:lang w:val="fr-CA" w:eastAsia="en-CA"/>
        </w:rPr>
      </w:pPr>
    </w:p>
    <w:p w:rsidR="00144956" w:rsidRPr="00E85E82" w:rsidRDefault="00144956" w:rsidP="00144956">
      <w:pPr>
        <w:tabs>
          <w:tab w:val="left" w:pos="1168"/>
        </w:tabs>
        <w:jc w:val="both"/>
        <w:rPr>
          <w:rFonts w:eastAsia="Times New Roman" w:cs="Times New Roman"/>
          <w:noProof/>
          <w:sz w:val="20"/>
          <w:szCs w:val="20"/>
          <w:lang w:val="fr-CA" w:eastAsia="en-CA"/>
        </w:rPr>
      </w:pPr>
      <w:r w:rsidRPr="00144956">
        <w:rPr>
          <w:rFonts w:eastAsia="Times New Roman" w:cs="Times New Roman"/>
          <w:noProof/>
          <w:sz w:val="20"/>
          <w:szCs w:val="20"/>
          <w:lang w:val="fr-CA" w:eastAsia="en-CA"/>
        </w:rPr>
        <w:tab/>
        <w:t>La preuve fournie par les experts médicaux indique qu’ils ont conclu à l’absence de données scientifiques permettant d’établir l’existence d’un lien de causalité entre l’incidence du cancer du sein et le travail en laboratoire des employées. Un agent de révision du Workers’ Compensation Board (la « Commission</w:t>
      </w:r>
      <w:r w:rsidRPr="00144956">
        <w:rPr>
          <w:rFonts w:eastAsia="Times New Roman" w:cs="Times New Roman"/>
          <w:sz w:val="20"/>
          <w:szCs w:val="20"/>
          <w:lang w:val="fr-CA" w:eastAsia="en-CA"/>
        </w:rPr>
        <w:t> </w:t>
      </w:r>
      <w:r w:rsidRPr="00144956">
        <w:rPr>
          <w:rFonts w:eastAsia="Times New Roman" w:cs="Times New Roman"/>
          <w:noProof/>
          <w:sz w:val="20"/>
          <w:szCs w:val="20"/>
          <w:lang w:val="fr-CA" w:eastAsia="en-CA"/>
        </w:rPr>
        <w:t>») a rejeté chacune des demandes</w:t>
      </w:r>
      <w:r w:rsidRPr="00144956">
        <w:rPr>
          <w:rFonts w:eastAsia="Times New Roman" w:cs="Times New Roman"/>
          <w:sz w:val="20"/>
          <w:szCs w:val="20"/>
          <w:lang w:val="fr-CA" w:eastAsia="en-CA"/>
        </w:rPr>
        <w:t xml:space="preserve"> des employées. </w:t>
      </w:r>
      <w:r w:rsidRPr="00144956">
        <w:rPr>
          <w:rFonts w:eastAsia="Times New Roman" w:cs="Times New Roman"/>
          <w:noProof/>
          <w:sz w:val="20"/>
          <w:szCs w:val="20"/>
          <w:lang w:val="fr-CA" w:eastAsia="en-CA"/>
        </w:rPr>
        <w:t xml:space="preserve">Chacune d’elles a fait appel de la décision de la Commission devant le Workers’ Compensation Appeal Tribunal (le « Tribunal »). Une majorité des membres du Tribunal a qualifié de maladie professionnelle le cancer du sein dont étaient atteintes les employées. L’employeur a demandé au Tribunal de réexaminer sa décision et un comité de réexamen a confirmé cette décision. La demande de contrôle judiciaire de l’employeur à l’encontre de la décision initiale du Tribunal et de sa décision sur la demande de réexamen a été accueillie; les deux décisions ont été annulées et l’affaire a été renvoyée au Tribunal. </w:t>
      </w:r>
      <w:r w:rsidRPr="00144956">
        <w:rPr>
          <w:rFonts w:eastAsia="Times New Roman" w:cs="Times New Roman"/>
          <w:sz w:val="20"/>
          <w:szCs w:val="20"/>
          <w:lang w:val="fr-CA" w:eastAsia="en-CA"/>
        </w:rPr>
        <w:t xml:space="preserve">Dans l’appel interjeté par les employées, la Cour d’appel </w:t>
      </w:r>
      <w:r w:rsidRPr="00144956">
        <w:rPr>
          <w:rFonts w:eastAsia="Times New Roman" w:cs="Times New Roman"/>
          <w:noProof/>
          <w:sz w:val="20"/>
          <w:szCs w:val="20"/>
          <w:lang w:val="fr-CA" w:eastAsia="en-CA"/>
        </w:rPr>
        <w:t>à la majorité a rejeté l’appel, concluant que la décision du Tribunal sur la demande de réexamen était nulle et que sa décision initiale était manifestement déraisonnable.</w:t>
      </w:r>
      <w:r w:rsidRPr="00144956">
        <w:rPr>
          <w:rFonts w:eastAsia="Times New Roman" w:cs="Times New Roman"/>
          <w:sz w:val="20"/>
          <w:szCs w:val="20"/>
          <w:lang w:val="fr-CA" w:eastAsia="en-CA"/>
        </w:rPr>
        <w:t xml:space="preserve"> Les employées se pourvoient maintenant devant la Cour et soulèvent la question de savoir si </w:t>
      </w:r>
      <w:r w:rsidRPr="00144956">
        <w:rPr>
          <w:rFonts w:eastAsia="Times New Roman" w:cs="Times New Roman"/>
          <w:noProof/>
          <w:sz w:val="20"/>
          <w:szCs w:val="20"/>
          <w:lang w:val="fr-CA" w:eastAsia="en-CA"/>
        </w:rPr>
        <w:t>le Tribunal a commis une erreur dans son analyse de la causalité.</w:t>
      </w:r>
      <w:r w:rsidRPr="00144956">
        <w:rPr>
          <w:rFonts w:eastAsia="Times New Roman" w:cs="Times New Roman"/>
          <w:sz w:val="20"/>
          <w:szCs w:val="20"/>
          <w:lang w:val="fr-CA" w:eastAsia="en-CA"/>
        </w:rPr>
        <w:t xml:space="preserve"> Le Tribunal se pourvoit lui aussi devant la Cour, soulevant la question de savoir s’il </w:t>
      </w:r>
      <w:r w:rsidRPr="00144956">
        <w:rPr>
          <w:rFonts w:eastAsia="Times New Roman" w:cs="Times New Roman"/>
          <w:noProof/>
          <w:sz w:val="20"/>
          <w:szCs w:val="20"/>
          <w:lang w:val="fr-CA" w:eastAsia="en-CA"/>
        </w:rPr>
        <w:t>peut, par une décision sur une demande de réexamen, rouvrir une décision antérieure pour déterminer si elle était manifestement déraisonnable.</w:t>
      </w:r>
    </w:p>
    <w:p w:rsidR="00144956" w:rsidRPr="00144956" w:rsidRDefault="00144956" w:rsidP="00144956">
      <w:pPr>
        <w:tabs>
          <w:tab w:val="left" w:pos="1168"/>
        </w:tabs>
        <w:jc w:val="both"/>
        <w:rPr>
          <w:rFonts w:eastAsia="Times New Roman" w:cs="Times New Roman"/>
          <w:sz w:val="20"/>
          <w:szCs w:val="20"/>
          <w:lang w:val="fr-CA" w:eastAsia="en-CA"/>
        </w:rPr>
      </w:pPr>
    </w:p>
    <w:p w:rsidR="00144956" w:rsidRPr="00E85E82" w:rsidRDefault="00144956" w:rsidP="00144956">
      <w:pPr>
        <w:tabs>
          <w:tab w:val="left" w:pos="1168"/>
        </w:tabs>
        <w:jc w:val="both"/>
        <w:rPr>
          <w:rFonts w:eastAsia="Times New Roman" w:cs="Times New Roman"/>
          <w:sz w:val="20"/>
          <w:szCs w:val="20"/>
          <w:lang w:val="fr-CA" w:eastAsia="en-CA"/>
        </w:rPr>
      </w:pPr>
      <w:r w:rsidRPr="00144956">
        <w:rPr>
          <w:rFonts w:eastAsia="Times New Roman" w:cs="Times New Roman"/>
          <w:sz w:val="20"/>
          <w:szCs w:val="20"/>
          <w:lang w:val="fr-CA" w:eastAsia="en-CA"/>
        </w:rPr>
        <w:tab/>
      </w:r>
      <w:r w:rsidRPr="00144956">
        <w:rPr>
          <w:rFonts w:eastAsia="Times New Roman" w:cs="Times New Roman"/>
          <w:i/>
          <w:sz w:val="20"/>
          <w:szCs w:val="20"/>
          <w:lang w:val="fr-CA" w:eastAsia="en-CA"/>
        </w:rPr>
        <w:t xml:space="preserve">Arrêt </w:t>
      </w:r>
      <w:r w:rsidRPr="00144956">
        <w:rPr>
          <w:rFonts w:eastAsia="Times New Roman" w:cs="Times New Roman"/>
          <w:sz w:val="20"/>
          <w:szCs w:val="20"/>
          <w:lang w:val="fr-CA" w:eastAsia="en-CA"/>
        </w:rPr>
        <w:t>(la juge Côté est dissidente en partie) : Le pourvoi des employées est accueilli. Le pourvoi du Tribunal est rejeté.</w:t>
      </w:r>
    </w:p>
    <w:p w:rsidR="00144956" w:rsidRPr="00144956" w:rsidRDefault="00144956" w:rsidP="00144956">
      <w:pPr>
        <w:tabs>
          <w:tab w:val="left" w:pos="1168"/>
        </w:tabs>
        <w:jc w:val="both"/>
        <w:rPr>
          <w:rFonts w:eastAsia="Times New Roman" w:cs="Times New Roman"/>
          <w:sz w:val="20"/>
          <w:szCs w:val="20"/>
          <w:lang w:val="fr-CA" w:eastAsia="en-CA"/>
        </w:rPr>
      </w:pPr>
    </w:p>
    <w:p w:rsidR="00144956" w:rsidRPr="00E85E82" w:rsidRDefault="00144956" w:rsidP="00144956">
      <w:pPr>
        <w:tabs>
          <w:tab w:val="left" w:pos="1168"/>
        </w:tabs>
        <w:jc w:val="both"/>
        <w:rPr>
          <w:rFonts w:eastAsia="Times New Roman" w:cs="Times New Roman"/>
          <w:noProof/>
          <w:sz w:val="20"/>
          <w:szCs w:val="20"/>
          <w:lang w:val="fr-CA" w:eastAsia="en-CA"/>
        </w:rPr>
      </w:pPr>
      <w:r w:rsidRPr="00144956">
        <w:rPr>
          <w:rFonts w:eastAsia="Times New Roman" w:cs="Times New Roman"/>
          <w:sz w:val="20"/>
          <w:szCs w:val="20"/>
          <w:lang w:val="fr-CA" w:eastAsia="en-CA"/>
        </w:rPr>
        <w:tab/>
      </w:r>
      <w:r w:rsidRPr="00144956">
        <w:rPr>
          <w:rFonts w:eastAsia="Times New Roman" w:cs="Times New Roman"/>
          <w:i/>
          <w:sz w:val="20"/>
          <w:szCs w:val="20"/>
          <w:lang w:val="fr-CA" w:eastAsia="en-CA"/>
        </w:rPr>
        <w:t>La</w:t>
      </w:r>
      <w:r w:rsidRPr="00144956">
        <w:rPr>
          <w:rFonts w:eastAsia="Times New Roman" w:cs="Times New Roman"/>
          <w:sz w:val="20"/>
          <w:szCs w:val="20"/>
          <w:lang w:val="fr-CA" w:eastAsia="en-CA"/>
        </w:rPr>
        <w:t xml:space="preserve"> juge en chef McLachlin et les juges Abella, Moldaver, Karakatsanis, Wagner et </w:t>
      </w:r>
      <w:r w:rsidRPr="00144956">
        <w:rPr>
          <w:rFonts w:eastAsia="Times New Roman" w:cs="Times New Roman"/>
          <w:b/>
          <w:sz w:val="20"/>
          <w:szCs w:val="20"/>
          <w:lang w:val="fr-CA" w:eastAsia="en-CA"/>
        </w:rPr>
        <w:t>Brown</w:t>
      </w:r>
      <w:r w:rsidRPr="00144956">
        <w:rPr>
          <w:rFonts w:eastAsia="Times New Roman" w:cs="Times New Roman"/>
          <w:sz w:val="20"/>
          <w:szCs w:val="20"/>
          <w:lang w:val="fr-CA" w:eastAsia="en-CA"/>
        </w:rPr>
        <w:t xml:space="preserve"> : </w:t>
      </w:r>
      <w:r w:rsidRPr="00144956">
        <w:rPr>
          <w:rFonts w:eastAsia="Times New Roman" w:cs="Times New Roman"/>
          <w:noProof/>
          <w:sz w:val="20"/>
          <w:szCs w:val="20"/>
          <w:lang w:val="fr-CA" w:eastAsia="en-CA"/>
        </w:rPr>
        <w:t>La norme de contrôle applicable à la décision initiale du Tribunal commande la retenue, en l’absence d’une conclusion de fait ou de droit manifestement déraisonnable. Étant donné qu’une cour doit faire preuve de retenue lorsque les éléments de preuve peuvent étayer une conclusion de fait, le caractère manifestement déraisonnable n’est pas établi lorsque la cour de révision estime simplement que la preuve est insuffisante.</w:t>
      </w:r>
    </w:p>
    <w:p w:rsidR="00144956" w:rsidRPr="00144956" w:rsidRDefault="00144956" w:rsidP="00144956">
      <w:pPr>
        <w:tabs>
          <w:tab w:val="left" w:pos="1168"/>
        </w:tabs>
        <w:jc w:val="both"/>
        <w:rPr>
          <w:rFonts w:eastAsia="Times New Roman" w:cs="Times New Roman"/>
          <w:noProof/>
          <w:sz w:val="20"/>
          <w:szCs w:val="20"/>
          <w:lang w:val="fr-CA" w:eastAsia="en-CA"/>
        </w:rPr>
      </w:pPr>
    </w:p>
    <w:p w:rsidR="00144956" w:rsidRPr="00E85E82" w:rsidRDefault="00144956" w:rsidP="00144956">
      <w:pPr>
        <w:tabs>
          <w:tab w:val="left" w:pos="1168"/>
        </w:tabs>
        <w:jc w:val="both"/>
        <w:rPr>
          <w:rFonts w:eastAsia="Times New Roman" w:cs="Times New Roman"/>
          <w:noProof/>
          <w:sz w:val="20"/>
          <w:szCs w:val="20"/>
          <w:lang w:val="fr-CA" w:eastAsia="en-CA"/>
        </w:rPr>
      </w:pPr>
      <w:r w:rsidRPr="00144956">
        <w:rPr>
          <w:rFonts w:eastAsia="Times New Roman" w:cs="Times New Roman"/>
          <w:noProof/>
          <w:sz w:val="20"/>
          <w:szCs w:val="20"/>
          <w:lang w:val="fr-CA" w:eastAsia="en-CA"/>
        </w:rPr>
        <w:tab/>
        <w:t>La présence ou l’absence de témoignage d’opinion d’un expert qui confirme ou réfute l’existence d’un lien de causalité n’est pas un critère déterminant en matière de causalité. Il est possible d’inférer la causalité — même en présence d’une preuve d’expert non concluante ou contraire — à partir d’autres éléments de preuve, y compris d’une preuve simplement circonstancielle. Sous réserve de la norme de contrôle applicable, l’évaluation de la preuve incombe au juge des faits. En l’espèce, on ne saurait dire que la décision initiale du Tribunal était manifestement déraisonnable. Bien que le dossier sur lequel reposait la décision ne contienne aucune preuve d’expert confirmative, le Tribunal s’est néanmoins fondé sur d’autres éléments de preuve qui, perçus de façon raisonnable, pouvaient étayer sa conclusion quant à l’existence d’un lien causal entre le cancer du sein des employées et leurs conditions de travail.</w:t>
      </w:r>
    </w:p>
    <w:p w:rsidR="00144956" w:rsidRPr="00144956" w:rsidRDefault="00144956" w:rsidP="00144956">
      <w:pPr>
        <w:tabs>
          <w:tab w:val="left" w:pos="1168"/>
        </w:tabs>
        <w:jc w:val="both"/>
        <w:rPr>
          <w:rFonts w:eastAsia="Times New Roman" w:cs="Times New Roman"/>
          <w:noProof/>
          <w:sz w:val="20"/>
          <w:szCs w:val="20"/>
          <w:lang w:val="fr-CA" w:eastAsia="en-CA"/>
        </w:rPr>
      </w:pPr>
    </w:p>
    <w:p w:rsidR="00144956" w:rsidRPr="00E85E82" w:rsidRDefault="00144956" w:rsidP="00144956">
      <w:pPr>
        <w:tabs>
          <w:tab w:val="left" w:pos="1168"/>
        </w:tabs>
        <w:jc w:val="both"/>
        <w:rPr>
          <w:rFonts w:eastAsia="Times New Roman" w:cs="Times New Roman"/>
          <w:noProof/>
          <w:sz w:val="20"/>
          <w:szCs w:val="20"/>
          <w:lang w:val="fr-CA" w:eastAsia="en-CA"/>
        </w:rPr>
      </w:pPr>
      <w:r w:rsidRPr="00144956">
        <w:rPr>
          <w:rFonts w:eastAsia="Times New Roman" w:cs="Times New Roman"/>
          <w:noProof/>
          <w:sz w:val="20"/>
          <w:szCs w:val="20"/>
          <w:lang w:val="fr-CA" w:eastAsia="en-CA"/>
        </w:rPr>
        <w:tab/>
        <w:t xml:space="preserve">De plus, selon la norme de preuve établie au par. 250(4) de la </w:t>
      </w:r>
      <w:r w:rsidRPr="00144956">
        <w:rPr>
          <w:rFonts w:eastAsia="Times New Roman" w:cs="Times New Roman"/>
          <w:i/>
          <w:noProof/>
          <w:sz w:val="20"/>
          <w:szCs w:val="20"/>
          <w:lang w:val="fr-CA" w:eastAsia="en-CA"/>
        </w:rPr>
        <w:t>Loi</w:t>
      </w:r>
      <w:r w:rsidRPr="00144956">
        <w:rPr>
          <w:rFonts w:eastAsia="Times New Roman" w:cs="Times New Roman"/>
          <w:noProof/>
          <w:sz w:val="20"/>
          <w:szCs w:val="20"/>
          <w:lang w:val="fr-CA" w:eastAsia="en-CA"/>
        </w:rPr>
        <w:t>, lorsque les éléments de preuve ont une valeur probante égale quant au lien de causalité, la question doit être tranchée en faveur des employés. Cette norme de preuve contraste nettement avec les normes d’ordre scientifique appliquées par les experts médicaux en l’espèce. Les membres majoritaires du Tribunal ont estimé avec raison que les experts imposaient une norme de preuve trop stricte. En se fondant sur les conclusions incertaines des experts pour se prononcer quant à l’existence de la preuve d’un lien de causalité entre le cancer du sein des employées et leur travail, le juge en cabinet et les juges majoritaires de la Cour d’appel ont commis une erreur de droit.</w:t>
      </w:r>
    </w:p>
    <w:p w:rsidR="00144956" w:rsidRPr="00144956" w:rsidRDefault="00144956" w:rsidP="00144956">
      <w:pPr>
        <w:tabs>
          <w:tab w:val="left" w:pos="1168"/>
        </w:tabs>
        <w:jc w:val="both"/>
        <w:rPr>
          <w:rFonts w:eastAsia="Times New Roman" w:cs="Times New Roman"/>
          <w:noProof/>
          <w:sz w:val="20"/>
          <w:szCs w:val="20"/>
          <w:lang w:val="fr-CA" w:eastAsia="en-CA"/>
        </w:rPr>
      </w:pPr>
    </w:p>
    <w:p w:rsidR="00144956" w:rsidRPr="00E85E82" w:rsidRDefault="00144956" w:rsidP="00144956">
      <w:pPr>
        <w:tabs>
          <w:tab w:val="left" w:pos="1168"/>
        </w:tabs>
        <w:jc w:val="both"/>
        <w:rPr>
          <w:rFonts w:eastAsia="Times New Roman" w:cs="Times New Roman"/>
          <w:noProof/>
          <w:sz w:val="20"/>
          <w:szCs w:val="20"/>
          <w:lang w:val="fr-CA" w:eastAsia="en-CA"/>
        </w:rPr>
      </w:pPr>
      <w:r w:rsidRPr="00144956">
        <w:rPr>
          <w:rFonts w:eastAsia="Times New Roman" w:cs="Times New Roman"/>
          <w:noProof/>
          <w:sz w:val="20"/>
          <w:szCs w:val="20"/>
          <w:lang w:val="fr-CA" w:eastAsia="en-CA"/>
        </w:rPr>
        <w:tab/>
        <w:t>Pour ce qui est de l’appel du Tribunal, l’employeur estime à l’instar de la Cour d’appel que la décision du Tribunal sur la demande de réexamen était nulle. En conséquence, il n’y a aucune raison de modifier la décision de la Cour d’appel à cet égard.</w:t>
      </w:r>
    </w:p>
    <w:p w:rsidR="00144956" w:rsidRPr="00144956" w:rsidRDefault="00144956" w:rsidP="00144956">
      <w:pPr>
        <w:tabs>
          <w:tab w:val="left" w:pos="1168"/>
        </w:tabs>
        <w:jc w:val="both"/>
        <w:rPr>
          <w:rFonts w:eastAsia="Times New Roman" w:cs="Times New Roman"/>
          <w:noProof/>
          <w:sz w:val="20"/>
          <w:szCs w:val="20"/>
          <w:lang w:val="fr-CA" w:eastAsia="en-CA"/>
        </w:rPr>
      </w:pPr>
    </w:p>
    <w:p w:rsidR="00144956" w:rsidRPr="00E85E82" w:rsidRDefault="00144956" w:rsidP="00144956">
      <w:pPr>
        <w:tabs>
          <w:tab w:val="left" w:pos="1168"/>
        </w:tabs>
        <w:jc w:val="both"/>
        <w:rPr>
          <w:rFonts w:eastAsia="Times New Roman" w:cs="Times New Roman"/>
          <w:sz w:val="20"/>
          <w:szCs w:val="20"/>
          <w:lang w:val="fr-CA" w:eastAsia="en-CA"/>
        </w:rPr>
      </w:pPr>
      <w:r w:rsidRPr="00144956">
        <w:rPr>
          <w:rFonts w:eastAsia="Times New Roman" w:cs="Times New Roman"/>
          <w:noProof/>
          <w:sz w:val="20"/>
          <w:szCs w:val="20"/>
          <w:lang w:val="fr-CA" w:eastAsia="en-CA"/>
        </w:rPr>
        <w:tab/>
      </w:r>
      <w:r w:rsidRPr="00144956">
        <w:rPr>
          <w:rFonts w:eastAsia="Times New Roman" w:cs="Times New Roman"/>
          <w:i/>
          <w:noProof/>
          <w:sz w:val="20"/>
          <w:szCs w:val="20"/>
          <w:lang w:val="fr-CA" w:eastAsia="en-CA"/>
        </w:rPr>
        <w:t>La</w:t>
      </w:r>
      <w:r w:rsidRPr="00144956">
        <w:rPr>
          <w:rFonts w:eastAsia="Times New Roman" w:cs="Times New Roman"/>
          <w:noProof/>
          <w:sz w:val="20"/>
          <w:szCs w:val="20"/>
          <w:lang w:val="fr-CA" w:eastAsia="en-CA"/>
        </w:rPr>
        <w:t xml:space="preserve"> juge </w:t>
      </w:r>
      <w:r w:rsidRPr="00144956">
        <w:rPr>
          <w:rFonts w:eastAsia="Times New Roman" w:cs="Times New Roman"/>
          <w:b/>
          <w:noProof/>
          <w:sz w:val="20"/>
          <w:szCs w:val="20"/>
          <w:lang w:val="fr-CA" w:eastAsia="en-CA"/>
        </w:rPr>
        <w:t>Côté</w:t>
      </w:r>
      <w:r w:rsidRPr="00144956">
        <w:rPr>
          <w:rFonts w:eastAsia="Times New Roman" w:cs="Times New Roman"/>
          <w:noProof/>
          <w:sz w:val="20"/>
          <w:szCs w:val="20"/>
          <w:lang w:val="fr-CA" w:eastAsia="en-CA"/>
        </w:rPr>
        <w:t xml:space="preserve"> (dissidente en partie) : Il y a accord avec les juges majoritaires uniquement en ce qui concerne l’appel du Tribunal. Pour ce qui est de l’appel des employées, il doit être rejeté puisque </w:t>
      </w:r>
      <w:r w:rsidRPr="00144956">
        <w:rPr>
          <w:rFonts w:eastAsia="Times New Roman" w:cs="Times New Roman"/>
          <w:sz w:val="20"/>
          <w:szCs w:val="20"/>
          <w:lang w:val="fr-CA" w:eastAsia="en-CA"/>
        </w:rPr>
        <w:t>la décision initiale du Tribunal est manifestement déraisonnable et doit être annulée. Il n’existe dans ce dossier aucun élément de preuve — et certainement aucun élément de preuve positive — susceptible d’étayer l’existence d’un lien de causalité entre l’emploi des employées et le développement de leur maladie respective.</w:t>
      </w:r>
    </w:p>
    <w:p w:rsidR="00144956" w:rsidRPr="00144956" w:rsidRDefault="00144956" w:rsidP="00144956">
      <w:pPr>
        <w:tabs>
          <w:tab w:val="left" w:pos="1168"/>
        </w:tabs>
        <w:jc w:val="both"/>
        <w:rPr>
          <w:rFonts w:eastAsia="Times New Roman" w:cs="Times New Roman"/>
          <w:sz w:val="20"/>
          <w:szCs w:val="20"/>
          <w:lang w:val="fr-CA" w:eastAsia="en-CA"/>
        </w:rPr>
      </w:pPr>
    </w:p>
    <w:p w:rsidR="00144956" w:rsidRPr="00E85E82" w:rsidRDefault="00144956" w:rsidP="00144956">
      <w:pPr>
        <w:tabs>
          <w:tab w:val="left" w:pos="1168"/>
        </w:tabs>
        <w:jc w:val="both"/>
        <w:rPr>
          <w:rFonts w:eastAsia="Times New Roman" w:cs="Times New Roman"/>
          <w:sz w:val="20"/>
          <w:szCs w:val="20"/>
          <w:lang w:val="fr-CA" w:eastAsia="en-CA"/>
        </w:rPr>
      </w:pPr>
      <w:r w:rsidRPr="00144956">
        <w:rPr>
          <w:rFonts w:eastAsia="Times New Roman" w:cs="Times New Roman"/>
          <w:sz w:val="20"/>
          <w:szCs w:val="20"/>
          <w:lang w:val="fr-CA" w:eastAsia="en-CA"/>
        </w:rPr>
        <w:tab/>
        <w:t>Le rôle de l’expert est précisément de fournir au décideur une conclusion que ce dernier, en raison de la nature technique de la question à trancher, ne peut formuler. Le Tribunal n’est pas présumé posséder une expertise spécialisée dans le domaine médical. Ainsi, bien qu’il ne soit pas lié par les conclusions des experts médicaux, le Tribunal ne peut simplement écarter leurs conclusions non contredites. En l’espèce, les rapports d’experts soumis au Tribunal étaient catégoriques : la preuve présentée ne permettait pas d’établir l’existence d’un lien de causalité entre le travail de chaque employée en tant que technicienne de laboratoire et le cancer du sein que chacune avait développé.</w:t>
      </w:r>
    </w:p>
    <w:p w:rsidR="00144956" w:rsidRPr="00144956" w:rsidRDefault="00144956" w:rsidP="00144956">
      <w:pPr>
        <w:tabs>
          <w:tab w:val="left" w:pos="1168"/>
        </w:tabs>
        <w:jc w:val="both"/>
        <w:rPr>
          <w:rFonts w:eastAsia="Times New Roman" w:cs="Times New Roman"/>
          <w:sz w:val="20"/>
          <w:szCs w:val="20"/>
          <w:lang w:val="fr-CA" w:eastAsia="en-CA"/>
        </w:rPr>
      </w:pPr>
    </w:p>
    <w:p w:rsidR="00144956" w:rsidRPr="00E85E82" w:rsidRDefault="00144956" w:rsidP="00144956">
      <w:pPr>
        <w:tabs>
          <w:tab w:val="left" w:pos="1168"/>
        </w:tabs>
        <w:jc w:val="both"/>
        <w:rPr>
          <w:rFonts w:eastAsia="Times New Roman" w:cs="Times New Roman"/>
          <w:sz w:val="20"/>
          <w:szCs w:val="20"/>
          <w:lang w:val="fr-CA" w:eastAsia="en-CA"/>
        </w:rPr>
      </w:pPr>
      <w:r w:rsidRPr="00144956">
        <w:rPr>
          <w:rFonts w:eastAsia="Times New Roman" w:cs="Times New Roman"/>
          <w:sz w:val="20"/>
          <w:szCs w:val="20"/>
          <w:lang w:val="fr-CA" w:eastAsia="en-CA"/>
        </w:rPr>
        <w:tab/>
        <w:t xml:space="preserve">Dans la présente affaire, les experts médicaux ne cherchaient pas à établir l’existence d’un lien de causalité avec un degré de certitude scientifique. Ayant ainsi limité le cadre de leur analyse, les experts médicaux ont simplement conclu qu’aucune exposition à des substances en milieu de travail ne pouvait de façon plausible avoir augmenté le risque de développer un cancer du sein. En conséquence, même en appliquant la norme assouplie de preuve applicable aux termes du par. 250(4) de la </w:t>
      </w:r>
      <w:r w:rsidRPr="00144956">
        <w:rPr>
          <w:rFonts w:eastAsia="Times New Roman" w:cs="Times New Roman"/>
          <w:i/>
          <w:sz w:val="20"/>
          <w:szCs w:val="20"/>
          <w:lang w:val="fr-CA" w:eastAsia="en-CA"/>
        </w:rPr>
        <w:t>Loi</w:t>
      </w:r>
      <w:r w:rsidRPr="00144956">
        <w:rPr>
          <w:rFonts w:eastAsia="Times New Roman" w:cs="Times New Roman"/>
          <w:sz w:val="20"/>
          <w:szCs w:val="20"/>
          <w:lang w:val="fr-CA" w:eastAsia="en-CA"/>
        </w:rPr>
        <w:t>, on ne trouve aucun élément de preuve positive susceptible de démontrer l’existence d’un lien causal significatif.</w:t>
      </w:r>
    </w:p>
    <w:p w:rsidR="00144956" w:rsidRPr="00144956" w:rsidRDefault="00144956" w:rsidP="00144956">
      <w:pPr>
        <w:tabs>
          <w:tab w:val="left" w:pos="1168"/>
        </w:tabs>
        <w:jc w:val="both"/>
        <w:rPr>
          <w:rFonts w:eastAsia="Times New Roman" w:cs="Times New Roman"/>
          <w:sz w:val="20"/>
          <w:szCs w:val="20"/>
          <w:lang w:val="fr-CA" w:eastAsia="en-CA"/>
        </w:rPr>
      </w:pPr>
    </w:p>
    <w:p w:rsidR="00144956" w:rsidRPr="00144956" w:rsidRDefault="00144956" w:rsidP="00144956">
      <w:pPr>
        <w:tabs>
          <w:tab w:val="left" w:pos="1168"/>
        </w:tabs>
        <w:jc w:val="both"/>
        <w:rPr>
          <w:rFonts w:eastAsia="Times New Roman" w:cs="Times New Roman"/>
          <w:sz w:val="20"/>
          <w:szCs w:val="20"/>
          <w:lang w:val="fr-CA" w:eastAsia="en-CA"/>
        </w:rPr>
      </w:pPr>
      <w:r w:rsidRPr="00144956">
        <w:rPr>
          <w:rFonts w:eastAsia="Times New Roman" w:cs="Times New Roman"/>
          <w:sz w:val="20"/>
          <w:szCs w:val="20"/>
          <w:lang w:val="fr-CA" w:eastAsia="en-CA"/>
        </w:rPr>
        <w:tab/>
        <w:t xml:space="preserve">Bien qu’il faille accorder de l’importance aux conclusions tirées par le juge des faits, la preuve au dossier doit néanmoins permettre d’étayer les conclusions ainsi tirées. Sinon, le juge des faits risque de déborder le cadre des inférences et des déductions raisonnables et de s’aventurer dans la jungle des pures hypothèses et spéculations. Le raisonnement par induction ou fondé sur le bon sens ne peut tout simplement pas combler les lacunes insurmontables dans la preuve, que ce soit dans une action civile ou dans une demande administrative présentée en vertu de la </w:t>
      </w:r>
      <w:r w:rsidRPr="00144956">
        <w:rPr>
          <w:rFonts w:eastAsia="Times New Roman" w:cs="Times New Roman"/>
          <w:i/>
          <w:iCs/>
          <w:sz w:val="20"/>
          <w:szCs w:val="20"/>
          <w:lang w:val="fr-CA" w:eastAsia="en-CA"/>
        </w:rPr>
        <w:t>Loi</w:t>
      </w:r>
      <w:r w:rsidRPr="00144956">
        <w:rPr>
          <w:rFonts w:eastAsia="Times New Roman" w:cs="Times New Roman"/>
          <w:iCs/>
          <w:sz w:val="20"/>
          <w:szCs w:val="20"/>
          <w:lang w:val="fr-CA" w:eastAsia="en-CA"/>
        </w:rPr>
        <w:t xml:space="preserve">. En l’espèce, </w:t>
      </w:r>
      <w:r w:rsidRPr="00144956">
        <w:rPr>
          <w:rFonts w:eastAsia="Times New Roman" w:cs="Times New Roman"/>
          <w:sz w:val="20"/>
          <w:szCs w:val="20"/>
          <w:lang w:val="fr-CA" w:eastAsia="en-CA"/>
        </w:rPr>
        <w:t>la décision initiale du Tribunal repose uniquement sur l’existence d’un groupe de cas diagnostiqués de cancer du sein. Les conclusions de fait tirées par le Tribunal ne vont pas au</w:t>
      </w:r>
      <w:r w:rsidRPr="00144956">
        <w:rPr>
          <w:rFonts w:eastAsia="Times New Roman" w:cs="Times New Roman"/>
          <w:sz w:val="20"/>
          <w:szCs w:val="20"/>
          <w:lang w:val="fr-CA" w:eastAsia="en-CA"/>
        </w:rPr>
        <w:noBreakHyphen/>
        <w:t>delà de simples spéculations. Le Tribunal a écarté l’opinion unanime des experts médicaux, malgré le fait qu’il ne possédait lui</w:t>
      </w:r>
      <w:r w:rsidRPr="00144956">
        <w:rPr>
          <w:rFonts w:eastAsia="Times New Roman" w:cs="Times New Roman"/>
          <w:sz w:val="20"/>
          <w:szCs w:val="20"/>
          <w:lang w:val="fr-CA" w:eastAsia="en-CA"/>
        </w:rPr>
        <w:noBreakHyphen/>
        <w:t>même aucune connaissance spécialisée dans le domaine médical. Le Tribunal a également fait fi de la directive applicable</w:t>
      </w:r>
      <w:r w:rsidRPr="00144956">
        <w:rPr>
          <w:rFonts w:eastAsia="Times New Roman" w:cs="Times New Roman"/>
          <w:iCs/>
          <w:sz w:val="20"/>
          <w:szCs w:val="20"/>
          <w:lang w:val="fr-CA" w:eastAsia="en-CA"/>
        </w:rPr>
        <w:t xml:space="preserve">, </w:t>
      </w:r>
      <w:r w:rsidRPr="00144956">
        <w:rPr>
          <w:rFonts w:eastAsia="Times New Roman" w:cs="Times New Roman"/>
          <w:sz w:val="20"/>
          <w:szCs w:val="20"/>
          <w:lang w:val="fr-CA" w:eastAsia="en-CA"/>
        </w:rPr>
        <w:t xml:space="preserve">qui prévoit qu’il doit exister suffisamment d’éléments de preuve </w:t>
      </w:r>
      <w:r w:rsidRPr="00144956">
        <w:rPr>
          <w:rFonts w:eastAsia="Times New Roman" w:cs="Times New Roman"/>
          <w:iCs/>
          <w:sz w:val="20"/>
          <w:szCs w:val="20"/>
          <w:lang w:val="fr-CA" w:eastAsia="en-CA"/>
        </w:rPr>
        <w:t>positive</w:t>
      </w:r>
      <w:r w:rsidRPr="00144956">
        <w:rPr>
          <w:rFonts w:eastAsia="Times New Roman" w:cs="Times New Roman"/>
          <w:sz w:val="20"/>
          <w:szCs w:val="20"/>
          <w:lang w:val="fr-CA" w:eastAsia="en-CA"/>
        </w:rPr>
        <w:t xml:space="preserve"> permettant de conclure à l’existence d’un lien causal significatif, à défaut de quoi la seule décision possible est le rejet de la demande.</w:t>
      </w:r>
    </w:p>
    <w:p w:rsidR="0052229C" w:rsidRPr="00E85E82" w:rsidRDefault="0052229C" w:rsidP="00E2090E">
      <w:pPr>
        <w:pStyle w:val="SCCNormalDoubleSpacing"/>
        <w:spacing w:line="240" w:lineRule="auto"/>
        <w:rPr>
          <w:sz w:val="20"/>
          <w:lang w:val="fr-CA"/>
        </w:rPr>
      </w:pPr>
    </w:p>
    <w:p w:rsidR="00E2090E" w:rsidRPr="00E85E82" w:rsidRDefault="00E2090E" w:rsidP="00E2090E">
      <w:pPr>
        <w:tabs>
          <w:tab w:val="left" w:pos="1168"/>
        </w:tabs>
        <w:jc w:val="both"/>
        <w:rPr>
          <w:rFonts w:eastAsia="Times New Roman" w:cs="Times New Roman"/>
          <w:sz w:val="20"/>
          <w:szCs w:val="20"/>
          <w:lang w:val="fr-CA" w:eastAsia="en-CA"/>
        </w:rPr>
      </w:pPr>
      <w:r w:rsidRPr="00C556BB">
        <w:rPr>
          <w:rFonts w:eastAsia="Times New Roman" w:cs="Times New Roman"/>
          <w:sz w:val="20"/>
          <w:szCs w:val="20"/>
          <w:lang w:val="fr-CA" w:eastAsia="en-CA"/>
        </w:rPr>
        <w:tab/>
      </w:r>
      <w:r w:rsidRPr="00E2090E">
        <w:rPr>
          <w:rFonts w:eastAsia="Times New Roman" w:cs="Times New Roman"/>
          <w:sz w:val="20"/>
          <w:szCs w:val="20"/>
          <w:lang w:val="fr-CA" w:eastAsia="en-CA"/>
        </w:rPr>
        <w:t>POURVOIS contre un arrêt de la Cour d’appel de la Colombie</w:t>
      </w:r>
      <w:r w:rsidRPr="00E2090E">
        <w:rPr>
          <w:rFonts w:eastAsia="Times New Roman" w:cs="Times New Roman"/>
          <w:sz w:val="20"/>
          <w:szCs w:val="20"/>
          <w:lang w:val="fr-CA" w:eastAsia="en-CA"/>
        </w:rPr>
        <w:noBreakHyphen/>
        <w:t xml:space="preserve">Britannique (les juges Newbury, Chiasson, </w:t>
      </w:r>
      <w:proofErr w:type="spellStart"/>
      <w:r w:rsidRPr="00E2090E">
        <w:rPr>
          <w:rFonts w:eastAsia="Times New Roman" w:cs="Times New Roman"/>
          <w:sz w:val="20"/>
          <w:szCs w:val="20"/>
          <w:lang w:val="fr-CA" w:eastAsia="en-CA"/>
        </w:rPr>
        <w:t>Frankel</w:t>
      </w:r>
      <w:proofErr w:type="spellEnd"/>
      <w:r w:rsidRPr="00E2090E">
        <w:rPr>
          <w:rFonts w:eastAsia="Times New Roman" w:cs="Times New Roman"/>
          <w:sz w:val="20"/>
          <w:szCs w:val="20"/>
          <w:lang w:val="fr-CA" w:eastAsia="en-CA"/>
        </w:rPr>
        <w:t xml:space="preserve">, Bennett et </w:t>
      </w:r>
      <w:proofErr w:type="spellStart"/>
      <w:r w:rsidRPr="00E2090E">
        <w:rPr>
          <w:rFonts w:eastAsia="Times New Roman" w:cs="Times New Roman"/>
          <w:sz w:val="20"/>
          <w:szCs w:val="20"/>
          <w:lang w:val="fr-CA" w:eastAsia="en-CA"/>
        </w:rPr>
        <w:t>Goepel</w:t>
      </w:r>
      <w:proofErr w:type="spellEnd"/>
      <w:r w:rsidRPr="00E2090E">
        <w:rPr>
          <w:rFonts w:eastAsia="Times New Roman" w:cs="Times New Roman"/>
          <w:sz w:val="20"/>
          <w:szCs w:val="20"/>
          <w:lang w:val="fr-CA" w:eastAsia="en-CA"/>
        </w:rPr>
        <w:t xml:space="preserve">), 2014 BCCA 499, 364 B.C.A.C. 241, 82 Admin. L.R. (5th) 246, 67 B.C.L.R. (5th) 213, 380 D.L.R. (4th) 204, 625 W.A.C. 241, [2015] 4 W.W.R. 1, [2014] B.C.J. No. 3111 (QL), 2014 </w:t>
      </w:r>
      <w:proofErr w:type="spellStart"/>
      <w:r w:rsidRPr="00E2090E">
        <w:rPr>
          <w:rFonts w:eastAsia="Times New Roman" w:cs="Times New Roman"/>
          <w:sz w:val="20"/>
          <w:szCs w:val="20"/>
          <w:lang w:val="fr-CA" w:eastAsia="en-CA"/>
        </w:rPr>
        <w:t>CarswellBC</w:t>
      </w:r>
      <w:proofErr w:type="spellEnd"/>
      <w:r w:rsidRPr="00E2090E">
        <w:rPr>
          <w:rFonts w:eastAsia="Times New Roman" w:cs="Times New Roman"/>
          <w:sz w:val="20"/>
          <w:szCs w:val="20"/>
          <w:lang w:val="fr-CA" w:eastAsia="en-CA"/>
        </w:rPr>
        <w:t xml:space="preserve"> 3824 (WL Can.), qui a confirmé une décision du juge Savage, 2013 BCSC 524, [2013] B.C.J. No. 605 (QL), 2013 </w:t>
      </w:r>
      <w:proofErr w:type="spellStart"/>
      <w:r w:rsidRPr="00E2090E">
        <w:rPr>
          <w:rFonts w:eastAsia="Times New Roman" w:cs="Times New Roman"/>
          <w:sz w:val="20"/>
          <w:szCs w:val="20"/>
          <w:lang w:val="fr-CA" w:eastAsia="en-CA"/>
        </w:rPr>
        <w:t>CarswellBC</w:t>
      </w:r>
      <w:proofErr w:type="spellEnd"/>
      <w:r w:rsidRPr="00E2090E">
        <w:rPr>
          <w:rFonts w:eastAsia="Times New Roman" w:cs="Times New Roman"/>
          <w:sz w:val="20"/>
          <w:szCs w:val="20"/>
          <w:lang w:val="fr-CA" w:eastAsia="en-CA"/>
        </w:rPr>
        <w:t xml:space="preserve"> 795 (WL Can.). Pourvoi du </w:t>
      </w:r>
      <w:proofErr w:type="spellStart"/>
      <w:r w:rsidRPr="00E2090E">
        <w:rPr>
          <w:rFonts w:eastAsia="Times New Roman" w:cs="Times New Roman"/>
          <w:sz w:val="20"/>
          <w:szCs w:val="20"/>
          <w:lang w:val="fr-CA" w:eastAsia="en-CA"/>
        </w:rPr>
        <w:t>Workers</w:t>
      </w:r>
      <w:proofErr w:type="spellEnd"/>
      <w:r w:rsidRPr="00E2090E">
        <w:rPr>
          <w:rFonts w:eastAsia="Times New Roman" w:cs="Times New Roman"/>
          <w:sz w:val="20"/>
          <w:szCs w:val="20"/>
          <w:lang w:val="fr-CA" w:eastAsia="en-CA"/>
        </w:rPr>
        <w:t xml:space="preserve">’ Compensation </w:t>
      </w:r>
      <w:proofErr w:type="spellStart"/>
      <w:r w:rsidRPr="00E2090E">
        <w:rPr>
          <w:rFonts w:eastAsia="Times New Roman" w:cs="Times New Roman"/>
          <w:sz w:val="20"/>
          <w:szCs w:val="20"/>
          <w:lang w:val="fr-CA" w:eastAsia="en-CA"/>
        </w:rPr>
        <w:t>Appeal</w:t>
      </w:r>
      <w:proofErr w:type="spellEnd"/>
      <w:r w:rsidRPr="00E2090E">
        <w:rPr>
          <w:rFonts w:eastAsia="Times New Roman" w:cs="Times New Roman"/>
          <w:sz w:val="20"/>
          <w:szCs w:val="20"/>
          <w:lang w:val="fr-CA" w:eastAsia="en-CA"/>
        </w:rPr>
        <w:t xml:space="preserve"> Tribunal rejeté. Pourvoi de Katrina Hammer, Patricia Schmidt et Anne </w:t>
      </w:r>
      <w:proofErr w:type="spellStart"/>
      <w:r w:rsidRPr="00E2090E">
        <w:rPr>
          <w:rFonts w:eastAsia="Times New Roman" w:cs="Times New Roman"/>
          <w:sz w:val="20"/>
          <w:szCs w:val="20"/>
          <w:lang w:val="fr-CA" w:eastAsia="en-CA"/>
        </w:rPr>
        <w:t>MacFarlane</w:t>
      </w:r>
      <w:proofErr w:type="spellEnd"/>
      <w:r w:rsidRPr="00E2090E">
        <w:rPr>
          <w:rFonts w:eastAsia="Times New Roman" w:cs="Times New Roman"/>
          <w:sz w:val="20"/>
          <w:szCs w:val="20"/>
          <w:lang w:val="fr-CA" w:eastAsia="en-CA"/>
        </w:rPr>
        <w:t xml:space="preserve"> accueilli, la juge Côté est dissidente.</w:t>
      </w:r>
    </w:p>
    <w:p w:rsidR="00E2090E" w:rsidRPr="00E2090E" w:rsidRDefault="00E2090E" w:rsidP="00E2090E">
      <w:pPr>
        <w:tabs>
          <w:tab w:val="left" w:pos="1168"/>
        </w:tabs>
        <w:jc w:val="both"/>
        <w:rPr>
          <w:rFonts w:eastAsia="Times New Roman" w:cs="Times New Roman"/>
          <w:sz w:val="20"/>
          <w:szCs w:val="20"/>
          <w:lang w:val="fr-CA" w:eastAsia="en-CA"/>
        </w:rPr>
      </w:pPr>
    </w:p>
    <w:p w:rsidR="00E2090E" w:rsidRPr="00E85E82" w:rsidRDefault="00E2090E" w:rsidP="00E2090E">
      <w:pPr>
        <w:tabs>
          <w:tab w:val="left" w:pos="1168"/>
        </w:tabs>
        <w:jc w:val="both"/>
        <w:rPr>
          <w:rFonts w:eastAsia="Times New Roman" w:cs="Times New Roman"/>
          <w:sz w:val="20"/>
          <w:szCs w:val="20"/>
          <w:lang w:val="fr-CA" w:eastAsia="en-CA"/>
        </w:rPr>
      </w:pPr>
      <w:r w:rsidRPr="00E2090E">
        <w:rPr>
          <w:rFonts w:eastAsia="Times New Roman" w:cs="Times New Roman"/>
          <w:i/>
          <w:sz w:val="20"/>
          <w:szCs w:val="20"/>
          <w:lang w:val="fr-CA" w:eastAsia="en-CA"/>
        </w:rPr>
        <w:tab/>
        <w:t xml:space="preserve">Timothy J. </w:t>
      </w:r>
      <w:proofErr w:type="spellStart"/>
      <w:r w:rsidRPr="00E2090E">
        <w:rPr>
          <w:rFonts w:eastAsia="Times New Roman" w:cs="Times New Roman"/>
          <w:i/>
          <w:sz w:val="20"/>
          <w:szCs w:val="20"/>
          <w:lang w:val="fr-CA" w:eastAsia="en-CA"/>
        </w:rPr>
        <w:t>Martiniuk</w:t>
      </w:r>
      <w:proofErr w:type="spellEnd"/>
      <w:r w:rsidRPr="00E2090E">
        <w:rPr>
          <w:rFonts w:eastAsia="Times New Roman" w:cs="Times New Roman"/>
          <w:sz w:val="20"/>
          <w:szCs w:val="20"/>
          <w:lang w:val="fr-CA" w:eastAsia="en-CA"/>
        </w:rPr>
        <w:t xml:space="preserve"> et </w:t>
      </w:r>
      <w:r w:rsidRPr="00E2090E">
        <w:rPr>
          <w:rFonts w:eastAsia="Times New Roman" w:cs="Times New Roman"/>
          <w:i/>
          <w:sz w:val="20"/>
          <w:szCs w:val="20"/>
          <w:lang w:val="fr-CA" w:eastAsia="en-CA"/>
        </w:rPr>
        <w:t>Jeremy Thomas Lovell</w:t>
      </w:r>
      <w:r w:rsidRPr="00E2090E">
        <w:rPr>
          <w:rFonts w:eastAsia="Times New Roman" w:cs="Times New Roman"/>
          <w:sz w:val="20"/>
          <w:szCs w:val="20"/>
          <w:lang w:val="fr-CA" w:eastAsia="en-CA"/>
        </w:rPr>
        <w:t xml:space="preserve">, pour l’appelant/intimé </w:t>
      </w:r>
      <w:proofErr w:type="spellStart"/>
      <w:r w:rsidRPr="00E2090E">
        <w:rPr>
          <w:rFonts w:eastAsia="Times New Roman" w:cs="Times New Roman"/>
          <w:sz w:val="20"/>
          <w:szCs w:val="20"/>
          <w:lang w:val="fr-CA" w:eastAsia="en-CA"/>
        </w:rPr>
        <w:t>Workers</w:t>
      </w:r>
      <w:proofErr w:type="spellEnd"/>
      <w:r w:rsidRPr="00E2090E">
        <w:rPr>
          <w:rFonts w:eastAsia="Times New Roman" w:cs="Times New Roman"/>
          <w:sz w:val="20"/>
          <w:szCs w:val="20"/>
          <w:lang w:val="fr-CA" w:eastAsia="en-CA"/>
        </w:rPr>
        <w:t xml:space="preserve">’ Compensation </w:t>
      </w:r>
      <w:proofErr w:type="spellStart"/>
      <w:r w:rsidRPr="00E2090E">
        <w:rPr>
          <w:rFonts w:eastAsia="Times New Roman" w:cs="Times New Roman"/>
          <w:sz w:val="20"/>
          <w:szCs w:val="20"/>
          <w:lang w:val="fr-CA" w:eastAsia="en-CA"/>
        </w:rPr>
        <w:t>Appeal</w:t>
      </w:r>
      <w:proofErr w:type="spellEnd"/>
      <w:r w:rsidRPr="00E2090E">
        <w:rPr>
          <w:rFonts w:eastAsia="Times New Roman" w:cs="Times New Roman"/>
          <w:sz w:val="20"/>
          <w:szCs w:val="20"/>
          <w:lang w:val="fr-CA" w:eastAsia="en-CA"/>
        </w:rPr>
        <w:t xml:space="preserve"> Tribunal.</w:t>
      </w:r>
    </w:p>
    <w:p w:rsidR="00E2090E" w:rsidRPr="00E2090E" w:rsidRDefault="00E2090E" w:rsidP="00E2090E">
      <w:pPr>
        <w:tabs>
          <w:tab w:val="left" w:pos="1168"/>
        </w:tabs>
        <w:jc w:val="both"/>
        <w:rPr>
          <w:rFonts w:eastAsia="Times New Roman" w:cs="Times New Roman"/>
          <w:sz w:val="20"/>
          <w:szCs w:val="20"/>
          <w:lang w:val="fr-CA" w:eastAsia="en-CA"/>
        </w:rPr>
      </w:pPr>
    </w:p>
    <w:p w:rsidR="00E2090E" w:rsidRPr="00E85E82" w:rsidRDefault="00E2090E" w:rsidP="00E2090E">
      <w:pPr>
        <w:tabs>
          <w:tab w:val="left" w:pos="1168"/>
        </w:tabs>
        <w:jc w:val="both"/>
        <w:rPr>
          <w:rFonts w:eastAsia="Times New Roman" w:cs="Times New Roman"/>
          <w:sz w:val="20"/>
          <w:szCs w:val="20"/>
          <w:lang w:val="fr-CA" w:eastAsia="en-CA"/>
        </w:rPr>
      </w:pPr>
      <w:r w:rsidRPr="00E2090E">
        <w:rPr>
          <w:rFonts w:eastAsia="Times New Roman" w:cs="Times New Roman"/>
          <w:i/>
          <w:sz w:val="20"/>
          <w:szCs w:val="20"/>
          <w:lang w:val="fr-CA" w:eastAsia="en-CA"/>
        </w:rPr>
        <w:tab/>
        <w:t xml:space="preserve">Tonie </w:t>
      </w:r>
      <w:proofErr w:type="spellStart"/>
      <w:r w:rsidRPr="00E2090E">
        <w:rPr>
          <w:rFonts w:eastAsia="Times New Roman" w:cs="Times New Roman"/>
          <w:i/>
          <w:sz w:val="20"/>
          <w:szCs w:val="20"/>
          <w:lang w:val="fr-CA" w:eastAsia="en-CA"/>
        </w:rPr>
        <w:t>Beharrell</w:t>
      </w:r>
      <w:proofErr w:type="spellEnd"/>
      <w:r w:rsidRPr="00E2090E">
        <w:rPr>
          <w:rFonts w:eastAsia="Times New Roman" w:cs="Times New Roman"/>
          <w:sz w:val="20"/>
          <w:szCs w:val="20"/>
          <w:lang w:val="fr-CA" w:eastAsia="en-CA"/>
        </w:rPr>
        <w:t xml:space="preserve">, </w:t>
      </w:r>
      <w:r w:rsidRPr="00E2090E">
        <w:rPr>
          <w:rFonts w:eastAsia="Times New Roman" w:cs="Times New Roman"/>
          <w:i/>
          <w:sz w:val="20"/>
          <w:szCs w:val="20"/>
          <w:lang w:val="fr-CA" w:eastAsia="en-CA"/>
        </w:rPr>
        <w:t xml:space="preserve">Randall J. </w:t>
      </w:r>
      <w:proofErr w:type="spellStart"/>
      <w:r w:rsidRPr="00E2090E">
        <w:rPr>
          <w:rFonts w:eastAsia="Times New Roman" w:cs="Times New Roman"/>
          <w:i/>
          <w:sz w:val="20"/>
          <w:szCs w:val="20"/>
          <w:lang w:val="fr-CA" w:eastAsia="en-CA"/>
        </w:rPr>
        <w:t>Noonan</w:t>
      </w:r>
      <w:proofErr w:type="spellEnd"/>
      <w:r w:rsidRPr="00E2090E">
        <w:rPr>
          <w:rFonts w:eastAsia="Times New Roman" w:cs="Times New Roman"/>
          <w:sz w:val="20"/>
          <w:szCs w:val="20"/>
          <w:lang w:val="fr-CA" w:eastAsia="en-CA"/>
        </w:rPr>
        <w:t xml:space="preserve"> et </w:t>
      </w:r>
      <w:proofErr w:type="spellStart"/>
      <w:r w:rsidRPr="00E2090E">
        <w:rPr>
          <w:rFonts w:eastAsia="Times New Roman" w:cs="Times New Roman"/>
          <w:i/>
          <w:sz w:val="20"/>
          <w:szCs w:val="20"/>
          <w:lang w:val="fr-CA" w:eastAsia="en-CA"/>
        </w:rPr>
        <w:t>Kaity</w:t>
      </w:r>
      <w:proofErr w:type="spellEnd"/>
      <w:r w:rsidRPr="00E2090E">
        <w:rPr>
          <w:rFonts w:eastAsia="Times New Roman" w:cs="Times New Roman"/>
          <w:i/>
          <w:sz w:val="20"/>
          <w:szCs w:val="20"/>
          <w:lang w:val="fr-CA" w:eastAsia="en-CA"/>
        </w:rPr>
        <w:t xml:space="preserve"> Cooper</w:t>
      </w:r>
      <w:r w:rsidRPr="00E2090E">
        <w:rPr>
          <w:rFonts w:eastAsia="Times New Roman" w:cs="Times New Roman"/>
          <w:sz w:val="20"/>
          <w:szCs w:val="20"/>
          <w:lang w:val="fr-CA" w:eastAsia="en-CA"/>
        </w:rPr>
        <w:t xml:space="preserve">, pour les appelantes/intimées Katrina Hammer, Patricia Schmidt et Anne </w:t>
      </w:r>
      <w:proofErr w:type="spellStart"/>
      <w:r w:rsidRPr="00E2090E">
        <w:rPr>
          <w:rFonts w:eastAsia="Times New Roman" w:cs="Times New Roman"/>
          <w:sz w:val="20"/>
          <w:szCs w:val="20"/>
          <w:lang w:val="fr-CA" w:eastAsia="en-CA"/>
        </w:rPr>
        <w:t>MacFarlane</w:t>
      </w:r>
      <w:proofErr w:type="spellEnd"/>
      <w:r w:rsidRPr="00E2090E">
        <w:rPr>
          <w:rFonts w:eastAsia="Times New Roman" w:cs="Times New Roman"/>
          <w:sz w:val="20"/>
          <w:szCs w:val="20"/>
          <w:lang w:val="fr-CA" w:eastAsia="en-CA"/>
        </w:rPr>
        <w:t>.</w:t>
      </w:r>
    </w:p>
    <w:p w:rsidR="00E2090E" w:rsidRPr="00E2090E" w:rsidRDefault="00E2090E" w:rsidP="00E2090E">
      <w:pPr>
        <w:tabs>
          <w:tab w:val="left" w:pos="1168"/>
        </w:tabs>
        <w:jc w:val="both"/>
        <w:rPr>
          <w:rFonts w:eastAsia="Times New Roman" w:cs="Times New Roman"/>
          <w:sz w:val="20"/>
          <w:szCs w:val="20"/>
          <w:lang w:val="fr-CA" w:eastAsia="en-CA"/>
        </w:rPr>
      </w:pPr>
    </w:p>
    <w:p w:rsidR="00E2090E" w:rsidRPr="00E85E82" w:rsidRDefault="00E2090E" w:rsidP="00E2090E">
      <w:pPr>
        <w:tabs>
          <w:tab w:val="left" w:pos="1168"/>
        </w:tabs>
        <w:jc w:val="both"/>
        <w:rPr>
          <w:rFonts w:eastAsia="Times New Roman" w:cs="Times New Roman"/>
          <w:sz w:val="20"/>
          <w:szCs w:val="20"/>
          <w:lang w:val="fr-CA" w:eastAsia="en-CA"/>
        </w:rPr>
      </w:pPr>
      <w:r w:rsidRPr="00E2090E">
        <w:rPr>
          <w:rFonts w:eastAsia="Times New Roman" w:cs="Times New Roman"/>
          <w:i/>
          <w:sz w:val="20"/>
          <w:szCs w:val="20"/>
          <w:lang w:val="fr-CA" w:eastAsia="en-CA"/>
        </w:rPr>
        <w:tab/>
      </w:r>
      <w:proofErr w:type="spellStart"/>
      <w:r w:rsidRPr="00E2090E">
        <w:rPr>
          <w:rFonts w:eastAsia="Times New Roman" w:cs="Times New Roman"/>
          <w:i/>
          <w:sz w:val="20"/>
          <w:szCs w:val="20"/>
          <w:lang w:val="fr-CA" w:eastAsia="en-CA"/>
        </w:rPr>
        <w:t>Nazeer</w:t>
      </w:r>
      <w:proofErr w:type="spellEnd"/>
      <w:r w:rsidRPr="00E2090E">
        <w:rPr>
          <w:rFonts w:eastAsia="Times New Roman" w:cs="Times New Roman"/>
          <w:i/>
          <w:sz w:val="20"/>
          <w:szCs w:val="20"/>
          <w:lang w:val="fr-CA" w:eastAsia="en-CA"/>
        </w:rPr>
        <w:t> T. Mitha</w:t>
      </w:r>
      <w:r w:rsidRPr="00E2090E">
        <w:rPr>
          <w:rFonts w:eastAsia="Times New Roman" w:cs="Times New Roman"/>
          <w:sz w:val="20"/>
          <w:szCs w:val="20"/>
          <w:lang w:val="fr-CA" w:eastAsia="en-CA"/>
        </w:rPr>
        <w:t xml:space="preserve">, </w:t>
      </w:r>
      <w:proofErr w:type="spellStart"/>
      <w:r w:rsidRPr="00E2090E">
        <w:rPr>
          <w:rFonts w:eastAsia="Times New Roman" w:cs="Times New Roman"/>
          <w:i/>
          <w:sz w:val="20"/>
          <w:szCs w:val="20"/>
          <w:lang w:val="fr-CA" w:eastAsia="en-CA"/>
        </w:rPr>
        <w:t>Dianne</w:t>
      </w:r>
      <w:proofErr w:type="spellEnd"/>
      <w:r w:rsidRPr="00E2090E">
        <w:rPr>
          <w:rFonts w:eastAsia="Times New Roman" w:cs="Times New Roman"/>
          <w:i/>
          <w:sz w:val="20"/>
          <w:szCs w:val="20"/>
          <w:lang w:val="fr-CA" w:eastAsia="en-CA"/>
        </w:rPr>
        <w:t xml:space="preserve"> D. </w:t>
      </w:r>
      <w:proofErr w:type="spellStart"/>
      <w:r w:rsidRPr="00E2090E">
        <w:rPr>
          <w:rFonts w:eastAsia="Times New Roman" w:cs="Times New Roman"/>
          <w:i/>
          <w:sz w:val="20"/>
          <w:szCs w:val="20"/>
          <w:lang w:val="fr-CA" w:eastAsia="en-CA"/>
        </w:rPr>
        <w:t>Rideout</w:t>
      </w:r>
      <w:proofErr w:type="spellEnd"/>
      <w:r w:rsidRPr="00E2090E">
        <w:rPr>
          <w:rFonts w:eastAsia="Times New Roman" w:cs="Times New Roman"/>
          <w:sz w:val="20"/>
          <w:szCs w:val="20"/>
          <w:lang w:val="fr-CA" w:eastAsia="en-CA"/>
        </w:rPr>
        <w:t xml:space="preserve"> et </w:t>
      </w:r>
      <w:r w:rsidRPr="00E2090E">
        <w:rPr>
          <w:rFonts w:eastAsia="Times New Roman" w:cs="Times New Roman"/>
          <w:i/>
          <w:sz w:val="20"/>
          <w:szCs w:val="20"/>
          <w:lang w:val="fr-CA" w:eastAsia="en-CA"/>
        </w:rPr>
        <w:t xml:space="preserve">Erin </w:t>
      </w:r>
      <w:proofErr w:type="spellStart"/>
      <w:r w:rsidRPr="00E2090E">
        <w:rPr>
          <w:rFonts w:eastAsia="Times New Roman" w:cs="Times New Roman"/>
          <w:i/>
          <w:sz w:val="20"/>
          <w:szCs w:val="20"/>
          <w:lang w:val="fr-CA" w:eastAsia="en-CA"/>
        </w:rPr>
        <w:t>Cutler</w:t>
      </w:r>
      <w:proofErr w:type="spellEnd"/>
      <w:r w:rsidRPr="00E2090E">
        <w:rPr>
          <w:rFonts w:eastAsia="Times New Roman" w:cs="Times New Roman"/>
          <w:sz w:val="20"/>
          <w:szCs w:val="20"/>
          <w:lang w:val="fr-CA" w:eastAsia="en-CA"/>
        </w:rPr>
        <w:t xml:space="preserve">, pour l’intimée Fraser </w:t>
      </w:r>
      <w:proofErr w:type="spellStart"/>
      <w:r w:rsidRPr="00E2090E">
        <w:rPr>
          <w:rFonts w:eastAsia="Times New Roman" w:cs="Times New Roman"/>
          <w:sz w:val="20"/>
          <w:szCs w:val="20"/>
          <w:lang w:val="fr-CA" w:eastAsia="en-CA"/>
        </w:rPr>
        <w:t>Health</w:t>
      </w:r>
      <w:proofErr w:type="spellEnd"/>
      <w:r w:rsidRPr="00E2090E">
        <w:rPr>
          <w:rFonts w:eastAsia="Times New Roman" w:cs="Times New Roman"/>
          <w:sz w:val="20"/>
          <w:szCs w:val="20"/>
          <w:lang w:val="fr-CA" w:eastAsia="en-CA"/>
        </w:rPr>
        <w:t xml:space="preserve"> </w:t>
      </w:r>
      <w:proofErr w:type="spellStart"/>
      <w:r w:rsidRPr="00E2090E">
        <w:rPr>
          <w:rFonts w:eastAsia="Times New Roman" w:cs="Times New Roman"/>
          <w:sz w:val="20"/>
          <w:szCs w:val="20"/>
          <w:lang w:val="fr-CA" w:eastAsia="en-CA"/>
        </w:rPr>
        <w:t>Authority</w:t>
      </w:r>
      <w:proofErr w:type="spellEnd"/>
      <w:r w:rsidRPr="00E2090E">
        <w:rPr>
          <w:rFonts w:eastAsia="Times New Roman" w:cs="Times New Roman"/>
          <w:sz w:val="20"/>
          <w:szCs w:val="20"/>
          <w:lang w:val="fr-CA" w:eastAsia="en-CA"/>
        </w:rPr>
        <w:t>.</w:t>
      </w:r>
    </w:p>
    <w:p w:rsidR="00E2090E" w:rsidRPr="00E2090E" w:rsidRDefault="00E2090E" w:rsidP="00E2090E">
      <w:pPr>
        <w:tabs>
          <w:tab w:val="left" w:pos="1168"/>
        </w:tabs>
        <w:jc w:val="both"/>
        <w:rPr>
          <w:rFonts w:eastAsia="Times New Roman" w:cs="Times New Roman"/>
          <w:sz w:val="20"/>
          <w:szCs w:val="20"/>
          <w:lang w:val="fr-CA" w:eastAsia="en-CA"/>
        </w:rPr>
      </w:pPr>
    </w:p>
    <w:p w:rsidR="00E2090E" w:rsidRPr="00E85E82" w:rsidRDefault="00E2090E" w:rsidP="00E2090E">
      <w:pPr>
        <w:tabs>
          <w:tab w:val="left" w:pos="1168"/>
        </w:tabs>
        <w:jc w:val="both"/>
        <w:rPr>
          <w:rFonts w:eastAsia="Times New Roman" w:cs="Times New Roman"/>
          <w:sz w:val="20"/>
          <w:szCs w:val="20"/>
          <w:lang w:val="fr-CA" w:eastAsia="en-CA"/>
        </w:rPr>
      </w:pPr>
      <w:r w:rsidRPr="00E2090E">
        <w:rPr>
          <w:rFonts w:eastAsia="Times New Roman" w:cs="Times New Roman"/>
          <w:i/>
          <w:sz w:val="20"/>
          <w:szCs w:val="20"/>
          <w:lang w:val="fr-CA" w:eastAsia="en-CA"/>
        </w:rPr>
        <w:tab/>
        <w:t xml:space="preserve">Christine </w:t>
      </w:r>
      <w:proofErr w:type="spellStart"/>
      <w:r w:rsidRPr="00E2090E">
        <w:rPr>
          <w:rFonts w:eastAsia="Times New Roman" w:cs="Times New Roman"/>
          <w:i/>
          <w:sz w:val="20"/>
          <w:szCs w:val="20"/>
          <w:lang w:val="fr-CA" w:eastAsia="en-CA"/>
        </w:rPr>
        <w:t>Mohr</w:t>
      </w:r>
      <w:proofErr w:type="spellEnd"/>
      <w:r w:rsidRPr="00E2090E">
        <w:rPr>
          <w:rFonts w:eastAsia="Times New Roman" w:cs="Times New Roman"/>
          <w:sz w:val="20"/>
          <w:szCs w:val="20"/>
          <w:lang w:val="fr-CA" w:eastAsia="en-CA"/>
        </w:rPr>
        <w:t xml:space="preserve"> et </w:t>
      </w:r>
      <w:r w:rsidRPr="00E2090E">
        <w:rPr>
          <w:rFonts w:eastAsia="Times New Roman" w:cs="Times New Roman"/>
          <w:i/>
          <w:sz w:val="20"/>
          <w:szCs w:val="20"/>
          <w:lang w:val="fr-CA" w:eastAsia="en-CA"/>
        </w:rPr>
        <w:t xml:space="preserve">Alexander </w:t>
      </w:r>
      <w:proofErr w:type="spellStart"/>
      <w:r w:rsidRPr="00E2090E">
        <w:rPr>
          <w:rFonts w:eastAsia="Times New Roman" w:cs="Times New Roman"/>
          <w:i/>
          <w:sz w:val="20"/>
          <w:szCs w:val="20"/>
          <w:lang w:val="fr-CA" w:eastAsia="en-CA"/>
        </w:rPr>
        <w:t>Pless</w:t>
      </w:r>
      <w:proofErr w:type="spellEnd"/>
      <w:r w:rsidRPr="00E2090E">
        <w:rPr>
          <w:rFonts w:eastAsia="Times New Roman" w:cs="Times New Roman"/>
          <w:sz w:val="20"/>
          <w:szCs w:val="20"/>
          <w:lang w:val="fr-CA" w:eastAsia="en-CA"/>
        </w:rPr>
        <w:t>, pour l’intervenant le procureur général du Canada.</w:t>
      </w:r>
    </w:p>
    <w:p w:rsidR="00E2090E" w:rsidRPr="00E2090E" w:rsidRDefault="00E2090E" w:rsidP="00E2090E">
      <w:pPr>
        <w:tabs>
          <w:tab w:val="left" w:pos="1168"/>
        </w:tabs>
        <w:jc w:val="both"/>
        <w:rPr>
          <w:rFonts w:eastAsia="Times New Roman" w:cs="Times New Roman"/>
          <w:sz w:val="20"/>
          <w:szCs w:val="20"/>
          <w:lang w:val="fr-CA" w:eastAsia="en-CA"/>
        </w:rPr>
      </w:pPr>
    </w:p>
    <w:p w:rsidR="00E2090E" w:rsidRPr="00E85E82" w:rsidRDefault="00E2090E" w:rsidP="00E2090E">
      <w:pPr>
        <w:tabs>
          <w:tab w:val="left" w:pos="1168"/>
        </w:tabs>
        <w:jc w:val="both"/>
        <w:rPr>
          <w:rFonts w:eastAsia="Times New Roman" w:cs="Times New Roman"/>
          <w:sz w:val="20"/>
          <w:szCs w:val="20"/>
          <w:lang w:val="fr-CA" w:eastAsia="en-CA"/>
        </w:rPr>
      </w:pPr>
      <w:r w:rsidRPr="00E2090E">
        <w:rPr>
          <w:rFonts w:eastAsia="Times New Roman" w:cs="Times New Roman"/>
          <w:i/>
          <w:sz w:val="20"/>
          <w:szCs w:val="20"/>
          <w:lang w:val="fr-CA" w:eastAsia="en-CA"/>
        </w:rPr>
        <w:tab/>
        <w:t>Sara Blake</w:t>
      </w:r>
      <w:r w:rsidRPr="00E2090E">
        <w:rPr>
          <w:rFonts w:eastAsia="Times New Roman" w:cs="Times New Roman"/>
          <w:sz w:val="20"/>
          <w:szCs w:val="20"/>
          <w:lang w:val="fr-CA" w:eastAsia="en-CA"/>
        </w:rPr>
        <w:t xml:space="preserve"> et </w:t>
      </w:r>
      <w:r w:rsidRPr="00E2090E">
        <w:rPr>
          <w:rFonts w:eastAsia="Times New Roman" w:cs="Times New Roman"/>
          <w:i/>
          <w:sz w:val="20"/>
          <w:szCs w:val="20"/>
          <w:lang w:val="fr-CA" w:eastAsia="en-CA"/>
        </w:rPr>
        <w:t xml:space="preserve">Sandra </w:t>
      </w:r>
      <w:proofErr w:type="spellStart"/>
      <w:r w:rsidRPr="00E2090E">
        <w:rPr>
          <w:rFonts w:eastAsia="Times New Roman" w:cs="Times New Roman"/>
          <w:i/>
          <w:sz w:val="20"/>
          <w:szCs w:val="20"/>
          <w:lang w:val="fr-CA" w:eastAsia="en-CA"/>
        </w:rPr>
        <w:t>Nishikawa</w:t>
      </w:r>
      <w:proofErr w:type="spellEnd"/>
      <w:r w:rsidRPr="00E2090E">
        <w:rPr>
          <w:rFonts w:eastAsia="Times New Roman" w:cs="Times New Roman"/>
          <w:sz w:val="20"/>
          <w:szCs w:val="20"/>
          <w:lang w:val="fr-CA" w:eastAsia="en-CA"/>
        </w:rPr>
        <w:t>, pour l’intervenant le procureur général de l’Ontario.</w:t>
      </w:r>
    </w:p>
    <w:p w:rsidR="00E2090E" w:rsidRPr="00E2090E" w:rsidRDefault="00E2090E" w:rsidP="00E2090E">
      <w:pPr>
        <w:tabs>
          <w:tab w:val="left" w:pos="1168"/>
        </w:tabs>
        <w:jc w:val="both"/>
        <w:rPr>
          <w:rFonts w:eastAsia="Times New Roman" w:cs="Times New Roman"/>
          <w:sz w:val="20"/>
          <w:szCs w:val="20"/>
          <w:lang w:val="fr-CA" w:eastAsia="en-CA"/>
        </w:rPr>
      </w:pPr>
    </w:p>
    <w:p w:rsidR="00E2090E" w:rsidRPr="00E85E82" w:rsidRDefault="00E2090E" w:rsidP="00E2090E">
      <w:pPr>
        <w:tabs>
          <w:tab w:val="left" w:pos="1168"/>
        </w:tabs>
        <w:jc w:val="both"/>
        <w:rPr>
          <w:rFonts w:eastAsia="Times New Roman" w:cs="Times New Roman"/>
          <w:sz w:val="20"/>
          <w:szCs w:val="20"/>
          <w:lang w:val="en-US" w:eastAsia="en-CA"/>
        </w:rPr>
      </w:pPr>
      <w:r w:rsidRPr="00E2090E">
        <w:rPr>
          <w:rFonts w:eastAsia="Times New Roman" w:cs="Times New Roman"/>
          <w:i/>
          <w:sz w:val="20"/>
          <w:szCs w:val="20"/>
          <w:lang w:val="fr-CA" w:eastAsia="en-CA"/>
        </w:rPr>
        <w:tab/>
      </w:r>
      <w:r w:rsidRPr="00E2090E">
        <w:rPr>
          <w:rFonts w:eastAsia="Times New Roman" w:cs="Times New Roman"/>
          <w:i/>
          <w:sz w:val="20"/>
          <w:szCs w:val="20"/>
          <w:lang w:val="en-US" w:eastAsia="en-CA"/>
        </w:rPr>
        <w:t xml:space="preserve">Ivana </w:t>
      </w:r>
      <w:proofErr w:type="spellStart"/>
      <w:r w:rsidRPr="00E2090E">
        <w:rPr>
          <w:rFonts w:eastAsia="Times New Roman" w:cs="Times New Roman"/>
          <w:i/>
          <w:sz w:val="20"/>
          <w:szCs w:val="20"/>
          <w:lang w:val="en-US" w:eastAsia="en-CA"/>
        </w:rPr>
        <w:t>Petricone</w:t>
      </w:r>
      <w:proofErr w:type="spellEnd"/>
      <w:r w:rsidRPr="00E2090E">
        <w:rPr>
          <w:rFonts w:eastAsia="Times New Roman" w:cs="Times New Roman"/>
          <w:sz w:val="20"/>
          <w:szCs w:val="20"/>
          <w:lang w:val="en-US" w:eastAsia="en-CA"/>
        </w:rPr>
        <w:t xml:space="preserve">, pour les </w:t>
      </w:r>
      <w:proofErr w:type="spellStart"/>
      <w:r w:rsidRPr="00E2090E">
        <w:rPr>
          <w:rFonts w:eastAsia="Times New Roman" w:cs="Times New Roman"/>
          <w:sz w:val="20"/>
          <w:szCs w:val="20"/>
          <w:lang w:val="en-US" w:eastAsia="en-CA"/>
        </w:rPr>
        <w:t>intervenants</w:t>
      </w:r>
      <w:proofErr w:type="spellEnd"/>
      <w:r w:rsidRPr="00E2090E">
        <w:rPr>
          <w:rFonts w:eastAsia="Times New Roman" w:cs="Times New Roman"/>
          <w:sz w:val="20"/>
          <w:szCs w:val="20"/>
          <w:lang w:val="en-US" w:eastAsia="en-CA"/>
        </w:rPr>
        <w:t xml:space="preserve"> Ontario Network of Injured Workers’ Groups </w:t>
      </w:r>
      <w:proofErr w:type="gramStart"/>
      <w:r w:rsidRPr="00E2090E">
        <w:rPr>
          <w:rFonts w:eastAsia="Times New Roman" w:cs="Times New Roman"/>
          <w:sz w:val="20"/>
          <w:szCs w:val="20"/>
          <w:lang w:val="en-US" w:eastAsia="en-CA"/>
        </w:rPr>
        <w:t>et</w:t>
      </w:r>
      <w:proofErr w:type="gramEnd"/>
      <w:r w:rsidRPr="00E2090E">
        <w:rPr>
          <w:rFonts w:eastAsia="Times New Roman" w:cs="Times New Roman"/>
          <w:sz w:val="20"/>
          <w:szCs w:val="20"/>
          <w:lang w:val="en-US" w:eastAsia="en-CA"/>
        </w:rPr>
        <w:t xml:space="preserve"> Industrial Accident Victims’ Group of Ontario.</w:t>
      </w:r>
    </w:p>
    <w:p w:rsidR="00E2090E" w:rsidRPr="00E2090E" w:rsidRDefault="00E2090E" w:rsidP="00E2090E">
      <w:pPr>
        <w:tabs>
          <w:tab w:val="left" w:pos="1168"/>
        </w:tabs>
        <w:jc w:val="both"/>
        <w:rPr>
          <w:rFonts w:eastAsia="Times New Roman" w:cs="Times New Roman"/>
          <w:sz w:val="20"/>
          <w:szCs w:val="20"/>
          <w:lang w:val="en-US" w:eastAsia="en-CA"/>
        </w:rPr>
      </w:pPr>
    </w:p>
    <w:p w:rsidR="00E2090E" w:rsidRPr="00E85E82" w:rsidRDefault="00E2090E" w:rsidP="00E2090E">
      <w:pPr>
        <w:tabs>
          <w:tab w:val="left" w:pos="1168"/>
        </w:tabs>
        <w:jc w:val="both"/>
        <w:rPr>
          <w:rFonts w:eastAsia="Times New Roman" w:cs="Times New Roman"/>
          <w:sz w:val="20"/>
          <w:szCs w:val="20"/>
          <w:lang w:val="en-US" w:eastAsia="en-CA"/>
        </w:rPr>
      </w:pPr>
      <w:r w:rsidRPr="00E2090E">
        <w:rPr>
          <w:rFonts w:eastAsia="Times New Roman" w:cs="Times New Roman"/>
          <w:i/>
          <w:sz w:val="20"/>
          <w:szCs w:val="20"/>
          <w:lang w:val="en-US" w:eastAsia="en-CA"/>
        </w:rPr>
        <w:tab/>
        <w:t xml:space="preserve">Monique </w:t>
      </w:r>
      <w:proofErr w:type="spellStart"/>
      <w:r w:rsidRPr="00E2090E">
        <w:rPr>
          <w:rFonts w:eastAsia="Times New Roman" w:cs="Times New Roman"/>
          <w:i/>
          <w:sz w:val="20"/>
          <w:szCs w:val="20"/>
          <w:lang w:val="en-US" w:eastAsia="en-CA"/>
        </w:rPr>
        <w:t>Pongracic</w:t>
      </w:r>
      <w:proofErr w:type="spellEnd"/>
      <w:r w:rsidRPr="00E2090E">
        <w:rPr>
          <w:rFonts w:eastAsia="Times New Roman" w:cs="Times New Roman"/>
          <w:i/>
          <w:sz w:val="20"/>
          <w:szCs w:val="20"/>
          <w:lang w:val="en-US" w:eastAsia="en-CA"/>
        </w:rPr>
        <w:noBreakHyphen/>
        <w:t>Speier</w:t>
      </w:r>
      <w:r w:rsidRPr="00E2090E">
        <w:rPr>
          <w:rFonts w:eastAsia="Times New Roman" w:cs="Times New Roman"/>
          <w:sz w:val="20"/>
          <w:szCs w:val="20"/>
          <w:lang w:val="en-US" w:eastAsia="en-CA"/>
        </w:rPr>
        <w:t xml:space="preserve">, pour les </w:t>
      </w:r>
      <w:proofErr w:type="spellStart"/>
      <w:r w:rsidRPr="00E2090E">
        <w:rPr>
          <w:rFonts w:eastAsia="Times New Roman" w:cs="Times New Roman"/>
          <w:sz w:val="20"/>
          <w:szCs w:val="20"/>
          <w:lang w:val="en-US" w:eastAsia="en-CA"/>
        </w:rPr>
        <w:t>intervenantes</w:t>
      </w:r>
      <w:proofErr w:type="spellEnd"/>
      <w:r w:rsidRPr="00E2090E">
        <w:rPr>
          <w:rFonts w:eastAsia="Times New Roman" w:cs="Times New Roman"/>
          <w:sz w:val="20"/>
          <w:szCs w:val="20"/>
          <w:lang w:val="en-US" w:eastAsia="en-CA"/>
        </w:rPr>
        <w:t xml:space="preserve"> Community Legal Assistance Society </w:t>
      </w:r>
      <w:proofErr w:type="gramStart"/>
      <w:r w:rsidRPr="00E2090E">
        <w:rPr>
          <w:rFonts w:eastAsia="Times New Roman" w:cs="Times New Roman"/>
          <w:sz w:val="20"/>
          <w:szCs w:val="20"/>
          <w:lang w:val="en-US" w:eastAsia="en-CA"/>
        </w:rPr>
        <w:t>et</w:t>
      </w:r>
      <w:proofErr w:type="gramEnd"/>
      <w:r w:rsidRPr="00E2090E">
        <w:rPr>
          <w:rFonts w:eastAsia="Times New Roman" w:cs="Times New Roman"/>
          <w:sz w:val="20"/>
          <w:szCs w:val="20"/>
          <w:lang w:val="en-US" w:eastAsia="en-CA"/>
        </w:rPr>
        <w:t xml:space="preserve"> British Columbia Federation of </w:t>
      </w:r>
      <w:proofErr w:type="spellStart"/>
      <w:r w:rsidRPr="00E2090E">
        <w:rPr>
          <w:rFonts w:eastAsia="Times New Roman" w:cs="Times New Roman"/>
          <w:sz w:val="20"/>
          <w:szCs w:val="20"/>
          <w:lang w:val="en-US" w:eastAsia="en-CA"/>
        </w:rPr>
        <w:t>Labour</w:t>
      </w:r>
      <w:proofErr w:type="spellEnd"/>
      <w:r w:rsidRPr="00E2090E">
        <w:rPr>
          <w:rFonts w:eastAsia="Times New Roman" w:cs="Times New Roman"/>
          <w:sz w:val="20"/>
          <w:szCs w:val="20"/>
          <w:lang w:val="en-US" w:eastAsia="en-CA"/>
        </w:rPr>
        <w:t>.</w:t>
      </w:r>
    </w:p>
    <w:p w:rsidR="00E2090E" w:rsidRPr="00E2090E" w:rsidRDefault="00E2090E" w:rsidP="00E2090E">
      <w:pPr>
        <w:tabs>
          <w:tab w:val="left" w:pos="1168"/>
        </w:tabs>
        <w:jc w:val="both"/>
        <w:rPr>
          <w:rFonts w:eastAsia="Times New Roman" w:cs="Times New Roman"/>
          <w:sz w:val="20"/>
          <w:szCs w:val="20"/>
          <w:lang w:val="en-US" w:eastAsia="en-CA"/>
        </w:rPr>
      </w:pPr>
    </w:p>
    <w:p w:rsidR="00E2090E" w:rsidRPr="00E85E82" w:rsidRDefault="00E2090E" w:rsidP="00E2090E">
      <w:pPr>
        <w:tabs>
          <w:tab w:val="left" w:pos="1168"/>
        </w:tabs>
        <w:jc w:val="both"/>
        <w:rPr>
          <w:rFonts w:eastAsia="Times New Roman" w:cs="Times New Roman"/>
          <w:i/>
          <w:sz w:val="20"/>
          <w:szCs w:val="20"/>
          <w:lang w:val="en-US" w:eastAsia="en-CA"/>
        </w:rPr>
      </w:pPr>
      <w:r w:rsidRPr="00E2090E">
        <w:rPr>
          <w:rFonts w:eastAsia="Times New Roman" w:cs="Times New Roman"/>
          <w:i/>
          <w:sz w:val="20"/>
          <w:szCs w:val="20"/>
          <w:lang w:val="en-US" w:eastAsia="en-CA"/>
        </w:rPr>
        <w:tab/>
      </w:r>
      <w:proofErr w:type="spellStart"/>
      <w:r w:rsidRPr="00E2090E">
        <w:rPr>
          <w:rFonts w:eastAsia="Times New Roman" w:cs="Times New Roman"/>
          <w:i/>
          <w:sz w:val="20"/>
          <w:szCs w:val="20"/>
          <w:lang w:val="en-US" w:eastAsia="en-CA"/>
        </w:rPr>
        <w:t>Procureur</w:t>
      </w:r>
      <w:proofErr w:type="spellEnd"/>
      <w:r w:rsidRPr="00E2090E">
        <w:rPr>
          <w:rFonts w:eastAsia="Times New Roman" w:cs="Times New Roman"/>
          <w:i/>
          <w:sz w:val="20"/>
          <w:szCs w:val="20"/>
          <w:lang w:val="en-US" w:eastAsia="en-CA"/>
        </w:rPr>
        <w:t xml:space="preserve"> de </w:t>
      </w:r>
      <w:proofErr w:type="spellStart"/>
      <w:r w:rsidRPr="00E2090E">
        <w:rPr>
          <w:rFonts w:eastAsia="Times New Roman" w:cs="Times New Roman"/>
          <w:i/>
          <w:sz w:val="20"/>
          <w:szCs w:val="20"/>
          <w:lang w:val="en-US" w:eastAsia="en-CA"/>
        </w:rPr>
        <w:t>l’appelant</w:t>
      </w:r>
      <w:proofErr w:type="spellEnd"/>
      <w:r w:rsidRPr="00E2090E">
        <w:rPr>
          <w:rFonts w:eastAsia="Times New Roman" w:cs="Times New Roman"/>
          <w:i/>
          <w:sz w:val="20"/>
          <w:szCs w:val="20"/>
          <w:lang w:val="en-US" w:eastAsia="en-CA"/>
        </w:rPr>
        <w:t>/</w:t>
      </w:r>
      <w:proofErr w:type="spellStart"/>
      <w:r w:rsidRPr="00E2090E">
        <w:rPr>
          <w:rFonts w:eastAsia="Times New Roman" w:cs="Times New Roman"/>
          <w:i/>
          <w:sz w:val="20"/>
          <w:szCs w:val="20"/>
          <w:lang w:val="en-US" w:eastAsia="en-CA"/>
        </w:rPr>
        <w:t>intimé</w:t>
      </w:r>
      <w:proofErr w:type="spellEnd"/>
      <w:r w:rsidRPr="00E2090E">
        <w:rPr>
          <w:rFonts w:eastAsia="Times New Roman" w:cs="Times New Roman"/>
          <w:i/>
          <w:sz w:val="20"/>
          <w:szCs w:val="20"/>
          <w:lang w:val="en-US" w:eastAsia="en-CA"/>
        </w:rPr>
        <w:t xml:space="preserve"> Workers’ Compensation Appeal </w:t>
      </w:r>
      <w:proofErr w:type="gramStart"/>
      <w:r w:rsidRPr="00E2090E">
        <w:rPr>
          <w:rFonts w:eastAsia="Times New Roman" w:cs="Times New Roman"/>
          <w:i/>
          <w:sz w:val="20"/>
          <w:szCs w:val="20"/>
          <w:lang w:val="en-US" w:eastAsia="en-CA"/>
        </w:rPr>
        <w:t>Tribunal :</w:t>
      </w:r>
      <w:proofErr w:type="gramEnd"/>
      <w:r w:rsidRPr="00E2090E">
        <w:rPr>
          <w:rFonts w:eastAsia="Times New Roman" w:cs="Times New Roman"/>
          <w:i/>
          <w:sz w:val="20"/>
          <w:szCs w:val="20"/>
          <w:lang w:val="en-US" w:eastAsia="en-CA"/>
        </w:rPr>
        <w:t> Workers’ Compensation Appeal Tribunal, Richmond.</w:t>
      </w:r>
    </w:p>
    <w:p w:rsidR="00E2090E" w:rsidRPr="00E2090E" w:rsidRDefault="00E2090E" w:rsidP="00E2090E">
      <w:pPr>
        <w:tabs>
          <w:tab w:val="left" w:pos="1168"/>
        </w:tabs>
        <w:jc w:val="both"/>
        <w:rPr>
          <w:rFonts w:eastAsia="Times New Roman" w:cs="Times New Roman"/>
          <w:i/>
          <w:sz w:val="20"/>
          <w:szCs w:val="20"/>
          <w:lang w:val="en-US" w:eastAsia="en-CA"/>
        </w:rPr>
      </w:pPr>
    </w:p>
    <w:p w:rsidR="00E2090E" w:rsidRDefault="00E2090E" w:rsidP="00E2090E">
      <w:pPr>
        <w:tabs>
          <w:tab w:val="left" w:pos="1168"/>
        </w:tabs>
        <w:jc w:val="both"/>
        <w:rPr>
          <w:rFonts w:eastAsia="Times New Roman" w:cs="Times New Roman"/>
          <w:i/>
          <w:sz w:val="20"/>
          <w:szCs w:val="20"/>
          <w:lang w:val="en-US" w:eastAsia="en-CA"/>
        </w:rPr>
      </w:pPr>
      <w:r w:rsidRPr="00E2090E">
        <w:rPr>
          <w:rFonts w:eastAsia="Times New Roman" w:cs="Times New Roman"/>
          <w:i/>
          <w:sz w:val="20"/>
          <w:szCs w:val="20"/>
          <w:lang w:val="en-US" w:eastAsia="en-CA"/>
        </w:rPr>
        <w:tab/>
      </w:r>
      <w:proofErr w:type="spellStart"/>
      <w:r w:rsidRPr="00E2090E">
        <w:rPr>
          <w:rFonts w:eastAsia="Times New Roman" w:cs="Times New Roman"/>
          <w:i/>
          <w:sz w:val="20"/>
          <w:szCs w:val="20"/>
          <w:lang w:val="en-US" w:eastAsia="en-CA"/>
        </w:rPr>
        <w:t>Procureurs</w:t>
      </w:r>
      <w:proofErr w:type="spellEnd"/>
      <w:r w:rsidRPr="00E2090E">
        <w:rPr>
          <w:rFonts w:eastAsia="Times New Roman" w:cs="Times New Roman"/>
          <w:i/>
          <w:sz w:val="20"/>
          <w:szCs w:val="20"/>
          <w:lang w:val="en-US" w:eastAsia="en-CA"/>
        </w:rPr>
        <w:t xml:space="preserve"> des </w:t>
      </w:r>
      <w:proofErr w:type="spellStart"/>
      <w:r w:rsidRPr="00E2090E">
        <w:rPr>
          <w:rFonts w:eastAsia="Times New Roman" w:cs="Times New Roman"/>
          <w:i/>
          <w:sz w:val="20"/>
          <w:szCs w:val="20"/>
          <w:lang w:val="en-US" w:eastAsia="en-CA"/>
        </w:rPr>
        <w:t>appelantes</w:t>
      </w:r>
      <w:proofErr w:type="spellEnd"/>
      <w:r w:rsidRPr="00E2090E">
        <w:rPr>
          <w:rFonts w:eastAsia="Times New Roman" w:cs="Times New Roman"/>
          <w:i/>
          <w:sz w:val="20"/>
          <w:szCs w:val="20"/>
          <w:lang w:val="en-US" w:eastAsia="en-CA"/>
        </w:rPr>
        <w:t>/</w:t>
      </w:r>
      <w:proofErr w:type="spellStart"/>
      <w:r w:rsidRPr="00E2090E">
        <w:rPr>
          <w:rFonts w:eastAsia="Times New Roman" w:cs="Times New Roman"/>
          <w:i/>
          <w:sz w:val="20"/>
          <w:szCs w:val="20"/>
          <w:lang w:val="en-US" w:eastAsia="en-CA"/>
        </w:rPr>
        <w:t>intimées</w:t>
      </w:r>
      <w:proofErr w:type="spellEnd"/>
      <w:r w:rsidRPr="00E2090E">
        <w:rPr>
          <w:rFonts w:eastAsia="Times New Roman" w:cs="Times New Roman"/>
          <w:i/>
          <w:sz w:val="20"/>
          <w:szCs w:val="20"/>
          <w:lang w:val="en-US" w:eastAsia="en-CA"/>
        </w:rPr>
        <w:t xml:space="preserve"> Katrina Hammer, Patricia Schmidt et Anne </w:t>
      </w:r>
      <w:proofErr w:type="gramStart"/>
      <w:r w:rsidRPr="00E2090E">
        <w:rPr>
          <w:rFonts w:eastAsia="Times New Roman" w:cs="Times New Roman"/>
          <w:i/>
          <w:sz w:val="20"/>
          <w:szCs w:val="20"/>
          <w:lang w:val="en-US" w:eastAsia="en-CA"/>
        </w:rPr>
        <w:t>MacFarlane :</w:t>
      </w:r>
      <w:proofErr w:type="gramEnd"/>
      <w:r w:rsidRPr="00E2090E">
        <w:rPr>
          <w:rFonts w:eastAsia="Times New Roman" w:cs="Times New Roman"/>
          <w:i/>
          <w:sz w:val="20"/>
          <w:szCs w:val="20"/>
          <w:lang w:val="en-US" w:eastAsia="en-CA"/>
        </w:rPr>
        <w:t> Health Sciences Association of British Columbia, New Westminster; Hospital Employees’ Union, New Westminster.</w:t>
      </w:r>
    </w:p>
    <w:p w:rsidR="00C556BB" w:rsidRPr="00E2090E" w:rsidRDefault="00C556BB" w:rsidP="00E2090E">
      <w:pPr>
        <w:tabs>
          <w:tab w:val="left" w:pos="1168"/>
        </w:tabs>
        <w:jc w:val="both"/>
        <w:rPr>
          <w:rFonts w:eastAsia="Times New Roman" w:cs="Times New Roman"/>
          <w:i/>
          <w:sz w:val="20"/>
          <w:szCs w:val="20"/>
          <w:lang w:val="en-US" w:eastAsia="en-CA"/>
        </w:rPr>
      </w:pPr>
    </w:p>
    <w:p w:rsidR="00E2090E" w:rsidRPr="00E85E82" w:rsidRDefault="00E2090E" w:rsidP="00E2090E">
      <w:pPr>
        <w:tabs>
          <w:tab w:val="left" w:pos="1168"/>
        </w:tabs>
        <w:jc w:val="both"/>
        <w:rPr>
          <w:rFonts w:eastAsia="Times New Roman" w:cs="Times New Roman"/>
          <w:i/>
          <w:sz w:val="20"/>
          <w:szCs w:val="20"/>
          <w:lang w:val="en-US" w:eastAsia="en-CA"/>
        </w:rPr>
      </w:pPr>
      <w:r w:rsidRPr="00E2090E">
        <w:rPr>
          <w:rFonts w:eastAsia="Times New Roman" w:cs="Times New Roman"/>
          <w:i/>
          <w:sz w:val="20"/>
          <w:szCs w:val="20"/>
          <w:lang w:val="en-US" w:eastAsia="en-CA"/>
        </w:rPr>
        <w:tab/>
      </w:r>
      <w:proofErr w:type="spellStart"/>
      <w:r w:rsidRPr="00E2090E">
        <w:rPr>
          <w:rFonts w:eastAsia="Times New Roman" w:cs="Times New Roman"/>
          <w:i/>
          <w:sz w:val="20"/>
          <w:szCs w:val="20"/>
          <w:lang w:val="en-US" w:eastAsia="en-CA"/>
        </w:rPr>
        <w:t>Procureurs</w:t>
      </w:r>
      <w:proofErr w:type="spellEnd"/>
      <w:r w:rsidRPr="00E2090E">
        <w:rPr>
          <w:rFonts w:eastAsia="Times New Roman" w:cs="Times New Roman"/>
          <w:i/>
          <w:sz w:val="20"/>
          <w:szCs w:val="20"/>
          <w:lang w:val="en-US" w:eastAsia="en-CA"/>
        </w:rPr>
        <w:t xml:space="preserve"> de </w:t>
      </w:r>
      <w:proofErr w:type="spellStart"/>
      <w:r w:rsidRPr="00E2090E">
        <w:rPr>
          <w:rFonts w:eastAsia="Times New Roman" w:cs="Times New Roman"/>
          <w:i/>
          <w:sz w:val="20"/>
          <w:szCs w:val="20"/>
          <w:lang w:val="en-US" w:eastAsia="en-CA"/>
        </w:rPr>
        <w:t>l’intimée</w:t>
      </w:r>
      <w:proofErr w:type="spellEnd"/>
      <w:r w:rsidRPr="00E2090E">
        <w:rPr>
          <w:rFonts w:eastAsia="Times New Roman" w:cs="Times New Roman"/>
          <w:i/>
          <w:sz w:val="20"/>
          <w:szCs w:val="20"/>
          <w:lang w:val="en-US" w:eastAsia="en-CA"/>
        </w:rPr>
        <w:t xml:space="preserve"> Fraser Health </w:t>
      </w:r>
      <w:proofErr w:type="gramStart"/>
      <w:r w:rsidRPr="00E2090E">
        <w:rPr>
          <w:rFonts w:eastAsia="Times New Roman" w:cs="Times New Roman"/>
          <w:i/>
          <w:sz w:val="20"/>
          <w:szCs w:val="20"/>
          <w:lang w:val="en-US" w:eastAsia="en-CA"/>
        </w:rPr>
        <w:t>Authority :</w:t>
      </w:r>
      <w:proofErr w:type="gramEnd"/>
      <w:r w:rsidRPr="00E2090E">
        <w:rPr>
          <w:rFonts w:eastAsia="Times New Roman" w:cs="Times New Roman"/>
          <w:i/>
          <w:sz w:val="20"/>
          <w:szCs w:val="20"/>
          <w:lang w:val="en-US" w:eastAsia="en-CA"/>
        </w:rPr>
        <w:t> Harris &amp; Company, Vancouver; Health Employers Association of British Columbia, Vancouver.</w:t>
      </w:r>
    </w:p>
    <w:p w:rsidR="00E2090E" w:rsidRPr="00E2090E" w:rsidRDefault="00E2090E" w:rsidP="00E2090E">
      <w:pPr>
        <w:tabs>
          <w:tab w:val="left" w:pos="1168"/>
        </w:tabs>
        <w:jc w:val="both"/>
        <w:rPr>
          <w:rFonts w:eastAsia="Times New Roman" w:cs="Times New Roman"/>
          <w:i/>
          <w:sz w:val="20"/>
          <w:szCs w:val="20"/>
          <w:lang w:val="en-US" w:eastAsia="en-CA"/>
        </w:rPr>
      </w:pPr>
    </w:p>
    <w:p w:rsidR="00E2090E" w:rsidRPr="00E85E82" w:rsidRDefault="00E2090E" w:rsidP="00E2090E">
      <w:pPr>
        <w:tabs>
          <w:tab w:val="left" w:pos="1168"/>
        </w:tabs>
        <w:jc w:val="both"/>
        <w:rPr>
          <w:rFonts w:eastAsia="Times New Roman" w:cs="Times New Roman"/>
          <w:i/>
          <w:sz w:val="20"/>
          <w:szCs w:val="20"/>
          <w:lang w:val="fr-CA" w:eastAsia="en-CA"/>
        </w:rPr>
      </w:pPr>
      <w:r w:rsidRPr="00E2090E">
        <w:rPr>
          <w:rFonts w:eastAsia="Times New Roman" w:cs="Times New Roman"/>
          <w:i/>
          <w:sz w:val="20"/>
          <w:szCs w:val="20"/>
          <w:lang w:val="en-US" w:eastAsia="en-CA"/>
        </w:rPr>
        <w:tab/>
      </w:r>
      <w:r w:rsidRPr="00E2090E">
        <w:rPr>
          <w:rFonts w:eastAsia="Times New Roman" w:cs="Times New Roman"/>
          <w:i/>
          <w:sz w:val="20"/>
          <w:szCs w:val="20"/>
          <w:lang w:val="fr-CA" w:eastAsia="en-CA"/>
        </w:rPr>
        <w:t>Procureur de l’intervenant le procureur général du Canada : Procureur général du Canada, Toronto.</w:t>
      </w:r>
    </w:p>
    <w:p w:rsidR="00E2090E" w:rsidRPr="00E2090E" w:rsidRDefault="00E2090E" w:rsidP="00E2090E">
      <w:pPr>
        <w:tabs>
          <w:tab w:val="left" w:pos="1168"/>
        </w:tabs>
        <w:jc w:val="both"/>
        <w:rPr>
          <w:rFonts w:eastAsia="Times New Roman" w:cs="Times New Roman"/>
          <w:i/>
          <w:sz w:val="20"/>
          <w:szCs w:val="20"/>
          <w:lang w:val="fr-CA" w:eastAsia="en-CA"/>
        </w:rPr>
      </w:pPr>
    </w:p>
    <w:p w:rsidR="00E2090E" w:rsidRPr="00E85E82" w:rsidRDefault="00E2090E" w:rsidP="00E2090E">
      <w:pPr>
        <w:tabs>
          <w:tab w:val="left" w:pos="1168"/>
        </w:tabs>
        <w:jc w:val="both"/>
        <w:rPr>
          <w:rFonts w:eastAsia="Times New Roman" w:cs="Times New Roman"/>
          <w:i/>
          <w:sz w:val="20"/>
          <w:szCs w:val="20"/>
          <w:lang w:val="fr-CA" w:eastAsia="en-CA"/>
        </w:rPr>
      </w:pPr>
      <w:r w:rsidRPr="00E2090E">
        <w:rPr>
          <w:rFonts w:eastAsia="Times New Roman" w:cs="Times New Roman"/>
          <w:i/>
          <w:sz w:val="20"/>
          <w:szCs w:val="20"/>
          <w:lang w:val="fr-CA" w:eastAsia="en-CA"/>
        </w:rPr>
        <w:tab/>
        <w:t>Procureur de l’intervenant le procureur général de l’Ontario : Procureur général de l’Ontario, Toronto.</w:t>
      </w:r>
    </w:p>
    <w:p w:rsidR="00E2090E" w:rsidRPr="00E2090E" w:rsidRDefault="00E2090E" w:rsidP="00E2090E">
      <w:pPr>
        <w:tabs>
          <w:tab w:val="left" w:pos="1168"/>
        </w:tabs>
        <w:jc w:val="both"/>
        <w:rPr>
          <w:rFonts w:eastAsia="Times New Roman" w:cs="Times New Roman"/>
          <w:i/>
          <w:sz w:val="20"/>
          <w:szCs w:val="20"/>
          <w:lang w:val="fr-CA" w:eastAsia="en-CA"/>
        </w:rPr>
      </w:pPr>
    </w:p>
    <w:p w:rsidR="00C556BB" w:rsidRDefault="00C556BB">
      <w:pPr>
        <w:rPr>
          <w:rFonts w:eastAsia="Times New Roman" w:cs="Times New Roman"/>
          <w:i/>
          <w:sz w:val="20"/>
          <w:szCs w:val="20"/>
          <w:lang w:val="fr-CA" w:eastAsia="en-CA"/>
        </w:rPr>
      </w:pPr>
      <w:r>
        <w:rPr>
          <w:rFonts w:eastAsia="Times New Roman" w:cs="Times New Roman"/>
          <w:i/>
          <w:sz w:val="20"/>
          <w:szCs w:val="20"/>
          <w:lang w:val="fr-CA" w:eastAsia="en-CA"/>
        </w:rPr>
        <w:br w:type="page"/>
      </w:r>
    </w:p>
    <w:p w:rsidR="00E2090E" w:rsidRPr="00E85E82" w:rsidRDefault="00E2090E" w:rsidP="00E2090E">
      <w:pPr>
        <w:tabs>
          <w:tab w:val="left" w:pos="1168"/>
        </w:tabs>
        <w:jc w:val="both"/>
        <w:rPr>
          <w:rFonts w:eastAsia="Times New Roman" w:cs="Times New Roman"/>
          <w:i/>
          <w:sz w:val="20"/>
          <w:szCs w:val="20"/>
          <w:lang w:val="en-US" w:eastAsia="en-CA"/>
        </w:rPr>
      </w:pPr>
      <w:r w:rsidRPr="00E2090E">
        <w:rPr>
          <w:rFonts w:eastAsia="Times New Roman" w:cs="Times New Roman"/>
          <w:i/>
          <w:sz w:val="20"/>
          <w:szCs w:val="20"/>
          <w:lang w:val="fr-CA" w:eastAsia="en-CA"/>
        </w:rPr>
        <w:tab/>
      </w:r>
      <w:proofErr w:type="spellStart"/>
      <w:r w:rsidRPr="00E2090E">
        <w:rPr>
          <w:rFonts w:eastAsia="Times New Roman" w:cs="Times New Roman"/>
          <w:i/>
          <w:sz w:val="20"/>
          <w:szCs w:val="20"/>
          <w:lang w:val="en-US" w:eastAsia="en-CA"/>
        </w:rPr>
        <w:t>Procureurs</w:t>
      </w:r>
      <w:proofErr w:type="spellEnd"/>
      <w:r w:rsidRPr="00E2090E">
        <w:rPr>
          <w:rFonts w:eastAsia="Times New Roman" w:cs="Times New Roman"/>
          <w:i/>
          <w:sz w:val="20"/>
          <w:szCs w:val="20"/>
          <w:lang w:val="en-US" w:eastAsia="en-CA"/>
        </w:rPr>
        <w:t xml:space="preserve"> des </w:t>
      </w:r>
      <w:proofErr w:type="spellStart"/>
      <w:r w:rsidRPr="00E2090E">
        <w:rPr>
          <w:rFonts w:eastAsia="Times New Roman" w:cs="Times New Roman"/>
          <w:i/>
          <w:sz w:val="20"/>
          <w:szCs w:val="20"/>
          <w:lang w:val="en-US" w:eastAsia="en-CA"/>
        </w:rPr>
        <w:t>intervenants</w:t>
      </w:r>
      <w:proofErr w:type="spellEnd"/>
      <w:r w:rsidRPr="00E2090E">
        <w:rPr>
          <w:rFonts w:eastAsia="Times New Roman" w:cs="Times New Roman"/>
          <w:i/>
          <w:sz w:val="20"/>
          <w:szCs w:val="20"/>
          <w:lang w:val="en-US" w:eastAsia="en-CA"/>
        </w:rPr>
        <w:t xml:space="preserve"> Ontario Network of Injured Workers’ Groups et Industrial Accident Victims’ Group of </w:t>
      </w:r>
      <w:proofErr w:type="gramStart"/>
      <w:r w:rsidRPr="00E2090E">
        <w:rPr>
          <w:rFonts w:eastAsia="Times New Roman" w:cs="Times New Roman"/>
          <w:i/>
          <w:sz w:val="20"/>
          <w:szCs w:val="20"/>
          <w:lang w:val="en-US" w:eastAsia="en-CA"/>
        </w:rPr>
        <w:t>Ontario :</w:t>
      </w:r>
      <w:proofErr w:type="gramEnd"/>
      <w:r w:rsidRPr="00E2090E">
        <w:rPr>
          <w:rFonts w:eastAsia="Times New Roman" w:cs="Times New Roman"/>
          <w:i/>
          <w:sz w:val="20"/>
          <w:szCs w:val="20"/>
          <w:lang w:val="en-US" w:eastAsia="en-CA"/>
        </w:rPr>
        <w:t> IAVGO Community Legal Clinic, Toronto.</w:t>
      </w:r>
    </w:p>
    <w:p w:rsidR="00E2090E" w:rsidRPr="00E2090E" w:rsidRDefault="00E2090E" w:rsidP="00E2090E">
      <w:pPr>
        <w:tabs>
          <w:tab w:val="left" w:pos="1168"/>
        </w:tabs>
        <w:jc w:val="both"/>
        <w:rPr>
          <w:rFonts w:eastAsia="Times New Roman" w:cs="Times New Roman"/>
          <w:i/>
          <w:sz w:val="20"/>
          <w:szCs w:val="20"/>
          <w:lang w:val="en-US" w:eastAsia="en-CA"/>
        </w:rPr>
      </w:pPr>
    </w:p>
    <w:p w:rsidR="00E2090E" w:rsidRPr="00E2090E" w:rsidRDefault="00E2090E" w:rsidP="00E2090E">
      <w:pPr>
        <w:tabs>
          <w:tab w:val="left" w:pos="1168"/>
        </w:tabs>
        <w:jc w:val="both"/>
        <w:rPr>
          <w:rFonts w:eastAsia="Times New Roman" w:cs="Times New Roman"/>
          <w:i/>
          <w:sz w:val="20"/>
          <w:szCs w:val="20"/>
          <w:lang w:val="en-US" w:eastAsia="en-CA"/>
        </w:rPr>
      </w:pPr>
      <w:r w:rsidRPr="00E2090E">
        <w:rPr>
          <w:rFonts w:eastAsia="Times New Roman" w:cs="Times New Roman"/>
          <w:i/>
          <w:sz w:val="20"/>
          <w:szCs w:val="20"/>
          <w:lang w:val="en-US" w:eastAsia="en-CA"/>
        </w:rPr>
        <w:tab/>
      </w:r>
      <w:proofErr w:type="spellStart"/>
      <w:r w:rsidRPr="00E2090E">
        <w:rPr>
          <w:rFonts w:eastAsia="Times New Roman" w:cs="Times New Roman"/>
          <w:i/>
          <w:sz w:val="20"/>
          <w:szCs w:val="20"/>
          <w:lang w:val="en-US" w:eastAsia="en-CA"/>
        </w:rPr>
        <w:t>Procureurs</w:t>
      </w:r>
      <w:proofErr w:type="spellEnd"/>
      <w:r w:rsidRPr="00E2090E">
        <w:rPr>
          <w:rFonts w:eastAsia="Times New Roman" w:cs="Times New Roman"/>
          <w:i/>
          <w:sz w:val="20"/>
          <w:szCs w:val="20"/>
          <w:lang w:val="en-US" w:eastAsia="en-CA"/>
        </w:rPr>
        <w:t xml:space="preserve"> des </w:t>
      </w:r>
      <w:proofErr w:type="spellStart"/>
      <w:r w:rsidRPr="00E2090E">
        <w:rPr>
          <w:rFonts w:eastAsia="Times New Roman" w:cs="Times New Roman"/>
          <w:i/>
          <w:sz w:val="20"/>
          <w:szCs w:val="20"/>
          <w:lang w:val="en-US" w:eastAsia="en-CA"/>
        </w:rPr>
        <w:t>intervenantes</w:t>
      </w:r>
      <w:proofErr w:type="spellEnd"/>
      <w:r w:rsidRPr="00E2090E">
        <w:rPr>
          <w:rFonts w:eastAsia="Times New Roman" w:cs="Times New Roman"/>
          <w:i/>
          <w:sz w:val="20"/>
          <w:szCs w:val="20"/>
          <w:lang w:val="en-US" w:eastAsia="en-CA"/>
        </w:rPr>
        <w:t xml:space="preserve"> Community Legal Assistance Society et British Columbia Federation of </w:t>
      </w:r>
      <w:proofErr w:type="spellStart"/>
      <w:proofErr w:type="gramStart"/>
      <w:r w:rsidRPr="00E2090E">
        <w:rPr>
          <w:rFonts w:eastAsia="Times New Roman" w:cs="Times New Roman"/>
          <w:i/>
          <w:sz w:val="20"/>
          <w:szCs w:val="20"/>
          <w:lang w:val="en-US" w:eastAsia="en-CA"/>
        </w:rPr>
        <w:t>Labour</w:t>
      </w:r>
      <w:proofErr w:type="spellEnd"/>
      <w:r w:rsidRPr="00E2090E">
        <w:rPr>
          <w:rFonts w:eastAsia="Times New Roman" w:cs="Times New Roman"/>
          <w:i/>
          <w:sz w:val="20"/>
          <w:szCs w:val="20"/>
          <w:lang w:val="en-US" w:eastAsia="en-CA"/>
        </w:rPr>
        <w:t> :</w:t>
      </w:r>
      <w:proofErr w:type="gramEnd"/>
      <w:r w:rsidRPr="00E2090E">
        <w:rPr>
          <w:rFonts w:eastAsia="Times New Roman" w:cs="Times New Roman"/>
          <w:i/>
          <w:sz w:val="20"/>
          <w:szCs w:val="20"/>
          <w:lang w:val="en-US" w:eastAsia="en-CA"/>
        </w:rPr>
        <w:t> Ethos Law Group, Vancouver.</w:t>
      </w:r>
    </w:p>
    <w:p w:rsidR="00902E51" w:rsidRPr="00C556BB" w:rsidRDefault="00902E51" w:rsidP="00902E51">
      <w:pPr>
        <w:rPr>
          <w:sz w:val="20"/>
          <w:szCs w:val="20"/>
        </w:rPr>
      </w:pPr>
    </w:p>
    <w:p w:rsidR="00902E51" w:rsidRPr="00E85E82" w:rsidRDefault="00B407D6" w:rsidP="00902E51">
      <w:pPr>
        <w:rPr>
          <w:rFonts w:cs="Times New Roman"/>
          <w:sz w:val="20"/>
          <w:szCs w:val="20"/>
          <w:lang w:val="fr-CA"/>
        </w:rPr>
      </w:pPr>
      <w:r>
        <w:rPr>
          <w:rFonts w:cs="Times New Roman"/>
          <w:sz w:val="20"/>
          <w:szCs w:val="20"/>
          <w:lang w:val="fr-CA"/>
        </w:rPr>
        <w:pict>
          <v:rect id="_x0000_i1098" style="width:144.3pt;height:1pt" o:hrpct="300" o:hralign="center" o:hrstd="t" o:hrnoshade="t" o:hr="t" fillcolor="black [3213]" stroked="f"/>
        </w:pict>
      </w:r>
    </w:p>
    <w:p w:rsidR="005C6840" w:rsidRPr="00E85E82" w:rsidRDefault="005C6840" w:rsidP="005C6840">
      <w:pPr>
        <w:jc w:val="both"/>
        <w:rPr>
          <w:sz w:val="20"/>
          <w:szCs w:val="20"/>
        </w:rPr>
      </w:pPr>
    </w:p>
    <w:p w:rsidR="00102926" w:rsidRPr="00E85E82" w:rsidRDefault="00102926" w:rsidP="00782AE4">
      <w:pPr>
        <w:jc w:val="both"/>
        <w:rPr>
          <w:sz w:val="20"/>
          <w:szCs w:val="20"/>
        </w:rPr>
        <w:sectPr w:rsidR="00102926" w:rsidRPr="00E85E82" w:rsidSect="00782AE4">
          <w:headerReference w:type="even" r:id="rId96"/>
          <w:headerReference w:type="default" r:id="rId97"/>
          <w:footerReference w:type="even" r:id="rId98"/>
          <w:footerReference w:type="default" r:id="rId99"/>
          <w:headerReference w:type="first" r:id="rId100"/>
          <w:footerReference w:type="first" r:id="rId101"/>
          <w:pgSz w:w="12240" w:h="15840"/>
          <w:pgMar w:top="720" w:right="965" w:bottom="1080" w:left="1656" w:header="576" w:footer="960" w:gutter="0"/>
          <w:cols w:space="720"/>
          <w:titlePg/>
          <w:docGrid w:linePitch="272"/>
        </w:sectPr>
      </w:pPr>
    </w:p>
    <w:bookmarkStart w:id="5" w:name="QuickMark"/>
    <w:bookmarkEnd w:id="5"/>
    <w:p w:rsidR="008902B1" w:rsidRPr="00E85E82" w:rsidRDefault="008902B1" w:rsidP="008902B1">
      <w:pPr>
        <w:widowControl w:val="0"/>
        <w:spacing w:line="180" w:lineRule="auto"/>
        <w:jc w:val="center"/>
        <w:rPr>
          <w:rFonts w:asciiTheme="minorHAnsi" w:hAnsiTheme="minorHAnsi" w:cstheme="minorHAnsi"/>
          <w:b/>
          <w:szCs w:val="24"/>
        </w:rPr>
      </w:pPr>
      <w:r w:rsidRPr="00E85E82">
        <w:rPr>
          <w:rFonts w:asciiTheme="minorHAnsi" w:hAnsiTheme="minorHAnsi" w:cstheme="minorHAnsi"/>
          <w:b/>
          <w:szCs w:val="24"/>
        </w:rPr>
        <w:fldChar w:fldCharType="begin"/>
      </w:r>
      <w:r w:rsidRPr="00E85E82">
        <w:rPr>
          <w:rFonts w:asciiTheme="minorHAnsi" w:hAnsiTheme="minorHAnsi" w:cstheme="minorHAnsi"/>
          <w:b/>
          <w:szCs w:val="24"/>
        </w:rPr>
        <w:instrText xml:space="preserve"> SEQ CHAPTER \h \r 1</w:instrText>
      </w:r>
      <w:r w:rsidRPr="00E85E82">
        <w:rPr>
          <w:rFonts w:asciiTheme="minorHAnsi" w:hAnsiTheme="minorHAnsi" w:cstheme="minorHAnsi"/>
          <w:b/>
          <w:szCs w:val="24"/>
        </w:rPr>
        <w:fldChar w:fldCharType="end"/>
      </w:r>
      <w:r w:rsidRPr="00E85E82">
        <w:rPr>
          <w:rFonts w:asciiTheme="minorHAnsi" w:hAnsiTheme="minorHAnsi" w:cstheme="minorHAnsi"/>
          <w:b/>
          <w:szCs w:val="24"/>
        </w:rPr>
        <w:t>SUPREME COURT OF CANADA SCHEDULE / CALENDRIER DE LA COUR SUPREME</w:t>
      </w:r>
    </w:p>
    <w:p w:rsidR="008902B1" w:rsidRPr="00E85E82" w:rsidRDefault="008902B1" w:rsidP="008902B1">
      <w:pPr>
        <w:widowControl w:val="0"/>
        <w:spacing w:line="180" w:lineRule="auto"/>
        <w:rPr>
          <w:rFonts w:asciiTheme="minorHAnsi" w:hAnsiTheme="minorHAnsi" w:cstheme="minorHAnsi"/>
          <w:szCs w:val="24"/>
        </w:rPr>
      </w:pPr>
    </w:p>
    <w:p w:rsidR="008902B1" w:rsidRPr="00E85E82" w:rsidRDefault="008902B1" w:rsidP="008902B1">
      <w:pPr>
        <w:widowControl w:val="0"/>
        <w:tabs>
          <w:tab w:val="center" w:pos="5400"/>
          <w:tab w:val="right" w:pos="10440"/>
        </w:tabs>
        <w:rPr>
          <w:rFonts w:ascii="Arial" w:hAnsi="Arial"/>
          <w:sz w:val="18"/>
        </w:rPr>
      </w:pPr>
      <w:r w:rsidRPr="00E85E82">
        <w:rPr>
          <w:rFonts w:ascii="Arial" w:hAnsi="Arial"/>
          <w:sz w:val="18"/>
        </w:rPr>
        <w:tab/>
      </w:r>
      <w:r w:rsidRPr="00E85E82">
        <w:rPr>
          <w:rFonts w:ascii="Arial" w:hAnsi="Arial"/>
          <w:i/>
          <w:sz w:val="36"/>
        </w:rPr>
        <w:t xml:space="preserve">- </w:t>
      </w:r>
      <w:r w:rsidRPr="00E85E82">
        <w:rPr>
          <w:rFonts w:ascii="Arial" w:hAnsi="Arial"/>
          <w:b/>
          <w:i/>
          <w:sz w:val="36"/>
        </w:rPr>
        <w:t>2015</w:t>
      </w:r>
      <w:r w:rsidRPr="00E85E82">
        <w:rPr>
          <w:rFonts w:ascii="Arial" w:hAnsi="Arial"/>
          <w:i/>
          <w:sz w:val="36"/>
        </w:rPr>
        <w:t xml:space="preserve"> -</w:t>
      </w:r>
      <w:r w:rsidRPr="00E85E82">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E85E82" w:rsidTr="000F56AC">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E85E82" w:rsidRDefault="008902B1" w:rsidP="000F56AC">
            <w:pPr>
              <w:widowControl w:val="0"/>
              <w:jc w:val="center"/>
              <w:rPr>
                <w:rFonts w:ascii="Arial" w:hAnsi="Arial"/>
                <w:sz w:val="14"/>
              </w:rPr>
            </w:pPr>
            <w:r w:rsidRPr="00E85E82">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E85E82" w:rsidRDefault="008902B1" w:rsidP="000F56AC">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E85E82" w:rsidRDefault="008902B1" w:rsidP="000F56AC">
            <w:pPr>
              <w:widowControl w:val="0"/>
              <w:jc w:val="center"/>
              <w:rPr>
                <w:rFonts w:ascii="Arial" w:hAnsi="Arial"/>
                <w:sz w:val="14"/>
              </w:rPr>
            </w:pPr>
            <w:r w:rsidRPr="00E85E82">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E85E82" w:rsidRDefault="008902B1" w:rsidP="000F56AC">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E85E82" w:rsidRDefault="008902B1" w:rsidP="000F56AC">
            <w:pPr>
              <w:widowControl w:val="0"/>
              <w:jc w:val="center"/>
              <w:rPr>
                <w:rFonts w:ascii="Arial" w:hAnsi="Arial"/>
                <w:sz w:val="14"/>
              </w:rPr>
            </w:pPr>
            <w:r w:rsidRPr="00E85E82">
              <w:rPr>
                <w:rFonts w:ascii="Arial" w:hAnsi="Arial"/>
                <w:b/>
                <w:sz w:val="14"/>
              </w:rPr>
              <w:t>DECEMBER - DÉCEMBRE</w:t>
            </w:r>
          </w:p>
        </w:tc>
      </w:tr>
      <w:tr w:rsidR="008902B1" w:rsidRPr="00E85E82" w:rsidTr="000F56A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S</w:t>
            </w:r>
          </w:p>
          <w:p w:rsidR="008902B1" w:rsidRPr="00E85E82" w:rsidRDefault="008902B1" w:rsidP="000F56AC">
            <w:pPr>
              <w:widowControl w:val="0"/>
              <w:jc w:val="center"/>
              <w:rPr>
                <w:rFonts w:ascii="Arial" w:hAnsi="Arial"/>
                <w:sz w:val="14"/>
              </w:rPr>
            </w:pPr>
            <w:r w:rsidRPr="00E85E82">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M</w:t>
            </w:r>
          </w:p>
          <w:p w:rsidR="008902B1" w:rsidRPr="00E85E82" w:rsidRDefault="008902B1" w:rsidP="000F56AC">
            <w:pPr>
              <w:widowControl w:val="0"/>
              <w:jc w:val="center"/>
              <w:rPr>
                <w:rFonts w:ascii="Arial" w:hAnsi="Arial"/>
                <w:sz w:val="14"/>
              </w:rPr>
            </w:pPr>
            <w:r w:rsidRPr="00E85E82">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T</w:t>
            </w:r>
          </w:p>
          <w:p w:rsidR="008902B1" w:rsidRPr="00E85E82" w:rsidRDefault="008902B1" w:rsidP="000F56AC">
            <w:pPr>
              <w:widowControl w:val="0"/>
              <w:jc w:val="center"/>
              <w:rPr>
                <w:rFonts w:ascii="Arial" w:hAnsi="Arial"/>
                <w:sz w:val="14"/>
              </w:rPr>
            </w:pPr>
            <w:r w:rsidRPr="00E85E82">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W</w:t>
            </w:r>
          </w:p>
          <w:p w:rsidR="008902B1" w:rsidRPr="00E85E82" w:rsidRDefault="008902B1" w:rsidP="000F56AC">
            <w:pPr>
              <w:widowControl w:val="0"/>
              <w:jc w:val="center"/>
              <w:rPr>
                <w:rFonts w:ascii="Arial" w:hAnsi="Arial"/>
                <w:sz w:val="14"/>
              </w:rPr>
            </w:pPr>
            <w:r w:rsidRPr="00E85E82">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T</w:t>
            </w:r>
          </w:p>
          <w:p w:rsidR="008902B1" w:rsidRPr="00E85E82" w:rsidRDefault="008902B1" w:rsidP="000F56AC">
            <w:pPr>
              <w:widowControl w:val="0"/>
              <w:jc w:val="center"/>
              <w:rPr>
                <w:rFonts w:ascii="Arial" w:hAnsi="Arial"/>
                <w:sz w:val="14"/>
              </w:rPr>
            </w:pPr>
            <w:r w:rsidRPr="00E85E82">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F</w:t>
            </w:r>
          </w:p>
          <w:p w:rsidR="008902B1" w:rsidRPr="00E85E82" w:rsidRDefault="008902B1" w:rsidP="000F56AC">
            <w:pPr>
              <w:widowControl w:val="0"/>
              <w:jc w:val="center"/>
              <w:rPr>
                <w:rFonts w:ascii="Arial" w:hAnsi="Arial"/>
                <w:sz w:val="14"/>
              </w:rPr>
            </w:pPr>
            <w:r w:rsidRPr="00E85E82">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S</w:t>
            </w:r>
          </w:p>
          <w:p w:rsidR="008902B1" w:rsidRPr="00E85E82" w:rsidRDefault="008902B1" w:rsidP="000F56AC">
            <w:pPr>
              <w:widowControl w:val="0"/>
              <w:jc w:val="center"/>
              <w:rPr>
                <w:rFonts w:ascii="Arial" w:hAnsi="Arial"/>
                <w:sz w:val="14"/>
              </w:rPr>
            </w:pPr>
            <w:r w:rsidRPr="00E85E82">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S</w:t>
            </w:r>
          </w:p>
          <w:p w:rsidR="008902B1" w:rsidRPr="00E85E82" w:rsidRDefault="008902B1" w:rsidP="000F56AC">
            <w:pPr>
              <w:widowControl w:val="0"/>
              <w:jc w:val="center"/>
              <w:rPr>
                <w:rFonts w:ascii="Arial" w:hAnsi="Arial"/>
                <w:sz w:val="14"/>
              </w:rPr>
            </w:pPr>
            <w:r w:rsidRPr="00E85E82">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M</w:t>
            </w:r>
          </w:p>
          <w:p w:rsidR="008902B1" w:rsidRPr="00E85E82" w:rsidRDefault="008902B1" w:rsidP="000F56AC">
            <w:pPr>
              <w:widowControl w:val="0"/>
              <w:jc w:val="center"/>
              <w:rPr>
                <w:rFonts w:ascii="Arial" w:hAnsi="Arial"/>
                <w:sz w:val="14"/>
              </w:rPr>
            </w:pPr>
            <w:r w:rsidRPr="00E85E82">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T</w:t>
            </w:r>
          </w:p>
          <w:p w:rsidR="008902B1" w:rsidRPr="00E85E82" w:rsidRDefault="008902B1" w:rsidP="000F56AC">
            <w:pPr>
              <w:widowControl w:val="0"/>
              <w:jc w:val="center"/>
              <w:rPr>
                <w:rFonts w:ascii="Arial" w:hAnsi="Arial"/>
                <w:sz w:val="14"/>
              </w:rPr>
            </w:pPr>
            <w:r w:rsidRPr="00E85E82">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W</w:t>
            </w:r>
          </w:p>
          <w:p w:rsidR="008902B1" w:rsidRPr="00E85E82" w:rsidRDefault="008902B1" w:rsidP="000F56AC">
            <w:pPr>
              <w:widowControl w:val="0"/>
              <w:jc w:val="center"/>
              <w:rPr>
                <w:rFonts w:ascii="Arial" w:hAnsi="Arial"/>
                <w:sz w:val="14"/>
              </w:rPr>
            </w:pPr>
            <w:r w:rsidRPr="00E85E82">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T</w:t>
            </w:r>
          </w:p>
          <w:p w:rsidR="008902B1" w:rsidRPr="00E85E82" w:rsidRDefault="008902B1" w:rsidP="000F56AC">
            <w:pPr>
              <w:widowControl w:val="0"/>
              <w:jc w:val="center"/>
              <w:rPr>
                <w:rFonts w:ascii="Arial" w:hAnsi="Arial"/>
                <w:sz w:val="14"/>
              </w:rPr>
            </w:pPr>
            <w:r w:rsidRPr="00E85E82">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F</w:t>
            </w:r>
          </w:p>
          <w:p w:rsidR="008902B1" w:rsidRPr="00E85E82" w:rsidRDefault="008902B1" w:rsidP="000F56AC">
            <w:pPr>
              <w:widowControl w:val="0"/>
              <w:jc w:val="center"/>
              <w:rPr>
                <w:rFonts w:ascii="Arial" w:hAnsi="Arial"/>
                <w:sz w:val="14"/>
              </w:rPr>
            </w:pPr>
            <w:r w:rsidRPr="00E85E82">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S</w:t>
            </w:r>
          </w:p>
          <w:p w:rsidR="008902B1" w:rsidRPr="00E85E82" w:rsidRDefault="008902B1" w:rsidP="000F56AC">
            <w:pPr>
              <w:widowControl w:val="0"/>
              <w:jc w:val="center"/>
              <w:rPr>
                <w:rFonts w:ascii="Arial" w:hAnsi="Arial"/>
                <w:sz w:val="14"/>
              </w:rPr>
            </w:pPr>
            <w:r w:rsidRPr="00E85E82">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S</w:t>
            </w:r>
          </w:p>
          <w:p w:rsidR="008902B1" w:rsidRPr="00E85E82" w:rsidRDefault="008902B1" w:rsidP="000F56AC">
            <w:pPr>
              <w:widowControl w:val="0"/>
              <w:jc w:val="center"/>
              <w:rPr>
                <w:rFonts w:ascii="Arial" w:hAnsi="Arial"/>
                <w:sz w:val="14"/>
              </w:rPr>
            </w:pPr>
            <w:r w:rsidRPr="00E85E82">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M</w:t>
            </w:r>
          </w:p>
          <w:p w:rsidR="008902B1" w:rsidRPr="00E85E82" w:rsidRDefault="008902B1" w:rsidP="000F56AC">
            <w:pPr>
              <w:widowControl w:val="0"/>
              <w:jc w:val="center"/>
              <w:rPr>
                <w:rFonts w:ascii="Arial" w:hAnsi="Arial"/>
                <w:sz w:val="14"/>
              </w:rPr>
            </w:pPr>
            <w:r w:rsidRPr="00E85E82">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T</w:t>
            </w:r>
          </w:p>
          <w:p w:rsidR="008902B1" w:rsidRPr="00E85E82" w:rsidRDefault="008902B1" w:rsidP="000F56AC">
            <w:pPr>
              <w:widowControl w:val="0"/>
              <w:jc w:val="center"/>
              <w:rPr>
                <w:rFonts w:ascii="Arial" w:hAnsi="Arial"/>
                <w:sz w:val="14"/>
              </w:rPr>
            </w:pPr>
            <w:r w:rsidRPr="00E85E82">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W</w:t>
            </w:r>
          </w:p>
          <w:p w:rsidR="008902B1" w:rsidRPr="00E85E82" w:rsidRDefault="008902B1" w:rsidP="000F56AC">
            <w:pPr>
              <w:widowControl w:val="0"/>
              <w:jc w:val="center"/>
              <w:rPr>
                <w:rFonts w:ascii="Arial" w:hAnsi="Arial"/>
                <w:sz w:val="14"/>
              </w:rPr>
            </w:pPr>
            <w:r w:rsidRPr="00E85E82">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T</w:t>
            </w:r>
          </w:p>
          <w:p w:rsidR="008902B1" w:rsidRPr="00E85E82" w:rsidRDefault="008902B1" w:rsidP="000F56AC">
            <w:pPr>
              <w:widowControl w:val="0"/>
              <w:jc w:val="center"/>
              <w:rPr>
                <w:rFonts w:ascii="Arial" w:hAnsi="Arial"/>
                <w:sz w:val="14"/>
              </w:rPr>
            </w:pPr>
            <w:r w:rsidRPr="00E85E82">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F</w:t>
            </w:r>
          </w:p>
          <w:p w:rsidR="008902B1" w:rsidRPr="00E85E82" w:rsidRDefault="008902B1" w:rsidP="000F56AC">
            <w:pPr>
              <w:widowControl w:val="0"/>
              <w:jc w:val="center"/>
              <w:rPr>
                <w:rFonts w:ascii="Arial" w:hAnsi="Arial"/>
                <w:sz w:val="14"/>
              </w:rPr>
            </w:pPr>
            <w:r w:rsidRPr="00E85E82">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S</w:t>
            </w:r>
          </w:p>
          <w:p w:rsidR="008902B1" w:rsidRPr="00E85E82" w:rsidRDefault="008902B1" w:rsidP="000F56AC">
            <w:pPr>
              <w:widowControl w:val="0"/>
              <w:jc w:val="center"/>
              <w:rPr>
                <w:rFonts w:ascii="Arial" w:hAnsi="Arial"/>
                <w:sz w:val="14"/>
              </w:rPr>
            </w:pPr>
            <w:r w:rsidRPr="00E85E82">
              <w:rPr>
                <w:rFonts w:ascii="Arial" w:hAnsi="Arial"/>
                <w:sz w:val="14"/>
              </w:rPr>
              <w:t>S</w:t>
            </w:r>
          </w:p>
        </w:tc>
      </w:tr>
      <w:tr w:rsidR="008902B1" w:rsidRPr="00E85E82" w:rsidTr="000F56A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b/>
                <w:sz w:val="14"/>
              </w:rPr>
              <w:t>M</w:t>
            </w:r>
          </w:p>
          <w:p w:rsidR="008902B1" w:rsidRPr="00E85E82" w:rsidRDefault="008902B1" w:rsidP="000F56AC">
            <w:pPr>
              <w:widowControl w:val="0"/>
              <w:jc w:val="center"/>
              <w:rPr>
                <w:rFonts w:ascii="Arial" w:hAnsi="Arial"/>
                <w:sz w:val="14"/>
              </w:rPr>
            </w:pPr>
            <w:r w:rsidRPr="00E85E82">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5</w:t>
            </w:r>
          </w:p>
        </w:tc>
      </w:tr>
      <w:tr w:rsidR="008902B1" w:rsidRPr="00E85E82" w:rsidTr="000F56AC">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b/>
                <w:sz w:val="14"/>
              </w:rPr>
            </w:pPr>
            <w:r w:rsidRPr="00E85E82">
              <w:rPr>
                <w:rFonts w:ascii="Arial" w:hAnsi="Arial"/>
                <w:b/>
                <w:sz w:val="14"/>
              </w:rPr>
              <w:t>M</w:t>
            </w:r>
          </w:p>
          <w:p w:rsidR="008902B1" w:rsidRPr="00E85E82" w:rsidRDefault="008902B1" w:rsidP="000F56AC">
            <w:pPr>
              <w:widowControl w:val="0"/>
              <w:jc w:val="center"/>
              <w:rPr>
                <w:rFonts w:ascii="Arial" w:hAnsi="Arial"/>
                <w:sz w:val="14"/>
              </w:rPr>
            </w:pPr>
            <w:r w:rsidRPr="00E85E82">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b/>
                <w:sz w:val="14"/>
              </w:rPr>
            </w:pPr>
          </w:p>
          <w:p w:rsidR="008902B1" w:rsidRPr="00E85E82" w:rsidRDefault="008902B1" w:rsidP="000F56AC">
            <w:pPr>
              <w:widowControl w:val="0"/>
              <w:jc w:val="center"/>
              <w:rPr>
                <w:rFonts w:ascii="Arial" w:hAnsi="Arial"/>
                <w:sz w:val="14"/>
              </w:rPr>
            </w:pPr>
            <w:r w:rsidRPr="00E85E82">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b/>
                <w:sz w:val="14"/>
              </w:rPr>
            </w:pPr>
            <w:r w:rsidRPr="00E85E82">
              <w:rPr>
                <w:rFonts w:ascii="Arial" w:hAnsi="Arial"/>
                <w:b/>
                <w:sz w:val="14"/>
              </w:rPr>
              <w:t>H</w:t>
            </w:r>
          </w:p>
          <w:p w:rsidR="008902B1" w:rsidRPr="00E85E82" w:rsidRDefault="008902B1" w:rsidP="000F56AC">
            <w:pPr>
              <w:widowControl w:val="0"/>
              <w:jc w:val="center"/>
              <w:rPr>
                <w:rFonts w:ascii="Arial" w:hAnsi="Arial"/>
                <w:sz w:val="14"/>
              </w:rPr>
            </w:pPr>
            <w:r w:rsidRPr="00E85E82">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12</w:t>
            </w:r>
          </w:p>
        </w:tc>
      </w:tr>
      <w:tr w:rsidR="008902B1" w:rsidRPr="00E85E82" w:rsidTr="000F56AC">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E85E82" w:rsidRDefault="008902B1" w:rsidP="000F56AC">
            <w:pPr>
              <w:widowControl w:val="0"/>
              <w:jc w:val="center"/>
              <w:rPr>
                <w:rFonts w:ascii="Arial" w:hAnsi="Arial"/>
                <w:b/>
                <w:sz w:val="14"/>
              </w:rPr>
            </w:pPr>
            <w:r w:rsidRPr="00E85E82">
              <w:rPr>
                <w:rFonts w:ascii="Arial" w:hAnsi="Arial"/>
                <w:b/>
                <w:sz w:val="14"/>
              </w:rPr>
              <w:t>H</w:t>
            </w:r>
          </w:p>
          <w:p w:rsidR="008902B1" w:rsidRPr="00E85E82" w:rsidRDefault="008902B1" w:rsidP="000F56AC">
            <w:pPr>
              <w:widowControl w:val="0"/>
              <w:jc w:val="center"/>
              <w:rPr>
                <w:rFonts w:ascii="Arial" w:hAnsi="Arial"/>
                <w:sz w:val="14"/>
              </w:rPr>
            </w:pPr>
            <w:r w:rsidRPr="00E85E82">
              <w:rPr>
                <w:rFonts w:ascii="Arial" w:hAnsi="Arial"/>
                <w:sz w:val="14"/>
              </w:rPr>
              <w:t>12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E85E82" w:rsidRDefault="008902B1" w:rsidP="000F56AC">
            <w:pPr>
              <w:widowControl w:val="0"/>
              <w:jc w:val="center"/>
              <w:rPr>
                <w:rFonts w:ascii="Arial" w:hAnsi="Arial"/>
                <w:b/>
                <w:sz w:val="14"/>
              </w:rPr>
            </w:pPr>
          </w:p>
          <w:p w:rsidR="008902B1" w:rsidRPr="00E85E82" w:rsidRDefault="008902B1" w:rsidP="000F56AC">
            <w:pPr>
              <w:widowControl w:val="0"/>
              <w:jc w:val="center"/>
              <w:rPr>
                <w:rFonts w:ascii="Arial" w:hAnsi="Arial"/>
                <w:sz w:val="14"/>
              </w:rPr>
            </w:pPr>
            <w:r w:rsidRPr="00E85E82">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19</w:t>
            </w:r>
          </w:p>
        </w:tc>
      </w:tr>
      <w:tr w:rsidR="008902B1" w:rsidRPr="00E85E82" w:rsidTr="000F56A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b/>
                <w:sz w:val="14"/>
              </w:rPr>
            </w:pPr>
          </w:p>
          <w:p w:rsidR="008902B1" w:rsidRPr="00E85E82" w:rsidRDefault="008902B1" w:rsidP="000F56AC">
            <w:pPr>
              <w:widowControl w:val="0"/>
              <w:jc w:val="center"/>
              <w:rPr>
                <w:rFonts w:ascii="Arial" w:hAnsi="Arial"/>
                <w:sz w:val="14"/>
              </w:rPr>
            </w:pPr>
            <w:r w:rsidRPr="00E85E82">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b/>
                <w:sz w:val="14"/>
              </w:rPr>
            </w:pPr>
          </w:p>
          <w:p w:rsidR="008902B1" w:rsidRPr="00E85E82" w:rsidRDefault="008902B1" w:rsidP="000F56AC">
            <w:pPr>
              <w:widowControl w:val="0"/>
              <w:jc w:val="center"/>
              <w:rPr>
                <w:rFonts w:ascii="Arial" w:hAnsi="Arial"/>
                <w:sz w:val="14"/>
              </w:rPr>
            </w:pPr>
            <w:r w:rsidRPr="00E85E82">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b/>
                <w:sz w:val="14"/>
              </w:rPr>
            </w:pPr>
            <w:r w:rsidRPr="00E85E82">
              <w:rPr>
                <w:rFonts w:ascii="Arial" w:hAnsi="Arial"/>
                <w:b/>
                <w:sz w:val="14"/>
              </w:rPr>
              <w:t>H</w:t>
            </w:r>
          </w:p>
          <w:p w:rsidR="008902B1" w:rsidRPr="00E85E82" w:rsidRDefault="008902B1" w:rsidP="000F56AC">
            <w:pPr>
              <w:widowControl w:val="0"/>
              <w:jc w:val="center"/>
              <w:rPr>
                <w:rFonts w:ascii="Arial" w:hAnsi="Arial"/>
                <w:sz w:val="14"/>
              </w:rPr>
            </w:pPr>
            <w:r w:rsidRPr="00E85E82">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26</w:t>
            </w:r>
          </w:p>
        </w:tc>
      </w:tr>
      <w:tr w:rsidR="008902B1" w:rsidRPr="00E85E82" w:rsidTr="000F56AC">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b/>
                <w:sz w:val="14"/>
              </w:rPr>
            </w:pPr>
            <w:r w:rsidRPr="00E85E82">
              <w:rPr>
                <w:rFonts w:ascii="Arial" w:hAnsi="Arial"/>
                <w:b/>
                <w:sz w:val="14"/>
              </w:rPr>
              <w:t>M</w:t>
            </w:r>
          </w:p>
          <w:p w:rsidR="008902B1" w:rsidRPr="00E85E82" w:rsidRDefault="008902B1" w:rsidP="000F56AC">
            <w:pPr>
              <w:widowControl w:val="0"/>
              <w:jc w:val="center"/>
              <w:rPr>
                <w:rFonts w:ascii="Arial" w:hAnsi="Arial"/>
                <w:sz w:val="14"/>
              </w:rPr>
            </w:pPr>
            <w:r w:rsidRPr="00E85E82">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b/>
                <w:sz w:val="14"/>
              </w:rPr>
            </w:pPr>
            <w:r w:rsidRPr="00E85E82">
              <w:rPr>
                <w:rFonts w:ascii="Arial" w:hAnsi="Arial"/>
                <w:b/>
                <w:sz w:val="14"/>
              </w:rPr>
              <w:t>H</w:t>
            </w:r>
          </w:p>
          <w:p w:rsidR="008902B1" w:rsidRPr="00E85E82" w:rsidRDefault="008902B1" w:rsidP="000F56AC">
            <w:pPr>
              <w:widowControl w:val="0"/>
              <w:jc w:val="center"/>
              <w:rPr>
                <w:rFonts w:ascii="Arial" w:hAnsi="Arial"/>
                <w:sz w:val="14"/>
              </w:rPr>
            </w:pPr>
            <w:r w:rsidRPr="00E85E82">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r>
    </w:tbl>
    <w:p w:rsidR="008902B1" w:rsidRPr="00E85E82" w:rsidRDefault="008902B1" w:rsidP="008902B1">
      <w:pPr>
        <w:widowControl w:val="0"/>
        <w:tabs>
          <w:tab w:val="center" w:pos="5400"/>
        </w:tabs>
        <w:rPr>
          <w:rFonts w:ascii="Arial" w:hAnsi="Arial"/>
          <w:sz w:val="16"/>
        </w:rPr>
      </w:pPr>
      <w:r w:rsidRPr="00E85E82">
        <w:rPr>
          <w:rFonts w:ascii="Arial" w:hAnsi="Arial"/>
          <w:sz w:val="18"/>
        </w:rPr>
        <w:tab/>
      </w:r>
      <w:r w:rsidRPr="00E85E82">
        <w:rPr>
          <w:rFonts w:ascii="Arial" w:hAnsi="Arial"/>
          <w:i/>
          <w:sz w:val="36"/>
        </w:rPr>
        <w:t xml:space="preserve">- </w:t>
      </w:r>
      <w:r w:rsidRPr="00E85E82">
        <w:rPr>
          <w:rFonts w:ascii="Arial" w:hAnsi="Arial"/>
          <w:b/>
          <w:i/>
          <w:sz w:val="36"/>
        </w:rPr>
        <w:t>2016</w:t>
      </w:r>
      <w:r w:rsidRPr="00E85E82">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E85E82" w:rsidTr="000F56AC">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E85E82" w:rsidRDefault="008902B1" w:rsidP="000F56AC">
            <w:pPr>
              <w:widowControl w:val="0"/>
              <w:jc w:val="center"/>
              <w:rPr>
                <w:rFonts w:ascii="Arial" w:hAnsi="Arial"/>
                <w:sz w:val="14"/>
              </w:rPr>
            </w:pPr>
            <w:r w:rsidRPr="00E85E82">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E85E82" w:rsidRDefault="008902B1" w:rsidP="000F56AC">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E85E82" w:rsidRDefault="008902B1" w:rsidP="000F56AC">
            <w:pPr>
              <w:widowControl w:val="0"/>
              <w:jc w:val="center"/>
              <w:rPr>
                <w:rFonts w:ascii="Arial" w:hAnsi="Arial"/>
                <w:sz w:val="14"/>
              </w:rPr>
            </w:pPr>
            <w:r w:rsidRPr="00E85E82">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E85E82" w:rsidRDefault="008902B1" w:rsidP="000F56AC">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E85E82" w:rsidRDefault="008902B1" w:rsidP="000F56AC">
            <w:pPr>
              <w:widowControl w:val="0"/>
              <w:jc w:val="center"/>
              <w:rPr>
                <w:rFonts w:ascii="Arial" w:hAnsi="Arial"/>
                <w:sz w:val="14"/>
              </w:rPr>
            </w:pPr>
            <w:r w:rsidRPr="00E85E82">
              <w:rPr>
                <w:rFonts w:ascii="Arial" w:hAnsi="Arial"/>
                <w:b/>
                <w:sz w:val="14"/>
              </w:rPr>
              <w:t>MARCH - MARS</w:t>
            </w:r>
          </w:p>
        </w:tc>
      </w:tr>
      <w:tr w:rsidR="008902B1" w:rsidRPr="00E85E82" w:rsidTr="000F56AC">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S</w:t>
            </w:r>
          </w:p>
          <w:p w:rsidR="008902B1" w:rsidRPr="00E85E82" w:rsidRDefault="008902B1" w:rsidP="000F56AC">
            <w:pPr>
              <w:widowControl w:val="0"/>
              <w:jc w:val="center"/>
              <w:rPr>
                <w:rFonts w:ascii="Arial" w:hAnsi="Arial"/>
                <w:sz w:val="14"/>
              </w:rPr>
            </w:pPr>
            <w:r w:rsidRPr="00E85E82">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M</w:t>
            </w:r>
          </w:p>
          <w:p w:rsidR="008902B1" w:rsidRPr="00E85E82" w:rsidRDefault="008902B1" w:rsidP="000F56AC">
            <w:pPr>
              <w:widowControl w:val="0"/>
              <w:jc w:val="center"/>
              <w:rPr>
                <w:rFonts w:ascii="Arial" w:hAnsi="Arial"/>
                <w:sz w:val="14"/>
              </w:rPr>
            </w:pPr>
            <w:r w:rsidRPr="00E85E82">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T</w:t>
            </w:r>
          </w:p>
          <w:p w:rsidR="008902B1" w:rsidRPr="00E85E82" w:rsidRDefault="008902B1" w:rsidP="000F56AC">
            <w:pPr>
              <w:widowControl w:val="0"/>
              <w:jc w:val="center"/>
              <w:rPr>
                <w:rFonts w:ascii="Arial" w:hAnsi="Arial"/>
                <w:sz w:val="14"/>
              </w:rPr>
            </w:pPr>
            <w:r w:rsidRPr="00E85E82">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W</w:t>
            </w:r>
          </w:p>
          <w:p w:rsidR="008902B1" w:rsidRPr="00E85E82" w:rsidRDefault="008902B1" w:rsidP="000F56AC">
            <w:pPr>
              <w:widowControl w:val="0"/>
              <w:jc w:val="center"/>
              <w:rPr>
                <w:rFonts w:ascii="Arial" w:hAnsi="Arial"/>
                <w:sz w:val="14"/>
              </w:rPr>
            </w:pPr>
            <w:r w:rsidRPr="00E85E82">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T</w:t>
            </w:r>
          </w:p>
          <w:p w:rsidR="008902B1" w:rsidRPr="00E85E82" w:rsidRDefault="008902B1" w:rsidP="000F56AC">
            <w:pPr>
              <w:widowControl w:val="0"/>
              <w:jc w:val="center"/>
              <w:rPr>
                <w:rFonts w:ascii="Arial" w:hAnsi="Arial"/>
                <w:sz w:val="14"/>
              </w:rPr>
            </w:pPr>
            <w:r w:rsidRPr="00E85E82">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F</w:t>
            </w:r>
          </w:p>
          <w:p w:rsidR="008902B1" w:rsidRPr="00E85E82" w:rsidRDefault="008902B1" w:rsidP="000F56AC">
            <w:pPr>
              <w:widowControl w:val="0"/>
              <w:jc w:val="center"/>
              <w:rPr>
                <w:rFonts w:ascii="Arial" w:hAnsi="Arial"/>
                <w:sz w:val="14"/>
              </w:rPr>
            </w:pPr>
            <w:r w:rsidRPr="00E85E82">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S</w:t>
            </w:r>
          </w:p>
          <w:p w:rsidR="008902B1" w:rsidRPr="00E85E82" w:rsidRDefault="008902B1" w:rsidP="000F56AC">
            <w:pPr>
              <w:widowControl w:val="0"/>
              <w:jc w:val="center"/>
              <w:rPr>
                <w:rFonts w:ascii="Arial" w:hAnsi="Arial"/>
                <w:sz w:val="14"/>
              </w:rPr>
            </w:pPr>
            <w:r w:rsidRPr="00E85E82">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S</w:t>
            </w:r>
          </w:p>
          <w:p w:rsidR="008902B1" w:rsidRPr="00E85E82" w:rsidRDefault="008902B1" w:rsidP="000F56AC">
            <w:pPr>
              <w:widowControl w:val="0"/>
              <w:jc w:val="center"/>
              <w:rPr>
                <w:rFonts w:ascii="Arial" w:hAnsi="Arial"/>
                <w:sz w:val="14"/>
              </w:rPr>
            </w:pPr>
            <w:r w:rsidRPr="00E85E82">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M</w:t>
            </w:r>
          </w:p>
          <w:p w:rsidR="008902B1" w:rsidRPr="00E85E82" w:rsidRDefault="008902B1" w:rsidP="000F56AC">
            <w:pPr>
              <w:widowControl w:val="0"/>
              <w:jc w:val="center"/>
              <w:rPr>
                <w:rFonts w:ascii="Arial" w:hAnsi="Arial"/>
                <w:sz w:val="14"/>
              </w:rPr>
            </w:pPr>
            <w:r w:rsidRPr="00E85E82">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T</w:t>
            </w:r>
          </w:p>
          <w:p w:rsidR="008902B1" w:rsidRPr="00E85E82" w:rsidRDefault="008902B1" w:rsidP="000F56AC">
            <w:pPr>
              <w:widowControl w:val="0"/>
              <w:jc w:val="center"/>
              <w:rPr>
                <w:rFonts w:ascii="Arial" w:hAnsi="Arial"/>
                <w:sz w:val="14"/>
              </w:rPr>
            </w:pPr>
            <w:r w:rsidRPr="00E85E82">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W</w:t>
            </w:r>
          </w:p>
          <w:p w:rsidR="008902B1" w:rsidRPr="00E85E82" w:rsidRDefault="008902B1" w:rsidP="000F56AC">
            <w:pPr>
              <w:widowControl w:val="0"/>
              <w:jc w:val="center"/>
              <w:rPr>
                <w:rFonts w:ascii="Arial" w:hAnsi="Arial"/>
                <w:sz w:val="14"/>
              </w:rPr>
            </w:pPr>
            <w:r w:rsidRPr="00E85E82">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T</w:t>
            </w:r>
          </w:p>
          <w:p w:rsidR="008902B1" w:rsidRPr="00E85E82" w:rsidRDefault="008902B1" w:rsidP="000F56AC">
            <w:pPr>
              <w:widowControl w:val="0"/>
              <w:jc w:val="center"/>
              <w:rPr>
                <w:rFonts w:ascii="Arial" w:hAnsi="Arial"/>
                <w:sz w:val="14"/>
              </w:rPr>
            </w:pPr>
            <w:r w:rsidRPr="00E85E82">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F</w:t>
            </w:r>
          </w:p>
          <w:p w:rsidR="008902B1" w:rsidRPr="00E85E82" w:rsidRDefault="008902B1" w:rsidP="000F56AC">
            <w:pPr>
              <w:widowControl w:val="0"/>
              <w:jc w:val="center"/>
              <w:rPr>
                <w:rFonts w:ascii="Arial" w:hAnsi="Arial"/>
                <w:sz w:val="14"/>
              </w:rPr>
            </w:pPr>
            <w:r w:rsidRPr="00E85E82">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S</w:t>
            </w:r>
          </w:p>
          <w:p w:rsidR="008902B1" w:rsidRPr="00E85E82" w:rsidRDefault="008902B1" w:rsidP="000F56AC">
            <w:pPr>
              <w:widowControl w:val="0"/>
              <w:jc w:val="center"/>
              <w:rPr>
                <w:rFonts w:ascii="Arial" w:hAnsi="Arial"/>
                <w:sz w:val="14"/>
              </w:rPr>
            </w:pPr>
            <w:r w:rsidRPr="00E85E82">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S</w:t>
            </w:r>
          </w:p>
          <w:p w:rsidR="008902B1" w:rsidRPr="00E85E82" w:rsidRDefault="008902B1" w:rsidP="000F56AC">
            <w:pPr>
              <w:widowControl w:val="0"/>
              <w:jc w:val="center"/>
              <w:rPr>
                <w:rFonts w:ascii="Arial" w:hAnsi="Arial"/>
                <w:sz w:val="14"/>
              </w:rPr>
            </w:pPr>
            <w:r w:rsidRPr="00E85E82">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M</w:t>
            </w:r>
          </w:p>
          <w:p w:rsidR="008902B1" w:rsidRPr="00E85E82" w:rsidRDefault="008902B1" w:rsidP="000F56AC">
            <w:pPr>
              <w:widowControl w:val="0"/>
              <w:jc w:val="center"/>
              <w:rPr>
                <w:rFonts w:ascii="Arial" w:hAnsi="Arial"/>
                <w:sz w:val="14"/>
              </w:rPr>
            </w:pPr>
            <w:r w:rsidRPr="00E85E82">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T</w:t>
            </w:r>
          </w:p>
          <w:p w:rsidR="008902B1" w:rsidRPr="00E85E82" w:rsidRDefault="008902B1" w:rsidP="000F56AC">
            <w:pPr>
              <w:widowControl w:val="0"/>
              <w:jc w:val="center"/>
              <w:rPr>
                <w:rFonts w:ascii="Arial" w:hAnsi="Arial"/>
                <w:sz w:val="14"/>
              </w:rPr>
            </w:pPr>
            <w:r w:rsidRPr="00E85E82">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W</w:t>
            </w:r>
          </w:p>
          <w:p w:rsidR="008902B1" w:rsidRPr="00E85E82" w:rsidRDefault="008902B1" w:rsidP="000F56AC">
            <w:pPr>
              <w:widowControl w:val="0"/>
              <w:jc w:val="center"/>
              <w:rPr>
                <w:rFonts w:ascii="Arial" w:hAnsi="Arial"/>
                <w:sz w:val="14"/>
              </w:rPr>
            </w:pPr>
            <w:r w:rsidRPr="00E85E82">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T</w:t>
            </w:r>
          </w:p>
          <w:p w:rsidR="008902B1" w:rsidRPr="00E85E82" w:rsidRDefault="008902B1" w:rsidP="000F56AC">
            <w:pPr>
              <w:widowControl w:val="0"/>
              <w:jc w:val="center"/>
              <w:rPr>
                <w:rFonts w:ascii="Arial" w:hAnsi="Arial"/>
                <w:sz w:val="14"/>
              </w:rPr>
            </w:pPr>
            <w:r w:rsidRPr="00E85E82">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F</w:t>
            </w:r>
          </w:p>
          <w:p w:rsidR="008902B1" w:rsidRPr="00E85E82" w:rsidRDefault="008902B1" w:rsidP="000F56AC">
            <w:pPr>
              <w:widowControl w:val="0"/>
              <w:jc w:val="center"/>
              <w:rPr>
                <w:rFonts w:ascii="Arial" w:hAnsi="Arial"/>
                <w:sz w:val="14"/>
              </w:rPr>
            </w:pPr>
            <w:r w:rsidRPr="00E85E82">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S</w:t>
            </w:r>
          </w:p>
          <w:p w:rsidR="008902B1" w:rsidRPr="00E85E82" w:rsidRDefault="008902B1" w:rsidP="000F56AC">
            <w:pPr>
              <w:widowControl w:val="0"/>
              <w:jc w:val="center"/>
              <w:rPr>
                <w:rFonts w:ascii="Arial" w:hAnsi="Arial"/>
                <w:sz w:val="14"/>
              </w:rPr>
            </w:pPr>
            <w:r w:rsidRPr="00E85E82">
              <w:rPr>
                <w:rFonts w:ascii="Arial" w:hAnsi="Arial"/>
                <w:sz w:val="14"/>
              </w:rPr>
              <w:t>S</w:t>
            </w:r>
          </w:p>
        </w:tc>
      </w:tr>
      <w:tr w:rsidR="008902B1" w:rsidRPr="00E85E82" w:rsidTr="000F56A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b/>
                <w:sz w:val="14"/>
              </w:rPr>
            </w:pPr>
          </w:p>
          <w:p w:rsidR="008902B1" w:rsidRPr="00E85E82" w:rsidRDefault="008902B1" w:rsidP="000F56AC">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b/>
                <w:sz w:val="14"/>
              </w:rPr>
            </w:pPr>
          </w:p>
          <w:p w:rsidR="008902B1" w:rsidRPr="00E85E82" w:rsidRDefault="008902B1" w:rsidP="000F56AC">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b/>
                <w:sz w:val="14"/>
              </w:rPr>
            </w:pPr>
          </w:p>
          <w:p w:rsidR="008902B1" w:rsidRPr="00E85E82" w:rsidRDefault="008902B1" w:rsidP="000F56AC">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b/>
                <w:sz w:val="14"/>
              </w:rPr>
            </w:pPr>
            <w:r w:rsidRPr="00E85E82">
              <w:rPr>
                <w:rFonts w:ascii="Arial" w:hAnsi="Arial"/>
                <w:b/>
                <w:sz w:val="14"/>
              </w:rPr>
              <w:t>H</w:t>
            </w:r>
          </w:p>
          <w:p w:rsidR="008902B1" w:rsidRPr="00E85E82" w:rsidRDefault="008902B1" w:rsidP="000F56AC">
            <w:pPr>
              <w:widowControl w:val="0"/>
              <w:jc w:val="center"/>
              <w:rPr>
                <w:rFonts w:ascii="Arial" w:hAnsi="Arial"/>
                <w:sz w:val="14"/>
              </w:rPr>
            </w:pPr>
            <w:r w:rsidRPr="00E85E82">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5</w:t>
            </w:r>
          </w:p>
        </w:tc>
      </w:tr>
      <w:tr w:rsidR="008902B1" w:rsidRPr="00E85E82" w:rsidTr="000F56A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12</w:t>
            </w:r>
          </w:p>
        </w:tc>
      </w:tr>
      <w:tr w:rsidR="008902B1" w:rsidRPr="00E85E82" w:rsidTr="000F56AC">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b/>
                <w:sz w:val="14"/>
              </w:rPr>
            </w:pPr>
            <w:r w:rsidRPr="00E85E82">
              <w:rPr>
                <w:rFonts w:ascii="Arial" w:hAnsi="Arial"/>
                <w:b/>
                <w:sz w:val="14"/>
              </w:rPr>
              <w:t>M</w:t>
            </w:r>
          </w:p>
          <w:p w:rsidR="008902B1" w:rsidRPr="00E85E82" w:rsidRDefault="008902B1" w:rsidP="000F56AC">
            <w:pPr>
              <w:widowControl w:val="0"/>
              <w:jc w:val="center"/>
              <w:rPr>
                <w:rFonts w:ascii="Arial" w:hAnsi="Arial"/>
                <w:sz w:val="14"/>
              </w:rPr>
            </w:pPr>
            <w:r w:rsidRPr="00E85E82">
              <w:rPr>
                <w:rFonts w:ascii="Arial" w:hAnsi="Arial"/>
                <w:sz w:val="14"/>
              </w:rPr>
              <w:t>11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b/>
                <w:sz w:val="14"/>
              </w:rPr>
            </w:pPr>
            <w:r w:rsidRPr="00E85E82">
              <w:rPr>
                <w:rFonts w:ascii="Arial" w:hAnsi="Arial"/>
                <w:b/>
                <w:sz w:val="14"/>
              </w:rPr>
              <w:t>M</w:t>
            </w:r>
          </w:p>
          <w:p w:rsidR="008902B1" w:rsidRPr="00E85E82" w:rsidRDefault="008902B1" w:rsidP="000F56AC">
            <w:pPr>
              <w:widowControl w:val="0"/>
              <w:jc w:val="center"/>
              <w:rPr>
                <w:rFonts w:ascii="Arial" w:hAnsi="Arial"/>
                <w:sz w:val="14"/>
              </w:rPr>
            </w:pPr>
            <w:r w:rsidRPr="00E85E82">
              <w:rPr>
                <w:rFonts w:ascii="Arial" w:hAnsi="Arial"/>
                <w:sz w:val="14"/>
              </w:rPr>
              <w:t>15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19</w:t>
            </w:r>
          </w:p>
        </w:tc>
      </w:tr>
      <w:tr w:rsidR="008902B1" w:rsidRPr="00E85E82" w:rsidTr="000F56A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b/>
                <w:sz w:val="14"/>
              </w:rPr>
            </w:pPr>
            <w:r w:rsidRPr="00E85E82">
              <w:rPr>
                <w:rFonts w:ascii="Arial" w:hAnsi="Arial"/>
                <w:b/>
                <w:sz w:val="14"/>
              </w:rPr>
              <w:t>M</w:t>
            </w:r>
          </w:p>
          <w:p w:rsidR="008902B1" w:rsidRPr="00E85E82" w:rsidRDefault="008902B1" w:rsidP="000F56AC">
            <w:pPr>
              <w:widowControl w:val="0"/>
              <w:jc w:val="center"/>
              <w:rPr>
                <w:rFonts w:ascii="Arial" w:hAnsi="Arial"/>
                <w:sz w:val="14"/>
              </w:rPr>
            </w:pPr>
            <w:r w:rsidRPr="00E85E82">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E85E82" w:rsidRDefault="008902B1" w:rsidP="000F56AC">
            <w:pPr>
              <w:widowControl w:val="0"/>
              <w:jc w:val="center"/>
              <w:rPr>
                <w:rFonts w:ascii="Arial" w:hAnsi="Arial"/>
                <w:b/>
                <w:sz w:val="14"/>
              </w:rPr>
            </w:pPr>
            <w:r w:rsidRPr="00E85E82">
              <w:rPr>
                <w:rFonts w:ascii="Arial" w:hAnsi="Arial"/>
                <w:b/>
                <w:sz w:val="14"/>
              </w:rPr>
              <w:t>H</w:t>
            </w:r>
          </w:p>
          <w:p w:rsidR="008902B1" w:rsidRPr="00E85E82" w:rsidRDefault="008902B1" w:rsidP="000F56AC">
            <w:pPr>
              <w:widowControl w:val="0"/>
              <w:jc w:val="center"/>
              <w:rPr>
                <w:rFonts w:ascii="Arial" w:hAnsi="Arial"/>
                <w:sz w:val="14"/>
              </w:rPr>
            </w:pPr>
            <w:r w:rsidRPr="00E85E82">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26</w:t>
            </w:r>
          </w:p>
        </w:tc>
      </w:tr>
      <w:tr w:rsidR="008902B1" w:rsidRPr="00E85E82" w:rsidTr="000F56AC">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rPr>
                <w:rFonts w:ascii="Arial" w:hAnsi="Arial"/>
                <w:sz w:val="14"/>
              </w:rPr>
            </w:pPr>
            <w:r w:rsidRPr="00E85E82">
              <w:rPr>
                <w:rFonts w:ascii="Arial" w:hAnsi="Arial"/>
                <w:sz w:val="14"/>
              </w:rPr>
              <w:t xml:space="preserve"> 24</w:t>
            </w:r>
          </w:p>
          <w:p w:rsidR="008902B1" w:rsidRPr="00E85E82" w:rsidRDefault="008902B1" w:rsidP="000F56AC">
            <w:pPr>
              <w:widowControl w:val="0"/>
              <w:jc w:val="center"/>
              <w:rPr>
                <w:rFonts w:ascii="Arial" w:hAnsi="Arial"/>
                <w:sz w:val="14"/>
              </w:rPr>
            </w:pPr>
            <w:r w:rsidRPr="00E85E82">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E85E82" w:rsidRDefault="008902B1" w:rsidP="000F56AC">
            <w:pPr>
              <w:widowControl w:val="0"/>
              <w:jc w:val="center"/>
              <w:rPr>
                <w:rFonts w:ascii="Arial" w:hAnsi="Arial"/>
                <w:b/>
                <w:sz w:val="14"/>
              </w:rPr>
            </w:pPr>
            <w:r w:rsidRPr="00E85E82">
              <w:rPr>
                <w:rFonts w:ascii="Arial" w:hAnsi="Arial"/>
                <w:b/>
                <w:sz w:val="14"/>
              </w:rPr>
              <w:t>H</w:t>
            </w:r>
          </w:p>
          <w:p w:rsidR="008902B1" w:rsidRPr="00E85E82" w:rsidRDefault="008902B1" w:rsidP="000F56AC">
            <w:pPr>
              <w:widowControl w:val="0"/>
              <w:jc w:val="center"/>
              <w:rPr>
                <w:rFonts w:ascii="Arial" w:hAnsi="Arial"/>
                <w:sz w:val="14"/>
              </w:rPr>
            </w:pPr>
            <w:r w:rsidRPr="00E85E82">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E85E82" w:rsidRDefault="008902B1" w:rsidP="000F56AC">
            <w:pPr>
              <w:widowControl w:val="0"/>
              <w:jc w:val="center"/>
              <w:rPr>
                <w:rFonts w:ascii="Arial" w:hAnsi="Arial"/>
                <w:b/>
                <w:sz w:val="14"/>
              </w:rPr>
            </w:pPr>
          </w:p>
          <w:p w:rsidR="008902B1" w:rsidRPr="00E85E82" w:rsidRDefault="008902B1" w:rsidP="000F56A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r>
    </w:tbl>
    <w:p w:rsidR="008902B1" w:rsidRPr="00E85E82"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E85E82" w:rsidTr="000F56AC">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E85E82" w:rsidRDefault="008902B1" w:rsidP="000F56AC">
            <w:pPr>
              <w:widowControl w:val="0"/>
              <w:jc w:val="center"/>
              <w:rPr>
                <w:rFonts w:ascii="Arial" w:hAnsi="Arial"/>
                <w:sz w:val="14"/>
              </w:rPr>
            </w:pPr>
            <w:r w:rsidRPr="00E85E82">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E85E82" w:rsidRDefault="008902B1" w:rsidP="000F56AC">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E85E82" w:rsidRDefault="008902B1" w:rsidP="000F56AC">
            <w:pPr>
              <w:widowControl w:val="0"/>
              <w:jc w:val="center"/>
              <w:rPr>
                <w:rFonts w:ascii="Arial" w:hAnsi="Arial"/>
                <w:sz w:val="14"/>
              </w:rPr>
            </w:pPr>
            <w:r w:rsidRPr="00E85E82">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E85E82" w:rsidRDefault="008902B1" w:rsidP="000F56AC">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E85E82" w:rsidRDefault="008902B1" w:rsidP="000F56AC">
            <w:pPr>
              <w:widowControl w:val="0"/>
              <w:jc w:val="center"/>
              <w:rPr>
                <w:rFonts w:ascii="Arial" w:hAnsi="Arial"/>
                <w:sz w:val="14"/>
              </w:rPr>
            </w:pPr>
            <w:r w:rsidRPr="00E85E82">
              <w:rPr>
                <w:rFonts w:ascii="Arial" w:hAnsi="Arial"/>
                <w:b/>
                <w:sz w:val="14"/>
              </w:rPr>
              <w:t>JUNE - JUIN</w:t>
            </w:r>
          </w:p>
        </w:tc>
      </w:tr>
      <w:tr w:rsidR="008902B1" w:rsidRPr="00E85E82" w:rsidTr="000F56AC">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S</w:t>
            </w:r>
          </w:p>
          <w:p w:rsidR="008902B1" w:rsidRPr="00E85E82" w:rsidRDefault="008902B1" w:rsidP="000F56AC">
            <w:pPr>
              <w:widowControl w:val="0"/>
              <w:jc w:val="center"/>
              <w:rPr>
                <w:rFonts w:ascii="Arial" w:hAnsi="Arial"/>
                <w:sz w:val="14"/>
              </w:rPr>
            </w:pPr>
            <w:r w:rsidRPr="00E85E82">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M</w:t>
            </w:r>
          </w:p>
          <w:p w:rsidR="008902B1" w:rsidRPr="00E85E82" w:rsidRDefault="008902B1" w:rsidP="000F56AC">
            <w:pPr>
              <w:widowControl w:val="0"/>
              <w:jc w:val="center"/>
              <w:rPr>
                <w:rFonts w:ascii="Arial" w:hAnsi="Arial"/>
                <w:sz w:val="14"/>
              </w:rPr>
            </w:pPr>
            <w:r w:rsidRPr="00E85E82">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T</w:t>
            </w:r>
          </w:p>
          <w:p w:rsidR="008902B1" w:rsidRPr="00E85E82" w:rsidRDefault="008902B1" w:rsidP="000F56AC">
            <w:pPr>
              <w:widowControl w:val="0"/>
              <w:jc w:val="center"/>
              <w:rPr>
                <w:rFonts w:ascii="Arial" w:hAnsi="Arial"/>
                <w:sz w:val="14"/>
              </w:rPr>
            </w:pPr>
            <w:r w:rsidRPr="00E85E82">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W</w:t>
            </w:r>
          </w:p>
          <w:p w:rsidR="008902B1" w:rsidRPr="00E85E82" w:rsidRDefault="008902B1" w:rsidP="000F56AC">
            <w:pPr>
              <w:widowControl w:val="0"/>
              <w:jc w:val="center"/>
              <w:rPr>
                <w:rFonts w:ascii="Arial" w:hAnsi="Arial"/>
                <w:sz w:val="14"/>
              </w:rPr>
            </w:pPr>
            <w:r w:rsidRPr="00E85E82">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T</w:t>
            </w:r>
          </w:p>
          <w:p w:rsidR="008902B1" w:rsidRPr="00E85E82" w:rsidRDefault="008902B1" w:rsidP="000F56AC">
            <w:pPr>
              <w:widowControl w:val="0"/>
              <w:jc w:val="center"/>
              <w:rPr>
                <w:rFonts w:ascii="Arial" w:hAnsi="Arial"/>
                <w:sz w:val="14"/>
              </w:rPr>
            </w:pPr>
            <w:r w:rsidRPr="00E85E82">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F</w:t>
            </w:r>
          </w:p>
          <w:p w:rsidR="008902B1" w:rsidRPr="00E85E82" w:rsidRDefault="008902B1" w:rsidP="000F56AC">
            <w:pPr>
              <w:widowControl w:val="0"/>
              <w:jc w:val="center"/>
              <w:rPr>
                <w:rFonts w:ascii="Arial" w:hAnsi="Arial"/>
                <w:sz w:val="14"/>
              </w:rPr>
            </w:pPr>
            <w:r w:rsidRPr="00E85E82">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S</w:t>
            </w:r>
          </w:p>
          <w:p w:rsidR="008902B1" w:rsidRPr="00E85E82" w:rsidRDefault="008902B1" w:rsidP="000F56AC">
            <w:pPr>
              <w:widowControl w:val="0"/>
              <w:jc w:val="center"/>
              <w:rPr>
                <w:rFonts w:ascii="Arial" w:hAnsi="Arial"/>
                <w:sz w:val="14"/>
              </w:rPr>
            </w:pPr>
            <w:r w:rsidRPr="00E85E82">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S</w:t>
            </w:r>
          </w:p>
          <w:p w:rsidR="008902B1" w:rsidRPr="00E85E82" w:rsidRDefault="008902B1" w:rsidP="000F56AC">
            <w:pPr>
              <w:widowControl w:val="0"/>
              <w:jc w:val="center"/>
              <w:rPr>
                <w:rFonts w:ascii="Arial" w:hAnsi="Arial"/>
                <w:sz w:val="14"/>
              </w:rPr>
            </w:pPr>
            <w:r w:rsidRPr="00E85E82">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M</w:t>
            </w:r>
          </w:p>
          <w:p w:rsidR="008902B1" w:rsidRPr="00E85E82" w:rsidRDefault="008902B1" w:rsidP="000F56AC">
            <w:pPr>
              <w:widowControl w:val="0"/>
              <w:jc w:val="center"/>
              <w:rPr>
                <w:rFonts w:ascii="Arial" w:hAnsi="Arial"/>
                <w:sz w:val="14"/>
              </w:rPr>
            </w:pPr>
            <w:r w:rsidRPr="00E85E82">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T</w:t>
            </w:r>
          </w:p>
          <w:p w:rsidR="008902B1" w:rsidRPr="00E85E82" w:rsidRDefault="008902B1" w:rsidP="000F56AC">
            <w:pPr>
              <w:widowControl w:val="0"/>
              <w:jc w:val="center"/>
              <w:rPr>
                <w:rFonts w:ascii="Arial" w:hAnsi="Arial"/>
                <w:sz w:val="14"/>
              </w:rPr>
            </w:pPr>
            <w:r w:rsidRPr="00E85E82">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W</w:t>
            </w:r>
          </w:p>
          <w:p w:rsidR="008902B1" w:rsidRPr="00E85E82" w:rsidRDefault="008902B1" w:rsidP="000F56AC">
            <w:pPr>
              <w:widowControl w:val="0"/>
              <w:jc w:val="center"/>
              <w:rPr>
                <w:rFonts w:ascii="Arial" w:hAnsi="Arial"/>
                <w:sz w:val="14"/>
              </w:rPr>
            </w:pPr>
            <w:r w:rsidRPr="00E85E82">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T</w:t>
            </w:r>
          </w:p>
          <w:p w:rsidR="008902B1" w:rsidRPr="00E85E82" w:rsidRDefault="008902B1" w:rsidP="000F56AC">
            <w:pPr>
              <w:widowControl w:val="0"/>
              <w:jc w:val="center"/>
              <w:rPr>
                <w:rFonts w:ascii="Arial" w:hAnsi="Arial"/>
                <w:sz w:val="14"/>
              </w:rPr>
            </w:pPr>
            <w:r w:rsidRPr="00E85E82">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F</w:t>
            </w:r>
          </w:p>
          <w:p w:rsidR="008902B1" w:rsidRPr="00E85E82" w:rsidRDefault="008902B1" w:rsidP="000F56AC">
            <w:pPr>
              <w:widowControl w:val="0"/>
              <w:jc w:val="center"/>
              <w:rPr>
                <w:rFonts w:ascii="Arial" w:hAnsi="Arial"/>
                <w:sz w:val="14"/>
              </w:rPr>
            </w:pPr>
            <w:r w:rsidRPr="00E85E82">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S</w:t>
            </w:r>
          </w:p>
          <w:p w:rsidR="008902B1" w:rsidRPr="00E85E82" w:rsidRDefault="008902B1" w:rsidP="000F56AC">
            <w:pPr>
              <w:widowControl w:val="0"/>
              <w:jc w:val="center"/>
              <w:rPr>
                <w:rFonts w:ascii="Arial" w:hAnsi="Arial"/>
                <w:sz w:val="14"/>
              </w:rPr>
            </w:pPr>
            <w:r w:rsidRPr="00E85E82">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S</w:t>
            </w:r>
          </w:p>
          <w:p w:rsidR="008902B1" w:rsidRPr="00E85E82" w:rsidRDefault="008902B1" w:rsidP="000F56AC">
            <w:pPr>
              <w:widowControl w:val="0"/>
              <w:jc w:val="center"/>
              <w:rPr>
                <w:rFonts w:ascii="Arial" w:hAnsi="Arial"/>
                <w:sz w:val="14"/>
              </w:rPr>
            </w:pPr>
            <w:r w:rsidRPr="00E85E82">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M</w:t>
            </w:r>
          </w:p>
          <w:p w:rsidR="008902B1" w:rsidRPr="00E85E82" w:rsidRDefault="008902B1" w:rsidP="000F56AC">
            <w:pPr>
              <w:widowControl w:val="0"/>
              <w:jc w:val="center"/>
              <w:rPr>
                <w:rFonts w:ascii="Arial" w:hAnsi="Arial"/>
                <w:sz w:val="14"/>
              </w:rPr>
            </w:pPr>
            <w:r w:rsidRPr="00E85E82">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T</w:t>
            </w:r>
          </w:p>
          <w:p w:rsidR="008902B1" w:rsidRPr="00E85E82" w:rsidRDefault="008902B1" w:rsidP="000F56AC">
            <w:pPr>
              <w:widowControl w:val="0"/>
              <w:jc w:val="center"/>
              <w:rPr>
                <w:rFonts w:ascii="Arial" w:hAnsi="Arial"/>
                <w:sz w:val="14"/>
              </w:rPr>
            </w:pPr>
            <w:r w:rsidRPr="00E85E82">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W</w:t>
            </w:r>
          </w:p>
          <w:p w:rsidR="008902B1" w:rsidRPr="00E85E82" w:rsidRDefault="008902B1" w:rsidP="000F56AC">
            <w:pPr>
              <w:widowControl w:val="0"/>
              <w:jc w:val="center"/>
              <w:rPr>
                <w:rFonts w:ascii="Arial" w:hAnsi="Arial"/>
                <w:sz w:val="14"/>
              </w:rPr>
            </w:pPr>
            <w:r w:rsidRPr="00E85E82">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T</w:t>
            </w:r>
          </w:p>
          <w:p w:rsidR="008902B1" w:rsidRPr="00E85E82" w:rsidRDefault="008902B1" w:rsidP="000F56AC">
            <w:pPr>
              <w:widowControl w:val="0"/>
              <w:jc w:val="center"/>
              <w:rPr>
                <w:rFonts w:ascii="Arial" w:hAnsi="Arial"/>
                <w:sz w:val="14"/>
              </w:rPr>
            </w:pPr>
            <w:r w:rsidRPr="00E85E82">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F</w:t>
            </w:r>
          </w:p>
          <w:p w:rsidR="008902B1" w:rsidRPr="00E85E82" w:rsidRDefault="008902B1" w:rsidP="000F56AC">
            <w:pPr>
              <w:widowControl w:val="0"/>
              <w:jc w:val="center"/>
              <w:rPr>
                <w:rFonts w:ascii="Arial" w:hAnsi="Arial"/>
                <w:sz w:val="14"/>
              </w:rPr>
            </w:pPr>
            <w:r w:rsidRPr="00E85E82">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r w:rsidRPr="00E85E82">
              <w:rPr>
                <w:rFonts w:ascii="Arial" w:hAnsi="Arial"/>
                <w:sz w:val="14"/>
              </w:rPr>
              <w:t>S</w:t>
            </w:r>
          </w:p>
          <w:p w:rsidR="008902B1" w:rsidRPr="00E85E82" w:rsidRDefault="008902B1" w:rsidP="000F56AC">
            <w:pPr>
              <w:widowControl w:val="0"/>
              <w:jc w:val="center"/>
              <w:rPr>
                <w:rFonts w:ascii="Arial" w:hAnsi="Arial"/>
                <w:sz w:val="14"/>
              </w:rPr>
            </w:pPr>
            <w:r w:rsidRPr="00E85E82">
              <w:rPr>
                <w:rFonts w:ascii="Arial" w:hAnsi="Arial"/>
                <w:sz w:val="14"/>
              </w:rPr>
              <w:t>S</w:t>
            </w:r>
          </w:p>
        </w:tc>
      </w:tr>
      <w:tr w:rsidR="008902B1" w:rsidRPr="00E85E82" w:rsidTr="000F56AC">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b/>
                <w:sz w:val="14"/>
              </w:rPr>
            </w:pPr>
          </w:p>
          <w:p w:rsidR="008902B1" w:rsidRPr="00E85E82" w:rsidRDefault="008902B1" w:rsidP="000F56AC">
            <w:pPr>
              <w:widowControl w:val="0"/>
              <w:jc w:val="center"/>
              <w:rPr>
                <w:rFonts w:ascii="Arial" w:hAnsi="Arial"/>
                <w:sz w:val="14"/>
              </w:rPr>
            </w:pPr>
            <w:r w:rsidRPr="00E85E82">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4</w:t>
            </w:r>
          </w:p>
        </w:tc>
      </w:tr>
      <w:tr w:rsidR="008902B1" w:rsidRPr="00E85E82" w:rsidTr="000F56A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11</w:t>
            </w:r>
          </w:p>
        </w:tc>
      </w:tr>
      <w:tr w:rsidR="008902B1" w:rsidRPr="00E85E82" w:rsidTr="000F56AC">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E85E82" w:rsidRDefault="008902B1" w:rsidP="000F56AC">
            <w:pPr>
              <w:widowControl w:val="0"/>
              <w:jc w:val="center"/>
              <w:rPr>
                <w:rFonts w:ascii="Arial" w:hAnsi="Arial"/>
                <w:b/>
                <w:sz w:val="14"/>
              </w:rPr>
            </w:pPr>
          </w:p>
          <w:p w:rsidR="008902B1" w:rsidRPr="00E85E82" w:rsidRDefault="008902B1" w:rsidP="000F56AC">
            <w:pPr>
              <w:widowControl w:val="0"/>
              <w:jc w:val="center"/>
              <w:rPr>
                <w:rFonts w:ascii="Arial" w:hAnsi="Arial"/>
                <w:sz w:val="14"/>
              </w:rPr>
            </w:pPr>
            <w:r w:rsidRPr="00E85E82">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b/>
                <w:sz w:val="14"/>
              </w:rPr>
            </w:pPr>
            <w:r w:rsidRPr="00E85E82">
              <w:rPr>
                <w:rFonts w:ascii="Arial" w:hAnsi="Arial"/>
                <w:b/>
                <w:sz w:val="14"/>
              </w:rPr>
              <w:t>M</w:t>
            </w:r>
          </w:p>
          <w:p w:rsidR="008902B1" w:rsidRPr="00E85E82" w:rsidRDefault="008902B1" w:rsidP="000F56AC">
            <w:pPr>
              <w:widowControl w:val="0"/>
              <w:jc w:val="center"/>
              <w:rPr>
                <w:rFonts w:ascii="Arial" w:hAnsi="Arial"/>
                <w:sz w:val="14"/>
              </w:rPr>
            </w:pPr>
            <w:r w:rsidRPr="00E85E82">
              <w:rPr>
                <w:rFonts w:ascii="Arial" w:hAnsi="Arial"/>
                <w:sz w:val="14"/>
              </w:rPr>
              <w:t>16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b/>
                <w:sz w:val="14"/>
              </w:rPr>
            </w:pPr>
            <w:r w:rsidRPr="00E85E82">
              <w:rPr>
                <w:rFonts w:ascii="Arial" w:hAnsi="Arial"/>
                <w:b/>
                <w:sz w:val="14"/>
              </w:rPr>
              <w:t>M</w:t>
            </w:r>
          </w:p>
          <w:p w:rsidR="008902B1" w:rsidRPr="00E85E82" w:rsidRDefault="008902B1" w:rsidP="000F56AC">
            <w:pPr>
              <w:widowControl w:val="0"/>
              <w:jc w:val="center"/>
              <w:rPr>
                <w:rFonts w:ascii="Arial" w:hAnsi="Arial"/>
                <w:sz w:val="14"/>
              </w:rPr>
            </w:pPr>
            <w:r w:rsidRPr="00E85E82">
              <w:rPr>
                <w:rFonts w:ascii="Arial" w:hAnsi="Arial"/>
                <w:sz w:val="14"/>
              </w:rPr>
              <w:t>13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18</w:t>
            </w:r>
          </w:p>
        </w:tc>
      </w:tr>
      <w:tr w:rsidR="008902B1" w:rsidRPr="00E85E82" w:rsidTr="000F56AC">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E85E82" w:rsidRDefault="008902B1" w:rsidP="000F56AC">
            <w:pPr>
              <w:widowControl w:val="0"/>
              <w:jc w:val="center"/>
              <w:rPr>
                <w:rFonts w:ascii="Arial" w:hAnsi="Arial"/>
                <w:b/>
                <w:sz w:val="14"/>
              </w:rPr>
            </w:pPr>
            <w:r w:rsidRPr="00E85E82">
              <w:rPr>
                <w:rFonts w:ascii="Arial" w:hAnsi="Arial"/>
                <w:b/>
                <w:sz w:val="14"/>
              </w:rPr>
              <w:t>M</w:t>
            </w:r>
          </w:p>
          <w:p w:rsidR="008902B1" w:rsidRPr="00E85E82" w:rsidRDefault="008902B1" w:rsidP="000F56AC">
            <w:pPr>
              <w:widowControl w:val="0"/>
              <w:jc w:val="center"/>
              <w:rPr>
                <w:rFonts w:ascii="Arial" w:hAnsi="Arial"/>
                <w:sz w:val="14"/>
              </w:rPr>
            </w:pPr>
            <w:r w:rsidRPr="00E85E82">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E85E82" w:rsidRDefault="008902B1" w:rsidP="000F56AC">
            <w:pPr>
              <w:widowControl w:val="0"/>
              <w:jc w:val="center"/>
              <w:rPr>
                <w:rFonts w:ascii="Arial" w:hAnsi="Arial"/>
                <w:b/>
                <w:sz w:val="14"/>
              </w:rPr>
            </w:pPr>
            <w:r w:rsidRPr="00E85E82">
              <w:rPr>
                <w:rFonts w:ascii="Arial" w:hAnsi="Arial"/>
                <w:b/>
                <w:sz w:val="14"/>
              </w:rPr>
              <w:t>H</w:t>
            </w:r>
          </w:p>
          <w:p w:rsidR="008902B1" w:rsidRPr="00E85E82" w:rsidRDefault="008902B1" w:rsidP="000F56AC">
            <w:pPr>
              <w:widowControl w:val="0"/>
              <w:jc w:val="center"/>
              <w:rPr>
                <w:rFonts w:ascii="Arial" w:hAnsi="Arial"/>
                <w:sz w:val="14"/>
              </w:rPr>
            </w:pPr>
            <w:r w:rsidRPr="00E85E82">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25</w:t>
            </w:r>
          </w:p>
        </w:tc>
      </w:tr>
      <w:tr w:rsidR="008902B1" w:rsidRPr="00E85E82" w:rsidTr="000F56AC">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r w:rsidRPr="00E85E82">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E85E82" w:rsidRDefault="008902B1" w:rsidP="000F56AC">
            <w:pPr>
              <w:widowControl w:val="0"/>
              <w:jc w:val="center"/>
              <w:rPr>
                <w:rFonts w:ascii="Arial" w:hAnsi="Arial"/>
                <w:sz w:val="14"/>
              </w:rPr>
            </w:pPr>
          </w:p>
          <w:p w:rsidR="008902B1" w:rsidRPr="00E85E82" w:rsidRDefault="008902B1" w:rsidP="000F56AC">
            <w:pPr>
              <w:widowControl w:val="0"/>
              <w:jc w:val="center"/>
              <w:rPr>
                <w:rFonts w:ascii="Arial" w:hAnsi="Arial"/>
                <w:sz w:val="14"/>
              </w:rPr>
            </w:pPr>
          </w:p>
        </w:tc>
      </w:tr>
    </w:tbl>
    <w:p w:rsidR="008902B1" w:rsidRPr="00E85E82"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E85E82" w:rsidTr="000F56AC">
        <w:trPr>
          <w:cantSplit/>
        </w:trPr>
        <w:tc>
          <w:tcPr>
            <w:tcW w:w="1710" w:type="dxa"/>
            <w:tcBorders>
              <w:top w:val="nil"/>
              <w:left w:val="nil"/>
              <w:bottom w:val="nil"/>
              <w:right w:val="nil"/>
            </w:tcBorders>
            <w:tcMar>
              <w:top w:w="43" w:type="dxa"/>
              <w:left w:w="120" w:type="dxa"/>
              <w:bottom w:w="29" w:type="dxa"/>
              <w:right w:w="120" w:type="dxa"/>
            </w:tcMar>
          </w:tcPr>
          <w:p w:rsidR="008902B1" w:rsidRPr="00E85E82" w:rsidRDefault="008902B1" w:rsidP="000F56AC">
            <w:pPr>
              <w:widowControl w:val="0"/>
              <w:rPr>
                <w:rFonts w:ascii="Arial" w:hAnsi="Arial"/>
                <w:sz w:val="16"/>
              </w:rPr>
            </w:pPr>
            <w:r w:rsidRPr="00E85E82">
              <w:rPr>
                <w:rFonts w:ascii="Arial" w:hAnsi="Arial"/>
                <w:sz w:val="16"/>
              </w:rPr>
              <w:t>Sittings of the court:</w:t>
            </w:r>
          </w:p>
          <w:p w:rsidR="008902B1" w:rsidRPr="00E85E82" w:rsidRDefault="008902B1" w:rsidP="000F56AC">
            <w:pPr>
              <w:widowControl w:val="0"/>
              <w:rPr>
                <w:rFonts w:ascii="Arial" w:hAnsi="Arial"/>
                <w:sz w:val="16"/>
              </w:rPr>
            </w:pPr>
            <w:r w:rsidRPr="00E85E82">
              <w:rPr>
                <w:rFonts w:ascii="Arial" w:hAnsi="Arial"/>
                <w:sz w:val="16"/>
              </w:rPr>
              <w:t xml:space="preserve">Séances de la </w:t>
            </w:r>
            <w:proofErr w:type="spellStart"/>
            <w:r w:rsidRPr="00E85E82">
              <w:rPr>
                <w:rFonts w:ascii="Arial" w:hAnsi="Arial"/>
                <w:sz w:val="16"/>
              </w:rPr>
              <w:t>cour</w:t>
            </w:r>
            <w:proofErr w:type="spellEnd"/>
            <w:r w:rsidRPr="00E85E82">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E85E82" w:rsidRDefault="008902B1" w:rsidP="000F56AC">
            <w:pPr>
              <w:widowControl w:val="0"/>
              <w:rPr>
                <w:rFonts w:ascii="Arial" w:hAnsi="Arial"/>
                <w:sz w:val="16"/>
              </w:rPr>
            </w:pPr>
          </w:p>
          <w:p w:rsidR="008902B1" w:rsidRPr="00E85E82" w:rsidRDefault="008902B1" w:rsidP="000F56AC">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E85E82" w:rsidRDefault="008902B1" w:rsidP="000F5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E85E82">
              <w:rPr>
                <w:rFonts w:ascii="Arial" w:hAnsi="Arial"/>
                <w:b/>
                <w:sz w:val="16"/>
              </w:rPr>
              <w:tab/>
            </w:r>
            <w:r w:rsidRPr="00E85E82">
              <w:rPr>
                <w:rFonts w:ascii="Arial" w:hAnsi="Arial"/>
                <w:b/>
                <w:sz w:val="16"/>
                <w:lang w:val="fr-CA"/>
              </w:rPr>
              <w:t xml:space="preserve">18  </w:t>
            </w:r>
            <w:proofErr w:type="spellStart"/>
            <w:r w:rsidRPr="00E85E82">
              <w:rPr>
                <w:rFonts w:ascii="Arial" w:hAnsi="Arial"/>
                <w:b/>
                <w:sz w:val="16"/>
                <w:lang w:val="fr-CA"/>
              </w:rPr>
              <w:t>sitting</w:t>
            </w:r>
            <w:proofErr w:type="spellEnd"/>
            <w:r w:rsidRPr="00E85E82">
              <w:rPr>
                <w:rFonts w:ascii="Arial" w:hAnsi="Arial"/>
                <w:b/>
                <w:sz w:val="16"/>
                <w:lang w:val="fr-CA"/>
              </w:rPr>
              <w:t xml:space="preserve"> </w:t>
            </w:r>
            <w:proofErr w:type="spellStart"/>
            <w:r w:rsidRPr="00E85E82">
              <w:rPr>
                <w:rFonts w:ascii="Arial" w:hAnsi="Arial"/>
                <w:b/>
                <w:sz w:val="16"/>
                <w:lang w:val="fr-CA"/>
              </w:rPr>
              <w:t>weeks</w:t>
            </w:r>
            <w:proofErr w:type="spellEnd"/>
            <w:r w:rsidRPr="00E85E82">
              <w:rPr>
                <w:rFonts w:ascii="Arial" w:hAnsi="Arial"/>
                <w:b/>
                <w:sz w:val="16"/>
                <w:lang w:val="fr-CA"/>
              </w:rPr>
              <w:t xml:space="preserve"> / semaines séances de la cour</w:t>
            </w:r>
          </w:p>
          <w:p w:rsidR="008902B1" w:rsidRPr="00E85E82" w:rsidRDefault="008902B1" w:rsidP="000F5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E85E82">
              <w:rPr>
                <w:rFonts w:ascii="Arial" w:hAnsi="Arial"/>
                <w:b/>
                <w:sz w:val="16"/>
                <w:lang w:val="fr-CA"/>
              </w:rPr>
              <w:tab/>
              <w:t xml:space="preserve">85  </w:t>
            </w:r>
            <w:proofErr w:type="spellStart"/>
            <w:r w:rsidRPr="00E85E82">
              <w:rPr>
                <w:rFonts w:ascii="Arial" w:hAnsi="Arial"/>
                <w:b/>
                <w:sz w:val="16"/>
                <w:lang w:val="fr-CA"/>
              </w:rPr>
              <w:t>sitting</w:t>
            </w:r>
            <w:proofErr w:type="spellEnd"/>
            <w:r w:rsidRPr="00E85E82">
              <w:rPr>
                <w:rFonts w:ascii="Arial" w:hAnsi="Arial"/>
                <w:b/>
                <w:sz w:val="16"/>
                <w:lang w:val="fr-CA"/>
              </w:rPr>
              <w:t xml:space="preserve"> </w:t>
            </w:r>
            <w:proofErr w:type="spellStart"/>
            <w:r w:rsidRPr="00E85E82">
              <w:rPr>
                <w:rFonts w:ascii="Arial" w:hAnsi="Arial"/>
                <w:b/>
                <w:sz w:val="16"/>
                <w:lang w:val="fr-CA"/>
              </w:rPr>
              <w:t>days</w:t>
            </w:r>
            <w:proofErr w:type="spellEnd"/>
            <w:r w:rsidRPr="00E85E82">
              <w:rPr>
                <w:rFonts w:ascii="Arial" w:hAnsi="Arial"/>
                <w:b/>
                <w:sz w:val="16"/>
                <w:lang w:val="fr-CA"/>
              </w:rPr>
              <w:t xml:space="preserve"> / journées séances de la cour</w:t>
            </w:r>
          </w:p>
          <w:p w:rsidR="008902B1" w:rsidRPr="00E85E82" w:rsidRDefault="008902B1" w:rsidP="000F5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E85E82">
              <w:rPr>
                <w:rFonts w:ascii="Arial" w:hAnsi="Arial"/>
                <w:b/>
                <w:sz w:val="16"/>
                <w:lang w:val="fr-CA"/>
              </w:rPr>
              <w:tab/>
              <w:t xml:space="preserve">9    motion and </w:t>
            </w:r>
            <w:proofErr w:type="spellStart"/>
            <w:r w:rsidRPr="00E85E82">
              <w:rPr>
                <w:rFonts w:ascii="Arial" w:hAnsi="Arial"/>
                <w:b/>
                <w:sz w:val="16"/>
                <w:lang w:val="fr-CA"/>
              </w:rPr>
              <w:t>conference</w:t>
            </w:r>
            <w:proofErr w:type="spellEnd"/>
            <w:r w:rsidRPr="00E85E82">
              <w:rPr>
                <w:rFonts w:ascii="Arial" w:hAnsi="Arial"/>
                <w:b/>
                <w:sz w:val="16"/>
                <w:lang w:val="fr-CA"/>
              </w:rPr>
              <w:t xml:space="preserve"> </w:t>
            </w:r>
            <w:proofErr w:type="spellStart"/>
            <w:r w:rsidRPr="00E85E82">
              <w:rPr>
                <w:rFonts w:ascii="Arial" w:hAnsi="Arial"/>
                <w:b/>
                <w:sz w:val="16"/>
                <w:lang w:val="fr-CA"/>
              </w:rPr>
              <w:t>days</w:t>
            </w:r>
            <w:proofErr w:type="spellEnd"/>
            <w:r w:rsidRPr="00E85E82">
              <w:rPr>
                <w:rFonts w:ascii="Arial" w:hAnsi="Arial"/>
                <w:b/>
                <w:sz w:val="16"/>
                <w:lang w:val="fr-CA"/>
              </w:rPr>
              <w:t xml:space="preserve"> / journées des requêtes et des conférences</w:t>
            </w:r>
          </w:p>
          <w:p w:rsidR="008902B1" w:rsidRPr="00E85E82" w:rsidRDefault="008902B1" w:rsidP="000F5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E85E82">
              <w:rPr>
                <w:rFonts w:ascii="Arial" w:hAnsi="Arial"/>
                <w:b/>
                <w:sz w:val="16"/>
                <w:lang w:val="fr-CA"/>
              </w:rPr>
              <w:tab/>
              <w:t>5</w:t>
            </w:r>
            <w:r w:rsidRPr="00E85E82">
              <w:rPr>
                <w:rFonts w:ascii="Arial" w:hAnsi="Arial"/>
                <w:b/>
                <w:sz w:val="16"/>
              </w:rPr>
              <w:t xml:space="preserve">    holidays during sitting days / </w:t>
            </w:r>
            <w:proofErr w:type="spellStart"/>
            <w:r w:rsidRPr="00E85E82">
              <w:rPr>
                <w:rFonts w:ascii="Arial" w:hAnsi="Arial"/>
                <w:b/>
                <w:sz w:val="16"/>
              </w:rPr>
              <w:t>jours</w:t>
            </w:r>
            <w:proofErr w:type="spellEnd"/>
            <w:r w:rsidRPr="00E85E82">
              <w:rPr>
                <w:rFonts w:ascii="Arial" w:hAnsi="Arial"/>
                <w:b/>
                <w:sz w:val="16"/>
              </w:rPr>
              <w:t xml:space="preserve"> </w:t>
            </w:r>
            <w:proofErr w:type="spellStart"/>
            <w:r w:rsidRPr="00E85E82">
              <w:rPr>
                <w:rFonts w:ascii="Arial" w:hAnsi="Arial"/>
                <w:b/>
                <w:sz w:val="16"/>
              </w:rPr>
              <w:t>fériés</w:t>
            </w:r>
            <w:proofErr w:type="spellEnd"/>
            <w:r w:rsidRPr="00E85E82">
              <w:rPr>
                <w:rFonts w:ascii="Arial" w:hAnsi="Arial"/>
                <w:b/>
                <w:sz w:val="16"/>
              </w:rPr>
              <w:t xml:space="preserve"> </w:t>
            </w:r>
            <w:proofErr w:type="spellStart"/>
            <w:r w:rsidRPr="00E85E82">
              <w:rPr>
                <w:rFonts w:ascii="Arial" w:hAnsi="Arial"/>
                <w:b/>
                <w:sz w:val="16"/>
              </w:rPr>
              <w:t>durant</w:t>
            </w:r>
            <w:proofErr w:type="spellEnd"/>
            <w:r w:rsidRPr="00E85E82">
              <w:rPr>
                <w:rFonts w:ascii="Arial" w:hAnsi="Arial"/>
                <w:b/>
                <w:sz w:val="16"/>
              </w:rPr>
              <w:t xml:space="preserve"> les sessions</w:t>
            </w:r>
          </w:p>
          <w:p w:rsidR="008902B1" w:rsidRPr="00E85E82" w:rsidRDefault="008902B1" w:rsidP="000F5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E85E82" w:rsidTr="000F56A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E85E82" w:rsidRDefault="008902B1" w:rsidP="000F5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E85E82">
              <w:rPr>
                <w:rFonts w:ascii="Arial" w:hAnsi="Arial"/>
                <w:sz w:val="16"/>
              </w:rPr>
              <w:t>Motions:</w:t>
            </w:r>
          </w:p>
          <w:p w:rsidR="008902B1" w:rsidRPr="00E85E82" w:rsidRDefault="008902B1" w:rsidP="000F5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E85E82">
              <w:rPr>
                <w:rFonts w:ascii="Arial" w:hAnsi="Arial"/>
                <w:sz w:val="16"/>
              </w:rPr>
              <w:t>Requêtes</w:t>
            </w:r>
            <w:proofErr w:type="spellEnd"/>
            <w:r w:rsidRPr="00E85E82">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E85E82" w:rsidRDefault="008902B1" w:rsidP="000F5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E85E82">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E85E82" w:rsidRDefault="008902B1" w:rsidP="000F5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0F56A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E85E82" w:rsidRDefault="008902B1" w:rsidP="000F5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E85E82">
              <w:rPr>
                <w:rFonts w:ascii="Arial" w:hAnsi="Arial"/>
                <w:sz w:val="16"/>
              </w:rPr>
              <w:t>Holidays:</w:t>
            </w:r>
          </w:p>
          <w:p w:rsidR="008902B1" w:rsidRPr="00E85E82" w:rsidRDefault="008902B1" w:rsidP="000F5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E85E82">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0F56AC">
            <w:pPr>
              <w:widowControl w:val="0"/>
              <w:tabs>
                <w:tab w:val="center" w:pos="150"/>
              </w:tabs>
              <w:rPr>
                <w:rFonts w:ascii="Arial" w:hAnsi="Arial"/>
                <w:sz w:val="16"/>
              </w:rPr>
            </w:pPr>
            <w:r w:rsidRPr="00E85E82">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0F56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02"/>
      <w:footerReference w:type="default" r:id="rId10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57F" w:rsidRDefault="00BA157F" w:rsidP="00A87207">
      <w:r>
        <w:separator/>
      </w:r>
    </w:p>
  </w:endnote>
  <w:endnote w:type="continuationSeparator" w:id="0">
    <w:p w:rsidR="00BA157F" w:rsidRDefault="00BA157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A157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407D6">
    <w:pPr>
      <w:pStyle w:val="Footer"/>
      <w:rPr>
        <w:lang w:val="fr-CA"/>
      </w:rPr>
    </w:pPr>
    <w:r>
      <w:rPr>
        <w:lang w:val="fr-CA"/>
      </w:rPr>
      <w:pict>
        <v:rect id="_x0000_i1082" style="width:480.95pt;height:1pt" o:hralign="center" o:hrstd="t" o:hrnoshade="t" o:hr="t" fillcolor="black [3213]" stroked="f"/>
      </w:pict>
    </w:r>
  </w:p>
  <w:p w:rsidR="00BA157F" w:rsidRDefault="00BA157F" w:rsidP="00245129">
    <w:pPr>
      <w:tabs>
        <w:tab w:val="center" w:pos="4680"/>
      </w:tabs>
    </w:pPr>
    <w:r>
      <w:tab/>
    </w:r>
    <w:r w:rsidRPr="0009648D">
      <w:t xml:space="preserve">- </w:t>
    </w:r>
    <w:r>
      <w:fldChar w:fldCharType="begin"/>
    </w:r>
    <w:r>
      <w:instrText xml:space="preserve"> PAGE   \* MERGEFORMAT </w:instrText>
    </w:r>
    <w:r>
      <w:fldChar w:fldCharType="separate"/>
    </w:r>
    <w:r w:rsidR="00B407D6">
      <w:rPr>
        <w:noProof/>
      </w:rPr>
      <w:t>926</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A1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A157F" w:rsidRDefault="00BA1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157F" w:rsidRDefault="00BA157F">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407D6" w:rsidP="00755F22">
    <w:pPr>
      <w:tabs>
        <w:tab w:val="left" w:pos="-1440"/>
        <w:tab w:val="left" w:pos="-720"/>
      </w:tabs>
    </w:pPr>
    <w:r>
      <w:pict>
        <v:rect id="_x0000_i1086" style="width:480.95pt;height:1pt" o:hralign="center" o:hrstd="t" o:hrnoshade="t" o:hr="t" fillcolor="black [3213]" stroked="f"/>
      </w:pict>
    </w:r>
  </w:p>
  <w:p w:rsidR="00BA157F" w:rsidRDefault="00BA157F" w:rsidP="00EB2B90">
    <w:pPr>
      <w:tabs>
        <w:tab w:val="center" w:pos="4680"/>
      </w:tabs>
    </w:pPr>
    <w:r>
      <w:tab/>
      <w:t xml:space="preserve">- </w:t>
    </w:r>
    <w:r>
      <w:fldChar w:fldCharType="begin"/>
    </w:r>
    <w:r>
      <w:instrText xml:space="preserve"> PAGE   \* MERGEFORMAT </w:instrText>
    </w:r>
    <w:r>
      <w:fldChar w:fldCharType="separate"/>
    </w:r>
    <w:r w:rsidR="00B407D6">
      <w:rPr>
        <w:noProof/>
      </w:rPr>
      <w:t>956</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407D6" w:rsidP="00EB2B90">
    <w:pPr>
      <w:tabs>
        <w:tab w:val="center" w:pos="4680"/>
      </w:tabs>
    </w:pPr>
    <w:r>
      <w:pict>
        <v:rect id="_x0000_i1087" style="width:480.95pt;height:1pt" o:hralign="center" o:hrstd="t" o:hrnoshade="t" o:hr="t" fillcolor="black [3213]" stroked="f"/>
      </w:pict>
    </w:r>
  </w:p>
  <w:p w:rsidR="00BA157F" w:rsidRPr="0031432F" w:rsidRDefault="00BA157F" w:rsidP="00EB2B90">
    <w:pPr>
      <w:tabs>
        <w:tab w:val="center" w:pos="4680"/>
      </w:tabs>
    </w:pPr>
    <w:r>
      <w:tab/>
      <w:t xml:space="preserve">- </w:t>
    </w:r>
    <w:r>
      <w:fldChar w:fldCharType="begin"/>
    </w:r>
    <w:r>
      <w:instrText xml:space="preserve"> PAGE   \* MERGEFORMAT </w:instrText>
    </w:r>
    <w:r>
      <w:fldChar w:fldCharType="separate"/>
    </w:r>
    <w:r w:rsidR="00B407D6">
      <w:rPr>
        <w:noProof/>
      </w:rPr>
      <w:t>954</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A1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A157F" w:rsidRDefault="00BA1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157F" w:rsidRDefault="00BA157F">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40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9" style="width:480.95pt;height:1pt" o:hralign="center" o:hrstd="t" o:hrnoshade="t" o:hr="t" fillcolor="black [3213]" stroked="f"/>
      </w:pict>
    </w:r>
  </w:p>
  <w:p w:rsidR="00BA157F" w:rsidRDefault="00BA157F"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407D6">
    <w:pPr>
      <w:pStyle w:val="Footer"/>
      <w:rPr>
        <w:lang w:val="fr-CA"/>
      </w:rPr>
    </w:pPr>
    <w:r>
      <w:rPr>
        <w:lang w:val="fr-CA"/>
      </w:rPr>
      <w:pict>
        <v:rect id="_x0000_i1090" style="width:480.95pt;height:1pt" o:hralign="center" o:hrstd="t" o:hrnoshade="t" o:hr="t" fillcolor="black [3213]" stroked="f"/>
      </w:pict>
    </w:r>
  </w:p>
  <w:p w:rsidR="00BA157F" w:rsidRDefault="00BA157F" w:rsidP="00EB2B90">
    <w:pPr>
      <w:tabs>
        <w:tab w:val="center" w:pos="4680"/>
      </w:tabs>
    </w:pPr>
    <w:r>
      <w:tab/>
      <w:t xml:space="preserve">- </w:t>
    </w:r>
    <w:r>
      <w:fldChar w:fldCharType="begin"/>
    </w:r>
    <w:r>
      <w:instrText xml:space="preserve"> PAGE   \* MERGEFORMAT </w:instrText>
    </w:r>
    <w:r>
      <w:fldChar w:fldCharType="separate"/>
    </w:r>
    <w:r w:rsidR="00B407D6">
      <w:rPr>
        <w:noProof/>
      </w:rPr>
      <w:t>957</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A1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A157F" w:rsidRDefault="00BA1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157F" w:rsidRDefault="00BA157F">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407D6" w:rsidP="00732DB7">
    <w:r>
      <w:pict>
        <v:rect id="_x0000_i1093" style="width:480.95pt;height:1pt" o:hralign="center" o:hrstd="t" o:hrnoshade="t" o:hr="t" fillcolor="black" stroked="f"/>
      </w:pict>
    </w:r>
  </w:p>
  <w:p w:rsidR="00BA157F" w:rsidRDefault="00BA157F">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407D6">
    <w:pPr>
      <w:pStyle w:val="Footer"/>
    </w:pPr>
    <w:r>
      <w:pict>
        <v:rect id="_x0000_i1094" style="width:480.95pt;height:1pt" o:hralign="center" o:hrstd="t" o:hrnoshade="t" o:hr="t" fillcolor="black [3213]" stroked="f"/>
      </w:pict>
    </w:r>
  </w:p>
  <w:p w:rsidR="00BA157F" w:rsidRPr="003C2C0F" w:rsidRDefault="00BA157F" w:rsidP="00697C62">
    <w:pPr>
      <w:tabs>
        <w:tab w:val="center" w:pos="4680"/>
      </w:tabs>
    </w:pPr>
    <w:r>
      <w:tab/>
      <w:t xml:space="preserve">- </w:t>
    </w:r>
    <w:r>
      <w:fldChar w:fldCharType="begin"/>
    </w:r>
    <w:r>
      <w:instrText xml:space="preserve"> PAGE   \* MERGEFORMAT </w:instrText>
    </w:r>
    <w:r>
      <w:fldChar w:fldCharType="separate"/>
    </w:r>
    <w:r w:rsidR="00B407D6">
      <w:rPr>
        <w:noProof/>
      </w:rPr>
      <w:t>958</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A157F">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A1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A157F" w:rsidRDefault="00BA1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157F" w:rsidRDefault="00BA157F">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A1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A157F" w:rsidRDefault="00B40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9" style="width:480.95pt;height:1pt" o:hralign="center" o:hrstd="t" o:hrnoshade="t" o:hr="t" fillcolor="black [3213]" stroked="f"/>
      </w:pict>
    </w:r>
  </w:p>
  <w:p w:rsidR="00BA157F" w:rsidRDefault="00BA157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407D6">
      <w:rPr>
        <w:noProof/>
        <w:szCs w:val="24"/>
      </w:rPr>
      <w:t>974</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407D6" w:rsidP="00782AE4">
    <w:pPr>
      <w:tabs>
        <w:tab w:val="center" w:pos="4680"/>
      </w:tabs>
    </w:pPr>
    <w:r>
      <w:pict>
        <v:rect id="_x0000_i1100" style="width:480.95pt;height:1pt" o:hralign="center" o:hrstd="t" o:hrnoshade="t" o:hr="t" fillcolor="black [3213]" stroked="f"/>
      </w:pict>
    </w:r>
  </w:p>
  <w:p w:rsidR="00BA157F" w:rsidRDefault="00BA157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407D6">
      <w:rPr>
        <w:noProof/>
        <w:szCs w:val="24"/>
      </w:rPr>
      <w:t>959</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Pr="00924065" w:rsidRDefault="00BA157F"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A15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407D6" w:rsidP="00A87207">
    <w:pPr>
      <w:pStyle w:val="Footer"/>
    </w:pPr>
    <w:r>
      <w:pict>
        <v:rect id="_x0000_i1042" style="width:480.95pt;height:1pt" o:hralign="center" o:hrstd="t" o:hrnoshade="t" o:hr="t" fillcolor="black [3213]" stroked="f"/>
      </w:pict>
    </w:r>
  </w:p>
  <w:p w:rsidR="00BA157F" w:rsidRPr="00B7374B" w:rsidRDefault="00BA157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407D6">
      <w:rPr>
        <w:noProof/>
        <w:szCs w:val="24"/>
      </w:rPr>
      <w:t>924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407D6" w:rsidP="00755F22">
    <w:pPr>
      <w:tabs>
        <w:tab w:val="left" w:pos="-1440"/>
        <w:tab w:val="left" w:pos="-720"/>
      </w:tabs>
    </w:pPr>
    <w:r>
      <w:pict>
        <v:rect id="_x0000_i1043" style="width:480.95pt;height:1pt" o:hralign="center" o:hrstd="t" o:hrnoshade="t" o:hr="t" fillcolor="black [3213]" stroked="f"/>
      </w:pict>
    </w:r>
  </w:p>
  <w:p w:rsidR="00BA157F" w:rsidRPr="00954D22" w:rsidRDefault="00BA157F"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407D6">
      <w:rPr>
        <w:noProof/>
        <w:szCs w:val="24"/>
      </w:rPr>
      <w:t>922</w:t>
    </w:r>
    <w:r>
      <w:rPr>
        <w:szCs w:val="24"/>
      </w:rPr>
      <w:fldChar w:fldCharType="end"/>
    </w:r>
    <w:r w:rsidRPr="00954D22">
      <w:rPr>
        <w:szCs w:val="24"/>
      </w:rPr>
      <w:t xml:space="preserve"> -</w:t>
    </w:r>
  </w:p>
  <w:p w:rsidR="00BA157F" w:rsidRDefault="00BA157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407D6" w:rsidP="00A87207">
    <w:pPr>
      <w:pStyle w:val="Footer"/>
    </w:pPr>
    <w:r>
      <w:pict>
        <v:rect id="_x0000_i1045" style="width:480.95pt;height:1pt" o:hralign="center" o:hrstd="t" o:hrnoshade="t" o:hr="t" fillcolor="black [3213]" stroked="f"/>
      </w:pict>
    </w:r>
  </w:p>
  <w:p w:rsidR="00BA157F" w:rsidRPr="00B7374B" w:rsidRDefault="00BA157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407D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6" style="width:480.95pt;height:1pt" o:hralign="center" o:hrstd="t" o:hrnoshade="t" o:hr="t" fillcolor="black [3213]" stroked="f"/>
      </w:pict>
    </w:r>
  </w:p>
  <w:p w:rsidR="00BA157F" w:rsidRPr="00954D22" w:rsidRDefault="00BA157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407D6">
      <w:rPr>
        <w:noProof/>
        <w:szCs w:val="24"/>
      </w:rPr>
      <w:t>925</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A1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A157F" w:rsidRDefault="00BA1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A157F" w:rsidRDefault="00BA157F">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40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1" style="width:480.95pt;height:1pt" o:hralign="center" o:hrstd="t" o:hrnoshade="t" o:hr="t" fillcolor="black [3213]" stroked="f"/>
      </w:pict>
    </w:r>
  </w:p>
  <w:p w:rsidR="00BA157F" w:rsidRPr="0009648D" w:rsidRDefault="00BA157F" w:rsidP="00ED7E83">
    <w:pPr>
      <w:tabs>
        <w:tab w:val="center" w:pos="4680"/>
      </w:tabs>
    </w:pPr>
    <w:r>
      <w:tab/>
    </w:r>
    <w:r w:rsidRPr="0009648D">
      <w:t xml:space="preserve">- </w:t>
    </w:r>
    <w:r>
      <w:fldChar w:fldCharType="begin"/>
    </w:r>
    <w:r>
      <w:instrText xml:space="preserve"> PAGE   \* MERGEFORMAT </w:instrText>
    </w:r>
    <w:r>
      <w:fldChar w:fldCharType="separate"/>
    </w:r>
    <w:r w:rsidR="00B407D6">
      <w:rPr>
        <w:noProof/>
      </w:rPr>
      <w:t>939</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57F" w:rsidRDefault="00BA157F" w:rsidP="00A87207">
      <w:r>
        <w:separator/>
      </w:r>
    </w:p>
  </w:footnote>
  <w:footnote w:type="continuationSeparator" w:id="0">
    <w:p w:rsidR="00BA157F" w:rsidRDefault="00BA157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A157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A157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A157F">
      <w:tc>
        <w:tcPr>
          <w:tcW w:w="4230" w:type="dxa"/>
          <w:tcMar>
            <w:left w:w="0" w:type="dxa"/>
            <w:right w:w="0" w:type="dxa"/>
          </w:tcMar>
        </w:tcPr>
        <w:p w:rsidR="00BA157F" w:rsidRDefault="00BA15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A157F" w:rsidRDefault="00BA157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A157F" w:rsidRDefault="00BA157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A157F">
      <w:trPr>
        <w:gridAfter w:val="2"/>
        <w:wAfter w:w="5250" w:type="dxa"/>
      </w:trPr>
      <w:tc>
        <w:tcPr>
          <w:tcW w:w="4230" w:type="dxa"/>
          <w:tcMar>
            <w:left w:w="0" w:type="dxa"/>
            <w:right w:w="0" w:type="dxa"/>
          </w:tcMar>
        </w:tcPr>
        <w:p w:rsidR="00BA157F" w:rsidRDefault="00BA1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A157F" w:rsidRDefault="00BA1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A157F" w:rsidRPr="00755F22" w:rsidTr="00245129">
      <w:tc>
        <w:tcPr>
          <w:tcW w:w="4230" w:type="dxa"/>
          <w:tcMar>
            <w:left w:w="0" w:type="dxa"/>
            <w:right w:w="0" w:type="dxa"/>
          </w:tcMar>
        </w:tcPr>
        <w:p w:rsidR="00BA157F" w:rsidRPr="00755F22" w:rsidRDefault="00BA157F" w:rsidP="00831CA9">
          <w:pPr>
            <w:keepNext/>
            <w:keepLines/>
            <w:rPr>
              <w:sz w:val="20"/>
              <w:szCs w:val="20"/>
            </w:rPr>
          </w:pPr>
          <w:r w:rsidRPr="00755F22">
            <w:rPr>
              <w:sz w:val="20"/>
              <w:szCs w:val="20"/>
            </w:rPr>
            <w:t>MOTIONS</w:t>
          </w:r>
        </w:p>
      </w:tc>
      <w:tc>
        <w:tcPr>
          <w:tcW w:w="1170" w:type="dxa"/>
          <w:tcMar>
            <w:left w:w="0" w:type="dxa"/>
            <w:right w:w="0" w:type="dxa"/>
          </w:tcMar>
        </w:tcPr>
        <w:p w:rsidR="00BA157F" w:rsidRPr="00755F22" w:rsidRDefault="00BA157F" w:rsidP="00831CA9">
          <w:pPr>
            <w:keepLines/>
            <w:jc w:val="center"/>
            <w:rPr>
              <w:sz w:val="20"/>
              <w:szCs w:val="20"/>
            </w:rPr>
          </w:pPr>
        </w:p>
        <w:p w:rsidR="00BA157F" w:rsidRPr="00755F22" w:rsidRDefault="00BA157F" w:rsidP="00831CA9">
          <w:pPr>
            <w:keepLines/>
            <w:tabs>
              <w:tab w:val="left" w:pos="-1440"/>
              <w:tab w:val="left" w:pos="-720"/>
            </w:tabs>
            <w:jc w:val="center"/>
            <w:rPr>
              <w:sz w:val="20"/>
              <w:szCs w:val="20"/>
            </w:rPr>
          </w:pPr>
        </w:p>
      </w:tc>
      <w:tc>
        <w:tcPr>
          <w:tcW w:w="4080" w:type="dxa"/>
          <w:tcMar>
            <w:left w:w="0" w:type="dxa"/>
            <w:right w:w="0" w:type="dxa"/>
          </w:tcMar>
        </w:tcPr>
        <w:p w:rsidR="00BA157F" w:rsidRPr="00BA6468" w:rsidRDefault="00BA157F" w:rsidP="00BA6468">
          <w:pPr>
            <w:keepLines/>
            <w:rPr>
              <w:sz w:val="20"/>
              <w:szCs w:val="20"/>
              <w:lang w:val="fr-CA"/>
            </w:rPr>
          </w:pPr>
          <w:r w:rsidRPr="00BA6468">
            <w:rPr>
              <w:sz w:val="20"/>
              <w:szCs w:val="20"/>
              <w:lang w:val="fr-CA"/>
            </w:rPr>
            <w:t>REQUÊTES</w:t>
          </w:r>
        </w:p>
      </w:tc>
    </w:tr>
  </w:tbl>
  <w:p w:rsidR="00BA157F" w:rsidRDefault="00BA157F"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A157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A157F" w:rsidRPr="00C556BB">
      <w:tc>
        <w:tcPr>
          <w:tcW w:w="4200" w:type="dxa"/>
          <w:tcMar>
            <w:left w:w="0" w:type="dxa"/>
            <w:right w:w="0" w:type="dxa"/>
          </w:tcMar>
        </w:tcPr>
        <w:p w:rsidR="00BA157F" w:rsidRDefault="00BA15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A157F" w:rsidRDefault="00BA15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A157F" w:rsidRPr="00B01A03" w:rsidRDefault="00BA157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A157F" w:rsidRPr="00B01A03" w:rsidRDefault="00BA1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A157F" w:rsidRPr="00B01A03" w:rsidRDefault="00BA1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BA157F" w:rsidRPr="00C556BB" w:rsidTr="00245129">
      <w:tc>
        <w:tcPr>
          <w:tcW w:w="4200" w:type="dxa"/>
          <w:tcMar>
            <w:left w:w="0" w:type="dxa"/>
            <w:right w:w="0" w:type="dxa"/>
          </w:tcMar>
        </w:tcPr>
        <w:p w:rsidR="00BA157F" w:rsidRPr="00F40249" w:rsidRDefault="00BA157F"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A157F" w:rsidRDefault="00BA157F" w:rsidP="00102926">
          <w:pPr>
            <w:keepNext/>
            <w:keepLines/>
            <w:tabs>
              <w:tab w:val="left" w:pos="-1440"/>
              <w:tab w:val="left" w:pos="-720"/>
            </w:tabs>
            <w:jc w:val="center"/>
            <w:rPr>
              <w:sz w:val="20"/>
              <w:szCs w:val="20"/>
            </w:rPr>
          </w:pPr>
        </w:p>
        <w:p w:rsidR="00BA157F" w:rsidRDefault="00BA157F" w:rsidP="00102926">
          <w:pPr>
            <w:keepNext/>
            <w:keepLines/>
            <w:tabs>
              <w:tab w:val="left" w:pos="-1440"/>
              <w:tab w:val="left" w:pos="-720"/>
            </w:tabs>
            <w:jc w:val="center"/>
            <w:rPr>
              <w:sz w:val="20"/>
              <w:szCs w:val="20"/>
            </w:rPr>
          </w:pPr>
        </w:p>
        <w:p w:rsidR="00BA157F" w:rsidRPr="00F40249" w:rsidRDefault="00BA157F" w:rsidP="00102926">
          <w:pPr>
            <w:keepNext/>
            <w:keepLines/>
            <w:tabs>
              <w:tab w:val="left" w:pos="-1440"/>
              <w:tab w:val="left" w:pos="-720"/>
            </w:tabs>
            <w:jc w:val="center"/>
            <w:rPr>
              <w:sz w:val="20"/>
              <w:szCs w:val="20"/>
            </w:rPr>
          </w:pPr>
        </w:p>
      </w:tc>
      <w:tc>
        <w:tcPr>
          <w:tcW w:w="4230" w:type="dxa"/>
          <w:tcMar>
            <w:left w:w="0" w:type="dxa"/>
            <w:right w:w="0" w:type="dxa"/>
          </w:tcMar>
        </w:tcPr>
        <w:p w:rsidR="00BA157F" w:rsidRPr="00F40249" w:rsidRDefault="00BA157F"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A157F" w:rsidRPr="00B01A03" w:rsidRDefault="00BA157F"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A157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A157F" w:rsidRPr="00C556BB">
      <w:tc>
        <w:tcPr>
          <w:tcW w:w="4200" w:type="dxa"/>
          <w:tcMar>
            <w:left w:w="0" w:type="dxa"/>
            <w:right w:w="0" w:type="dxa"/>
          </w:tcMar>
        </w:tcPr>
        <w:p w:rsidR="00BA157F" w:rsidRDefault="00BA15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BA157F" w:rsidRDefault="00BA15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BA157F" w:rsidRDefault="00BA15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BA157F" w:rsidRPr="003C2C0F" w:rsidRDefault="00BA157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BA157F" w:rsidRPr="003C2C0F" w:rsidRDefault="00BA1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BA157F" w:rsidRPr="003C2C0F" w:rsidRDefault="00BA1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A157F" w:rsidRPr="00C556BB" w:rsidTr="00245129">
      <w:tc>
        <w:tcPr>
          <w:tcW w:w="4200" w:type="dxa"/>
          <w:tcMar>
            <w:left w:w="0" w:type="dxa"/>
            <w:right w:w="0" w:type="dxa"/>
          </w:tcMar>
        </w:tcPr>
        <w:p w:rsidR="00BA157F" w:rsidRPr="00FF6EEC" w:rsidRDefault="00BA157F" w:rsidP="00FF6EEC">
          <w:pPr>
            <w:rPr>
              <w:sz w:val="20"/>
              <w:szCs w:val="20"/>
            </w:rPr>
          </w:pPr>
          <w:r w:rsidRPr="00FF6EEC">
            <w:rPr>
              <w:sz w:val="20"/>
              <w:szCs w:val="20"/>
            </w:rPr>
            <w:t>PRONOUNCEMENTS OF APPEALS RESERVED</w:t>
          </w:r>
        </w:p>
      </w:tc>
      <w:tc>
        <w:tcPr>
          <w:tcW w:w="1200" w:type="dxa"/>
          <w:tcMar>
            <w:left w:w="0" w:type="dxa"/>
            <w:right w:w="0" w:type="dxa"/>
          </w:tcMar>
        </w:tcPr>
        <w:p w:rsidR="00BA157F" w:rsidRPr="00FF6EEC" w:rsidRDefault="00BA157F" w:rsidP="00FF6EEC">
          <w:pPr>
            <w:jc w:val="center"/>
            <w:rPr>
              <w:sz w:val="20"/>
              <w:szCs w:val="20"/>
            </w:rPr>
          </w:pPr>
        </w:p>
        <w:p w:rsidR="00BA157F" w:rsidRPr="00FF6EEC" w:rsidRDefault="00BA157F" w:rsidP="00FF6EEC">
          <w:pPr>
            <w:jc w:val="center"/>
            <w:rPr>
              <w:sz w:val="20"/>
              <w:szCs w:val="20"/>
            </w:rPr>
          </w:pPr>
        </w:p>
        <w:p w:rsidR="00BA157F" w:rsidRPr="00FF6EEC" w:rsidRDefault="00BA157F" w:rsidP="00FF6EEC">
          <w:pPr>
            <w:jc w:val="center"/>
            <w:rPr>
              <w:sz w:val="20"/>
              <w:szCs w:val="20"/>
            </w:rPr>
          </w:pPr>
        </w:p>
      </w:tc>
      <w:tc>
        <w:tcPr>
          <w:tcW w:w="4080" w:type="dxa"/>
          <w:tcMar>
            <w:left w:w="0" w:type="dxa"/>
            <w:right w:w="0" w:type="dxa"/>
          </w:tcMar>
        </w:tcPr>
        <w:p w:rsidR="00BA157F" w:rsidRPr="00FF6EEC" w:rsidRDefault="00BA157F" w:rsidP="00FF6EEC">
          <w:pPr>
            <w:rPr>
              <w:sz w:val="20"/>
              <w:szCs w:val="20"/>
              <w:lang w:val="fr-CA"/>
            </w:rPr>
          </w:pPr>
          <w:r w:rsidRPr="00FF6EEC">
            <w:rPr>
              <w:sz w:val="20"/>
              <w:szCs w:val="20"/>
              <w:lang w:val="fr-CA"/>
            </w:rPr>
            <w:t>JUGEMENTS RENDUS SUR LES APPELS EN DÉLIBÉRÉ</w:t>
          </w:r>
        </w:p>
      </w:tc>
    </w:tr>
  </w:tbl>
  <w:p w:rsidR="00BA157F" w:rsidRPr="003C2C0F" w:rsidRDefault="00BA157F"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A15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A157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A157F">
      <w:tc>
        <w:tcPr>
          <w:tcW w:w="4230" w:type="dxa"/>
          <w:tcMar>
            <w:left w:w="0" w:type="dxa"/>
            <w:right w:w="0" w:type="dxa"/>
          </w:tcMar>
        </w:tcPr>
        <w:p w:rsidR="00BA157F" w:rsidRDefault="00BA15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A157F" w:rsidRDefault="00BA15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A157F" w:rsidRDefault="00BA15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A157F" w:rsidRDefault="00BA15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A157F" w:rsidRDefault="00BA15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A157F" w:rsidRDefault="00BA157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A157F" w:rsidRDefault="00BA1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A157F" w:rsidRDefault="00BA1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A157F" w:rsidRPr="00782AE4" w:rsidTr="00245129">
      <w:tc>
        <w:tcPr>
          <w:tcW w:w="4230" w:type="dxa"/>
          <w:tcMar>
            <w:left w:w="0" w:type="dxa"/>
            <w:right w:w="0" w:type="dxa"/>
          </w:tcMar>
        </w:tcPr>
        <w:p w:rsidR="00BA157F" w:rsidRPr="00782AE4" w:rsidRDefault="00BA157F" w:rsidP="00102926">
          <w:pPr>
            <w:keepNext/>
            <w:keepLines/>
            <w:tabs>
              <w:tab w:val="left" w:pos="-1440"/>
              <w:tab w:val="left" w:pos="-720"/>
            </w:tabs>
            <w:rPr>
              <w:sz w:val="20"/>
              <w:szCs w:val="20"/>
            </w:rPr>
          </w:pPr>
          <w:r w:rsidRPr="00782AE4">
            <w:rPr>
              <w:sz w:val="20"/>
              <w:szCs w:val="20"/>
            </w:rPr>
            <w:t xml:space="preserve">HEADNOTES OF RECENT </w:t>
          </w:r>
        </w:p>
        <w:p w:rsidR="00BA157F" w:rsidRPr="00782AE4" w:rsidRDefault="00BA15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BA157F" w:rsidRDefault="00BA157F" w:rsidP="00102926">
          <w:pPr>
            <w:keepNext/>
            <w:keepLines/>
            <w:tabs>
              <w:tab w:val="left" w:pos="-1440"/>
              <w:tab w:val="left" w:pos="-720"/>
            </w:tabs>
            <w:jc w:val="center"/>
            <w:rPr>
              <w:sz w:val="20"/>
              <w:szCs w:val="20"/>
            </w:rPr>
          </w:pPr>
        </w:p>
        <w:p w:rsidR="00BA157F" w:rsidRDefault="00BA157F" w:rsidP="00102926">
          <w:pPr>
            <w:keepNext/>
            <w:keepLines/>
            <w:tabs>
              <w:tab w:val="left" w:pos="-1440"/>
              <w:tab w:val="left" w:pos="-720"/>
            </w:tabs>
            <w:jc w:val="center"/>
            <w:rPr>
              <w:sz w:val="20"/>
              <w:szCs w:val="20"/>
            </w:rPr>
          </w:pPr>
        </w:p>
        <w:p w:rsidR="00BA157F" w:rsidRPr="00782AE4" w:rsidRDefault="00BA157F" w:rsidP="00102926">
          <w:pPr>
            <w:keepNext/>
            <w:keepLines/>
            <w:tabs>
              <w:tab w:val="left" w:pos="-1440"/>
              <w:tab w:val="left" w:pos="-720"/>
            </w:tabs>
            <w:jc w:val="center"/>
            <w:rPr>
              <w:sz w:val="20"/>
              <w:szCs w:val="20"/>
            </w:rPr>
          </w:pPr>
        </w:p>
      </w:tc>
      <w:tc>
        <w:tcPr>
          <w:tcW w:w="4080" w:type="dxa"/>
          <w:tcMar>
            <w:left w:w="0" w:type="dxa"/>
            <w:right w:w="0" w:type="dxa"/>
          </w:tcMar>
        </w:tcPr>
        <w:p w:rsidR="00BA157F" w:rsidRPr="00102926" w:rsidRDefault="00BA15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BA157F" w:rsidRPr="00782AE4" w:rsidRDefault="00BA157F" w:rsidP="00102926">
          <w:pPr>
            <w:keepLines/>
            <w:tabs>
              <w:tab w:val="left" w:pos="-1440"/>
              <w:tab w:val="left" w:pos="-720"/>
            </w:tabs>
            <w:rPr>
              <w:sz w:val="20"/>
              <w:szCs w:val="20"/>
            </w:rPr>
          </w:pPr>
          <w:r w:rsidRPr="00102926">
            <w:rPr>
              <w:sz w:val="20"/>
              <w:szCs w:val="20"/>
              <w:lang w:val="fr-CA"/>
            </w:rPr>
            <w:t>RÉCENTS</w:t>
          </w:r>
        </w:p>
      </w:tc>
    </w:tr>
  </w:tbl>
  <w:p w:rsidR="00BA157F" w:rsidRDefault="00BA157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A157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A15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A15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A157F" w:rsidRPr="0044776A" w:rsidTr="00245129">
      <w:tc>
        <w:tcPr>
          <w:tcW w:w="4290" w:type="dxa"/>
          <w:tcMar>
            <w:left w:w="0" w:type="dxa"/>
            <w:right w:w="0" w:type="dxa"/>
          </w:tcMar>
        </w:tcPr>
        <w:p w:rsidR="00BA157F" w:rsidRPr="0044776A" w:rsidRDefault="00BA157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BA157F" w:rsidRPr="0044776A" w:rsidRDefault="00BA157F" w:rsidP="002E2327">
          <w:pPr>
            <w:keepNext/>
            <w:keepLines/>
            <w:tabs>
              <w:tab w:val="left" w:pos="-1440"/>
              <w:tab w:val="left" w:pos="-720"/>
            </w:tabs>
            <w:jc w:val="center"/>
            <w:rPr>
              <w:sz w:val="20"/>
              <w:szCs w:val="20"/>
            </w:rPr>
          </w:pPr>
        </w:p>
        <w:p w:rsidR="00BA157F" w:rsidRPr="0044776A" w:rsidRDefault="00BA157F" w:rsidP="002E2327">
          <w:pPr>
            <w:keepNext/>
            <w:keepLines/>
            <w:tabs>
              <w:tab w:val="left" w:pos="-1440"/>
              <w:tab w:val="left" w:pos="-720"/>
            </w:tabs>
            <w:jc w:val="center"/>
            <w:rPr>
              <w:sz w:val="20"/>
              <w:szCs w:val="20"/>
            </w:rPr>
          </w:pPr>
        </w:p>
        <w:p w:rsidR="00BA157F" w:rsidRPr="0044776A" w:rsidRDefault="00BA157F" w:rsidP="002E2327">
          <w:pPr>
            <w:keepNext/>
            <w:keepLines/>
            <w:tabs>
              <w:tab w:val="left" w:pos="-1440"/>
              <w:tab w:val="left" w:pos="-720"/>
            </w:tabs>
            <w:jc w:val="center"/>
            <w:rPr>
              <w:sz w:val="20"/>
              <w:szCs w:val="20"/>
            </w:rPr>
          </w:pPr>
        </w:p>
      </w:tc>
      <w:tc>
        <w:tcPr>
          <w:tcW w:w="4320" w:type="dxa"/>
          <w:tcMar>
            <w:left w:w="0" w:type="dxa"/>
            <w:right w:w="0" w:type="dxa"/>
          </w:tcMar>
        </w:tcPr>
        <w:p w:rsidR="00BA157F" w:rsidRPr="0044776A" w:rsidRDefault="00BA157F" w:rsidP="002E2327">
          <w:pPr>
            <w:keepLines/>
            <w:rPr>
              <w:sz w:val="20"/>
              <w:szCs w:val="20"/>
              <w:lang w:val="fr-CA"/>
            </w:rPr>
          </w:pPr>
          <w:r w:rsidRPr="0044776A">
            <w:rPr>
              <w:sz w:val="20"/>
              <w:szCs w:val="20"/>
              <w:lang w:val="fr-CA"/>
            </w:rPr>
            <w:t>DEMANDES D'AUTORISATION D'APPEL DÉPOSÉES</w:t>
          </w:r>
        </w:p>
      </w:tc>
    </w:tr>
  </w:tbl>
  <w:p w:rsidR="00BA157F" w:rsidRDefault="00BA15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A15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A157F" w:rsidRPr="00C556BB" w:rsidTr="00245129">
      <w:tc>
        <w:tcPr>
          <w:tcW w:w="4200" w:type="dxa"/>
          <w:tcMar>
            <w:left w:w="0" w:type="dxa"/>
            <w:right w:w="0" w:type="dxa"/>
          </w:tcMar>
        </w:tcPr>
        <w:p w:rsidR="00BA157F" w:rsidRPr="0044776A" w:rsidRDefault="00BA157F" w:rsidP="0044776A">
          <w:pPr>
            <w:keepNext/>
            <w:keepLines/>
            <w:widowControl w:val="0"/>
            <w:rPr>
              <w:sz w:val="20"/>
              <w:szCs w:val="20"/>
            </w:rPr>
          </w:pPr>
          <w:r>
            <w:rPr>
              <w:sz w:val="20"/>
              <w:szCs w:val="20"/>
            </w:rPr>
            <w:t>APPLICATIONS FOR LEAVE</w:t>
          </w:r>
        </w:p>
        <w:p w:rsidR="00BA157F" w:rsidRPr="0044776A" w:rsidRDefault="00BA157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BA157F" w:rsidRPr="0044776A" w:rsidRDefault="00BA157F" w:rsidP="0044776A">
          <w:pPr>
            <w:keepNext/>
            <w:keepLines/>
            <w:widowControl w:val="0"/>
            <w:jc w:val="center"/>
            <w:rPr>
              <w:sz w:val="20"/>
              <w:szCs w:val="20"/>
            </w:rPr>
          </w:pPr>
        </w:p>
        <w:p w:rsidR="00BA157F" w:rsidRPr="0044776A" w:rsidRDefault="00BA157F" w:rsidP="0044776A">
          <w:pPr>
            <w:keepNext/>
            <w:keepLines/>
            <w:widowControl w:val="0"/>
            <w:jc w:val="center"/>
            <w:rPr>
              <w:sz w:val="20"/>
              <w:szCs w:val="20"/>
            </w:rPr>
          </w:pPr>
        </w:p>
        <w:p w:rsidR="00BA157F" w:rsidRPr="0044776A" w:rsidRDefault="00BA157F" w:rsidP="0044776A">
          <w:pPr>
            <w:keepNext/>
            <w:keepLines/>
            <w:widowControl w:val="0"/>
            <w:jc w:val="center"/>
            <w:rPr>
              <w:sz w:val="20"/>
              <w:szCs w:val="20"/>
            </w:rPr>
          </w:pPr>
        </w:p>
      </w:tc>
      <w:tc>
        <w:tcPr>
          <w:tcW w:w="4080" w:type="dxa"/>
          <w:tcMar>
            <w:left w:w="0" w:type="dxa"/>
            <w:right w:w="0" w:type="dxa"/>
          </w:tcMar>
        </w:tcPr>
        <w:p w:rsidR="00BA157F" w:rsidRPr="0044776A" w:rsidRDefault="00BA157F" w:rsidP="0044776A">
          <w:pPr>
            <w:keepLines/>
            <w:widowControl w:val="0"/>
            <w:rPr>
              <w:sz w:val="20"/>
              <w:szCs w:val="20"/>
              <w:lang w:val="fr-CA"/>
            </w:rPr>
          </w:pPr>
          <w:r w:rsidRPr="0044776A">
            <w:rPr>
              <w:sz w:val="20"/>
              <w:szCs w:val="20"/>
              <w:lang w:val="fr-CA"/>
            </w:rPr>
            <w:t>DEMANDES SOUMISES À LA COUR DEPUIS LA DERNIÈRE PARUTION</w:t>
          </w:r>
        </w:p>
        <w:p w:rsidR="00BA157F" w:rsidRPr="0044776A" w:rsidRDefault="00BA157F" w:rsidP="0044776A">
          <w:pPr>
            <w:widowControl w:val="0"/>
            <w:rPr>
              <w:sz w:val="20"/>
              <w:szCs w:val="20"/>
              <w:lang w:val="fr-CA"/>
            </w:rPr>
          </w:pPr>
        </w:p>
      </w:tc>
    </w:tr>
  </w:tbl>
  <w:p w:rsidR="00BA157F" w:rsidRPr="002E2327" w:rsidRDefault="00BA157F">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7F" w:rsidRDefault="00BA157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A157F" w:rsidRPr="00C556BB">
      <w:tc>
        <w:tcPr>
          <w:tcW w:w="4200" w:type="dxa"/>
          <w:tcMar>
            <w:left w:w="0" w:type="dxa"/>
            <w:right w:w="0" w:type="dxa"/>
          </w:tcMar>
        </w:tcPr>
        <w:p w:rsidR="00BA157F" w:rsidRDefault="00BA15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A157F" w:rsidRDefault="00BA15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A157F" w:rsidRDefault="00BA157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A157F" w:rsidRPr="00FF6BA5" w:rsidRDefault="00BA157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A157F" w:rsidRPr="00FF6BA5" w:rsidRDefault="00BA1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A157F" w:rsidRPr="00FF6BA5" w:rsidRDefault="00BA1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A157F" w:rsidRPr="00FF6BA5" w:rsidRDefault="00BA15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A157F" w:rsidRPr="00C556BB" w:rsidTr="00245129">
      <w:tc>
        <w:tcPr>
          <w:tcW w:w="4200" w:type="dxa"/>
          <w:tcMar>
            <w:left w:w="0" w:type="dxa"/>
            <w:right w:w="0" w:type="dxa"/>
          </w:tcMar>
        </w:tcPr>
        <w:p w:rsidR="00BA157F" w:rsidRPr="00755F22" w:rsidRDefault="00BA15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BA157F" w:rsidRPr="00755F22" w:rsidRDefault="00BA15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BA157F" w:rsidRPr="00755F22" w:rsidRDefault="00BA157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A157F" w:rsidRPr="00755F22" w:rsidRDefault="00BA157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A157F" w:rsidRPr="00755F22" w:rsidRDefault="00BA157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A157F" w:rsidRPr="00755F22" w:rsidRDefault="00BA157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BA157F" w:rsidRPr="00FF6BA5" w:rsidRDefault="00BA157F"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60A5A"/>
    <w:multiLevelType w:val="hybridMultilevel"/>
    <w:tmpl w:val="8F427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BF626E"/>
    <w:multiLevelType w:val="hybridMultilevel"/>
    <w:tmpl w:val="83909D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25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84"/>
    <w:rsid w:val="00000C2B"/>
    <w:rsid w:val="00002704"/>
    <w:rsid w:val="00020DC3"/>
    <w:rsid w:val="000258A8"/>
    <w:rsid w:val="0003223B"/>
    <w:rsid w:val="000327B2"/>
    <w:rsid w:val="0004528B"/>
    <w:rsid w:val="00062328"/>
    <w:rsid w:val="00064FBA"/>
    <w:rsid w:val="00080E30"/>
    <w:rsid w:val="00090F55"/>
    <w:rsid w:val="00091FA6"/>
    <w:rsid w:val="00096BD9"/>
    <w:rsid w:val="000A2075"/>
    <w:rsid w:val="000A6E5C"/>
    <w:rsid w:val="000B3C9A"/>
    <w:rsid w:val="000B40A2"/>
    <w:rsid w:val="000B4624"/>
    <w:rsid w:val="000C0ACD"/>
    <w:rsid w:val="000C0D2A"/>
    <w:rsid w:val="000C5CE8"/>
    <w:rsid w:val="000E27A5"/>
    <w:rsid w:val="000E2959"/>
    <w:rsid w:val="000E642D"/>
    <w:rsid w:val="000F0B60"/>
    <w:rsid w:val="000F110A"/>
    <w:rsid w:val="000F557C"/>
    <w:rsid w:val="000F56AC"/>
    <w:rsid w:val="00102926"/>
    <w:rsid w:val="0010587F"/>
    <w:rsid w:val="00111C6B"/>
    <w:rsid w:val="0012102B"/>
    <w:rsid w:val="00126883"/>
    <w:rsid w:val="00130351"/>
    <w:rsid w:val="0013369E"/>
    <w:rsid w:val="00144956"/>
    <w:rsid w:val="00145C44"/>
    <w:rsid w:val="0015001F"/>
    <w:rsid w:val="001510B6"/>
    <w:rsid w:val="00157684"/>
    <w:rsid w:val="00164E6D"/>
    <w:rsid w:val="00167ACD"/>
    <w:rsid w:val="00183454"/>
    <w:rsid w:val="001B157C"/>
    <w:rsid w:val="001B18EA"/>
    <w:rsid w:val="001B279E"/>
    <w:rsid w:val="001B4006"/>
    <w:rsid w:val="001B5C23"/>
    <w:rsid w:val="001B5EF4"/>
    <w:rsid w:val="001D0D5F"/>
    <w:rsid w:val="001D4A84"/>
    <w:rsid w:val="001D6B8C"/>
    <w:rsid w:val="001F1F83"/>
    <w:rsid w:val="001F40DF"/>
    <w:rsid w:val="001F6B2D"/>
    <w:rsid w:val="002021A9"/>
    <w:rsid w:val="002024FC"/>
    <w:rsid w:val="002139A7"/>
    <w:rsid w:val="0021524B"/>
    <w:rsid w:val="00215F7C"/>
    <w:rsid w:val="0022323B"/>
    <w:rsid w:val="00232760"/>
    <w:rsid w:val="002410B8"/>
    <w:rsid w:val="00242AEE"/>
    <w:rsid w:val="00245129"/>
    <w:rsid w:val="00245879"/>
    <w:rsid w:val="00245D36"/>
    <w:rsid w:val="00251C0A"/>
    <w:rsid w:val="00257344"/>
    <w:rsid w:val="00264065"/>
    <w:rsid w:val="00267FD5"/>
    <w:rsid w:val="00274D34"/>
    <w:rsid w:val="00283ED8"/>
    <w:rsid w:val="00285918"/>
    <w:rsid w:val="002868D0"/>
    <w:rsid w:val="002A008C"/>
    <w:rsid w:val="002A27D1"/>
    <w:rsid w:val="002A3687"/>
    <w:rsid w:val="002A4AFA"/>
    <w:rsid w:val="002B3767"/>
    <w:rsid w:val="002B516C"/>
    <w:rsid w:val="002D72EB"/>
    <w:rsid w:val="002E2327"/>
    <w:rsid w:val="002E3583"/>
    <w:rsid w:val="002E5576"/>
    <w:rsid w:val="0030050B"/>
    <w:rsid w:val="00306890"/>
    <w:rsid w:val="00312B5E"/>
    <w:rsid w:val="00331B52"/>
    <w:rsid w:val="003359D3"/>
    <w:rsid w:val="00355967"/>
    <w:rsid w:val="00356369"/>
    <w:rsid w:val="00361E38"/>
    <w:rsid w:val="0036453A"/>
    <w:rsid w:val="003648D9"/>
    <w:rsid w:val="00382C47"/>
    <w:rsid w:val="00384384"/>
    <w:rsid w:val="00386390"/>
    <w:rsid w:val="003866AE"/>
    <w:rsid w:val="00397F82"/>
    <w:rsid w:val="003A159B"/>
    <w:rsid w:val="003A7570"/>
    <w:rsid w:val="003B3977"/>
    <w:rsid w:val="003B3C7B"/>
    <w:rsid w:val="003C2D72"/>
    <w:rsid w:val="003E1D4C"/>
    <w:rsid w:val="003E42D9"/>
    <w:rsid w:val="003E7D25"/>
    <w:rsid w:val="004137A0"/>
    <w:rsid w:val="00422D9A"/>
    <w:rsid w:val="00424813"/>
    <w:rsid w:val="00432989"/>
    <w:rsid w:val="00440E24"/>
    <w:rsid w:val="0044776A"/>
    <w:rsid w:val="00456814"/>
    <w:rsid w:val="00460AFC"/>
    <w:rsid w:val="0047471F"/>
    <w:rsid w:val="004758BA"/>
    <w:rsid w:val="004758F6"/>
    <w:rsid w:val="00475E4B"/>
    <w:rsid w:val="00492B53"/>
    <w:rsid w:val="004B195E"/>
    <w:rsid w:val="004B51D9"/>
    <w:rsid w:val="004B66B4"/>
    <w:rsid w:val="004B7F60"/>
    <w:rsid w:val="004C1AAC"/>
    <w:rsid w:val="004D2D17"/>
    <w:rsid w:val="004E103B"/>
    <w:rsid w:val="004E1E0A"/>
    <w:rsid w:val="004E22A8"/>
    <w:rsid w:val="004E62D2"/>
    <w:rsid w:val="004F090E"/>
    <w:rsid w:val="004F6436"/>
    <w:rsid w:val="00501F3C"/>
    <w:rsid w:val="00514BCE"/>
    <w:rsid w:val="0052229C"/>
    <w:rsid w:val="00527CC7"/>
    <w:rsid w:val="0053266A"/>
    <w:rsid w:val="00571CA4"/>
    <w:rsid w:val="00574D9C"/>
    <w:rsid w:val="00582136"/>
    <w:rsid w:val="005C6840"/>
    <w:rsid w:val="005C75CD"/>
    <w:rsid w:val="005C7B7B"/>
    <w:rsid w:val="005E0B40"/>
    <w:rsid w:val="005F1ED8"/>
    <w:rsid w:val="005F263E"/>
    <w:rsid w:val="005F403A"/>
    <w:rsid w:val="00600252"/>
    <w:rsid w:val="00612A40"/>
    <w:rsid w:val="0062714A"/>
    <w:rsid w:val="00630E4C"/>
    <w:rsid w:val="006325CE"/>
    <w:rsid w:val="00635638"/>
    <w:rsid w:val="00652C50"/>
    <w:rsid w:val="00653261"/>
    <w:rsid w:val="00675479"/>
    <w:rsid w:val="00680709"/>
    <w:rsid w:val="00681F61"/>
    <w:rsid w:val="00696BF9"/>
    <w:rsid w:val="00697C62"/>
    <w:rsid w:val="006A329B"/>
    <w:rsid w:val="006A7EB8"/>
    <w:rsid w:val="006B6926"/>
    <w:rsid w:val="006C3F47"/>
    <w:rsid w:val="006C5F7A"/>
    <w:rsid w:val="006C7757"/>
    <w:rsid w:val="006D245B"/>
    <w:rsid w:val="006E06AF"/>
    <w:rsid w:val="006E162A"/>
    <w:rsid w:val="006F350F"/>
    <w:rsid w:val="00732DB7"/>
    <w:rsid w:val="0074238B"/>
    <w:rsid w:val="00745EF7"/>
    <w:rsid w:val="00755117"/>
    <w:rsid w:val="00755F22"/>
    <w:rsid w:val="00766E4A"/>
    <w:rsid w:val="007820CE"/>
    <w:rsid w:val="00782AE4"/>
    <w:rsid w:val="0079287C"/>
    <w:rsid w:val="0079724F"/>
    <w:rsid w:val="007A3EAE"/>
    <w:rsid w:val="007B2728"/>
    <w:rsid w:val="007C04FC"/>
    <w:rsid w:val="007C090C"/>
    <w:rsid w:val="007C3DB0"/>
    <w:rsid w:val="007C47C2"/>
    <w:rsid w:val="007D3E0F"/>
    <w:rsid w:val="007D6BEE"/>
    <w:rsid w:val="007E4282"/>
    <w:rsid w:val="007E42CB"/>
    <w:rsid w:val="007F387B"/>
    <w:rsid w:val="007F60AF"/>
    <w:rsid w:val="00802863"/>
    <w:rsid w:val="008112A9"/>
    <w:rsid w:val="0081264A"/>
    <w:rsid w:val="0081473A"/>
    <w:rsid w:val="00815B3C"/>
    <w:rsid w:val="0081610A"/>
    <w:rsid w:val="0082783A"/>
    <w:rsid w:val="00831CA9"/>
    <w:rsid w:val="00835522"/>
    <w:rsid w:val="0084718D"/>
    <w:rsid w:val="00850E1F"/>
    <w:rsid w:val="0085476B"/>
    <w:rsid w:val="0086340B"/>
    <w:rsid w:val="00870BB4"/>
    <w:rsid w:val="008902B1"/>
    <w:rsid w:val="00890FEB"/>
    <w:rsid w:val="00895E7E"/>
    <w:rsid w:val="00896AAB"/>
    <w:rsid w:val="008A5C1A"/>
    <w:rsid w:val="008A67F5"/>
    <w:rsid w:val="008B055E"/>
    <w:rsid w:val="008C1622"/>
    <w:rsid w:val="008C62C1"/>
    <w:rsid w:val="008D292F"/>
    <w:rsid w:val="008E03DC"/>
    <w:rsid w:val="00902E51"/>
    <w:rsid w:val="00906EA1"/>
    <w:rsid w:val="00924065"/>
    <w:rsid w:val="00930D68"/>
    <w:rsid w:val="00932DB4"/>
    <w:rsid w:val="00934B0E"/>
    <w:rsid w:val="00941A4B"/>
    <w:rsid w:val="00946242"/>
    <w:rsid w:val="0095096B"/>
    <w:rsid w:val="00960E11"/>
    <w:rsid w:val="00970CD3"/>
    <w:rsid w:val="009723FA"/>
    <w:rsid w:val="00984546"/>
    <w:rsid w:val="00996510"/>
    <w:rsid w:val="009A1203"/>
    <w:rsid w:val="009A2C36"/>
    <w:rsid w:val="009A4FB1"/>
    <w:rsid w:val="009B5387"/>
    <w:rsid w:val="009D1F15"/>
    <w:rsid w:val="009D35EE"/>
    <w:rsid w:val="009D555E"/>
    <w:rsid w:val="009F3024"/>
    <w:rsid w:val="009F39BA"/>
    <w:rsid w:val="00A01C84"/>
    <w:rsid w:val="00A0355E"/>
    <w:rsid w:val="00A05BE7"/>
    <w:rsid w:val="00A1582E"/>
    <w:rsid w:val="00A31102"/>
    <w:rsid w:val="00A36BE5"/>
    <w:rsid w:val="00A375D1"/>
    <w:rsid w:val="00A508D8"/>
    <w:rsid w:val="00A51D10"/>
    <w:rsid w:val="00A52A83"/>
    <w:rsid w:val="00A53FBF"/>
    <w:rsid w:val="00A57425"/>
    <w:rsid w:val="00A6552C"/>
    <w:rsid w:val="00A87207"/>
    <w:rsid w:val="00A935AA"/>
    <w:rsid w:val="00A956D3"/>
    <w:rsid w:val="00AB2201"/>
    <w:rsid w:val="00AC1CDC"/>
    <w:rsid w:val="00AD1D34"/>
    <w:rsid w:val="00AD3259"/>
    <w:rsid w:val="00AF0BA2"/>
    <w:rsid w:val="00AF1715"/>
    <w:rsid w:val="00AF3904"/>
    <w:rsid w:val="00B010C0"/>
    <w:rsid w:val="00B06136"/>
    <w:rsid w:val="00B14CB7"/>
    <w:rsid w:val="00B207E2"/>
    <w:rsid w:val="00B229FA"/>
    <w:rsid w:val="00B407D6"/>
    <w:rsid w:val="00B4740D"/>
    <w:rsid w:val="00B50179"/>
    <w:rsid w:val="00B61629"/>
    <w:rsid w:val="00B7374B"/>
    <w:rsid w:val="00B773F5"/>
    <w:rsid w:val="00B81603"/>
    <w:rsid w:val="00B84CEB"/>
    <w:rsid w:val="00B90DC0"/>
    <w:rsid w:val="00BA116A"/>
    <w:rsid w:val="00BA157F"/>
    <w:rsid w:val="00BA5582"/>
    <w:rsid w:val="00BA6468"/>
    <w:rsid w:val="00BB1D44"/>
    <w:rsid w:val="00BB55EA"/>
    <w:rsid w:val="00BB5BD0"/>
    <w:rsid w:val="00BC3E1C"/>
    <w:rsid w:val="00BD06DA"/>
    <w:rsid w:val="00BD4217"/>
    <w:rsid w:val="00BE530C"/>
    <w:rsid w:val="00BF25F3"/>
    <w:rsid w:val="00BF7930"/>
    <w:rsid w:val="00C03C85"/>
    <w:rsid w:val="00C1697B"/>
    <w:rsid w:val="00C21644"/>
    <w:rsid w:val="00C21CB5"/>
    <w:rsid w:val="00C46376"/>
    <w:rsid w:val="00C4652F"/>
    <w:rsid w:val="00C50A5C"/>
    <w:rsid w:val="00C50FDF"/>
    <w:rsid w:val="00C556BB"/>
    <w:rsid w:val="00C63381"/>
    <w:rsid w:val="00C657FA"/>
    <w:rsid w:val="00C73D06"/>
    <w:rsid w:val="00C73E1B"/>
    <w:rsid w:val="00C759B4"/>
    <w:rsid w:val="00C77713"/>
    <w:rsid w:val="00C85BB7"/>
    <w:rsid w:val="00C941BD"/>
    <w:rsid w:val="00CA27FA"/>
    <w:rsid w:val="00CA2DEA"/>
    <w:rsid w:val="00CB3520"/>
    <w:rsid w:val="00CB43D5"/>
    <w:rsid w:val="00CB668A"/>
    <w:rsid w:val="00CC1558"/>
    <w:rsid w:val="00CC1BFC"/>
    <w:rsid w:val="00CC4D84"/>
    <w:rsid w:val="00CC7D0D"/>
    <w:rsid w:val="00CE198A"/>
    <w:rsid w:val="00CF08C8"/>
    <w:rsid w:val="00D004FC"/>
    <w:rsid w:val="00D02D40"/>
    <w:rsid w:val="00D05B70"/>
    <w:rsid w:val="00D14EFA"/>
    <w:rsid w:val="00D45795"/>
    <w:rsid w:val="00D5689E"/>
    <w:rsid w:val="00D64901"/>
    <w:rsid w:val="00D76BDF"/>
    <w:rsid w:val="00D818B6"/>
    <w:rsid w:val="00D862C1"/>
    <w:rsid w:val="00D927D6"/>
    <w:rsid w:val="00D93B50"/>
    <w:rsid w:val="00D94028"/>
    <w:rsid w:val="00D94670"/>
    <w:rsid w:val="00DA25BC"/>
    <w:rsid w:val="00DA46F6"/>
    <w:rsid w:val="00DC3728"/>
    <w:rsid w:val="00DD0B49"/>
    <w:rsid w:val="00DE0502"/>
    <w:rsid w:val="00DE349D"/>
    <w:rsid w:val="00E06DFA"/>
    <w:rsid w:val="00E16A57"/>
    <w:rsid w:val="00E2090E"/>
    <w:rsid w:val="00E20A0A"/>
    <w:rsid w:val="00E240C2"/>
    <w:rsid w:val="00E33E4C"/>
    <w:rsid w:val="00E356C7"/>
    <w:rsid w:val="00E4145C"/>
    <w:rsid w:val="00E414CA"/>
    <w:rsid w:val="00E41A5A"/>
    <w:rsid w:val="00E45FE4"/>
    <w:rsid w:val="00E5517E"/>
    <w:rsid w:val="00E64FA7"/>
    <w:rsid w:val="00E766CB"/>
    <w:rsid w:val="00E770CB"/>
    <w:rsid w:val="00E85E82"/>
    <w:rsid w:val="00E903A1"/>
    <w:rsid w:val="00E940EB"/>
    <w:rsid w:val="00E9703F"/>
    <w:rsid w:val="00E9749B"/>
    <w:rsid w:val="00EB2B90"/>
    <w:rsid w:val="00ED7E83"/>
    <w:rsid w:val="00EE091F"/>
    <w:rsid w:val="00EF4B63"/>
    <w:rsid w:val="00F0068D"/>
    <w:rsid w:val="00F0576D"/>
    <w:rsid w:val="00F14E6D"/>
    <w:rsid w:val="00F15EA8"/>
    <w:rsid w:val="00F16C8D"/>
    <w:rsid w:val="00F26C61"/>
    <w:rsid w:val="00F33CCE"/>
    <w:rsid w:val="00F40249"/>
    <w:rsid w:val="00F4466A"/>
    <w:rsid w:val="00F526C8"/>
    <w:rsid w:val="00F761A3"/>
    <w:rsid w:val="00F8038E"/>
    <w:rsid w:val="00F9272D"/>
    <w:rsid w:val="00F9518C"/>
    <w:rsid w:val="00FA0BB7"/>
    <w:rsid w:val="00FA316E"/>
    <w:rsid w:val="00FA3373"/>
    <w:rsid w:val="00FA59EF"/>
    <w:rsid w:val="00FB19A2"/>
    <w:rsid w:val="00FB4A2E"/>
    <w:rsid w:val="00FE4B3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BanSummary">
    <w:name w:val="SCC.BanSummary"/>
    <w:basedOn w:val="Normal"/>
    <w:next w:val="Normal"/>
    <w:link w:val="SCCBanSummaryChar"/>
    <w:rsid w:val="009A2C36"/>
    <w:pPr>
      <w:jc w:val="both"/>
    </w:pPr>
    <w:rPr>
      <w:smallCaps/>
      <w:lang w:val="fr-CA"/>
    </w:rPr>
  </w:style>
  <w:style w:type="character" w:customStyle="1" w:styleId="SCCBanSummaryChar">
    <w:name w:val="SCC.BanSummary Char"/>
    <w:basedOn w:val="DefaultParagraphFont"/>
    <w:link w:val="SCCBanSummary"/>
    <w:rsid w:val="009A2C36"/>
    <w:rPr>
      <w:smallCaps/>
      <w:lang w:val="fr-CA"/>
    </w:rPr>
  </w:style>
  <w:style w:type="paragraph" w:styleId="BalloonText">
    <w:name w:val="Balloon Text"/>
    <w:basedOn w:val="Normal"/>
    <w:link w:val="BalloonTextChar"/>
    <w:uiPriority w:val="99"/>
    <w:semiHidden/>
    <w:unhideWhenUsed/>
    <w:rsid w:val="00B22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9FA"/>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3649">
      <w:bodyDiv w:val="1"/>
      <w:marLeft w:val="0"/>
      <w:marRight w:val="0"/>
      <w:marTop w:val="0"/>
      <w:marBottom w:val="0"/>
      <w:divBdr>
        <w:top w:val="none" w:sz="0" w:space="0" w:color="auto"/>
        <w:left w:val="none" w:sz="0" w:space="0" w:color="auto"/>
        <w:bottom w:val="none" w:sz="0" w:space="0" w:color="auto"/>
        <w:right w:val="none" w:sz="0" w:space="0" w:color="auto"/>
      </w:divBdr>
    </w:div>
    <w:div w:id="112749299">
      <w:bodyDiv w:val="1"/>
      <w:marLeft w:val="0"/>
      <w:marRight w:val="0"/>
      <w:marTop w:val="0"/>
      <w:marBottom w:val="0"/>
      <w:divBdr>
        <w:top w:val="none" w:sz="0" w:space="0" w:color="auto"/>
        <w:left w:val="none" w:sz="0" w:space="0" w:color="auto"/>
        <w:bottom w:val="none" w:sz="0" w:space="0" w:color="auto"/>
        <w:right w:val="none" w:sz="0" w:space="0" w:color="auto"/>
      </w:divBdr>
    </w:div>
    <w:div w:id="261570678">
      <w:bodyDiv w:val="1"/>
      <w:marLeft w:val="0"/>
      <w:marRight w:val="0"/>
      <w:marTop w:val="0"/>
      <w:marBottom w:val="0"/>
      <w:divBdr>
        <w:top w:val="none" w:sz="0" w:space="0" w:color="auto"/>
        <w:left w:val="none" w:sz="0" w:space="0" w:color="auto"/>
        <w:bottom w:val="none" w:sz="0" w:space="0" w:color="auto"/>
        <w:right w:val="none" w:sz="0" w:space="0" w:color="auto"/>
      </w:divBdr>
    </w:div>
    <w:div w:id="268465666">
      <w:bodyDiv w:val="1"/>
      <w:marLeft w:val="0"/>
      <w:marRight w:val="0"/>
      <w:marTop w:val="0"/>
      <w:marBottom w:val="0"/>
      <w:divBdr>
        <w:top w:val="none" w:sz="0" w:space="0" w:color="auto"/>
        <w:left w:val="none" w:sz="0" w:space="0" w:color="auto"/>
        <w:bottom w:val="none" w:sz="0" w:space="0" w:color="auto"/>
        <w:right w:val="none" w:sz="0" w:space="0" w:color="auto"/>
      </w:divBdr>
    </w:div>
    <w:div w:id="327369000">
      <w:bodyDiv w:val="1"/>
      <w:marLeft w:val="0"/>
      <w:marRight w:val="0"/>
      <w:marTop w:val="0"/>
      <w:marBottom w:val="0"/>
      <w:divBdr>
        <w:top w:val="none" w:sz="0" w:space="0" w:color="auto"/>
        <w:left w:val="none" w:sz="0" w:space="0" w:color="auto"/>
        <w:bottom w:val="none" w:sz="0" w:space="0" w:color="auto"/>
        <w:right w:val="none" w:sz="0" w:space="0" w:color="auto"/>
      </w:divBdr>
    </w:div>
    <w:div w:id="434326822">
      <w:bodyDiv w:val="1"/>
      <w:marLeft w:val="0"/>
      <w:marRight w:val="0"/>
      <w:marTop w:val="0"/>
      <w:marBottom w:val="0"/>
      <w:divBdr>
        <w:top w:val="none" w:sz="0" w:space="0" w:color="auto"/>
        <w:left w:val="none" w:sz="0" w:space="0" w:color="auto"/>
        <w:bottom w:val="none" w:sz="0" w:space="0" w:color="auto"/>
        <w:right w:val="none" w:sz="0" w:space="0" w:color="auto"/>
      </w:divBdr>
    </w:div>
    <w:div w:id="478771548">
      <w:bodyDiv w:val="1"/>
      <w:marLeft w:val="0"/>
      <w:marRight w:val="0"/>
      <w:marTop w:val="0"/>
      <w:marBottom w:val="0"/>
      <w:divBdr>
        <w:top w:val="none" w:sz="0" w:space="0" w:color="auto"/>
        <w:left w:val="none" w:sz="0" w:space="0" w:color="auto"/>
        <w:bottom w:val="none" w:sz="0" w:space="0" w:color="auto"/>
        <w:right w:val="none" w:sz="0" w:space="0" w:color="auto"/>
      </w:divBdr>
    </w:div>
    <w:div w:id="599071289">
      <w:bodyDiv w:val="1"/>
      <w:marLeft w:val="0"/>
      <w:marRight w:val="0"/>
      <w:marTop w:val="0"/>
      <w:marBottom w:val="0"/>
      <w:divBdr>
        <w:top w:val="none" w:sz="0" w:space="0" w:color="auto"/>
        <w:left w:val="none" w:sz="0" w:space="0" w:color="auto"/>
        <w:bottom w:val="none" w:sz="0" w:space="0" w:color="auto"/>
        <w:right w:val="none" w:sz="0" w:space="0" w:color="auto"/>
      </w:divBdr>
    </w:div>
    <w:div w:id="616528361">
      <w:bodyDiv w:val="1"/>
      <w:marLeft w:val="0"/>
      <w:marRight w:val="0"/>
      <w:marTop w:val="0"/>
      <w:marBottom w:val="0"/>
      <w:divBdr>
        <w:top w:val="none" w:sz="0" w:space="0" w:color="auto"/>
        <w:left w:val="none" w:sz="0" w:space="0" w:color="auto"/>
        <w:bottom w:val="none" w:sz="0" w:space="0" w:color="auto"/>
        <w:right w:val="none" w:sz="0" w:space="0" w:color="auto"/>
      </w:divBdr>
    </w:div>
    <w:div w:id="805705306">
      <w:bodyDiv w:val="1"/>
      <w:marLeft w:val="0"/>
      <w:marRight w:val="0"/>
      <w:marTop w:val="0"/>
      <w:marBottom w:val="0"/>
      <w:divBdr>
        <w:top w:val="none" w:sz="0" w:space="0" w:color="auto"/>
        <w:left w:val="none" w:sz="0" w:space="0" w:color="auto"/>
        <w:bottom w:val="none" w:sz="0" w:space="0" w:color="auto"/>
        <w:right w:val="none" w:sz="0" w:space="0" w:color="auto"/>
      </w:divBdr>
    </w:div>
    <w:div w:id="922105602">
      <w:bodyDiv w:val="1"/>
      <w:marLeft w:val="0"/>
      <w:marRight w:val="0"/>
      <w:marTop w:val="0"/>
      <w:marBottom w:val="0"/>
      <w:divBdr>
        <w:top w:val="none" w:sz="0" w:space="0" w:color="auto"/>
        <w:left w:val="none" w:sz="0" w:space="0" w:color="auto"/>
        <w:bottom w:val="none" w:sz="0" w:space="0" w:color="auto"/>
        <w:right w:val="none" w:sz="0" w:space="0" w:color="auto"/>
      </w:divBdr>
    </w:div>
    <w:div w:id="1055205781">
      <w:bodyDiv w:val="1"/>
      <w:marLeft w:val="0"/>
      <w:marRight w:val="0"/>
      <w:marTop w:val="0"/>
      <w:marBottom w:val="0"/>
      <w:divBdr>
        <w:top w:val="none" w:sz="0" w:space="0" w:color="auto"/>
        <w:left w:val="none" w:sz="0" w:space="0" w:color="auto"/>
        <w:bottom w:val="none" w:sz="0" w:space="0" w:color="auto"/>
        <w:right w:val="none" w:sz="0" w:space="0" w:color="auto"/>
      </w:divBdr>
    </w:div>
    <w:div w:id="1115098370">
      <w:bodyDiv w:val="1"/>
      <w:marLeft w:val="0"/>
      <w:marRight w:val="0"/>
      <w:marTop w:val="0"/>
      <w:marBottom w:val="0"/>
      <w:divBdr>
        <w:top w:val="none" w:sz="0" w:space="0" w:color="auto"/>
        <w:left w:val="none" w:sz="0" w:space="0" w:color="auto"/>
        <w:bottom w:val="none" w:sz="0" w:space="0" w:color="auto"/>
        <w:right w:val="none" w:sz="0" w:space="0" w:color="auto"/>
      </w:divBdr>
    </w:div>
    <w:div w:id="1120684645">
      <w:bodyDiv w:val="1"/>
      <w:marLeft w:val="0"/>
      <w:marRight w:val="0"/>
      <w:marTop w:val="0"/>
      <w:marBottom w:val="0"/>
      <w:divBdr>
        <w:top w:val="none" w:sz="0" w:space="0" w:color="auto"/>
        <w:left w:val="none" w:sz="0" w:space="0" w:color="auto"/>
        <w:bottom w:val="none" w:sz="0" w:space="0" w:color="auto"/>
        <w:right w:val="none" w:sz="0" w:space="0" w:color="auto"/>
      </w:divBdr>
    </w:div>
    <w:div w:id="1235316993">
      <w:bodyDiv w:val="1"/>
      <w:marLeft w:val="0"/>
      <w:marRight w:val="0"/>
      <w:marTop w:val="0"/>
      <w:marBottom w:val="0"/>
      <w:divBdr>
        <w:top w:val="none" w:sz="0" w:space="0" w:color="auto"/>
        <w:left w:val="none" w:sz="0" w:space="0" w:color="auto"/>
        <w:bottom w:val="none" w:sz="0" w:space="0" w:color="auto"/>
        <w:right w:val="none" w:sz="0" w:space="0" w:color="auto"/>
      </w:divBdr>
    </w:div>
    <w:div w:id="1309092966">
      <w:bodyDiv w:val="1"/>
      <w:marLeft w:val="0"/>
      <w:marRight w:val="0"/>
      <w:marTop w:val="0"/>
      <w:marBottom w:val="0"/>
      <w:divBdr>
        <w:top w:val="none" w:sz="0" w:space="0" w:color="auto"/>
        <w:left w:val="none" w:sz="0" w:space="0" w:color="auto"/>
        <w:bottom w:val="none" w:sz="0" w:space="0" w:color="auto"/>
        <w:right w:val="none" w:sz="0" w:space="0" w:color="auto"/>
      </w:divBdr>
    </w:div>
    <w:div w:id="1472821071">
      <w:bodyDiv w:val="1"/>
      <w:marLeft w:val="0"/>
      <w:marRight w:val="0"/>
      <w:marTop w:val="0"/>
      <w:marBottom w:val="0"/>
      <w:divBdr>
        <w:top w:val="none" w:sz="0" w:space="0" w:color="auto"/>
        <w:left w:val="none" w:sz="0" w:space="0" w:color="auto"/>
        <w:bottom w:val="none" w:sz="0" w:space="0" w:color="auto"/>
        <w:right w:val="none" w:sz="0" w:space="0" w:color="auto"/>
      </w:divBdr>
    </w:div>
    <w:div w:id="1591084492">
      <w:bodyDiv w:val="1"/>
      <w:marLeft w:val="0"/>
      <w:marRight w:val="0"/>
      <w:marTop w:val="0"/>
      <w:marBottom w:val="0"/>
      <w:divBdr>
        <w:top w:val="none" w:sz="0" w:space="0" w:color="auto"/>
        <w:left w:val="none" w:sz="0" w:space="0" w:color="auto"/>
        <w:bottom w:val="none" w:sz="0" w:space="0" w:color="auto"/>
        <w:right w:val="none" w:sz="0" w:space="0" w:color="auto"/>
      </w:divBdr>
    </w:div>
    <w:div w:id="2016375313">
      <w:bodyDiv w:val="1"/>
      <w:marLeft w:val="0"/>
      <w:marRight w:val="0"/>
      <w:marTop w:val="0"/>
      <w:marBottom w:val="0"/>
      <w:divBdr>
        <w:top w:val="none" w:sz="0" w:space="0" w:color="auto"/>
        <w:left w:val="none" w:sz="0" w:space="0" w:color="auto"/>
        <w:bottom w:val="none" w:sz="0" w:space="0" w:color="auto"/>
        <w:right w:val="none" w:sz="0" w:space="0" w:color="auto"/>
      </w:divBdr>
    </w:div>
    <w:div w:id="2046366112">
      <w:bodyDiv w:val="1"/>
      <w:marLeft w:val="0"/>
      <w:marRight w:val="0"/>
      <w:marTop w:val="0"/>
      <w:marBottom w:val="0"/>
      <w:divBdr>
        <w:top w:val="none" w:sz="0" w:space="0" w:color="auto"/>
        <w:left w:val="none" w:sz="0" w:space="0" w:color="auto"/>
        <w:bottom w:val="none" w:sz="0" w:space="0" w:color="auto"/>
        <w:right w:val="none" w:sz="0" w:space="0" w:color="auto"/>
      </w:divBdr>
    </w:div>
    <w:div w:id="2070572799">
      <w:bodyDiv w:val="1"/>
      <w:marLeft w:val="0"/>
      <w:marRight w:val="0"/>
      <w:marTop w:val="0"/>
      <w:marBottom w:val="0"/>
      <w:divBdr>
        <w:top w:val="none" w:sz="0" w:space="0" w:color="auto"/>
        <w:left w:val="none" w:sz="0" w:space="0" w:color="auto"/>
        <w:bottom w:val="none" w:sz="0" w:space="0" w:color="auto"/>
        <w:right w:val="none" w:sz="0" w:space="0" w:color="auto"/>
      </w:divBdr>
    </w:div>
    <w:div w:id="21135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on/onsc/doc/2015/2015onsc7777/2015onsc7777.html?resultIndex=1" TargetMode="External"/><Relationship Id="rId21" Type="http://schemas.openxmlformats.org/officeDocument/2006/relationships/header" Target="header6.xml"/><Relationship Id="rId42" Type="http://schemas.openxmlformats.org/officeDocument/2006/relationships/hyperlink" Target="http://canlii.ca/t/gn7zp" TargetMode="External"/><Relationship Id="rId47" Type="http://schemas.openxmlformats.org/officeDocument/2006/relationships/hyperlink" Target="http://canlii.ca/t/gn564" TargetMode="External"/><Relationship Id="rId63" Type="http://schemas.openxmlformats.org/officeDocument/2006/relationships/hyperlink" Target="http://www.canlii.org/fr/qc/qcca/doc/2016/2016qcca62/2016qcca62.html" TargetMode="External"/><Relationship Id="rId68" Type="http://schemas.openxmlformats.org/officeDocument/2006/relationships/hyperlink" Target="http://canlii.ca/t/gn564" TargetMode="External"/><Relationship Id="rId84" Type="http://schemas.openxmlformats.org/officeDocument/2006/relationships/footer" Target="footer14.xml"/><Relationship Id="rId89" Type="http://schemas.openxmlformats.org/officeDocument/2006/relationships/header" Target="header18.xml"/><Relationship Id="rId7" Type="http://schemas.openxmlformats.org/officeDocument/2006/relationships/endnotes" Target="endnotes.xml"/><Relationship Id="rId71" Type="http://schemas.openxmlformats.org/officeDocument/2006/relationships/header" Target="header9.xml"/><Relationship Id="rId92"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en/on/onsc/doc/2015/2015onsc3542/2015onsc3542.html?resultIndex=1"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en/ca/fca/doc/2015/2015fca227/2015fca227.html?autocompleteStr=2015%20FCA%20227&amp;autocompletePos=1" TargetMode="External"/><Relationship Id="rId37" Type="http://schemas.openxmlformats.org/officeDocument/2006/relationships/hyperlink" Target="http://www.canlii.org/en/ca/fct/doc/2015/2015fc286/2015fc286.html" TargetMode="External"/><Relationship Id="rId40" Type="http://schemas.openxmlformats.org/officeDocument/2006/relationships/hyperlink" Target="http://canlii.ca/t/gn7zp" TargetMode="External"/><Relationship Id="rId45" Type="http://schemas.openxmlformats.org/officeDocument/2006/relationships/hyperlink" Target="http://canlii.ca/t/gn564" TargetMode="External"/><Relationship Id="rId53" Type="http://schemas.openxmlformats.org/officeDocument/2006/relationships/hyperlink" Target="http://canlii.ca/t/gn564" TargetMode="External"/><Relationship Id="rId58" Type="http://schemas.openxmlformats.org/officeDocument/2006/relationships/hyperlink" Target="http://canlii.ca/t/gn564" TargetMode="External"/><Relationship Id="rId66" Type="http://schemas.openxmlformats.org/officeDocument/2006/relationships/hyperlink" Target="http://www.canlii.org/fr/qc/qcca/doc/2015/2015qcca1619/2015qcca1619.html" TargetMode="External"/><Relationship Id="rId74" Type="http://schemas.openxmlformats.org/officeDocument/2006/relationships/header" Target="header10.xml"/><Relationship Id="rId79" Type="http://schemas.openxmlformats.org/officeDocument/2006/relationships/footer" Target="footer12.xml"/><Relationship Id="rId87" Type="http://schemas.openxmlformats.org/officeDocument/2006/relationships/footer" Target="footer16.xml"/><Relationship Id="rId102" Type="http://schemas.openxmlformats.org/officeDocument/2006/relationships/header" Target="header23.xml"/><Relationship Id="rId5" Type="http://schemas.openxmlformats.org/officeDocument/2006/relationships/webSettings" Target="webSettings.xml"/><Relationship Id="rId61" Type="http://schemas.openxmlformats.org/officeDocument/2006/relationships/hyperlink" Target="http://canlii.ca/t/gn564" TargetMode="External"/><Relationship Id="rId82" Type="http://schemas.openxmlformats.org/officeDocument/2006/relationships/header" Target="header14.xml"/><Relationship Id="rId90" Type="http://schemas.openxmlformats.org/officeDocument/2006/relationships/footer" Target="footer17.xml"/><Relationship Id="rId95" Type="http://schemas.openxmlformats.org/officeDocument/2006/relationships/hyperlink" Target="http://www.scc-csc.ca/case-dossier/info/sum-som-eng.aspx?cas=36300" TargetMode="Externa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on/onsc/doc/2015/2015onsc3542/2015onsc3542.html?resultIndex=1" TargetMode="External"/><Relationship Id="rId30" Type="http://schemas.openxmlformats.org/officeDocument/2006/relationships/hyperlink" Target="http://www.canlii.org/en/on/onca/doc/2016/2016onca33/2016onca33.html?resultIndex=1" TargetMode="External"/><Relationship Id="rId35" Type="http://schemas.openxmlformats.org/officeDocument/2006/relationships/hyperlink" Target="http://www.canlii.org/en/ca/fct/doc/2015/2015fc286/2015fc286.html" TargetMode="External"/><Relationship Id="rId43" Type="http://schemas.openxmlformats.org/officeDocument/2006/relationships/hyperlink" Target="http://canlii.ca/t/gn564" TargetMode="External"/><Relationship Id="rId48" Type="http://schemas.openxmlformats.org/officeDocument/2006/relationships/hyperlink" Target="http://canlii.ca/t/gn564" TargetMode="External"/><Relationship Id="rId56" Type="http://schemas.openxmlformats.org/officeDocument/2006/relationships/hyperlink" Target="http://canlii.ca/t/gn564" TargetMode="External"/><Relationship Id="rId64" Type="http://schemas.openxmlformats.org/officeDocument/2006/relationships/hyperlink" Target="http://www.canlii.org/fr/qc/qcca/doc/2016/2016qcca62/2016qcca62.html" TargetMode="External"/><Relationship Id="rId69" Type="http://schemas.openxmlformats.org/officeDocument/2006/relationships/hyperlink" Target="http://canlii.ca/t/gn564" TargetMode="External"/><Relationship Id="rId77" Type="http://schemas.openxmlformats.org/officeDocument/2006/relationships/header" Target="header12.xml"/><Relationship Id="rId100" Type="http://schemas.openxmlformats.org/officeDocument/2006/relationships/header" Target="header22.xml"/><Relationship Id="rId105"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canlii.ca/t/gn564" TargetMode="External"/><Relationship Id="rId72" Type="http://schemas.openxmlformats.org/officeDocument/2006/relationships/footer" Target="footer8.xml"/><Relationship Id="rId80" Type="http://schemas.openxmlformats.org/officeDocument/2006/relationships/header" Target="header13.xml"/><Relationship Id="rId85" Type="http://schemas.openxmlformats.org/officeDocument/2006/relationships/footer" Target="footer15.xml"/><Relationship Id="rId93" Type="http://schemas.openxmlformats.org/officeDocument/2006/relationships/footer" Target="footer19.xml"/><Relationship Id="rId98"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on/onsc/doc/2015/2015onsc7777/2015onsc7777.html?resultIndex=1" TargetMode="External"/><Relationship Id="rId33" Type="http://schemas.openxmlformats.org/officeDocument/2006/relationships/hyperlink" Target="http://www.canlii.org/en/ca/fct/doc/2014/2014fc708/2014fc708.html" TargetMode="External"/><Relationship Id="rId38" Type="http://schemas.openxmlformats.org/officeDocument/2006/relationships/hyperlink" Target="http://www.canlii.org/en/ca/fca/doc/2016/2016fca28/2016fca28.html?autocompleteStr=2016%20FCA%2028&amp;autocompletePos=1" TargetMode="External"/><Relationship Id="rId46" Type="http://schemas.openxmlformats.org/officeDocument/2006/relationships/hyperlink" Target="http://canlii.ca/t/gn564" TargetMode="External"/><Relationship Id="rId59" Type="http://schemas.openxmlformats.org/officeDocument/2006/relationships/hyperlink" Target="http://canlii.ca/t/gn564" TargetMode="External"/><Relationship Id="rId67" Type="http://schemas.openxmlformats.org/officeDocument/2006/relationships/hyperlink" Target="http://www.canlii.org/fr/qc/qcca/doc/2015/2015qcca1619/2015qcca1619.html" TargetMode="External"/><Relationship Id="rId103" Type="http://schemas.openxmlformats.org/officeDocument/2006/relationships/footer" Target="footer23.xml"/><Relationship Id="rId20" Type="http://schemas.openxmlformats.org/officeDocument/2006/relationships/footer" Target="footer5.xml"/><Relationship Id="rId41" Type="http://schemas.openxmlformats.org/officeDocument/2006/relationships/hyperlink" Target="http://canlii.ca/t/g68x7" TargetMode="External"/><Relationship Id="rId54" Type="http://schemas.openxmlformats.org/officeDocument/2006/relationships/hyperlink" Target="http://canlii.ca/t/gn564" TargetMode="External"/><Relationship Id="rId62" Type="http://schemas.openxmlformats.org/officeDocument/2006/relationships/hyperlink" Target="http://www.canlii.org/fr/qc/qccs/doc/2014/2014qccs1594/2014qccs1594.html" TargetMode="External"/><Relationship Id="rId70" Type="http://schemas.openxmlformats.org/officeDocument/2006/relationships/header" Target="header8.xml"/><Relationship Id="rId75" Type="http://schemas.openxmlformats.org/officeDocument/2006/relationships/footer" Target="footer10.xml"/><Relationship Id="rId83" Type="http://schemas.openxmlformats.org/officeDocument/2006/relationships/header" Target="header15.xml"/><Relationship Id="rId88" Type="http://schemas.openxmlformats.org/officeDocument/2006/relationships/header" Target="header17.xml"/><Relationship Id="rId91" Type="http://schemas.openxmlformats.org/officeDocument/2006/relationships/footer" Target="footer18.xml"/><Relationship Id="rId96"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on/onca/doc/2016/2016onca33/2016onca33.html?resultIndex=1" TargetMode="External"/><Relationship Id="rId36" Type="http://schemas.openxmlformats.org/officeDocument/2006/relationships/hyperlink" Target="http://www.canlii.org/en/ca/fca/doc/2016/2016fca28/2016fca28.html?autocompleteStr=2016%20FCA%2028&amp;autocompletePos=1" TargetMode="External"/><Relationship Id="rId49" Type="http://schemas.openxmlformats.org/officeDocument/2006/relationships/hyperlink" Target="http://canlii.ca/t/gn564" TargetMode="External"/><Relationship Id="rId57" Type="http://schemas.openxmlformats.org/officeDocument/2006/relationships/hyperlink" Target="http://canlii.ca/t/gn564" TargetMode="External"/><Relationship Id="rId10" Type="http://schemas.openxmlformats.org/officeDocument/2006/relationships/hyperlink" Target="http://www.scc-csc.ca" TargetMode="External"/><Relationship Id="rId31" Type="http://schemas.openxmlformats.org/officeDocument/2006/relationships/hyperlink" Target="http://www.canlii.org/en/ca/fct/doc/2014/2014fc708/2014fc708.html" TargetMode="External"/><Relationship Id="rId44" Type="http://schemas.openxmlformats.org/officeDocument/2006/relationships/hyperlink" Target="http://canlii.ca/t/gn564" TargetMode="External"/><Relationship Id="rId52" Type="http://schemas.openxmlformats.org/officeDocument/2006/relationships/hyperlink" Target="http://canlii.ca/t/gn564" TargetMode="External"/><Relationship Id="rId60" Type="http://schemas.openxmlformats.org/officeDocument/2006/relationships/hyperlink" Target="http://canlii.ca/t/gn564" TargetMode="External"/><Relationship Id="rId65" Type="http://schemas.openxmlformats.org/officeDocument/2006/relationships/hyperlink" Target="http://www.canlii.org/fr/qc/qccs/doc/2013/2013qccs2375/2013qccs2375.html" TargetMode="External"/><Relationship Id="rId73" Type="http://schemas.openxmlformats.org/officeDocument/2006/relationships/footer" Target="footer9.xml"/><Relationship Id="rId78" Type="http://schemas.openxmlformats.org/officeDocument/2006/relationships/footer" Target="footer11.xml"/><Relationship Id="rId81" Type="http://schemas.openxmlformats.org/officeDocument/2006/relationships/footer" Target="footer13.xml"/><Relationship Id="rId86" Type="http://schemas.openxmlformats.org/officeDocument/2006/relationships/header" Target="header16.xml"/><Relationship Id="rId94" Type="http://schemas.openxmlformats.org/officeDocument/2006/relationships/hyperlink" Target="http://www.scc-csc.ca/case-dossier/info/sum-som-eng.aspx?cas=36328" TargetMode="External"/><Relationship Id="rId99" Type="http://schemas.openxmlformats.org/officeDocument/2006/relationships/footer" Target="footer21.xml"/><Relationship Id="rId10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canlii.ca/t/g68x7" TargetMode="External"/><Relationship Id="rId34" Type="http://schemas.openxmlformats.org/officeDocument/2006/relationships/hyperlink" Target="http://www.canlii.org/en/ca/fca/doc/2015/2015fca227/2015fca227.html?autocompleteStr=2015%20FCA%20227&amp;autocompletePos=1" TargetMode="External"/><Relationship Id="rId50" Type="http://schemas.openxmlformats.org/officeDocument/2006/relationships/hyperlink" Target="http://canlii.ca/t/gn564" TargetMode="External"/><Relationship Id="rId55" Type="http://schemas.openxmlformats.org/officeDocument/2006/relationships/hyperlink" Target="http://canlii.ca/t/gn564" TargetMode="External"/><Relationship Id="rId76" Type="http://schemas.openxmlformats.org/officeDocument/2006/relationships/header" Target="header11.xml"/><Relationship Id="rId97" Type="http://schemas.openxmlformats.org/officeDocument/2006/relationships/header" Target="header21.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24B1E-877F-421D-9EE3-0B3B7F57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25610</Words>
  <Characters>145982</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2016-06-17T13:31:00Z</dcterms:created>
  <dcterms:modified xsi:type="dcterms:W3CDTF">2016-06-27T19:12:00Z</dcterms:modified>
</cp:coreProperties>
</file>